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30EAD" w:rsidRDefault="00430EAD">
      <w:pPr>
        <w:pStyle w:val="Textodecuerpo"/>
        <w:rPr>
          <w:rFonts w:ascii="Arial Narrow" w:hAnsi="Arial Narrow" w:cs="Arial Narrow"/>
          <w:b/>
          <w:bCs/>
        </w:rPr>
      </w:pPr>
    </w:p>
    <w:p w:rsidR="00430EAD" w:rsidRDefault="00430EAD">
      <w:pPr>
        <w:pStyle w:val="Textodecuerpo"/>
        <w:rPr>
          <w:rFonts w:ascii="Arial Narrow" w:hAnsi="Arial Narrow" w:cs="Arial Narrow"/>
          <w:b/>
          <w:bCs/>
        </w:rPr>
      </w:pPr>
    </w:p>
    <w:p w:rsidR="00430EAD" w:rsidRDefault="00430EAD" w:rsidP="00430EAD">
      <w:pPr>
        <w:pStyle w:val="NormalWeb"/>
        <w:jc w:val="center"/>
        <w:rPr>
          <w:rFonts w:ascii="Calibri" w:hAnsi="Calibri" w:cs="Arial"/>
          <w:b/>
          <w:bCs/>
          <w:sz w:val="32"/>
          <w:lang w:val="es-ES_tradnl"/>
        </w:rPr>
      </w:pPr>
      <w:r>
        <w:rPr>
          <w:rFonts w:ascii="Calibri" w:hAnsi="Calibri" w:cs="Arial"/>
          <w:b/>
          <w:bCs/>
          <w:sz w:val="32"/>
          <w:lang w:val="es-ES_tradnl"/>
        </w:rPr>
        <w:t>Explorando nuevas políticas urbanas</w:t>
      </w:r>
    </w:p>
    <w:p w:rsidR="00430EAD" w:rsidRDefault="00430EAD" w:rsidP="00430EAD">
      <w:pPr>
        <w:pStyle w:val="NormalWeb"/>
        <w:jc w:val="center"/>
        <w:rPr>
          <w:rFonts w:ascii="Calibri" w:hAnsi="Calibri" w:cs="Arial"/>
          <w:b/>
          <w:bCs/>
          <w:sz w:val="32"/>
          <w:lang w:val="es-ES_tradnl"/>
        </w:rPr>
      </w:pPr>
    </w:p>
    <w:p w:rsidR="00430EAD" w:rsidRDefault="00430EAD" w:rsidP="00430EAD">
      <w:pPr>
        <w:pStyle w:val="NormalWeb"/>
        <w:jc w:val="center"/>
        <w:rPr>
          <w:rFonts w:ascii="Calibri" w:hAnsi="Calibri" w:cs="Arial"/>
          <w:b/>
          <w:bCs/>
          <w:sz w:val="32"/>
          <w:lang w:val="es-ES_tradnl"/>
        </w:rPr>
      </w:pPr>
    </w:p>
    <w:p w:rsidR="007714D9" w:rsidRDefault="00430EAD" w:rsidP="003E2C2C">
      <w:pPr>
        <w:pStyle w:val="NormalWeb"/>
        <w:spacing w:line="14" w:lineRule="auto"/>
        <w:jc w:val="center"/>
        <w:rPr>
          <w:rFonts w:ascii="Calibri" w:hAnsi="Calibri" w:cs="Arial"/>
          <w:bCs/>
          <w:lang w:val="es-ES_tradnl"/>
        </w:rPr>
      </w:pPr>
      <w:r>
        <w:rPr>
          <w:rFonts w:ascii="Calibri" w:hAnsi="Calibri" w:cs="Arial"/>
          <w:bCs/>
          <w:lang w:val="es-ES_tradnl"/>
        </w:rPr>
        <w:t>Mariela Iglesias Costa (IGOP-UAB)</w:t>
      </w:r>
    </w:p>
    <w:p w:rsidR="003E2C2C" w:rsidRDefault="003E2C2C" w:rsidP="003E2C2C">
      <w:pPr>
        <w:pStyle w:val="NormalWeb"/>
        <w:spacing w:line="14" w:lineRule="auto"/>
        <w:jc w:val="center"/>
        <w:rPr>
          <w:rFonts w:ascii="Calibri" w:hAnsi="Calibri" w:cs="Arial"/>
          <w:bCs/>
          <w:lang w:val="es-ES_tradnl"/>
        </w:rPr>
      </w:pPr>
      <w:hyperlink r:id="rId7" w:history="1">
        <w:proofErr w:type="spellStart"/>
        <w:r w:rsidRPr="000C7E3D">
          <w:rPr>
            <w:rStyle w:val="Hipervnculo"/>
            <w:rFonts w:ascii="Calibri" w:hAnsi="Calibri"/>
            <w:bCs/>
            <w:sz w:val="24"/>
            <w:szCs w:val="24"/>
          </w:rPr>
          <w:t>Mariela.iglesias@uab.cat</w:t>
        </w:r>
        <w:proofErr w:type="spellEnd"/>
      </w:hyperlink>
    </w:p>
    <w:p w:rsidR="007714D9" w:rsidRDefault="007714D9" w:rsidP="003E2C2C">
      <w:pPr>
        <w:pStyle w:val="NormalWeb"/>
        <w:spacing w:line="14" w:lineRule="auto"/>
        <w:jc w:val="center"/>
        <w:rPr>
          <w:rFonts w:ascii="Calibri" w:hAnsi="Calibri" w:cs="Arial"/>
          <w:bCs/>
          <w:lang w:val="es-ES_tradnl"/>
        </w:rPr>
      </w:pPr>
    </w:p>
    <w:p w:rsidR="007714D9" w:rsidRDefault="00430EAD" w:rsidP="003E2C2C">
      <w:pPr>
        <w:pStyle w:val="NormalWeb"/>
        <w:spacing w:line="14" w:lineRule="auto"/>
        <w:jc w:val="center"/>
        <w:rPr>
          <w:rFonts w:ascii="Calibri" w:hAnsi="Calibri" w:cs="Arial"/>
          <w:bCs/>
          <w:lang w:val="es-ES_tradnl"/>
        </w:rPr>
      </w:pPr>
      <w:r w:rsidRPr="00CB3387">
        <w:rPr>
          <w:rFonts w:ascii="Calibri" w:hAnsi="Calibri" w:cs="Arial"/>
          <w:bCs/>
          <w:lang w:val="es-ES_tradnl"/>
        </w:rPr>
        <w:t>Marc Martí</w:t>
      </w:r>
      <w:r>
        <w:rPr>
          <w:rFonts w:ascii="Calibri" w:hAnsi="Calibri" w:cs="Arial"/>
          <w:bCs/>
          <w:lang w:val="es-ES_tradnl"/>
        </w:rPr>
        <w:t>-Costa</w:t>
      </w:r>
      <w:r w:rsidRPr="00CB3387">
        <w:rPr>
          <w:rFonts w:ascii="Calibri" w:hAnsi="Calibri" w:cs="Arial"/>
          <w:bCs/>
          <w:lang w:val="es-ES_tradnl"/>
        </w:rPr>
        <w:t xml:space="preserve"> (IGOP-UAB)</w:t>
      </w:r>
      <w:r w:rsidR="007714D9" w:rsidRPr="007714D9">
        <w:rPr>
          <w:rFonts w:ascii="Calibri" w:hAnsi="Calibri" w:cs="Arial"/>
          <w:bCs/>
          <w:lang w:val="es-ES_tradnl"/>
        </w:rPr>
        <w:t xml:space="preserve"> </w:t>
      </w:r>
    </w:p>
    <w:p w:rsidR="003E2C2C" w:rsidRDefault="003E2C2C" w:rsidP="003E2C2C">
      <w:pPr>
        <w:pStyle w:val="NormalWeb"/>
        <w:spacing w:line="14" w:lineRule="auto"/>
        <w:jc w:val="center"/>
        <w:rPr>
          <w:rFonts w:ascii="Calibri" w:hAnsi="Calibri" w:cs="Arial"/>
          <w:bCs/>
          <w:lang w:val="es-ES_tradnl"/>
        </w:rPr>
      </w:pPr>
      <w:hyperlink r:id="rId8" w:history="1">
        <w:r w:rsidRPr="000C7E3D">
          <w:rPr>
            <w:rStyle w:val="Hipervnculo"/>
            <w:rFonts w:ascii="Calibri" w:hAnsi="Calibri"/>
            <w:bCs/>
            <w:sz w:val="24"/>
            <w:szCs w:val="24"/>
          </w:rPr>
          <w:t>marc.marti@uab.cat</w:t>
        </w:r>
      </w:hyperlink>
    </w:p>
    <w:p w:rsidR="00823429" w:rsidRPr="00CB3387" w:rsidRDefault="00823429" w:rsidP="00823429">
      <w:pPr>
        <w:pStyle w:val="NormalWeb"/>
        <w:spacing w:line="14" w:lineRule="auto"/>
        <w:jc w:val="center"/>
        <w:rPr>
          <w:rFonts w:ascii="Calibri" w:hAnsi="Calibri" w:cs="Arial"/>
          <w:bCs/>
          <w:lang w:val="es-ES_tradnl"/>
        </w:rPr>
      </w:pPr>
    </w:p>
    <w:p w:rsidR="00823429" w:rsidRDefault="00823429" w:rsidP="00823429">
      <w:pPr>
        <w:pStyle w:val="NormalWeb"/>
        <w:spacing w:line="14" w:lineRule="auto"/>
        <w:jc w:val="center"/>
        <w:rPr>
          <w:rFonts w:ascii="Calibri" w:hAnsi="Calibri" w:cs="Arial"/>
          <w:bCs/>
          <w:lang w:val="es-ES_tradnl"/>
        </w:rPr>
      </w:pPr>
      <w:r>
        <w:rPr>
          <w:rFonts w:ascii="Calibri" w:hAnsi="Calibri" w:cs="Arial"/>
          <w:bCs/>
          <w:lang w:val="es-ES_tradnl"/>
        </w:rPr>
        <w:t>Joan Subirats</w:t>
      </w:r>
      <w:r w:rsidRPr="00CB3387">
        <w:rPr>
          <w:rFonts w:ascii="Calibri" w:hAnsi="Calibri" w:cs="Arial"/>
          <w:bCs/>
          <w:lang w:val="es-ES_tradnl"/>
        </w:rPr>
        <w:t xml:space="preserve"> (IGOP-UAB)</w:t>
      </w:r>
    </w:p>
    <w:p w:rsidR="00823429" w:rsidRDefault="00823429" w:rsidP="00823429">
      <w:pPr>
        <w:pStyle w:val="NormalWeb"/>
        <w:spacing w:line="14" w:lineRule="auto"/>
        <w:jc w:val="center"/>
        <w:rPr>
          <w:rFonts w:ascii="Calibri" w:hAnsi="Calibri" w:cs="Arial"/>
          <w:bCs/>
        </w:rPr>
      </w:pPr>
      <w:hyperlink r:id="rId9" w:history="1">
        <w:proofErr w:type="spellStart"/>
        <w:r w:rsidRPr="000C7E3D">
          <w:rPr>
            <w:rStyle w:val="Hipervnculo"/>
            <w:rFonts w:ascii="Calibri" w:hAnsi="Calibri"/>
            <w:bCs/>
            <w:sz w:val="24"/>
            <w:szCs w:val="24"/>
          </w:rPr>
          <w:t>J</w:t>
        </w:r>
        <w:r w:rsidRPr="000C7E3D">
          <w:rPr>
            <w:rStyle w:val="Hipervnculo"/>
            <w:rFonts w:ascii="Calibri" w:hAnsi="Calibri"/>
            <w:bCs/>
            <w:sz w:val="24"/>
            <w:szCs w:val="24"/>
          </w:rPr>
          <w:t>o</w:t>
        </w:r>
        <w:r w:rsidRPr="000C7E3D">
          <w:rPr>
            <w:rStyle w:val="Hipervnculo"/>
            <w:rFonts w:ascii="Calibri" w:hAnsi="Calibri"/>
            <w:bCs/>
            <w:sz w:val="24"/>
            <w:szCs w:val="24"/>
          </w:rPr>
          <w:t>an.subirats@uab.cat</w:t>
        </w:r>
        <w:proofErr w:type="spellEnd"/>
      </w:hyperlink>
    </w:p>
    <w:p w:rsidR="00430EAD" w:rsidRPr="00CB3387" w:rsidRDefault="00430EAD" w:rsidP="00823429">
      <w:pPr>
        <w:pStyle w:val="NormalWeb"/>
        <w:spacing w:line="14" w:lineRule="auto"/>
        <w:jc w:val="center"/>
        <w:rPr>
          <w:rFonts w:ascii="Calibri" w:hAnsi="Calibri" w:cs="Arial"/>
          <w:bCs/>
          <w:lang w:val="es-ES_tradnl"/>
        </w:rPr>
      </w:pPr>
    </w:p>
    <w:p w:rsidR="003E2C2C" w:rsidRDefault="00430EAD" w:rsidP="003E2C2C">
      <w:pPr>
        <w:pStyle w:val="NormalWeb"/>
        <w:spacing w:line="14" w:lineRule="auto"/>
        <w:jc w:val="center"/>
        <w:rPr>
          <w:rFonts w:ascii="Calibri" w:hAnsi="Calibri" w:cs="Arial"/>
          <w:bCs/>
          <w:lang w:val="es-ES_tradnl"/>
        </w:rPr>
      </w:pPr>
      <w:r>
        <w:rPr>
          <w:rFonts w:ascii="Calibri" w:hAnsi="Calibri" w:cs="Arial"/>
          <w:bCs/>
          <w:lang w:val="es-ES_tradnl"/>
        </w:rPr>
        <w:t>Mariona Tomas (UB</w:t>
      </w:r>
      <w:r w:rsidRPr="00CB3387">
        <w:rPr>
          <w:rFonts w:ascii="Calibri" w:hAnsi="Calibri" w:cs="Arial"/>
          <w:bCs/>
          <w:lang w:val="es-ES_tradnl"/>
        </w:rPr>
        <w:t>)</w:t>
      </w:r>
    </w:p>
    <w:p w:rsidR="003E2C2C" w:rsidRDefault="003E2C2C" w:rsidP="003E2C2C">
      <w:pPr>
        <w:pStyle w:val="NormalWeb"/>
        <w:spacing w:line="14" w:lineRule="auto"/>
        <w:jc w:val="center"/>
        <w:rPr>
          <w:rFonts w:ascii="Calibri" w:hAnsi="Calibri" w:cs="Arial"/>
          <w:bCs/>
          <w:lang w:val="es-ES_tradnl"/>
        </w:rPr>
      </w:pPr>
      <w:hyperlink r:id="rId10" w:history="1">
        <w:r w:rsidRPr="000C7E3D">
          <w:rPr>
            <w:rStyle w:val="Hipervnculo"/>
            <w:rFonts w:ascii="Calibri" w:hAnsi="Calibri"/>
            <w:bCs/>
            <w:sz w:val="24"/>
            <w:szCs w:val="24"/>
          </w:rPr>
          <w:t>marionatomas@ub.edu</w:t>
        </w:r>
      </w:hyperlink>
    </w:p>
    <w:p w:rsidR="003E2C2C" w:rsidRDefault="003E2C2C" w:rsidP="003E2C2C">
      <w:pPr>
        <w:pStyle w:val="NormalWeb"/>
        <w:spacing w:line="14" w:lineRule="auto"/>
        <w:jc w:val="center"/>
        <w:rPr>
          <w:rFonts w:ascii="Calibri" w:hAnsi="Calibri" w:cs="Arial"/>
          <w:bCs/>
          <w:lang w:val="es-ES_tradnl"/>
        </w:rPr>
      </w:pPr>
    </w:p>
    <w:p w:rsidR="00430EAD" w:rsidRPr="00CB3387" w:rsidRDefault="00430EAD" w:rsidP="003E2C2C">
      <w:pPr>
        <w:pStyle w:val="NormalWeb"/>
        <w:spacing w:line="14" w:lineRule="auto"/>
        <w:jc w:val="center"/>
        <w:rPr>
          <w:rFonts w:ascii="Calibri" w:hAnsi="Calibri" w:cs="Arial"/>
          <w:bCs/>
          <w:lang w:val="es-ES_tradnl"/>
        </w:rPr>
      </w:pPr>
    </w:p>
    <w:p w:rsidR="00430EAD" w:rsidRDefault="00430EAD" w:rsidP="00430EAD">
      <w:pPr>
        <w:pStyle w:val="NormalWeb"/>
        <w:jc w:val="center"/>
        <w:rPr>
          <w:rFonts w:ascii="Calibri" w:hAnsi="Calibri" w:cs="Arial"/>
          <w:b/>
          <w:bCs/>
          <w:sz w:val="32"/>
          <w:lang w:val="es-ES_tradnl"/>
        </w:rPr>
      </w:pPr>
    </w:p>
    <w:p w:rsidR="00430EAD" w:rsidRDefault="00430EAD" w:rsidP="00430EAD">
      <w:pPr>
        <w:pStyle w:val="NormalWeb"/>
        <w:jc w:val="center"/>
        <w:rPr>
          <w:rFonts w:ascii="Calibri" w:hAnsi="Calibri" w:cs="Arial"/>
          <w:b/>
          <w:bCs/>
          <w:sz w:val="32"/>
          <w:lang w:val="es-ES_tradnl"/>
        </w:rPr>
      </w:pPr>
    </w:p>
    <w:p w:rsidR="00430EAD" w:rsidRPr="00CB3387" w:rsidRDefault="00430EAD" w:rsidP="00430EAD">
      <w:pPr>
        <w:pStyle w:val="NormalWeb"/>
        <w:jc w:val="center"/>
        <w:rPr>
          <w:rFonts w:ascii="Calibri" w:hAnsi="Calibri" w:cs="Arial"/>
          <w:bCs/>
          <w:i/>
          <w:sz w:val="22"/>
          <w:szCs w:val="22"/>
          <w:lang w:val="es-ES_tradnl"/>
        </w:rPr>
      </w:pPr>
      <w:proofErr w:type="spellStart"/>
      <w:r w:rsidRPr="00CB3387">
        <w:rPr>
          <w:rFonts w:ascii="Calibri" w:hAnsi="Calibri" w:cs="Arial"/>
          <w:bCs/>
          <w:i/>
          <w:sz w:val="22"/>
          <w:szCs w:val="22"/>
          <w:lang w:val="es-ES_tradnl"/>
        </w:rPr>
        <w:t>Work</w:t>
      </w:r>
      <w:proofErr w:type="spellEnd"/>
      <w:r w:rsidRPr="00CB3387">
        <w:rPr>
          <w:rFonts w:ascii="Calibri" w:hAnsi="Calibri" w:cs="Arial"/>
          <w:bCs/>
          <w:i/>
          <w:sz w:val="22"/>
          <w:szCs w:val="22"/>
          <w:lang w:val="es-ES_tradnl"/>
        </w:rPr>
        <w:t>-in-</w:t>
      </w:r>
      <w:proofErr w:type="spellStart"/>
      <w:r w:rsidRPr="00CB3387">
        <w:rPr>
          <w:rFonts w:ascii="Calibri" w:hAnsi="Calibri" w:cs="Arial"/>
          <w:bCs/>
          <w:i/>
          <w:sz w:val="22"/>
          <w:szCs w:val="22"/>
          <w:lang w:val="es-ES_tradnl"/>
        </w:rPr>
        <w:t>progress</w:t>
      </w:r>
      <w:proofErr w:type="spellEnd"/>
      <w:r w:rsidRPr="00CB3387">
        <w:rPr>
          <w:rFonts w:ascii="Calibri" w:hAnsi="Calibri" w:cs="Arial"/>
          <w:bCs/>
          <w:i/>
          <w:sz w:val="22"/>
          <w:szCs w:val="22"/>
          <w:lang w:val="es-ES_tradnl"/>
        </w:rPr>
        <w:t>. Por favor, no citar sin permiso de los autores</w:t>
      </w:r>
    </w:p>
    <w:p w:rsidR="00430EAD" w:rsidRDefault="00430EAD">
      <w:pPr>
        <w:pStyle w:val="Textodecuerpo"/>
        <w:rPr>
          <w:rFonts w:ascii="Arial Narrow" w:hAnsi="Arial Narrow" w:cs="Arial Narrow"/>
          <w:b/>
          <w:bCs/>
        </w:rPr>
      </w:pPr>
    </w:p>
    <w:p w:rsidR="003E2C2C" w:rsidRDefault="00430EAD">
      <w:pPr>
        <w:pStyle w:val="Textodecuerpo"/>
        <w:rPr>
          <w:rFonts w:ascii="Arial Narrow" w:hAnsi="Arial Narrow" w:cs="Arial Narrow"/>
          <w:b/>
          <w:bCs/>
        </w:rPr>
      </w:pPr>
      <w:r>
        <w:rPr>
          <w:rFonts w:ascii="Arial Narrow" w:hAnsi="Arial Narrow" w:cs="Arial Narrow"/>
          <w:b/>
          <w:bCs/>
        </w:rPr>
        <w:br w:type="page"/>
      </w:r>
    </w:p>
    <w:p w:rsidR="003E2C2C" w:rsidRDefault="003E2C2C">
      <w:pPr>
        <w:pStyle w:val="Textodecuerpo"/>
        <w:rPr>
          <w:rFonts w:ascii="Arial Narrow" w:hAnsi="Arial Narrow" w:cs="Arial Narrow"/>
          <w:b/>
          <w:bCs/>
        </w:rPr>
      </w:pPr>
    </w:p>
    <w:p w:rsidR="003E2C2C" w:rsidRDefault="003E2C2C">
      <w:pPr>
        <w:pStyle w:val="Textodecuerpo"/>
        <w:rPr>
          <w:rFonts w:ascii="Arial Narrow" w:hAnsi="Arial Narrow" w:cs="Arial Narrow"/>
          <w:b/>
          <w:bCs/>
        </w:rPr>
      </w:pPr>
    </w:p>
    <w:p w:rsidR="003E2C2C" w:rsidRDefault="003E2C2C">
      <w:pPr>
        <w:pStyle w:val="Textodecuerpo"/>
        <w:rPr>
          <w:rFonts w:ascii="Arial Narrow" w:hAnsi="Arial Narrow" w:cs="Arial Narrow"/>
          <w:b/>
          <w:bCs/>
        </w:rPr>
      </w:pPr>
    </w:p>
    <w:p w:rsidR="003E2C2C" w:rsidRDefault="003E2C2C">
      <w:pPr>
        <w:pStyle w:val="Textodecuerpo"/>
        <w:rPr>
          <w:rFonts w:ascii="Arial Narrow" w:hAnsi="Arial Narrow" w:cs="Arial Narrow"/>
          <w:b/>
          <w:bCs/>
        </w:rPr>
      </w:pPr>
    </w:p>
    <w:p w:rsidR="00430EAD" w:rsidRDefault="00430EAD">
      <w:pPr>
        <w:pStyle w:val="Textodecuerpo"/>
        <w:rPr>
          <w:rFonts w:ascii="Arial Narrow" w:hAnsi="Arial Narrow" w:cs="Arial Narrow"/>
          <w:b/>
          <w:bCs/>
        </w:rPr>
      </w:pPr>
    </w:p>
    <w:p w:rsidR="00430EAD" w:rsidRDefault="00430EAD">
      <w:pPr>
        <w:pStyle w:val="Textodecuerpo"/>
        <w:rPr>
          <w:rFonts w:ascii="Arial Narrow" w:hAnsi="Arial Narrow" w:cs="Arial Narrow"/>
          <w:b/>
          <w:bCs/>
        </w:rPr>
      </w:pPr>
      <w:r>
        <w:rPr>
          <w:rFonts w:ascii="Arial Narrow" w:hAnsi="Arial Narrow" w:cs="Arial Narrow"/>
          <w:b/>
          <w:bCs/>
        </w:rPr>
        <w:t>Resumen</w:t>
      </w:r>
    </w:p>
    <w:p w:rsidR="00430EAD" w:rsidRDefault="00430EAD">
      <w:pPr>
        <w:pStyle w:val="Textodecuerpo"/>
        <w:rPr>
          <w:rFonts w:ascii="Arial Narrow" w:hAnsi="Arial Narrow" w:cs="Arial Narrow"/>
          <w:b/>
          <w:bCs/>
        </w:rPr>
      </w:pPr>
    </w:p>
    <w:p w:rsidR="00430EAD" w:rsidRPr="003E2C2C" w:rsidRDefault="00430EAD" w:rsidP="003E2C2C">
      <w:pPr>
        <w:pStyle w:val="IGOPtextbase"/>
        <w:rPr>
          <w:lang w:val="es-ES"/>
        </w:rPr>
      </w:pPr>
      <w:r>
        <w:rPr>
          <w:lang w:val="es-ES"/>
        </w:rPr>
        <w:t>Este artículo rescata los planteamientos conceptuales y las conclus</w:t>
      </w:r>
      <w:r w:rsidR="000C7067">
        <w:rPr>
          <w:lang w:val="es-ES"/>
        </w:rPr>
        <w:t>iones de una investigación cuyo</w:t>
      </w:r>
      <w:r>
        <w:rPr>
          <w:lang w:val="es-ES"/>
        </w:rPr>
        <w:t xml:space="preserve"> objetivo fue explorar </w:t>
      </w:r>
      <w:r w:rsidR="000C7067">
        <w:rPr>
          <w:lang w:val="es-ES"/>
        </w:rPr>
        <w:t>las</w:t>
      </w:r>
      <w:r>
        <w:rPr>
          <w:lang w:val="es-ES"/>
        </w:rPr>
        <w:t xml:space="preserve"> políticas urbanas en un marco de gobierno multinivel. A través del analisis de los casos de Madrid, Barcelona, Sevilla, Valencia, Bilbao, Murcia y Vigo en el período conformado entre 1979 y 2007 se realiza un balance de las políticas urbanas en sus debilidades, amenazas, fortalezas y oportunidades, al tiempo que se enmarcan en la evolución y transformación de las políticas urbanas de los países occidentales en los últimos treinta años. En el análisis se constatan los límites que implica una concepción estrictamente urbanística, estrechamente institucional y solamente local frente a la complejidad de los retos que el cambio de época plantea.</w:t>
      </w:r>
    </w:p>
    <w:p w:rsidR="00430EAD" w:rsidRPr="003E2C2C" w:rsidRDefault="00430EAD" w:rsidP="003E2C2C">
      <w:pPr>
        <w:pStyle w:val="IGOPtextbase"/>
        <w:rPr>
          <w:lang w:val="es-ES"/>
        </w:rPr>
      </w:pPr>
    </w:p>
    <w:p w:rsidR="003E2C2C" w:rsidRDefault="00430EAD">
      <w:pPr>
        <w:pStyle w:val="Textodecuerpo"/>
        <w:rPr>
          <w:rFonts w:ascii="Arial Narrow" w:hAnsi="Arial Narrow" w:cs="Arial Narrow"/>
          <w:bCs/>
        </w:rPr>
      </w:pPr>
      <w:r>
        <w:rPr>
          <w:rFonts w:ascii="Arial Narrow" w:hAnsi="Arial Narrow" w:cs="Arial Narrow"/>
          <w:b/>
          <w:bCs/>
        </w:rPr>
        <w:t xml:space="preserve">Palabras Clave: </w:t>
      </w:r>
      <w:r w:rsidRPr="00430EAD">
        <w:rPr>
          <w:rFonts w:ascii="Arial Narrow" w:hAnsi="Arial Narrow" w:cs="Arial Narrow"/>
          <w:bCs/>
        </w:rPr>
        <w:t>políticas urbanas</w:t>
      </w:r>
      <w:r>
        <w:rPr>
          <w:rFonts w:ascii="Arial Narrow" w:hAnsi="Arial Narrow" w:cs="Arial Narrow"/>
          <w:bCs/>
        </w:rPr>
        <w:t>, ciudades, gobernanza</w:t>
      </w:r>
      <w:r w:rsidR="003E2C2C">
        <w:rPr>
          <w:rFonts w:ascii="Arial Narrow" w:hAnsi="Arial Narrow" w:cs="Arial Narrow"/>
          <w:bCs/>
        </w:rPr>
        <w:t xml:space="preserve"> urbana, gobierno multinivel</w:t>
      </w:r>
    </w:p>
    <w:p w:rsidR="00430EAD" w:rsidRDefault="003E2C2C">
      <w:pPr>
        <w:pStyle w:val="Textodecuerpo"/>
        <w:rPr>
          <w:rFonts w:ascii="Arial Narrow" w:hAnsi="Arial Narrow" w:cs="Arial Narrow"/>
          <w:b/>
          <w:bCs/>
        </w:rPr>
      </w:pPr>
      <w:r>
        <w:rPr>
          <w:rFonts w:ascii="Arial Narrow" w:hAnsi="Arial Narrow" w:cs="Arial Narrow"/>
          <w:bCs/>
        </w:rPr>
        <w:br w:type="page"/>
      </w:r>
    </w:p>
    <w:p w:rsidR="00430EAD" w:rsidRDefault="00430EAD">
      <w:pPr>
        <w:pStyle w:val="Textodecuerpo"/>
        <w:rPr>
          <w:rFonts w:ascii="Arial Narrow" w:hAnsi="Arial Narrow" w:cs="Arial Narrow"/>
          <w:b/>
          <w:bCs/>
        </w:rPr>
      </w:pPr>
    </w:p>
    <w:p w:rsidR="00430EAD" w:rsidRDefault="00430EAD">
      <w:pPr>
        <w:pStyle w:val="Textodecuerpo"/>
        <w:rPr>
          <w:rFonts w:ascii="Arial Narrow" w:hAnsi="Arial Narrow" w:cs="Arial Narrow"/>
          <w:b/>
          <w:bCs/>
        </w:rPr>
      </w:pPr>
    </w:p>
    <w:p w:rsidR="003E0EE6" w:rsidRPr="009E1249" w:rsidRDefault="000C7067" w:rsidP="009E1249">
      <w:pPr>
        <w:pStyle w:val="IGOP1"/>
      </w:pPr>
      <w:r w:rsidRPr="009E1249">
        <w:t>Introducción</w:t>
      </w:r>
      <w:r w:rsidR="003E0EE6" w:rsidRPr="009E1249">
        <w:t xml:space="preserve"> </w:t>
      </w:r>
    </w:p>
    <w:p w:rsidR="003E0EE6" w:rsidRDefault="003E0EE6">
      <w:pPr>
        <w:pStyle w:val="IGOPtextbase"/>
        <w:rPr>
          <w:lang w:val="es-ES"/>
        </w:rPr>
      </w:pPr>
      <w:r>
        <w:rPr>
          <w:lang w:val="es-ES"/>
        </w:rPr>
        <w:t>El principal objetivo de la investigación ha sido analizar el desarrollo de las políticas urbanas en España y enmarcarlas en el cuadro más general de la evolución y transformación de las políticas urbanas en los países occidentales en los últimos treinta años, periodo que coincide con los treinta años de gobiernos locales democráticos en España.</w:t>
      </w:r>
    </w:p>
    <w:p w:rsidR="003E0EE6" w:rsidRDefault="003E0EE6">
      <w:pPr>
        <w:pStyle w:val="IGOPtextbase"/>
        <w:rPr>
          <w:lang w:val="es-ES"/>
        </w:rPr>
      </w:pPr>
      <w:r>
        <w:rPr>
          <w:lang w:val="es-ES"/>
        </w:rPr>
        <w:t>La España pre democrática y las ciudades de entonces tenían poco que ver con la realidad actual. De la seguridad sobre lo que era necesario hacer (todo lo que el franquismo no había hecho), se ha llegado a un punto en el que hace falta repensar el papel de los gobiernos locales en esta España del siglo XXI. En la década de los 80, las políticas urbanas se centraron básicamente en actuaciones de construcción de infraestructuras y servicios, y en reordenación de los usos del suelo. Destaca en ese periodo, por su fuerza expansiva como modelo de desarrollo urbano, el caso de Barcelona, que a caballo de la organización de los Juegos Olímpicos de 1992, transforma la ciudad, recupera déficits y logra articular la inversión privada en un liderazgo público innegable. Las políticas urbanas entonces, estaban pensadas en clave de recuperación del desorden del desarrollismo franquista y en clave de superación de la parálisis en infraestructuras y servicios públicos esenciales, pero al mismo tiempo fueron impulsadas en clave de desarrollo económico local, dadas las cifras de paro existentes en aquellos momentos. La década posterior, la de los 90, se caracteriza por unas políticas urbanas más situadas en las dinámicas de creación de infraestructuras culturales y educativas como formas de cambio urbano, regeneración de cascos antiguos y la incorporación de visiones gerencialistas en la implementación de las políticas, con procesos contradictorios (desde el punto de vista del liderazgo) de partenariado con inversores privados, y de utilización de los fondos europeos.</w:t>
      </w:r>
    </w:p>
    <w:p w:rsidR="003E0EE6" w:rsidRDefault="003E0EE6">
      <w:pPr>
        <w:pStyle w:val="IGOPtextbase"/>
        <w:rPr>
          <w:lang w:val="es-ES"/>
        </w:rPr>
      </w:pPr>
      <w:r>
        <w:rPr>
          <w:lang w:val="es-ES"/>
        </w:rPr>
        <w:t>La década actual, se ha caracterizado por grandes procesos de crecimiento poblacional en las ciudades grandes y medias, y por el despliegue territorial de lo urbano, con procesos de dispersión urbana que en determinadas zonas del país han tenido efectos muy significativos y probablemente irreversibles. Los impactos ambientales de las ciudades y de su crecimiento son ya evidentes, y crece la preocupación por la sostenibilidad de nuestras ciudades. Han entrado en crisis asimismo, las políticas de vivienda exclusivamente centradas en la promoción privada, las desgravaciones fiscales y en la promoción de la vivienda de propiedad. Las carencias son ahora evidentes, sobre todo en ciertas franjas de edad y en ciertos sectores sociales. Es en estos años cuando más se han puesto de manifiesto las limitaciones y carencias de unas políticas urbanas que si sólo trabajan desde la gestión del suelo, de los espacios y de la construcción, no logran responder a las exigencias y complejidades actuales.</w:t>
      </w:r>
    </w:p>
    <w:p w:rsidR="003E0EE6" w:rsidRDefault="003E0EE6">
      <w:pPr>
        <w:pStyle w:val="IGOPtextbase"/>
        <w:rPr>
          <w:lang w:val="es-ES"/>
        </w:rPr>
      </w:pPr>
      <w:r>
        <w:rPr>
          <w:lang w:val="es-ES"/>
        </w:rPr>
        <w:t>Por otro lado, los grandes cambios sociales obligan a transformar las políticas públicas en general y las locales en particular. El bienestar hoy va pasando de ser una reivindicación global para convertirse cada vez más en una demanda personal comunitaria, articulada alrededor de la vida cotidiana y en los espacios de proximidad. Los problemas y las expectativas vividas a través de las organizaciones sociales primarias requieren soluciones concretas, pero sobre todo soluciones de proximidad. Cada vez se hace más difícil desde ámbitos centrales de gobierno dar respuestas universales y de calidad a las demandas de una población menos indiferenciada, más consciente de sus necesidades específicas. Y esto hace que el foco de tensión se traslade hacia niveles más próximos al ciudadano, asumiendo así los gobiernos y servicios descentralizados una nueva dimensión como distribuidores de bienestar comunitario, pasando de una concepción en la que el bienestar era entendido como una seguridad en el mantenimiento de los derechos sociales para toda la población (universalismo-redistribución), a ser entendido como una nueva forma de ver las relaciones sociales de manera integradora y solidaria (especificidad-participación).</w:t>
      </w:r>
    </w:p>
    <w:p w:rsidR="003E0EE6" w:rsidRDefault="003E0EE6">
      <w:pPr>
        <w:pStyle w:val="IGOPtextbase"/>
        <w:rPr>
          <w:lang w:val="es-ES"/>
        </w:rPr>
      </w:pPr>
      <w:r>
        <w:rPr>
          <w:lang w:val="es-ES"/>
        </w:rPr>
        <w:t xml:space="preserve">Este marco histórico y teórico se ha concretado en un análisis de las políticas urbanas desarrolladas en siete grandes ciudades y áreas urbanas españolas: Madrid, Barcelona, Sevilla, Valencia, Murcia, Bilbao y Vigo. La selección de estos siete casos se ha basado en los siguientes criterios: por ser las áreas metropolitanas de mayor tamaño en España y, por lo tanto, donde más impacto han tenido las transformaciones socioeconómicas, por su grado de desarrollo socio-económico y la base de su estructura económica y productiva, por la diversidad de las trayectorias política-ideológicas, y por el tipo de “regímenes locales de bienestar” de cada ciudad. </w:t>
      </w:r>
    </w:p>
    <w:p w:rsidR="000C6510" w:rsidRDefault="003E0EE6">
      <w:pPr>
        <w:pStyle w:val="IGOPtextbase"/>
        <w:rPr>
          <w:lang w:val="es-ES"/>
        </w:rPr>
      </w:pPr>
      <w:r>
        <w:rPr>
          <w:lang w:val="es-ES"/>
        </w:rPr>
        <w:t>Partiendo de un mismo marco analítico y una caracterización de cuatro etapas cronológicas comunes para los siete casos</w:t>
      </w:r>
      <w:r w:rsidR="009E1249">
        <w:rPr>
          <w:lang w:val="es-ES"/>
        </w:rPr>
        <w:t xml:space="preserve"> (ver tabla 1)</w:t>
      </w:r>
      <w:r>
        <w:rPr>
          <w:lang w:val="es-ES"/>
        </w:rPr>
        <w:t xml:space="preserve">, se desarrolla una evaluación de las diferentes políticas detectadas identificando variables relacionadas con la gobernanza urbana (público-gobierno, familias; mercado; comunitario – sociedad civil), el peso de los ámbitos de las políticas de cada etapa (servicios a las personas; económico; urbanístico; ambiental) y el protagonismo de las instituciones y los niveles administrativos (local; autonómico; estatal; europeo) </w:t>
      </w:r>
      <w:r w:rsidR="000C6510">
        <w:rPr>
          <w:lang w:val="es-ES"/>
        </w:rPr>
        <w:t>.</w:t>
      </w:r>
    </w:p>
    <w:p w:rsidR="003E0EE6" w:rsidRDefault="003E0EE6">
      <w:pPr>
        <w:pStyle w:val="IGOPtextbase"/>
        <w:rPr>
          <w:lang w:val="es-ES"/>
        </w:rPr>
      </w:pPr>
    </w:p>
    <w:p w:rsidR="003E0EE6" w:rsidRDefault="000C7067">
      <w:pPr>
        <w:pStyle w:val="IGOP1"/>
      </w:pPr>
      <w:r>
        <w:t>Siete ciudades en cuatro etapas</w:t>
      </w:r>
    </w:p>
    <w:p w:rsidR="003E0EE6" w:rsidRDefault="003E0EE6">
      <w:pPr>
        <w:pStyle w:val="IGOPtextbase"/>
        <w:rPr>
          <w:rStyle w:val="apple-style-span"/>
          <w:b/>
          <w:bCs/>
          <w:kern w:val="32"/>
          <w:sz w:val="32"/>
          <w:szCs w:val="32"/>
        </w:rPr>
      </w:pPr>
      <w:r>
        <w:rPr>
          <w:rStyle w:val="apple-style-span"/>
          <w:color w:val="000000"/>
        </w:rPr>
        <w:t xml:space="preserve">¿Qué conclusiones sacar del </w:t>
      </w:r>
      <w:r w:rsidR="009E1249">
        <w:rPr>
          <w:rStyle w:val="apple-style-span"/>
          <w:color w:val="000000"/>
        </w:rPr>
        <w:t>análisis de las políticas urbana</w:t>
      </w:r>
      <w:r>
        <w:rPr>
          <w:rStyle w:val="apple-style-span"/>
          <w:color w:val="000000"/>
        </w:rPr>
        <w:t>s de la transición y de la democracia en este conjunto signi</w:t>
      </w:r>
      <w:r w:rsidR="009E1249">
        <w:rPr>
          <w:rStyle w:val="apple-style-span"/>
          <w:color w:val="000000"/>
        </w:rPr>
        <w:t>ficativo de ciudades españolas?</w:t>
      </w:r>
      <w:r>
        <w:rPr>
          <w:rStyle w:val="apple-style-span"/>
          <w:color w:val="000000"/>
        </w:rPr>
        <w:t xml:space="preserve"> El objetivo de este apartado es precisamente el de integrar analíticamente la información recogida de cada una de las siete ciudades analizadas para posteriormente exponer las conclusiones finales. </w:t>
      </w:r>
    </w:p>
    <w:p w:rsidR="003E0EE6" w:rsidRDefault="003E0EE6">
      <w:pPr>
        <w:pStyle w:val="IGOPtextbase"/>
      </w:pPr>
      <w:r>
        <w:rPr>
          <w:rStyle w:val="apple-style-span"/>
          <w:color w:val="000000"/>
        </w:rPr>
        <w:t xml:space="preserve">Procederemos partiendo  de una tabla resumen donde se comparan aquellos parámetros identificativos de cada política urbana, se especifican las similitudes y diferencias detectadas en el conjunto de ciudades. Ello nos permitirá analizar cada etapa de las consideradas en el planteamiento inicial, extrayendo puntos en los que existe una convergencia y elementos distintivos, permitiendo así </w:t>
      </w:r>
      <w:r>
        <w:t>una adecuada contextualización y descripción precisa de los resultados.</w:t>
      </w:r>
    </w:p>
    <w:p w:rsidR="003E0EE6" w:rsidRDefault="003E0EE6">
      <w:pPr>
        <w:pStyle w:val="IGOPtextbase"/>
        <w:rPr>
          <w:color w:val="FF0000"/>
        </w:rPr>
      </w:pPr>
      <w:r>
        <w:t>Por último, se exponen las conclusiones de la investigación a partir de los resultados del análisis comparativo de las políticas identificadas en las siete ciudades estudiadas.</w:t>
      </w:r>
    </w:p>
    <w:p w:rsidR="003E0EE6" w:rsidRDefault="003E0EE6">
      <w:pPr>
        <w:pStyle w:val="IGOPtextbase"/>
      </w:pPr>
    </w:p>
    <w:p w:rsidR="003E0EE6" w:rsidRDefault="003E0EE6">
      <w:pPr>
        <w:pStyle w:val="IGOPtextbase"/>
      </w:pPr>
    </w:p>
    <w:p w:rsidR="003E0EE6" w:rsidRDefault="003E0EE6">
      <w:pPr>
        <w:pStyle w:val="IGOP1"/>
        <w:numPr>
          <w:ilvl w:val="0"/>
          <w:numId w:val="0"/>
        </w:numPr>
        <w:ind w:left="360" w:hanging="360"/>
        <w:sectPr w:rsidR="003E0EE6">
          <w:footerReference w:type="default" r:id="rId11"/>
          <w:pgSz w:w="11906" w:h="16838"/>
          <w:pgMar w:top="2268" w:right="1701" w:bottom="1418" w:left="1701" w:header="709" w:footer="709" w:gutter="0"/>
          <w:cols w:space="708"/>
          <w:docGrid w:linePitch="360"/>
        </w:sectPr>
      </w:pPr>
    </w:p>
    <w:p w:rsidR="003E0EE6" w:rsidRDefault="003E0EE6">
      <w:pPr>
        <w:pStyle w:val="Epgrafe"/>
        <w:keepNext/>
      </w:pPr>
    </w:p>
    <w:p w:rsidR="003E0EE6" w:rsidRDefault="003E0EE6">
      <w:pPr>
        <w:pStyle w:val="Epgrafe"/>
        <w:keepNext/>
      </w:pPr>
    </w:p>
    <w:p w:rsidR="003E0EE6" w:rsidRDefault="003E0EE6">
      <w:pPr>
        <w:pStyle w:val="Epgrafe"/>
        <w:keepNext/>
      </w:pPr>
      <w:r>
        <w:t xml:space="preserve">Tabla </w:t>
      </w:r>
      <w:fldSimple w:instr=" SEQ Tabla \* ARABIC ">
        <w:r w:rsidR="009E1249">
          <w:rPr>
            <w:noProof/>
          </w:rPr>
          <w:t>1</w:t>
        </w:r>
      </w:fldSimple>
      <w:r>
        <w:t>. Etapas de las políticas urbanas de las siete ciudades analizadas</w:t>
      </w:r>
    </w:p>
    <w:tbl>
      <w:tblPr>
        <w:tblW w:w="0" w:type="auto"/>
        <w:tblInd w:w="-106" w:type="dxa"/>
        <w:tblLayout w:type="fixed"/>
        <w:tblLook w:val="0000"/>
      </w:tblPr>
      <w:tblGrid>
        <w:gridCol w:w="1365"/>
        <w:gridCol w:w="4091"/>
        <w:gridCol w:w="1528"/>
        <w:gridCol w:w="546"/>
        <w:gridCol w:w="273"/>
        <w:gridCol w:w="546"/>
        <w:gridCol w:w="546"/>
        <w:gridCol w:w="516"/>
        <w:gridCol w:w="389"/>
        <w:gridCol w:w="907"/>
      </w:tblGrid>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Barcelona</w:t>
            </w:r>
          </w:p>
        </w:tc>
        <w:tc>
          <w:tcPr>
            <w:tcW w:w="4091" w:type="dxa"/>
            <w:tcBorders>
              <w:top w:val="single" w:sz="4" w:space="0" w:color="FFFFFF"/>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347" w:type="dxa"/>
            <w:gridSpan w:val="3"/>
            <w:tcBorders>
              <w:top w:val="single" w:sz="4" w:space="0" w:color="FFFFFF"/>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80 - 92</w:t>
            </w:r>
          </w:p>
        </w:tc>
        <w:tc>
          <w:tcPr>
            <w:tcW w:w="1092" w:type="dxa"/>
            <w:gridSpan w:val="2"/>
            <w:tcBorders>
              <w:top w:val="single" w:sz="4" w:space="0" w:color="FFFFFF"/>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ETAPA 92 - 99</w:t>
            </w:r>
          </w:p>
        </w:tc>
        <w:tc>
          <w:tcPr>
            <w:tcW w:w="1812" w:type="dxa"/>
            <w:gridSpan w:val="3"/>
            <w:tcBorders>
              <w:top w:val="single" w:sz="4" w:space="0" w:color="FFFFFF"/>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99 - 07</w:t>
            </w:r>
          </w:p>
        </w:tc>
      </w:tr>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Bilbao</w:t>
            </w:r>
          </w:p>
        </w:tc>
        <w:tc>
          <w:tcPr>
            <w:tcW w:w="4091" w:type="dxa"/>
            <w:tcBorders>
              <w:top w:val="nil"/>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347" w:type="dxa"/>
            <w:gridSpan w:val="3"/>
            <w:tcBorders>
              <w:top w:val="nil"/>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80 - 92</w:t>
            </w:r>
          </w:p>
        </w:tc>
        <w:tc>
          <w:tcPr>
            <w:tcW w:w="1608" w:type="dxa"/>
            <w:gridSpan w:val="3"/>
            <w:tcBorders>
              <w:top w:val="nil"/>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ETAPA 92 - 00</w:t>
            </w:r>
          </w:p>
        </w:tc>
        <w:tc>
          <w:tcPr>
            <w:tcW w:w="1296" w:type="dxa"/>
            <w:gridSpan w:val="2"/>
            <w:tcBorders>
              <w:top w:val="nil"/>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00 - 07</w:t>
            </w:r>
          </w:p>
        </w:tc>
      </w:tr>
      <w:tr w:rsidR="003E0EE6">
        <w:trPr>
          <w:trHeight w:val="567"/>
        </w:trPr>
        <w:tc>
          <w:tcPr>
            <w:tcW w:w="1365" w:type="dxa"/>
            <w:tcBorders>
              <w:top w:val="nil"/>
              <w:left w:val="nil"/>
              <w:bottom w:val="nil"/>
              <w:right w:val="dashSmallGap" w:sz="4" w:space="0" w:color="auto"/>
            </w:tcBorders>
            <w:vAlign w:val="center"/>
          </w:tcPr>
          <w:p w:rsidR="003E0EE6" w:rsidRDefault="003E0EE6">
            <w:pPr>
              <w:rPr>
                <w:b/>
                <w:bCs/>
                <w:color w:val="000000"/>
              </w:rPr>
            </w:pPr>
            <w:r>
              <w:rPr>
                <w:b/>
                <w:bCs/>
                <w:color w:val="000000"/>
                <w:sz w:val="22"/>
                <w:szCs w:val="22"/>
              </w:rPr>
              <w:t>Madrid</w:t>
            </w:r>
          </w:p>
        </w:tc>
        <w:tc>
          <w:tcPr>
            <w:tcW w:w="4091" w:type="dxa"/>
            <w:tcBorders>
              <w:top w:val="single" w:sz="4" w:space="0" w:color="FFFFFF"/>
              <w:left w:val="dashSmallGap" w:sz="4" w:space="0" w:color="auto"/>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44 - 79</w:t>
            </w:r>
          </w:p>
        </w:tc>
        <w:tc>
          <w:tcPr>
            <w:tcW w:w="1528" w:type="dxa"/>
            <w:tcBorders>
              <w:top w:val="nil"/>
              <w:left w:val="nil"/>
              <w:bottom w:val="single" w:sz="4" w:space="0" w:color="FFFFFF"/>
              <w:right w:val="nil"/>
            </w:tcBorders>
            <w:shd w:val="clear" w:color="000000" w:fill="D9D9D9" w:themeFill="background1" w:themeFillShade="D9"/>
            <w:vAlign w:val="center"/>
          </w:tcPr>
          <w:p w:rsidR="003E0EE6" w:rsidRDefault="003E0EE6" w:rsidP="00823429">
            <w:pPr>
              <w:rPr>
                <w:b/>
                <w:bCs/>
                <w:color w:val="000000"/>
                <w:sz w:val="14"/>
                <w:szCs w:val="14"/>
              </w:rPr>
            </w:pPr>
            <w:r>
              <w:rPr>
                <w:b/>
                <w:bCs/>
                <w:color w:val="000000"/>
                <w:sz w:val="14"/>
                <w:szCs w:val="14"/>
              </w:rPr>
              <w:t>ETAPA 89 - 03</w:t>
            </w:r>
          </w:p>
        </w:tc>
        <w:tc>
          <w:tcPr>
            <w:tcW w:w="2816" w:type="dxa"/>
            <w:gridSpan w:val="6"/>
            <w:tcBorders>
              <w:top w:val="nil"/>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ETAPA 89 - 03</w:t>
            </w:r>
          </w:p>
        </w:tc>
        <w:tc>
          <w:tcPr>
            <w:tcW w:w="907" w:type="dxa"/>
            <w:tcBorders>
              <w:top w:val="single" w:sz="4" w:space="0" w:color="FFFFFF"/>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03 - 07</w:t>
            </w:r>
          </w:p>
        </w:tc>
      </w:tr>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Murcia</w:t>
            </w:r>
          </w:p>
        </w:tc>
        <w:tc>
          <w:tcPr>
            <w:tcW w:w="4091" w:type="dxa"/>
            <w:tcBorders>
              <w:top w:val="nil"/>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893" w:type="dxa"/>
            <w:gridSpan w:val="4"/>
            <w:tcBorders>
              <w:top w:val="nil"/>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79 - 95</w:t>
            </w:r>
          </w:p>
        </w:tc>
        <w:tc>
          <w:tcPr>
            <w:tcW w:w="546" w:type="dxa"/>
            <w:tcBorders>
              <w:top w:val="single" w:sz="4" w:space="0" w:color="FFFFFF"/>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95-99</w:t>
            </w:r>
          </w:p>
        </w:tc>
        <w:tc>
          <w:tcPr>
            <w:tcW w:w="1812" w:type="dxa"/>
            <w:gridSpan w:val="3"/>
            <w:tcBorders>
              <w:top w:val="nil"/>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99 - 07</w:t>
            </w:r>
          </w:p>
        </w:tc>
      </w:tr>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Sevilla</w:t>
            </w:r>
          </w:p>
        </w:tc>
        <w:tc>
          <w:tcPr>
            <w:tcW w:w="4091" w:type="dxa"/>
            <w:tcBorders>
              <w:top w:val="nil"/>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347" w:type="dxa"/>
            <w:gridSpan w:val="3"/>
            <w:tcBorders>
              <w:top w:val="nil"/>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79 - 92</w:t>
            </w:r>
          </w:p>
        </w:tc>
        <w:tc>
          <w:tcPr>
            <w:tcW w:w="1092" w:type="dxa"/>
            <w:gridSpan w:val="2"/>
            <w:tcBorders>
              <w:top w:val="single" w:sz="4" w:space="0" w:color="FFFFFF"/>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ETAPA 92 -99</w:t>
            </w:r>
          </w:p>
        </w:tc>
        <w:tc>
          <w:tcPr>
            <w:tcW w:w="1812" w:type="dxa"/>
            <w:gridSpan w:val="3"/>
            <w:tcBorders>
              <w:top w:val="nil"/>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99 - 07</w:t>
            </w:r>
          </w:p>
        </w:tc>
      </w:tr>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Valencia</w:t>
            </w:r>
          </w:p>
        </w:tc>
        <w:tc>
          <w:tcPr>
            <w:tcW w:w="4091" w:type="dxa"/>
            <w:tcBorders>
              <w:top w:val="nil"/>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074" w:type="dxa"/>
            <w:gridSpan w:val="2"/>
            <w:tcBorders>
              <w:top w:val="nil"/>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79 - 91</w:t>
            </w:r>
          </w:p>
        </w:tc>
        <w:tc>
          <w:tcPr>
            <w:tcW w:w="819" w:type="dxa"/>
            <w:gridSpan w:val="2"/>
            <w:tcBorders>
              <w:top w:val="single" w:sz="4" w:space="0" w:color="FFFFFF"/>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91 - 95</w:t>
            </w:r>
          </w:p>
        </w:tc>
        <w:tc>
          <w:tcPr>
            <w:tcW w:w="2358" w:type="dxa"/>
            <w:gridSpan w:val="4"/>
            <w:tcBorders>
              <w:top w:val="nil"/>
              <w:left w:val="nil"/>
              <w:bottom w:val="single" w:sz="4" w:space="0" w:color="FFFFFF"/>
              <w:right w:val="nil"/>
            </w:tcBorders>
            <w:shd w:val="clear" w:color="000000" w:fill="4A442A" w:themeFill="background2" w:themeFillShade="40"/>
            <w:vAlign w:val="center"/>
          </w:tcPr>
          <w:p w:rsidR="003E0EE6" w:rsidRPr="00823429" w:rsidRDefault="003E0EE6" w:rsidP="00823429">
            <w:pPr>
              <w:jc w:val="center"/>
              <w:rPr>
                <w:b/>
                <w:bCs/>
                <w:color w:val="FFFFFF" w:themeColor="background1"/>
                <w:sz w:val="14"/>
                <w:szCs w:val="14"/>
              </w:rPr>
            </w:pPr>
            <w:r w:rsidRPr="00823429">
              <w:rPr>
                <w:b/>
                <w:bCs/>
                <w:color w:val="FFFFFF" w:themeColor="background1"/>
                <w:sz w:val="14"/>
                <w:szCs w:val="14"/>
              </w:rPr>
              <w:t>ETAPA 95 - 07</w:t>
            </w:r>
          </w:p>
          <w:p w:rsidR="003E0EE6" w:rsidRPr="00823429" w:rsidRDefault="003E0EE6">
            <w:pPr>
              <w:jc w:val="center"/>
              <w:rPr>
                <w:b/>
                <w:bCs/>
                <w:color w:val="FFFFFF" w:themeColor="background1"/>
                <w:sz w:val="14"/>
                <w:szCs w:val="14"/>
              </w:rPr>
            </w:pPr>
          </w:p>
        </w:tc>
      </w:tr>
      <w:tr w:rsidR="003E0EE6">
        <w:trPr>
          <w:trHeight w:val="567"/>
        </w:trPr>
        <w:tc>
          <w:tcPr>
            <w:tcW w:w="1365" w:type="dxa"/>
            <w:tcBorders>
              <w:top w:val="nil"/>
              <w:left w:val="nil"/>
              <w:bottom w:val="nil"/>
              <w:right w:val="nil"/>
            </w:tcBorders>
            <w:vAlign w:val="center"/>
          </w:tcPr>
          <w:p w:rsidR="003E0EE6" w:rsidRDefault="003E0EE6">
            <w:pPr>
              <w:rPr>
                <w:b/>
                <w:bCs/>
                <w:color w:val="000000"/>
              </w:rPr>
            </w:pPr>
            <w:r>
              <w:rPr>
                <w:b/>
                <w:bCs/>
                <w:color w:val="000000"/>
                <w:sz w:val="22"/>
                <w:szCs w:val="22"/>
              </w:rPr>
              <w:t>Vigo</w:t>
            </w:r>
          </w:p>
        </w:tc>
        <w:tc>
          <w:tcPr>
            <w:tcW w:w="4091" w:type="dxa"/>
            <w:tcBorders>
              <w:top w:val="nil"/>
              <w:left w:val="nil"/>
              <w:bottom w:val="single" w:sz="4" w:space="0" w:color="FFFFFF"/>
              <w:right w:val="nil"/>
            </w:tcBorders>
            <w:shd w:val="clear" w:color="000000" w:fill="F2F2F2" w:themeFill="background1" w:themeFillShade="F2"/>
            <w:vAlign w:val="center"/>
          </w:tcPr>
          <w:p w:rsidR="003E0EE6" w:rsidRDefault="003E0EE6">
            <w:pPr>
              <w:jc w:val="center"/>
              <w:rPr>
                <w:b/>
                <w:bCs/>
                <w:color w:val="000000"/>
                <w:sz w:val="14"/>
                <w:szCs w:val="14"/>
              </w:rPr>
            </w:pPr>
            <w:r>
              <w:rPr>
                <w:b/>
                <w:bCs/>
                <w:color w:val="000000"/>
                <w:sz w:val="14"/>
                <w:szCs w:val="14"/>
              </w:rPr>
              <w:t>ETAPA 59 - 79</w:t>
            </w:r>
          </w:p>
        </w:tc>
        <w:tc>
          <w:tcPr>
            <w:tcW w:w="2347" w:type="dxa"/>
            <w:gridSpan w:val="3"/>
            <w:tcBorders>
              <w:top w:val="nil"/>
              <w:left w:val="nil"/>
              <w:bottom w:val="single" w:sz="4" w:space="0" w:color="FFFFFF"/>
              <w:right w:val="nil"/>
            </w:tcBorders>
            <w:shd w:val="clear" w:color="000000" w:fill="D9D9D9" w:themeFill="background1" w:themeFillShade="D9"/>
            <w:vAlign w:val="center"/>
          </w:tcPr>
          <w:p w:rsidR="003E0EE6" w:rsidRDefault="003E0EE6">
            <w:pPr>
              <w:jc w:val="center"/>
              <w:rPr>
                <w:b/>
                <w:bCs/>
                <w:color w:val="000000"/>
                <w:sz w:val="14"/>
                <w:szCs w:val="14"/>
              </w:rPr>
            </w:pPr>
            <w:r>
              <w:rPr>
                <w:b/>
                <w:bCs/>
                <w:color w:val="000000"/>
                <w:sz w:val="14"/>
                <w:szCs w:val="14"/>
              </w:rPr>
              <w:t>ETAPA 79 - 92</w:t>
            </w:r>
          </w:p>
        </w:tc>
        <w:tc>
          <w:tcPr>
            <w:tcW w:w="1092" w:type="dxa"/>
            <w:gridSpan w:val="2"/>
            <w:tcBorders>
              <w:top w:val="single" w:sz="4" w:space="0" w:color="FFFFFF"/>
              <w:left w:val="nil"/>
              <w:bottom w:val="single" w:sz="4" w:space="0" w:color="FFFFFF"/>
              <w:right w:val="nil"/>
            </w:tcBorders>
            <w:shd w:val="clear" w:color="000000" w:fill="C0C0C0"/>
            <w:vAlign w:val="center"/>
          </w:tcPr>
          <w:p w:rsidR="003E0EE6" w:rsidRDefault="003E0EE6">
            <w:pPr>
              <w:jc w:val="center"/>
              <w:rPr>
                <w:b/>
                <w:bCs/>
                <w:color w:val="000000"/>
                <w:sz w:val="14"/>
                <w:szCs w:val="14"/>
              </w:rPr>
            </w:pPr>
            <w:r>
              <w:rPr>
                <w:b/>
                <w:bCs/>
                <w:color w:val="000000"/>
                <w:sz w:val="14"/>
                <w:szCs w:val="14"/>
              </w:rPr>
              <w:t>ETAPA 92 - 99</w:t>
            </w:r>
          </w:p>
        </w:tc>
        <w:tc>
          <w:tcPr>
            <w:tcW w:w="1812" w:type="dxa"/>
            <w:gridSpan w:val="3"/>
            <w:tcBorders>
              <w:top w:val="nil"/>
              <w:left w:val="nil"/>
              <w:bottom w:val="single" w:sz="4" w:space="0" w:color="FFFFFF"/>
              <w:right w:val="nil"/>
            </w:tcBorders>
            <w:shd w:val="clear" w:color="000000" w:fill="4A442A" w:themeFill="background2" w:themeFillShade="40"/>
            <w:vAlign w:val="center"/>
          </w:tcPr>
          <w:p w:rsidR="003E0EE6" w:rsidRPr="00823429" w:rsidRDefault="003E0EE6">
            <w:pPr>
              <w:jc w:val="center"/>
              <w:rPr>
                <w:b/>
                <w:bCs/>
                <w:color w:val="FFFFFF" w:themeColor="background1"/>
                <w:sz w:val="14"/>
                <w:szCs w:val="14"/>
              </w:rPr>
            </w:pPr>
            <w:r w:rsidRPr="00823429">
              <w:rPr>
                <w:b/>
                <w:bCs/>
                <w:color w:val="FFFFFF" w:themeColor="background1"/>
                <w:sz w:val="14"/>
                <w:szCs w:val="14"/>
              </w:rPr>
              <w:t>ETAPA 99 - 07</w:t>
            </w:r>
          </w:p>
        </w:tc>
      </w:tr>
    </w:tbl>
    <w:p w:rsidR="003E0EE6" w:rsidRDefault="003E0EE6">
      <w:pPr>
        <w:pStyle w:val="IGOP11"/>
        <w:sectPr w:rsidR="003E0EE6">
          <w:pgSz w:w="16838" w:h="11906" w:orient="landscape"/>
          <w:pgMar w:top="1701" w:right="1418" w:bottom="1701" w:left="2268" w:header="709" w:footer="709" w:gutter="0"/>
          <w:cols w:space="708"/>
          <w:docGrid w:linePitch="360"/>
        </w:sectPr>
      </w:pPr>
    </w:p>
    <w:p w:rsidR="003E0EE6" w:rsidRDefault="009E1249">
      <w:pPr>
        <w:pStyle w:val="IGOP11"/>
      </w:pPr>
      <w:r>
        <w:t>Primera e</w:t>
      </w:r>
      <w:r w:rsidR="003E0EE6">
        <w:t xml:space="preserve">tapa </w:t>
      </w:r>
    </w:p>
    <w:p w:rsidR="003E0EE6" w:rsidRDefault="003E0EE6">
      <w:pPr>
        <w:pStyle w:val="IGOPtextbase"/>
      </w:pPr>
      <w:r>
        <w:t>Esta primera etapa discurre entre las décadas de los sesenta y setenta, es decir, desde los inicios del período de desarrollismo económico del régimen franquista, marcada primero con el Plan de Estabilización y después con los Planes de Desarrollo, hasta la recuperación de la democracia. Aún así, a lo largo de estas dos décadas se pueden diferenciar dos etapas marcadas por una incipiente crisis económica que terminaría afectando de manera gradual a la economía española hasta bien entrados los ochenta; especialmente en aquellos centros industriales que no supieron especializarse. Hasta entonces, las ciudades españolas estuvieron condicionadas por las políticas que relacionaban directamente</w:t>
      </w:r>
      <w:r w:rsidR="009E1249">
        <w:t xml:space="preserve"> desarrollo e industrialización</w:t>
      </w:r>
      <w:r>
        <w:t xml:space="preserve"> y que fueron siendo impulsadas por el régimen franquista desde finales de los años cincuenta. Como es bien sabido, tales medidas económicas tuvieron un gran impacto urbanístico y  demográfico,  que sin duda terminarían transformando la estructura urbana y social de las grandes ciudades españolas. </w:t>
      </w:r>
    </w:p>
    <w:p w:rsidR="003E0EE6" w:rsidRDefault="003E0EE6">
      <w:pPr>
        <w:pStyle w:val="IGOPtextbase"/>
      </w:pPr>
      <w:r>
        <w:t>Lógicamente, las consecuencias de estas dinámica</w:t>
      </w:r>
      <w:r w:rsidR="009E1249">
        <w:t>s de  desarrollismo económico y</w:t>
      </w:r>
      <w:r>
        <w:t xml:space="preserve"> la consiguiente consolidación de los centros industriales, se basaron y a</w:t>
      </w:r>
      <w:r w:rsidR="009E1249">
        <w:t>l mismo tiempo incentivaron</w:t>
      </w:r>
      <w:r>
        <w:t xml:space="preserve"> los movimientos campo – ciudad iniciados en años anteriores, con la consiguiente multiplicación de  la población de las grandes ciudades españolas. En muchas ciudades se aprueban planes que ejecutan proyectos e infraestructuras que expanden la ciudad y terminan cambiando su estructura funcional. Suponen asimismo el inicio de un cierto nivel  de planificación supramunicipal y de la perspectiva metropolitana. Lo vemos en  figuras como el Plan General de Ordenación Urbana del Área Metropolitana de Madrid de 1963 (predecesor del Plan Bidagor), el Plan General de Ordenación Urbana de Bilbao y su Comarca de 1964, el Plan General de Valencia del 1966,  el Plan de Ordenación urbana de Murcia de1972 o el Plan General Metropolitano de Barcelona de 1973, predecesor del Plan Comarcal del 1953. </w:t>
      </w:r>
    </w:p>
    <w:p w:rsidR="003E0EE6" w:rsidRDefault="003E0EE6">
      <w:pPr>
        <w:pStyle w:val="IGOPtextbase"/>
      </w:pPr>
      <w:r>
        <w:t>A pesar de los déficits urbanísticos y sociales derivados por el desarrollismo, la finalidad de muchos de estos planes, especialmente aquellos que fueron redactados durante los años sesenta, era favorecer la expansión de los intereses privados vinculados a determinadas actividades económicas. Siguiendo la doctrina de la segregación funcional del espacio urbano y la diferenciación de los usos, se proyectan nuevos centros de actividad económica y grandes polígonos industriales rodeados por barrios obreros que tomaron la forma de polígonos de viviendas. La construcción de tales polígonos se caracterizaba muchas veces por la especulación que rodeaba la elección de los terrenos en los que construir y la acumulación de déficits urbanísticos y de falta de servicios que soportaban. El desarrollo del vehículo privado, impulsado por el propio sistema, favoreció la construcción de infraestructuras de movilidad que condicionaron el desarrollo urbano de las ciudades, poniendo por delante, una  vez más, los intereses económicos a las necesidades sociales o medioambientales. La consecuencia agregada de todos estos elementos fue la configuración de un urbanismo caótico e inconexo, sin ningún tipo de planificación integral más allá del aprovechamiento que hicieron de las necesidades creadas por el desarrollo  económico las élites económicas cercanas al régimen.</w:t>
      </w:r>
    </w:p>
    <w:p w:rsidR="003E0EE6" w:rsidRDefault="003E0EE6">
      <w:pPr>
        <w:pStyle w:val="IGOPtextbase"/>
      </w:pPr>
      <w:r>
        <w:t>En la mayoría de ciudades españolas se reproducen los mismos déficits social</w:t>
      </w:r>
      <w:r w:rsidR="009E1249">
        <w:t xml:space="preserve">es y urbanísticos que acabaran </w:t>
      </w:r>
      <w:r>
        <w:t>siendo la base material en la que van a apoyarse las reivindicaciones de los movimientos y asociaciones vecinales ya en la etapa más ta</w:t>
      </w:r>
      <w:r w:rsidR="009E1249">
        <w:t>rdía del franquismo. En efecto,</w:t>
      </w:r>
      <w:r>
        <w:t xml:space="preserve"> las políticas urbanas quedaban capitalizadas por los gobiernos municipales como ejecutores de las directrices de un  gobierno central, eje del poder público franquista. Su papel fue capital para poder comprender las agendas de las políticas urbanas de aquella época. Aún así, y a pesar de que el esquema del poder franquista se repite de manera similar en todas las ciudades analizadas donde el régimen influía desde los gobiernos locales aprovechando las estructuras de poder establecidas en la sociedad, en Madrid, centro económico y político del franquismo, el papel del Estado central fue muy superior al de otras ciudades. </w:t>
      </w:r>
    </w:p>
    <w:p w:rsidR="003E0EE6" w:rsidRDefault="003E0EE6">
      <w:pPr>
        <w:pStyle w:val="IGOPtextbase"/>
      </w:pPr>
      <w:r>
        <w:t>A pesar de que el papel del sector privado y mercantil fue teniendo un peso creciente en la definición de la agenda urbana, y más especialmente a partir de los años setenta cuando por ejemplo crece la inversión privada en vivienda social, su fuerza y su composición concreta acababa dependiendo de la relación con las cúpulas de d</w:t>
      </w:r>
      <w:r w:rsidR="009E1249">
        <w:t>ecisión del régimen franquista,</w:t>
      </w:r>
      <w:r>
        <w:t xml:space="preserve"> tanto a escala local como a escala estatal. En cambio, si atendemos a las dinámicas sociales, la falta de protagonismo del franquismo en las políticas sociales, dejaba a la familia como la gran protagonista de la esfera social en esa época. El papel de las redes familiares en la prestación de servicios que no cubrían ni la iniciativa pública ni privada, supuso de hecho el contrapeso a una desigualdad social que proliferaba en muchos de los barrios que acogieron la llegada de las grandes  migraciones internas.  </w:t>
      </w:r>
    </w:p>
    <w:p w:rsidR="003E0EE6" w:rsidRDefault="003E0EE6">
      <w:pPr>
        <w:pStyle w:val="IGOPtextbase"/>
      </w:pPr>
      <w:r>
        <w:t>Con la llegada de la crisis económica a lo largo de la década de los setenta el desarrollismo de años anteriores dejaría paso a una etapa de especialización económica dónde algunas actividades industriales se relocalizarían en las periferias de las ciudades mientras otras irían agonizando hasta casi desparecer entrados los años ochenta. Por otro lado, esta relocalización de las actividades industriales aceleraron el proceso ya iniciado anteriormente de terciarización de la economía en las grandes ciudades como Madrid, Barcelona y Sevilla.</w:t>
      </w:r>
    </w:p>
    <w:p w:rsidR="003E0EE6" w:rsidRDefault="009E1249">
      <w:pPr>
        <w:pStyle w:val="IGOP11"/>
      </w:pPr>
      <w:r>
        <w:t>Segunda</w:t>
      </w:r>
      <w:r w:rsidR="003E0EE6">
        <w:t xml:space="preserve"> etapa</w:t>
      </w:r>
    </w:p>
    <w:p w:rsidR="003E0EE6" w:rsidRDefault="003E0EE6">
      <w:pPr>
        <w:pStyle w:val="IGOPtextbase"/>
      </w:pPr>
      <w:r>
        <w:t xml:space="preserve">Este período se inicia con las primeras elecciones democráticas locales en el año 79 y recorre los años 80 con una agenda de políticas urbanas condicionada por los déficits de la política franquista y por las movilizaciones sociales de la transición. Es una etapa  fuertemente marcada por el clima de apertura política donde la esfera pública recobró un   marcado protagonismo en un momento de crisis económica. Sin embargo, hacia el final de los años 80, los proyectos ampliarán su proyección y se facilitará la entrada de capitales del sector privado con un estilo renovado de la gestión pública. De esta manera se asentarán las bases de una profunda transformación de las ciudades y su gestión hacia los primeros años noventa. </w:t>
      </w:r>
    </w:p>
    <w:p w:rsidR="003E0EE6" w:rsidRDefault="003E0EE6">
      <w:pPr>
        <w:pStyle w:val="IGOPtextbase"/>
      </w:pPr>
      <w:r>
        <w:t xml:space="preserve">Al comparar los casos encontramos fuertes similitudes, especialmente en los primeros momentos. El contexto político general de España, la herencia de deficits del franquismo y las fuertes reivindicaciones de los movimientos sociales urbanos en la transición configuraron escenarios homogéneos donde la esfera pública local fue el espacio de oportunidad de sectores de izquierda que priorizaron las intervenciones en el espacio público y los equipamientos sociales básicos.  </w:t>
      </w:r>
    </w:p>
    <w:p w:rsidR="003E0EE6" w:rsidRDefault="003E0EE6">
      <w:pPr>
        <w:pStyle w:val="IGOPtextbase"/>
      </w:pPr>
      <w:r>
        <w:t xml:space="preserve">De esta manera, el urbanismo y los servicios personales se conformaron como los ámbitos prioritarios desde donde se concretó la concepción de lo que, desde la perspectiva actual, denominaríamos como derecho a la ciudad. Reivindicando la  escala próxima, acorde con la austeridad de presupuestos del contexto de crisis que se vivía, pero sin renunciar a la presencia y visibilidad de la dimensión pública en la ciudad. </w:t>
      </w:r>
    </w:p>
    <w:p w:rsidR="003E0EE6" w:rsidRDefault="003E0EE6">
      <w:pPr>
        <w:pStyle w:val="IGOPtextbase"/>
      </w:pPr>
      <w:r>
        <w:t>Aunque la mayoría de las veces el marco de estas intervenciones había sido el resultado de una alianza ciudadana (con variaciones marcadas según los casos) entre vecinos, intelectuales y técnicos, con la llegada de la democracia comienza una crisis de los movimientos vecinales. Esta tendencia, sin embargo, no afectó al crecimiento del tejido asociativo conformado por diversos sectores y temáticas, sino que impactó especialmente en las asociaciones de vecinos que se resintieron del  traspaso de algunos de sus líderes hacia las administraciones. Incluso en algunas ciudades se conformó una elite de política local constituida por antiguos integrantes de la mencionada  alianza entre vecinos, i</w:t>
      </w:r>
      <w:r w:rsidR="009E1249">
        <w:t>ntelectuales y técnicos.</w:t>
      </w:r>
    </w:p>
    <w:p w:rsidR="003E0EE6" w:rsidRPr="009E1249" w:rsidRDefault="003E0EE6">
      <w:pPr>
        <w:pStyle w:val="IGOPtextbase"/>
        <w:rPr>
          <w:color w:val="FF0000"/>
        </w:rPr>
      </w:pPr>
      <w:r>
        <w:t xml:space="preserve">En una segunda fase del período, coincidente con un cambio de escala económica provocado por  la entrada de España en la CEE (1986), cada ciudad buscará su estrategia de desarrollo y el escenario se vuelve más diverso, aunque dominan los criterios de competitividad para el desarrollo de las ciudades. Las que logran configurar un proyecto más asertivamente usarán los grandes eventos como motor de </w:t>
      </w:r>
      <w:r w:rsidR="009E1249">
        <w:t>transformación y modernización.</w:t>
      </w:r>
      <w:r>
        <w:t xml:space="preserve"> Barcelona es el ejemplo paradigmático ya que, a diferencia de Sevilla, los impactos serán en toda la ciudad. Si bien en este segundo subperíodo el protagonismo lo sigue manteniendo la esfera pública local, se ensayan mecanismos de cooperación público-privada especialmente a través de la gestión privada de servicios públicos (podemos encontrar ejemplos en Barcelona, Bilbao, Murcia o Valencia) y/o la adopción de nuevos instrumentos y organismos de gestión (empresas e institutos municipales) que facilitaron la entrada de capitales privados y/o europeos a la gestió</w:t>
      </w:r>
      <w:r w:rsidR="009E1249">
        <w:t>n pública.</w:t>
      </w:r>
    </w:p>
    <w:p w:rsidR="003E0EE6" w:rsidRDefault="003E0EE6">
      <w:pPr>
        <w:pStyle w:val="IGOPtextbase"/>
      </w:pPr>
      <w:r>
        <w:t>Es evidente el cambio de escala de los proyectos y de la propia concepción de las políticas urbanas, que generan proyectos más ambiciosos con fórmulas de intervención de distintas esferas de gobierno (lógicas multinivel) e instrumentos propios de la gestión privada. Por ejemplo, es en este período cuando nacen los primeros planes estratégicos de ciudad que luego tendrán impacto en todo el territorio español, con el objetivo de  integrar a los diferentes agentes de la ciudad en una  pe</w:t>
      </w:r>
      <w:r w:rsidR="009E1249">
        <w:t>rspectiva de desarrollo común.</w:t>
      </w:r>
      <w:r>
        <w:t xml:space="preserve"> Los grandes proyectos que caracterizan al período se ubicarán principalmente entre las coordenadas del urbanismo y la promoción económica, destacando los proyectos de infraestructuras, zonas portuarias, AVE, rondas, Trasvase Tajo-Segura, etc... </w:t>
      </w:r>
    </w:p>
    <w:p w:rsidR="003E0EE6" w:rsidRPr="009E1249" w:rsidRDefault="003E0EE6">
      <w:pPr>
        <w:pStyle w:val="IGOPtextbase"/>
      </w:pPr>
      <w:r>
        <w:t>Es destacable también el reajuste de la escala territorial de la industria hacia la región metropolitana de las ciudades de base industrial, acompañada asimismo, por una clara descentralización residencial (</w:t>
      </w:r>
      <w:r>
        <w:rPr>
          <w:i/>
          <w:iCs/>
        </w:rPr>
        <w:t>urban sprawl</w:t>
      </w:r>
      <w:r>
        <w:t>)  coincidente</w:t>
      </w:r>
      <w:r w:rsidR="009E1249">
        <w:t xml:space="preserve"> en todos los casos estudiados.</w:t>
      </w:r>
      <w:r>
        <w:t xml:space="preserve"> Tempranamente  aparecen asimismo los primeros indicios de gentrificación  en los centros de Sevilla y Madrid. Esta reconversión funcional del territorio y de la economía indican la expansión hacia la escala metropolitana y la compleja gobernabilidad que supone. De aquí que en varios casos (Vigo, Barcelona, Valencia)</w:t>
      </w:r>
      <w:r w:rsidR="009E1249">
        <w:t xml:space="preserve"> </w:t>
      </w:r>
      <w:r>
        <w:t>se conforman entidades o mancomunidades metropolitanas no siempre sin conflicto.</w:t>
      </w:r>
    </w:p>
    <w:p w:rsidR="003E0EE6" w:rsidRDefault="003E0EE6">
      <w:pPr>
        <w:pStyle w:val="IGOPtextbase"/>
      </w:pPr>
      <w:r>
        <w:t xml:space="preserve">Finalmente destacar las redes internacionales y de cooperación que se conforman en este período y que proyectan a las ciudades traspasando la esfera estatal. (Metropolis, CIDEU, Eurocities, etc.) lo que indica por un lado el fortalecimiento de lo local pero en un escenario de globalidad, con la  temprana  aparición del concepto de trabajo multinivel. </w:t>
      </w:r>
    </w:p>
    <w:p w:rsidR="003E0EE6" w:rsidRDefault="009E1249">
      <w:pPr>
        <w:pStyle w:val="IGOP11"/>
      </w:pPr>
      <w:r>
        <w:t>Tercera</w:t>
      </w:r>
      <w:r w:rsidR="003E0EE6">
        <w:t xml:space="preserve"> etapa</w:t>
      </w:r>
    </w:p>
    <w:p w:rsidR="003E0EE6" w:rsidRDefault="003E0EE6">
      <w:pPr>
        <w:pStyle w:val="IGOP11"/>
        <w:numPr>
          <w:ilvl w:val="0"/>
          <w:numId w:val="0"/>
        </w:numPr>
        <w:rPr>
          <w:b w:val="0"/>
          <w:bCs w:val="0"/>
          <w:sz w:val="22"/>
          <w:szCs w:val="22"/>
        </w:rPr>
      </w:pPr>
      <w:r>
        <w:rPr>
          <w:b w:val="0"/>
          <w:bCs w:val="0"/>
          <w:sz w:val="22"/>
          <w:szCs w:val="22"/>
        </w:rPr>
        <w:t xml:space="preserve">Esta etapa coincide aproximadamente con la década de 1990 y se caracteriza por suponer un cierto proceso de transición entre la dinámica que surgió ya en la transición y en los primeros años de la democracia, y lo que va a suponer la nueva dinámica que va imponiéndose en los primeros años del nuevo siglo. En efecto, en la mayoría de las ciudades estudiadas esta etapa representa un momento de cambio en los modelos productivos (tercerización de la economía) y el tipo de políticas urbanas realizadas, marcando un giro que se concretará con mayor amplitud en la siguiente fase. La agenda de los primeros ayuntamientos democráticos se da por terminada, pero los efectos de la recesión económica limitan las posibilidades de nuevos proyectos de ciudad hasta los años 1994-95. En esta etapa, el proceso de descentralización de las actividades económicas y de la población hacia la corona metropolitana se acelera. Sin embargo, la integración metropolitana no se traduce por políticas que tomen como referencia esta escala, salvo los casos del transporte público en Barcelona, Madrid y Bilbao. La población disminuye en todas las ciudades hasta mediados de los 1990, cuando empieza el movimiento inmigratorio que revitaliza las bajas tasas de natalidad. Aun así, el envejecimiento de la población se hace notorio especialmente en las ciudades más grandes, donde los modelos de familia se diversifican. </w:t>
      </w:r>
    </w:p>
    <w:p w:rsidR="003E0EE6" w:rsidRDefault="003E0EE6">
      <w:pPr>
        <w:pStyle w:val="IGOP11"/>
        <w:numPr>
          <w:ilvl w:val="0"/>
          <w:numId w:val="0"/>
        </w:numPr>
        <w:rPr>
          <w:b w:val="0"/>
          <w:bCs w:val="0"/>
          <w:sz w:val="22"/>
          <w:szCs w:val="22"/>
        </w:rPr>
      </w:pPr>
      <w:r>
        <w:rPr>
          <w:b w:val="0"/>
          <w:bCs w:val="0"/>
          <w:sz w:val="22"/>
          <w:szCs w:val="22"/>
        </w:rPr>
        <w:t xml:space="preserve">El protagonismo que había adquirido el sector público cede terreno a la iniciativa mercantil, iniciándose en muchos casos proyectos de cooperación público-privada. Por ejemplo, en la mayoría de ciudades se crean órganos de gestión semiprivados o, en menor medida, mercantilización de los servicios sociales (Murcia y Valencia), tendencia ya iniciada en la fase anterior pero que se intensifica en los años 1990. En esta etapa se incrementa la modernización de las administraciones locales y por ejemplo proliferan los instrumentos de planificación estratégica, aunque con efectos diversos según los casos (menos aparentes en Madrid y Sevilla). El protagonismo del tercer sector y especialmente del movimiento vecinal se debilita, aunque las asociaciones de vecinos continúan movilizándose alrededor de proyectos concretos (como el inicio de los movimientos </w:t>
      </w:r>
      <w:r>
        <w:rPr>
          <w:b w:val="0"/>
          <w:bCs w:val="0"/>
          <w:i/>
          <w:iCs/>
          <w:sz w:val="22"/>
          <w:szCs w:val="22"/>
        </w:rPr>
        <w:t>Salvem</w:t>
      </w:r>
      <w:r>
        <w:rPr>
          <w:b w:val="0"/>
          <w:bCs w:val="0"/>
          <w:sz w:val="22"/>
          <w:szCs w:val="22"/>
        </w:rPr>
        <w:t xml:space="preserve"> en Valencia, el Movimiento por la dignidad Sur en Madrid o </w:t>
      </w:r>
      <w:r>
        <w:rPr>
          <w:b w:val="0"/>
          <w:bCs w:val="0"/>
          <w:i/>
          <w:iCs/>
          <w:sz w:val="22"/>
          <w:szCs w:val="22"/>
        </w:rPr>
        <w:t>Barrios en lucha</w:t>
      </w:r>
      <w:r>
        <w:rPr>
          <w:b w:val="0"/>
          <w:bCs w:val="0"/>
          <w:sz w:val="22"/>
          <w:szCs w:val="22"/>
        </w:rPr>
        <w:t xml:space="preserve"> en Sevilla). En el caso de Barcelona, aparecen a la vez nuevos movimientos sociales con vocación transnacional como el ecologismo y las primeras iniciativas de intercambio d</w:t>
      </w:r>
      <w:r w:rsidR="0021572A">
        <w:rPr>
          <w:b w:val="0"/>
          <w:bCs w:val="0"/>
          <w:sz w:val="22"/>
          <w:szCs w:val="22"/>
        </w:rPr>
        <w:t>e servicios de proximidad (los b</w:t>
      </w:r>
      <w:r>
        <w:rPr>
          <w:b w:val="0"/>
          <w:bCs w:val="0"/>
          <w:sz w:val="22"/>
          <w:szCs w:val="22"/>
        </w:rPr>
        <w:t>ancos del tiempo). Coincidiendo con el paso de una sociedad industrial a una postindustrial, la esfera familiar pasa a un papel más secundario, excepto en el caso de Murcia, donde se intenta paliar el déficit de políticas de bienestar locales.</w:t>
      </w:r>
    </w:p>
    <w:p w:rsidR="003E0EE6" w:rsidRDefault="003E0EE6">
      <w:pPr>
        <w:pStyle w:val="IGOP11"/>
        <w:numPr>
          <w:ilvl w:val="0"/>
          <w:numId w:val="0"/>
        </w:numPr>
        <w:rPr>
          <w:b w:val="0"/>
          <w:bCs w:val="0"/>
          <w:sz w:val="22"/>
          <w:szCs w:val="22"/>
        </w:rPr>
      </w:pPr>
      <w:r>
        <w:rPr>
          <w:b w:val="0"/>
          <w:bCs w:val="0"/>
          <w:sz w:val="22"/>
          <w:szCs w:val="22"/>
        </w:rPr>
        <w:t>Las nuevas orientaciones políticas convergen hacia un énfasis en la dimensión cultural y lúdica de las ciudades, enfocadas como nuevos centros de atracción de turismo y de ocio. La dimensión urbanística de las políticas continúa siendo clave pero se orienta hacia una reconversión económica y cultural impulsada desde la inversión pública y privada, siendo los ejemplos de Bilbao y del Raval barcelonés ejemplos paradigmáticos de regeneración urbana c</w:t>
      </w:r>
      <w:r w:rsidR="0021572A">
        <w:rPr>
          <w:b w:val="0"/>
          <w:bCs w:val="0"/>
          <w:sz w:val="22"/>
          <w:szCs w:val="22"/>
        </w:rPr>
        <w:t>on inversión pública y privada.</w:t>
      </w:r>
      <w:r>
        <w:rPr>
          <w:b w:val="0"/>
          <w:bCs w:val="0"/>
          <w:sz w:val="22"/>
          <w:szCs w:val="22"/>
        </w:rPr>
        <w:t xml:space="preserve"> El objetivo de “poner la ciudad en el mapa” es compartido y se adapta a la escala y posibilidades de cada ciudad, yendo desde megaeventos, ferias y congresos a festivales internacionales. La visión del desarrollo difiere entre las ciudades; en Madrid y Valencia, y Sevilla y Murcia en menor medida, se plasma en planes de ordenación urbana que priman el desarrollo inmobiliario especulativo. De manera paralela hay un retroceso en las políticas sociales, por ejemplo en la inversión en vivienda pública (caso de Sevilla). También aparece la preocupación incipiente por las políticas medioambientales, traducido en la práctica por la adhesión a la Carta de Aalborg y una primera reflexión sobre las Agendas 21.</w:t>
      </w:r>
    </w:p>
    <w:p w:rsidR="003E0EE6" w:rsidRDefault="003E0EE6">
      <w:pPr>
        <w:pStyle w:val="IGOP11"/>
        <w:numPr>
          <w:ilvl w:val="0"/>
          <w:numId w:val="0"/>
        </w:numPr>
        <w:rPr>
          <w:b w:val="0"/>
          <w:bCs w:val="0"/>
          <w:sz w:val="22"/>
          <w:szCs w:val="22"/>
        </w:rPr>
      </w:pPr>
      <w:r>
        <w:rPr>
          <w:b w:val="0"/>
          <w:bCs w:val="0"/>
          <w:sz w:val="22"/>
          <w:szCs w:val="22"/>
        </w:rPr>
        <w:t>En relación a la importancia de los distintos niveles de gobierno, la esfera local comparte protagonismo con el ámbito autonómico en la mayoría de los casos, coincidiendo con una fase de despliegue del Estado autonómico. En el caso de Madrid, sin embargo, el protagonismo del gobierno central es clave para entender su desarrollo sobre todo en materia de infraestructuras. Destaca la irrupción del ámbito europeo como ente financiador de proyectos urbanos en todas las ciudades, gracias a los programas URBAN. Las ciudades continúan con una estrategia de promoción exterior participando en redes internacionales (destacando Barcelona por su liderazgo institucional) o proyectos transfronterizos (como la Euroregión en Vigo).</w:t>
      </w:r>
    </w:p>
    <w:p w:rsidR="003E0EE6" w:rsidRDefault="003E0EE6">
      <w:pPr>
        <w:pStyle w:val="IGOP11"/>
        <w:numPr>
          <w:ilvl w:val="0"/>
          <w:numId w:val="0"/>
        </w:numPr>
        <w:rPr>
          <w:b w:val="0"/>
          <w:bCs w:val="0"/>
          <w:sz w:val="22"/>
          <w:szCs w:val="22"/>
        </w:rPr>
      </w:pPr>
      <w:r>
        <w:rPr>
          <w:b w:val="0"/>
          <w:bCs w:val="0"/>
          <w:sz w:val="22"/>
          <w:szCs w:val="22"/>
        </w:rPr>
        <w:t>En definitiva, se trata de una etapa de redefinición de proyecto de ci</w:t>
      </w:r>
      <w:r w:rsidR="0021572A">
        <w:rPr>
          <w:b w:val="0"/>
          <w:bCs w:val="0"/>
          <w:sz w:val="22"/>
          <w:szCs w:val="22"/>
        </w:rPr>
        <w:t>udad y de búsqueda de identidad, lo que puede resultó</w:t>
      </w:r>
      <w:r>
        <w:rPr>
          <w:b w:val="0"/>
          <w:bCs w:val="0"/>
          <w:sz w:val="22"/>
          <w:szCs w:val="22"/>
        </w:rPr>
        <w:t xml:space="preserve"> más o menos fácil según los casos. Barcelona, Bilbao,  Madrid y Valencia orientan claramente su estrategia hacia el reclamo turístico y la competitividad internacional. En Sevilla, Murcia y Vigo la búsqueda de una nueva identidad se enfrenta a un proceso más laborioso y, de hecho, no será hasta la etapa posterior que se visibilizará con claridad.</w:t>
      </w:r>
    </w:p>
    <w:p w:rsidR="003E0EE6" w:rsidRDefault="0021572A">
      <w:pPr>
        <w:pStyle w:val="IGOP11"/>
      </w:pPr>
      <w:r>
        <w:t>Cuarta</w:t>
      </w:r>
      <w:r w:rsidR="003E0EE6">
        <w:t xml:space="preserve"> etapa</w:t>
      </w:r>
    </w:p>
    <w:p w:rsidR="003E0EE6" w:rsidRDefault="003E0EE6">
      <w:pPr>
        <w:pStyle w:val="IGOPtextbase"/>
      </w:pPr>
      <w:r>
        <w:t>En esta etapa se consolidan las dinámicas de crecimiento, tanto en términos poblacionales como económicos, iniciadas a partir de los años 1996-97</w:t>
      </w:r>
      <w:r w:rsidR="0021572A">
        <w:t xml:space="preserve"> </w:t>
      </w:r>
      <w:r>
        <w:t>de la etapa anterior.</w:t>
      </w:r>
    </w:p>
    <w:p w:rsidR="003E0EE6" w:rsidRDefault="003E0EE6">
      <w:pPr>
        <w:pStyle w:val="IGOPtextbase"/>
      </w:pPr>
      <w:r>
        <w:t>Así, como rasgos comunes podem</w:t>
      </w:r>
      <w:r w:rsidR="0021572A">
        <w:t xml:space="preserve">os identificar la importancia del </w:t>
      </w:r>
      <w:r>
        <w:t>eje económico-urbanístico en</w:t>
      </w:r>
      <w:r w:rsidR="0021572A">
        <w:t xml:space="preserve"> la agenda urbana de esta</w:t>
      </w:r>
      <w:r>
        <w:t xml:space="preserve"> etapa. Como bien es sabido, el peso del sector de la construcción a nivel del estado español experimenta un tirón económico muy importante con la consecuente urbanización del territorio, especialmente alrededor de las principales aglomeraciones urbanas y la costa mediterránea. Se revisan muchos planes generales y se proyectan grandes infraestructuras de comunicación enlazando territorios metropolitanos, como ocurre con las nuevas vías de circunvalación en Madrid y Barcelona. </w:t>
      </w:r>
    </w:p>
    <w:p w:rsidR="003E0EE6" w:rsidRDefault="003E0EE6">
      <w:pPr>
        <w:pStyle w:val="IGOPtextbase"/>
      </w:pPr>
      <w:r>
        <w:t xml:space="preserve">Este proceso es acompañado por cambios sociodemográficos importantes, del que destaca sin duda el crecimiento de la población de nacionalidad extranjera en todas las ciudades, población atraída por un mercado laboral de baja cualificación en expansión. Aunque con especificidades locales, la movilidad residencial de la población produce cambios importantes en la composición social de las ciudades. Por un lado, debido al crecimiento residencial fuera de las grandes y medianas ciudades, el aumento de precios de la vivienda y al acceso al crédito hipotecario, se produce dinámicas centrífugas de la población. Por el otro, debido a la rigidez del mercado inmobiliario y el limitado stock de alquiler, se producen concentraciones de población migrante en aquellas áreas con peor stock de vivienda, como por ejemplo los centros históricos. </w:t>
      </w:r>
    </w:p>
    <w:p w:rsidR="003E0EE6" w:rsidRDefault="003E0EE6">
      <w:pPr>
        <w:pStyle w:val="IGOPtextbase"/>
      </w:pPr>
      <w:r>
        <w:t>Como se destaca en el capítulo transversal sobre áreas metropolitanas, es un periodo que en determinadas ciudades se van consolidando determinadas estructuras metropolitanas (con excepción de Valencia), ya sea para la planificación estratégica de la región o bien para la gestión conjunta de servicios (transporte, residuos, gestión de servicios, etc.). También es en este periodo cuando se reconoce el estatuto especial de Barcelona y de Madrid, aumentando sus competencias en algunas áreas. Así, mientras el ámbito local se fortalece, cada vez el ámbito metropolitano se dibuja con más claridad y el ámbito autonómico se refuerza, especialmente importante en aquellas comunidades dónde hay una coincidencia de color político en los gobiernos locales y regionales. Finalmente, el peso del ámbito estatal se reduce, aunque las grandes infraestructuras de transporte y comunicación solo son posibles gracias a la financiación estatal. El nivel europeo continua estando presente en la financiación de políticas y proyectos puntuales en temas medioambientales, de regeneración urbana o infraestructurales.</w:t>
      </w:r>
    </w:p>
    <w:p w:rsidR="003E0EE6" w:rsidRDefault="003E0EE6">
      <w:pPr>
        <w:pStyle w:val="IGOPtextbase"/>
      </w:pPr>
      <w:r>
        <w:t>Aunque algunos planes de regeneración ya vienen de etapas anteriores, en esta etapa se detecta un mayor auge de las intervenciones de regeneración urbana, especialmente en centros históricos, barrios populares o espacios industriales en transformación. La fiebre urbanizadora y re urbanizadora de estos años es contestada en ocasiones por un movimiento ciudadano que recupera prácticas disruptivas anteriores. Emergen nuevas plataformas y coordinadoras para la protección de espacios naturales y patrimoniales, críticas con la especulación urbana, la falta de participación ciudadana o con los planes de renovación urbana que produzcan expulsión de la población residente. Estos movimientos conviven también con otros asociados a fenómenos NIMBY, relacionados con la instalación de servicios o equipamientos considerados molestos o con demandadas de mayor seguridad ciudadana. Frente a una mayor complejidad en el uso del espacio público, diferentes gobiernos locales impulsan nuevas ordenanzas para su regulación, que son también contestadas por el trato discriminatorio hacia la población más desfavorecida.</w:t>
      </w:r>
    </w:p>
    <w:p w:rsidR="003E0EE6" w:rsidRDefault="003E0EE6">
      <w:pPr>
        <w:pStyle w:val="IGOPtextbase"/>
      </w:pPr>
      <w:r>
        <w:t>Una vez consolidado el tránsito de las ciudades hacia una base económica basada en los servicios, los gobiernos locales intentan especializar y a la vez diversificar su base económica en el contexto de la globalización. El turismo de ocio y de negocios continúa siendo una base importante de muchas ellas y es un sector que experimenta un importante crecimiento, también el sector logístico en aquellas ciudades con puerto para mercancías. Es especialmente potenciado con la creación o la competición para alojar eventos internacionales, ya sea la fórmula 1, eventos culturales, grandes ferias o juegos olímpicos. La mayoría de estos eventos van asociados a mega-proyectos urbanos adornados con arquitecturas de autor con el objetivo de crear nuevos referentes simbólicos para la ciudad que legitimaran a la vez los proyectos en curso. Sin embargo, en este periodo se identifican claramente también proyectos urbanos que reflejan la búsqueda de una especialización económica en sectores intensivos en conocimiento que saquen provecho de las economías de aglomeración y de urbanización. Así, podemos citar la creación de nuevas ciudades de negocios en Madrid, el distrito 22@ en Barcelona o el parque tecnológico de la Cartuja en Sevilla.</w:t>
      </w:r>
    </w:p>
    <w:p w:rsidR="003E0EE6" w:rsidRDefault="003E0EE6">
      <w:pPr>
        <w:pStyle w:val="IGOPtextbase"/>
      </w:pPr>
      <w:r>
        <w:t xml:space="preserve">En esta etapa también podemos ver un mayor acento de los gobiernos locales en políticas centradas en “las personas” y en “la proximidad”, especialmente en ciudades como Sevilla y Barcelona, ambas gobernadas por la izquierda. Frente un cierto agotamiento del modelo de grandes eventos, se incrementan las micro políticas en barrios, peatonalizaciones, equipamientos y servicios de proximidad, planes de dinamización comunitaria, etc. Aunque el nivel de inversión en políticas sociales difiere en cada ciudad, como tendencia común se detecta una mayor concertación con entidades privadas, lucrativas y no lucrativas, para la prestación y gestión de estos servicios. Poco a poco se va consolidando un tercer sector que debe competir con el sector mercantil lucrativo en la prestación de servicios públicos. También hay un incremento de los organismos y espacios institucionales de concertación y participación ciudadana, si bien se comparten dudas sobre su nivel real de influencia en las políticas públicas locales. Además esto convive con la consolidación de </w:t>
      </w:r>
      <w:r w:rsidR="0021572A">
        <w:t>“</w:t>
      </w:r>
      <w:r>
        <w:t>think tanks</w:t>
      </w:r>
      <w:r w:rsidR="0021572A">
        <w:t>”</w:t>
      </w:r>
      <w:r>
        <w:t xml:space="preserve"> estratégicos (Madrid Global, Sevilla Global, Centro de Estrategias y Desarrollo de Valencia, etc.) donde las entidades ciudadanas no acostumbran ser invitadas.  En este periodo se acelera la implementación de las nuevas tecnologías para la mejora de la gestión de la ciudad y especialmente en las relaciones entre la administración local y la ciudadanía (e-administración), mientras que su uso en el fomento de la participación ciudadana tardará un poco más a llegar (e-democracia).</w:t>
      </w:r>
    </w:p>
    <w:p w:rsidR="003E0EE6" w:rsidRDefault="003E0EE6">
      <w:pPr>
        <w:pStyle w:val="IGOPtextbase"/>
      </w:pPr>
      <w:r>
        <w:t xml:space="preserve">Aunque en la mayoría de ciudades se planifican las agendas21 y se desarrollan actuaciones en esta etapa (a la vez que aparecen innovaciones como la agenda21 escolar), los temas medioambientales continúan ocupando un nivel más bien secundario en la agenda de gobierno local. De todos modos se van produciendo mejoras en sensibilización, ahorro energético, recuperación de residuos e incorporación de medios de transporte urbanos menos contaminantes (bicicletas, tranvías, etc.). Sin embargo, estas actuaciones desarrolladas en la ciudad compacta contrastan con el uso del suelo y los costes sociales y medioambientales como consecuencia del crecimiento urbano en este periodo. </w:t>
      </w:r>
    </w:p>
    <w:p w:rsidR="003E0EE6" w:rsidRDefault="003E0EE6">
      <w:pPr>
        <w:pStyle w:val="IGOPtextbase"/>
      </w:pPr>
    </w:p>
    <w:p w:rsidR="003E0EE6" w:rsidRDefault="0021572A" w:rsidP="0021572A">
      <w:pPr>
        <w:pStyle w:val="IGOP1"/>
      </w:pPr>
      <w:r>
        <w:t xml:space="preserve">A modo de conclusión </w:t>
      </w:r>
    </w:p>
    <w:p w:rsidR="003E0EE6" w:rsidRDefault="003E0EE6">
      <w:pPr>
        <w:pStyle w:val="IGOPtextbase"/>
      </w:pPr>
      <w:r>
        <w:t xml:space="preserve">La gran transformación urbana que se da en estos treinta años que van de la  expansión urbana de los años 70 a las “ciudades de propietarios” tras el cambio de ciclo y de siglo, nos permite retomar la hipótesis de la insuficiencia de la aproximación urbanístico-territorial para poder recoger en toda su complejidad la realidad urbana actual. </w:t>
      </w:r>
    </w:p>
    <w:p w:rsidR="003E0EE6" w:rsidRDefault="003E0EE6">
      <w:pPr>
        <w:pStyle w:val="IGOPtextbase"/>
      </w:pPr>
      <w:r>
        <w:t xml:space="preserve">La agenda de los primeros ayuntamientos democráticos se dirigía las cuestiones pendientes tras el franquismo, y ello enfatizaba la necesidad de recomponer tramas urbanas, servicios, infraestructuras, etc., tras el gran éxodo del campo a la ciudad para sustentar la industrialización del país. Sin embargo, la realidad posterior ha ido haciendo más compleja esa agenda, sin que ello haya sido recogido en la consideración conceptual de las políticas urbanas. Políticas que siguen básicamente ligadas al paradigma urbanístico-desarrollista de los años 80-90. Los cambios en las ciudades han sido muy significativos, y han tenido grandes impactos económicos y  sociales, pero el impacto de todo ello en la agenda de los gobiernos locales ha sido lento y dificultoso. Los retos ambientales y la exigencia de buscar respuestas más transversales a la creciente interdependencia de problemas y de políticas, ha ido exigiendo construir nuevos “relatos” o proyecto de ciudad, que se enfrentan ahora a un brusco y drástico cambio de ciclo. </w:t>
      </w:r>
    </w:p>
    <w:p w:rsidR="003E0EE6" w:rsidRDefault="003E0EE6">
      <w:pPr>
        <w:pStyle w:val="IGOPtextbase"/>
      </w:pPr>
      <w:r>
        <w:t>De esta forma se puede esquematizar el recorrido histórico de la siguiente manera:</w:t>
      </w:r>
    </w:p>
    <w:p w:rsidR="003E0EE6" w:rsidRDefault="0021572A">
      <w:pPr>
        <w:pStyle w:val="IGOPtextbase"/>
        <w:numPr>
          <w:ilvl w:val="0"/>
          <w:numId w:val="15"/>
        </w:numPr>
      </w:pPr>
      <w:r>
        <w:t xml:space="preserve">En los primeros años analizadoes si el </w:t>
      </w:r>
      <w:r w:rsidR="003E0EE6">
        <w:t>Urbanismo</w:t>
      </w:r>
      <w:r>
        <w:t xml:space="preserve"> se configura</w:t>
      </w:r>
      <w:r w:rsidR="003E0EE6">
        <w:t xml:space="preserve"> como respuesta, </w:t>
      </w:r>
      <w:r>
        <w:t xml:space="preserve">la </w:t>
      </w:r>
      <w:r w:rsidR="003E0EE6">
        <w:t xml:space="preserve">inmigración interna y capitalismo industrial </w:t>
      </w:r>
      <w:r>
        <w:t xml:space="preserve">seran el </w:t>
      </w:r>
      <w:r w:rsidR="003E0EE6">
        <w:t>proble</w:t>
      </w:r>
      <w:r>
        <w:t>ma: l</w:t>
      </w:r>
      <w:r w:rsidR="003E0EE6">
        <w:t>os intensos flujos de migraciones internas se suman a las nuevas necesidades generadas por el proceso de desarrollo indu</w:t>
      </w:r>
      <w:r>
        <w:t>strial y económico de los 60-70. D</w:t>
      </w:r>
      <w:r w:rsidR="003E0EE6">
        <w:t>e esta forma</w:t>
      </w:r>
      <w:r>
        <w:t>,</w:t>
      </w:r>
      <w:r w:rsidR="003E0EE6">
        <w:t xml:space="preserve"> la agenda de problemas que se encuentran los nuevos gobiernos locales democráticos en 1979 son respondidos a través de obras básicas, planes urbanísticos y recomposición de la trama urbana.  </w:t>
      </w:r>
    </w:p>
    <w:p w:rsidR="003E0EE6" w:rsidRDefault="0021572A">
      <w:pPr>
        <w:pStyle w:val="IGOPtextbase"/>
        <w:numPr>
          <w:ilvl w:val="0"/>
          <w:numId w:val="15"/>
        </w:numPr>
      </w:pPr>
      <w:r>
        <w:t>En una seguna etapa se intenta dar respuesta a las expectativas de cambio, c</w:t>
      </w:r>
      <w:r w:rsidR="003E0EE6">
        <w:t>reando y reconfigurando serv</w:t>
      </w:r>
      <w:r w:rsidR="007714D9">
        <w:t>icios, creando infraestructuras.</w:t>
      </w:r>
      <w:r w:rsidR="003E0EE6">
        <w:t xml:space="preserve"> En es</w:t>
      </w:r>
      <w:r w:rsidR="007714D9">
        <w:t>ta</w:t>
      </w:r>
      <w:r w:rsidR="003E0EE6">
        <w:t xml:space="preserve"> línea, la lista de servicios a crear, la lista de infraestructuras básicas</w:t>
      </w:r>
      <w:r w:rsidR="007714D9">
        <w:t xml:space="preserve"> a desarrollar, impone</w:t>
      </w:r>
      <w:r w:rsidR="003E0EE6">
        <w:t xml:space="preserve"> su lógica. Los gobiernos locales se esforzaron en crear ciudad donde en muchos casos solo había aglomeraciones de personas, trabajos y edificios. </w:t>
      </w:r>
    </w:p>
    <w:p w:rsidR="003E0EE6" w:rsidRDefault="007714D9">
      <w:pPr>
        <w:pStyle w:val="IGOPtextbase"/>
        <w:numPr>
          <w:ilvl w:val="0"/>
          <w:numId w:val="15"/>
        </w:numPr>
      </w:pPr>
      <w:r>
        <w:t xml:space="preserve">De la base productiva anterior se pasa a una </w:t>
      </w:r>
      <w:r w:rsidR="003E0EE6">
        <w:t>lógica de servicios: Una vez superados o remediados los déficits de tantos años, las ciudades se aprestan a pensar en proyectos de futuro, desde lógicas de desarrollo y crecimiento. En muchos casos, los procesos de desindustrialización liberan espacios, en otros casos se renuevan edificios y barrios. Las ciudades son cada vez más centros de servicios, y ello exige renovar sistemas de transporte y movilidad. El mercado inmobiliario surge como gran palanca de recursos para las finanzas locales, muchas veces a caballo de nuevos planes urbanísticos y nuevas infraestructuras de transporte y movilidad. La competitividad entre ciudades empieza a emerger.</w:t>
      </w:r>
    </w:p>
    <w:p w:rsidR="003E0EE6" w:rsidRDefault="007714D9">
      <w:pPr>
        <w:pStyle w:val="IGOPtextbase"/>
        <w:numPr>
          <w:ilvl w:val="0"/>
          <w:numId w:val="16"/>
        </w:numPr>
      </w:pPr>
      <w:r>
        <w:t>Una n</w:t>
      </w:r>
      <w:r w:rsidR="003E0EE6">
        <w:t>ueva agenda urbana. De las necesidades básicas de la ciudad a la lógica de hábitat urbano: Las ciudades buscan equilibrios entre desarrollo y calidad de vida, entre crecimiento y exigencias ambientales, precisando interconectar políticas, ampliar agendas de actuación, reconocer nuevos actores y dilemas. Las Agendas 21 son un ejemplo de ello. En esta línea se traspasa la idea de los servicios de atención primaria más tradicional y aparecen algunas experiencias que podríam</w:t>
      </w:r>
      <w:r>
        <w:t xml:space="preserve">os denominar micropolíticas de bienestar. </w:t>
      </w:r>
      <w:r w:rsidR="003E0EE6">
        <w:t>Los procesos de individualización, la incorporación de la mujer al mercado de trabajo formalizado, las crecientes vulnerabilidades y fragilidades, el alargamiento de la esperanza de vida, exige recomponer los servicios sociales, buscando nuevas formas de articulación entre políticas, más allá de los limites competenciales que los municipios tienen en el campo de las políticas sociales en su conjunto</w:t>
      </w:r>
    </w:p>
    <w:p w:rsidR="007714D9" w:rsidRDefault="003E0EE6" w:rsidP="007714D9">
      <w:pPr>
        <w:pStyle w:val="IGOP11"/>
      </w:pPr>
      <w:r>
        <w:t>¿Respuestas</w:t>
      </w:r>
      <w:r w:rsidR="007714D9">
        <w:t xml:space="preserve"> locales a problemas globales? </w:t>
      </w:r>
    </w:p>
    <w:p w:rsidR="003E0EE6" w:rsidRDefault="003E0EE6">
      <w:pPr>
        <w:pStyle w:val="IGOPtextbase"/>
      </w:pPr>
      <w:r>
        <w:t>La necesidad de discutir el modelo de desarrollo urbano se impone ante las exigencias del nuevo ciclo productivo. Llegamos al final del primer decenio del nuevo siglo con síntomas de agotamiento del ciclo de treinta años de crecimiento sostenido y de modelo urbano al servicio de una lógica desarrollista. Menos protagonismo público y graves dificultades de los gobiernos locales para buscar respuestas propias en un escenario de endeudamiento familiar, creciente desigualdad social y de crisis terminal del modelo urbanístico-inmobiliario. ¿Es posible buscar la cohesión social en un mercado competitivo entre ciudades?</w:t>
      </w:r>
    </w:p>
    <w:p w:rsidR="003E0EE6" w:rsidRDefault="003E0EE6">
      <w:pPr>
        <w:pStyle w:val="IGOPtextbase"/>
      </w:pPr>
      <w:r>
        <w:t xml:space="preserve">En este contexto parece hacerse necesario pasar a una etapa de “Mayoría de edad del gobierno local”.  En estos treinta años se ha pasado de una lógica de “administración local” a hablar de “gobernanza local”. Los cambios económicos y sociales de estos años han transformado enormemente a las ciudades españolas, y han ido obligando a modificar las pautas de funcionamiento de unos ayuntamientos que han tenido que transformarse al ritmo de las nuevas necesidades, sin contar con los recursos adecuados para ello. No siempre se ha optado por cambiar las formas en que se operaba desde la lógica administrativa, y muchas veces se ha preferido buscar formas organizativas de derecho privado, consorcios, partenariados y gestión indirecta de servicios. Los ayuntamientos son hoy una parte del entramado institucional-organizativo de los gobiernos locales, en un escenario con muchos más actores y con demandas de intervención ciudadana y social que exigen nuevos canales de participación e implicación en las políticas urbanas. La asimetría entre necesidades y recursos es hoy más que evidente.    </w:t>
      </w:r>
    </w:p>
    <w:p w:rsidR="003E0EE6" w:rsidRDefault="003E0EE6">
      <w:pPr>
        <w:pStyle w:val="IGOPtextbase"/>
      </w:pPr>
      <w:r>
        <w:t>La transición democrática y los primeros pasos de la democracia local encontró a ayuntamientos con graves déficits técnicos y con una posición institucional periférica y marginal. La entrada de los nuevos responsables políticos, procedentes en muchos casos de los movimientos vecinales del tardofranquismo, contó con la ventaja de una agenda de reivindicaciones acumulada a lo largo de esos años. Luego las exigencias de gestión y tradición burocrática generaron nuevas formas de respuesta institucional, técnica y administrativa que fueron las fuentes y mecanismos de innovación institucional y política de los gobiernos locales. De esta manera,  las estructuras de las administraciones públicas, pensadas desde lógicas de bajo intervencionismo público en la vida social y económica, sintieron la presión de unos años en que se acumulaban necesidades y se multiplicaban recursos y ámbitos de intervención pública en las ciudades. Muchos ayuntamientos experimentaron con nuevas formas organizativas y de gestión de proyectos, buscando en los entes, consorcios y entidades de derecho privado, formas para agilizar intervenciones y procesos de cambio. La fragmentación institucional caracteriza hoy el entramado que rodea a los ayuntamientos de muchas ciudades. En este sentido, algunas ciudades han servido de modelo, y los procesos de innovación han ido trasladándose de unas ciudades a otras.</w:t>
      </w:r>
    </w:p>
    <w:p w:rsidR="003E0EE6" w:rsidRDefault="003E0EE6">
      <w:pPr>
        <w:pStyle w:val="IGOPtextbase"/>
      </w:pPr>
      <w:r>
        <w:t>Sin embargo, las insuficiencias del modelo jerárquico y estrictamente institucional son evidentes y se ha de pasar de los procesos de planificación estratégica a la configuración de espacios de participación ciudadana. Es decir, la mayor complejidad social en las ciudades, densifica y modifica las agendas de intervención, y dificulta el operar con criterios y pautas estrictamente jerárquicas e institucionales. Los procesos de legitimación electoral cada cuatro años no son suficientes para apuntalar las constantes necesidades de consenso sobre intervenciones urbanas concretas, y todo ello conlleva la necesidad de establecer canales más directos de participación social en los procesos decisionales y en la gestión de las políticas. Los municipios van creando espacios más o menos estables de participación social, mientas multiplican asimismo las formas de gestión indirecta de servicios públicos.</w:t>
      </w:r>
    </w:p>
    <w:p w:rsidR="003E0EE6" w:rsidRDefault="003E0EE6">
      <w:pPr>
        <w:pStyle w:val="IGOPtextbase"/>
      </w:pPr>
      <w:r>
        <w:t xml:space="preserve">¿Podemos entonces hablar de gobernanza urbana? Si pasamos de la administración local al gobierno local, estamos ahora frente a la necesidad de buscar formas más complejas de articular respuestas colectivas a problemas comunes en las distintas ciudades. No bastan los mecanismos de gobierno tradicionales, y se van articulando y promoviendo formas de gobernanza local que acepten la interdependencia entre los distintos actores locales, y que busquen consensos sobre propuestas específicas. </w:t>
      </w:r>
    </w:p>
    <w:p w:rsidR="003E0EE6" w:rsidRDefault="003E0EE6">
      <w:pPr>
        <w:pStyle w:val="IGOPtextbase"/>
      </w:pPr>
      <w:r>
        <w:t>Vinculado a esto debemos referirnos a la complejidad del gobierno multinivel donde las esferas de gobierno redefinen la lógica de gobierno territorial. En estos años de democracia local, los procesos de reconfiguración del poder del Estado han sido múltiples y variados. En general hemos asistido a procesos de “devolution” a través de los cuáles se han reforzado instancias de poder subestatal, pero, al mismo tiempo, se han intensificado mecanismos de articulación de políticas en la esfera supraestatal. Simultáneamente, el Estado ha ido desplazando funciones  y tareas hacia los ámbitos propios de la actividad mercantil o del llamado “tercer sector”. En ese escenario, los gobiernos locales han visto afectados sus roles y sus posiciones institucionales. Cada vez resulta menos adecuado hablar de “niveles de gobierno” para referirnos a un sistema cruzado de competencias y tareas que se entremezclan, se solapan y precisan de formas de gobierno más horizontales y más propias de estructuras en red. Hablar y referirnos a esferas de gobierno en un escenario multinivel parece más adecuado para adentrarnos en la gobernanza del territorio. Por otro lado, surgen muchos interrogantes sobre la relación entre la escala de los problemas y la escala de las capacidades institucionales para dar adecuada respuesta. Todo ello replantea la estructura de los gobiernos locales en España y su articulación con las demás esferas de gobierno y con el resto de sistema o regímenes territoriales de gobierno. Veamos</w:t>
      </w:r>
      <w:r w:rsidR="007714D9">
        <w:t xml:space="preserve"> algunas de las variables clave:</w:t>
      </w:r>
    </w:p>
    <w:p w:rsidR="003E0EE6" w:rsidRDefault="003E0EE6">
      <w:pPr>
        <w:pStyle w:val="IGOPtextbase"/>
        <w:numPr>
          <w:ilvl w:val="0"/>
          <w:numId w:val="17"/>
        </w:numPr>
      </w:pPr>
      <w:r>
        <w:t>Bajo perfil del tema urbano en el proceso de descentralización territorial de la España constitucional</w:t>
      </w:r>
    </w:p>
    <w:p w:rsidR="003E0EE6" w:rsidRDefault="003E0EE6">
      <w:pPr>
        <w:pStyle w:val="IGOPtextbase"/>
        <w:numPr>
          <w:ilvl w:val="0"/>
          <w:numId w:val="17"/>
        </w:numPr>
      </w:pPr>
      <w:r>
        <w:t>Los gobiernos locales han ocupado un espacio relativamente marginal en la reconfiguración de las competencias y de las capacidades de gobierno en España que acompañó y marcó el proceso constitucional y el despliegue del Estado autonómico. De hecho, apenas si ha variado el papel de los gobiernos locales en las coordenadas de distribución del gasto público en España desde 1980 hasta ahora. Y está ampliamente aceptado que sería necesario abordar un nuevo proceso de descentralización hacia la esfera local de gobierno.</w:t>
      </w:r>
    </w:p>
    <w:p w:rsidR="003E0EE6" w:rsidRDefault="003E0EE6">
      <w:pPr>
        <w:pStyle w:val="IGOPtextbase"/>
        <w:numPr>
          <w:ilvl w:val="0"/>
          <w:numId w:val="18"/>
        </w:numPr>
      </w:pPr>
      <w:r>
        <w:t xml:space="preserve">Identidades territoriales y gobiernos locales: No puede plantearse el tema de la “racionalización” del mundo local en España atendiendo sólo a problemas de eficiencia y eficacia. Los análisis llevados a cabo en las siete ciudades ponen de relieve diferentes conformaciones territoriales que afectan a superficie, habitantes o densidades. Difícilmente puede abordarse ese tema sin atender los temas de identidad, de configuración espacial, para abordar luego los temas de escala y de poder. </w:t>
      </w:r>
    </w:p>
    <w:p w:rsidR="003E0EE6" w:rsidRDefault="003E0EE6">
      <w:pPr>
        <w:pStyle w:val="IGOPtextbase"/>
        <w:numPr>
          <w:ilvl w:val="0"/>
          <w:numId w:val="19"/>
        </w:numPr>
      </w:pPr>
      <w:r>
        <w:t xml:space="preserve">Los problemas de fragmentación y de escala. Ciudad, metrópolis y región: En muchas de las ciudades estudiadas, aparece el problema metropolitano, sea de forma implícita o explícita. Y junto a ello, surge el tema de las conexiones con el ámbito regional y/o autonómico. Parece superada la fase de reconfiguración “desde arriba”, pero parece igualmente urgente encontrar fórmulas de gobernación conjunta, no competitiva, de realidades y problemáticas territoriales que así lo exigen. </w:t>
      </w:r>
    </w:p>
    <w:p w:rsidR="007714D9" w:rsidRDefault="003E0EE6">
      <w:pPr>
        <w:pStyle w:val="IGOPtextbase"/>
        <w:numPr>
          <w:ilvl w:val="0"/>
          <w:numId w:val="20"/>
        </w:numPr>
      </w:pPr>
      <w:r>
        <w:t>Europeización de políticas e internacionalización de ciudades: ¿Cómo han afectado a las políticas urbanas la creciente europeización de las políticas públicas en España?. Como sabemos, las políticas europeas usan vías indirectas de influencia, sea a través de directivas, sea a través de fondos condicionados. En ambos casos, las políticas urbanas se han visto afectadas, y ello vuelve a poner de manifiesto la significación de lógicas de gobierno multinivel del territorio. Por otro lado, en las ciudades analizadas, en mayor o menor medida, se observa un creciente interés por estar presentes en la escena internacional sea a través de formatos de promoción de su propia realidad económica, sea a través de redes de cooperación o en la búsqueda de perfiles propios en las redes de ciudades en general</w:t>
      </w:r>
      <w:r w:rsidR="007714D9">
        <w:t>.</w:t>
      </w:r>
    </w:p>
    <w:p w:rsidR="003E0EE6" w:rsidRDefault="007714D9" w:rsidP="007714D9">
      <w:pPr>
        <w:pStyle w:val="IGOP11"/>
      </w:pPr>
      <w:r>
        <w:t>Soluciones complejas a problemas complejos</w:t>
      </w:r>
    </w:p>
    <w:p w:rsidR="003E0EE6" w:rsidRDefault="003E0EE6">
      <w:pPr>
        <w:pStyle w:val="IGOPtextbase"/>
      </w:pPr>
      <w:r>
        <w:t xml:space="preserve">¿Dónde estamos?. ¿Cómo responder a las complejidades actuales del gobierno multinivel? ¿Cómo se articula en la práctica esa creciente complejidad y solapamiento de esferas de gobierno en un mismo espacio territorial?. Sin fórmulas preestablecidas, observamos mecanismos más o menos formalizados de articulación en las distintas ciudades analizadas. </w:t>
      </w:r>
    </w:p>
    <w:p w:rsidR="003E0EE6" w:rsidRDefault="003E0EE6">
      <w:pPr>
        <w:pStyle w:val="IGOPtextbase"/>
      </w:pPr>
      <w:r>
        <w:t>Todo parece apuntar a que esa realidad compleja y crecientemente contradictoria de las ciudades no tenderá a declinar. Las ciudades condensan los efectos del final de ciclo y del cambio de época. Agotado el modelo de desarrollo urbano a caballo del boom inmobiliario, las ciudades deberán afrontar con sus menguados recursos y sus déficits competenciales la presencia directa del endeudamiento, del paro estructural, los problemas de movilidad y de impactos ambientales, al mismo tiempo que deberán buscar nuevos formatos de desarrollo local. Las opciones que se tomen en estos próximos años en las configuraciones de regímenes más o menos compartidos de gobierno entre las distintas esferas de gobierno y los entramados de actores territoriales acabarán definiendo sus posibilidades de afrontar con mayores capacidades esos nuevos escenarios. Políticas urbanas más transversales, más compartidas y con mayor aceptación de lógicas multinivel son las vías que nos muestran las líneas de fuerza extraídas de la experiencia de estos treinta años en las siete ciudades analizadas</w:t>
      </w:r>
      <w:r w:rsidR="007714D9">
        <w:t>.</w:t>
      </w:r>
    </w:p>
    <w:p w:rsidR="003E0EE6" w:rsidRDefault="003E0EE6">
      <w:pPr>
        <w:pStyle w:val="IGOPtextbase"/>
      </w:pPr>
    </w:p>
    <w:sectPr w:rsidR="003E0EE6" w:rsidSect="003E0EE6">
      <w:pgSz w:w="11900" w:h="16840"/>
      <w:pgMar w:top="1417" w:right="1701" w:bottom="1417" w:left="1701" w:header="708" w:footer="708" w:gutter="0"/>
      <w:cols w:space="708"/>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0C6510" w:rsidRDefault="000C6510">
      <w:pPr>
        <w:spacing w:after="0"/>
      </w:pPr>
      <w:r>
        <w:separator/>
      </w:r>
    </w:p>
  </w:endnote>
  <w:endnote w:type="continuationSeparator" w:id="1">
    <w:p w:rsidR="000C6510" w:rsidRDefault="000C651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C6510" w:rsidRDefault="000C6510">
    <w:pPr>
      <w:pStyle w:val="Piedepgina"/>
      <w:framePr w:wrap="auto" w:vAnchor="text" w:hAnchor="margin" w:xAlign="right" w:y="1"/>
      <w:rPr>
        <w:rStyle w:val="Nmerodepgina"/>
        <w:rFonts w:ascii="Cambria" w:hAnsi="Cambria" w:cs="Cambria"/>
        <w:lang w:val="es-ES_tradnl"/>
      </w:rPr>
    </w:pPr>
    <w:r>
      <w:rPr>
        <w:rStyle w:val="Nmerodepgina"/>
        <w:sz w:val="18"/>
        <w:szCs w:val="18"/>
      </w:rPr>
      <w:fldChar w:fldCharType="begin"/>
    </w:r>
    <w:r>
      <w:rPr>
        <w:rStyle w:val="Nmerodepgina"/>
        <w:sz w:val="18"/>
        <w:szCs w:val="18"/>
      </w:rPr>
      <w:instrText xml:space="preserve">PAGE  </w:instrText>
    </w:r>
    <w:r>
      <w:rPr>
        <w:rStyle w:val="Nmerodepgina"/>
        <w:sz w:val="18"/>
        <w:szCs w:val="18"/>
      </w:rPr>
      <w:fldChar w:fldCharType="separate"/>
    </w:r>
    <w:r w:rsidR="00E66195">
      <w:rPr>
        <w:rStyle w:val="Nmerodepgina"/>
        <w:noProof/>
        <w:sz w:val="18"/>
        <w:szCs w:val="18"/>
      </w:rPr>
      <w:t>17</w:t>
    </w:r>
    <w:r>
      <w:rPr>
        <w:rStyle w:val="Nmerodepgina"/>
        <w:sz w:val="18"/>
        <w:szCs w:val="18"/>
      </w:rPr>
      <w:fldChar w:fldCharType="end"/>
    </w:r>
  </w:p>
  <w:p w:rsidR="000C6510" w:rsidRDefault="000C6510">
    <w:pPr>
      <w:ind w:right="360"/>
      <w:jc w:val="right"/>
      <w:rPr>
        <w:sz w:val="20"/>
        <w:szCs w:val="20"/>
      </w:rP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0C6510" w:rsidRDefault="000C6510">
      <w:pPr>
        <w:spacing w:after="0"/>
      </w:pPr>
      <w:r>
        <w:separator/>
      </w:r>
    </w:p>
  </w:footnote>
  <w:footnote w:type="continuationSeparator" w:id="1">
    <w:p w:rsidR="000C6510" w:rsidRDefault="000C6510">
      <w:pPr>
        <w:spacing w:after="0"/>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D9249F"/>
    <w:multiLevelType w:val="singleLevel"/>
    <w:tmpl w:val="C47A1F56"/>
    <w:lvl w:ilvl="0">
      <w:numFmt w:val="bullet"/>
      <w:lvlText w:val="-"/>
      <w:lvlJc w:val="left"/>
      <w:pPr>
        <w:tabs>
          <w:tab w:val="num" w:pos="360"/>
        </w:tabs>
        <w:ind w:left="360" w:hanging="360"/>
      </w:pPr>
      <w:rPr>
        <w:rFonts w:hint="default"/>
      </w:rPr>
    </w:lvl>
  </w:abstractNum>
  <w:abstractNum w:abstractNumId="1">
    <w:nsid w:val="0E592F65"/>
    <w:multiLevelType w:val="multilevel"/>
    <w:tmpl w:val="4C468266"/>
    <w:lvl w:ilvl="0">
      <w:start w:val="1"/>
      <w:numFmt w:val="decimal"/>
      <w:pStyle w:val="IGOP1"/>
      <w:suff w:val="space"/>
      <w:lvlText w:val="%1."/>
      <w:lvlJc w:val="left"/>
      <w:pPr>
        <w:ind w:left="360" w:hanging="360"/>
      </w:pPr>
      <w:rPr>
        <w:rFonts w:hint="default"/>
      </w:rPr>
    </w:lvl>
    <w:lvl w:ilvl="1">
      <w:start w:val="1"/>
      <w:numFmt w:val="decimal"/>
      <w:pStyle w:val="IGOP11"/>
      <w:suff w:val="space"/>
      <w:lvlText w:val="%1.%2"/>
      <w:lvlJc w:val="left"/>
      <w:rPr>
        <w:rFonts w:hint="default"/>
      </w:rPr>
    </w:lvl>
    <w:lvl w:ilvl="2">
      <w:start w:val="1"/>
      <w:numFmt w:val="decimal"/>
      <w:pStyle w:val="IGOP111"/>
      <w:suff w:val="space"/>
      <w:lvlText w:val="%1.%2.%3"/>
      <w:lvlJc w:val="left"/>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03CAE"/>
    <w:multiLevelType w:val="multilevel"/>
    <w:tmpl w:val="F21A7CB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nsid w:val="11F529C5"/>
    <w:multiLevelType w:val="multilevel"/>
    <w:tmpl w:val="A7C82314"/>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167946C9"/>
    <w:multiLevelType w:val="multilevel"/>
    <w:tmpl w:val="DB422494"/>
    <w:lvl w:ilvl="0">
      <w:start w:val="1"/>
      <w:numFmt w:val="bullet"/>
      <w:lvlText w:val=""/>
      <w:lvlJc w:val="left"/>
      <w:pPr>
        <w:tabs>
          <w:tab w:val="num" w:pos="720"/>
        </w:tabs>
        <w:ind w:left="720" w:hanging="360"/>
      </w:pPr>
      <w:rPr>
        <w:rFonts w:ascii="Symbol" w:hAnsi="Symbol" w:cs="Symbol" w:hint="default"/>
      </w:rPr>
    </w:lvl>
    <w:lvl w:ilvl="1">
      <w:start w:val="1"/>
      <w:numFmt w:val="bullet"/>
      <w:pStyle w:val="IGOPsubllistatvinyeta"/>
      <w:lvlText w:val=""/>
      <w:lvlJc w:val="left"/>
      <w:pPr>
        <w:tabs>
          <w:tab w:val="num" w:pos="1440"/>
        </w:tabs>
        <w:ind w:left="1440" w:hanging="360"/>
      </w:pPr>
      <w:rPr>
        <w:rFonts w:ascii="Wingdings" w:hAnsi="Wingdings" w:cs="Wingdings" w:hint="default"/>
        <w:color w:val="808080"/>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2805092A"/>
    <w:multiLevelType w:val="singleLevel"/>
    <w:tmpl w:val="C47A1F56"/>
    <w:lvl w:ilvl="0">
      <w:numFmt w:val="bullet"/>
      <w:lvlText w:val="-"/>
      <w:lvlJc w:val="left"/>
      <w:pPr>
        <w:tabs>
          <w:tab w:val="num" w:pos="360"/>
        </w:tabs>
        <w:ind w:left="360" w:hanging="360"/>
      </w:pPr>
      <w:rPr>
        <w:rFonts w:hint="default"/>
      </w:rPr>
    </w:lvl>
  </w:abstractNum>
  <w:abstractNum w:abstractNumId="6">
    <w:nsid w:val="2893540F"/>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7">
    <w:nsid w:val="29B24D42"/>
    <w:multiLevelType w:val="singleLevel"/>
    <w:tmpl w:val="C47A1F56"/>
    <w:lvl w:ilvl="0">
      <w:numFmt w:val="bullet"/>
      <w:lvlText w:val="-"/>
      <w:lvlJc w:val="left"/>
      <w:pPr>
        <w:tabs>
          <w:tab w:val="num" w:pos="360"/>
        </w:tabs>
        <w:ind w:left="360" w:hanging="360"/>
      </w:pPr>
      <w:rPr>
        <w:rFonts w:hint="default"/>
      </w:rPr>
    </w:lvl>
  </w:abstractNum>
  <w:abstractNum w:abstractNumId="8">
    <w:nsid w:val="351070D7"/>
    <w:multiLevelType w:val="singleLevel"/>
    <w:tmpl w:val="C47A1F56"/>
    <w:lvl w:ilvl="0">
      <w:numFmt w:val="bullet"/>
      <w:lvlText w:val="-"/>
      <w:lvlJc w:val="left"/>
      <w:pPr>
        <w:tabs>
          <w:tab w:val="num" w:pos="360"/>
        </w:tabs>
        <w:ind w:left="360" w:hanging="360"/>
      </w:pPr>
      <w:rPr>
        <w:rFonts w:hint="default"/>
      </w:rPr>
    </w:lvl>
  </w:abstractNum>
  <w:abstractNum w:abstractNumId="9">
    <w:nsid w:val="362325C2"/>
    <w:multiLevelType w:val="multilevel"/>
    <w:tmpl w:val="89F279A4"/>
    <w:lvl w:ilvl="0">
      <w:start w:val="1"/>
      <w:numFmt w:val="bullet"/>
      <w:pStyle w:val="IGOPllistatvinyeta"/>
      <w:lvlText w:val=""/>
      <w:lvlJc w:val="left"/>
      <w:pPr>
        <w:tabs>
          <w:tab w:val="num" w:pos="0"/>
        </w:tabs>
        <w:ind w:left="36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685430F"/>
    <w:multiLevelType w:val="multilevel"/>
    <w:tmpl w:val="F21A7CB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BED4479"/>
    <w:multiLevelType w:val="multilevel"/>
    <w:tmpl w:val="276A9112"/>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F783170"/>
    <w:multiLevelType w:val="singleLevel"/>
    <w:tmpl w:val="C47A1F56"/>
    <w:lvl w:ilvl="0">
      <w:numFmt w:val="bullet"/>
      <w:lvlText w:val="-"/>
      <w:lvlJc w:val="left"/>
      <w:pPr>
        <w:tabs>
          <w:tab w:val="num" w:pos="360"/>
        </w:tabs>
        <w:ind w:left="360" w:hanging="360"/>
      </w:pPr>
      <w:rPr>
        <w:rFonts w:hint="default"/>
      </w:rPr>
    </w:lvl>
  </w:abstractNum>
  <w:abstractNum w:abstractNumId="13">
    <w:nsid w:val="45587111"/>
    <w:multiLevelType w:val="multilevel"/>
    <w:tmpl w:val="9AD2E2CC"/>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48AF22D6"/>
    <w:multiLevelType w:val="multilevel"/>
    <w:tmpl w:val="5D70F4E8"/>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58D05A22"/>
    <w:multiLevelType w:val="multilevel"/>
    <w:tmpl w:val="0A825E5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601E23C3"/>
    <w:multiLevelType w:val="singleLevel"/>
    <w:tmpl w:val="C47A1F56"/>
    <w:lvl w:ilvl="0">
      <w:numFmt w:val="bullet"/>
      <w:lvlText w:val="-"/>
      <w:lvlJc w:val="left"/>
      <w:pPr>
        <w:tabs>
          <w:tab w:val="num" w:pos="360"/>
        </w:tabs>
        <w:ind w:left="360" w:hanging="360"/>
      </w:pPr>
      <w:rPr>
        <w:rFonts w:hint="default"/>
      </w:rPr>
    </w:lvl>
  </w:abstractNum>
  <w:abstractNum w:abstractNumId="17">
    <w:nsid w:val="60641D77"/>
    <w:multiLevelType w:val="multilevel"/>
    <w:tmpl w:val="D270AF8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D634423"/>
    <w:multiLevelType w:val="multilevel"/>
    <w:tmpl w:val="8F5C3958"/>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nsid w:val="6FAD0B2B"/>
    <w:multiLevelType w:val="multilevel"/>
    <w:tmpl w:val="3820A130"/>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10"/>
  </w:num>
  <w:num w:numId="3">
    <w:abstractNumId w:val="4"/>
  </w:num>
  <w:num w:numId="4">
    <w:abstractNumId w:val="15"/>
  </w:num>
  <w:num w:numId="5">
    <w:abstractNumId w:val="2"/>
  </w:num>
  <w:num w:numId="6">
    <w:abstractNumId w:val="9"/>
  </w:num>
  <w:num w:numId="7">
    <w:abstractNumId w:val="11"/>
  </w:num>
  <w:num w:numId="8">
    <w:abstractNumId w:val="3"/>
  </w:num>
  <w:num w:numId="9">
    <w:abstractNumId w:val="18"/>
  </w:num>
  <w:num w:numId="10">
    <w:abstractNumId w:val="17"/>
  </w:num>
  <w:num w:numId="11">
    <w:abstractNumId w:val="14"/>
  </w:num>
  <w:num w:numId="12">
    <w:abstractNumId w:val="19"/>
  </w:num>
  <w:num w:numId="13">
    <w:abstractNumId w:val="13"/>
  </w:num>
  <w:num w:numId="14">
    <w:abstractNumId w:val="6"/>
  </w:num>
  <w:num w:numId="15">
    <w:abstractNumId w:val="0"/>
  </w:num>
  <w:num w:numId="16">
    <w:abstractNumId w:val="7"/>
  </w:num>
  <w:num w:numId="17">
    <w:abstractNumId w:val="8"/>
  </w:num>
  <w:num w:numId="18">
    <w:abstractNumId w:val="12"/>
  </w:num>
  <w:num w:numId="19">
    <w:abstractNumId w:val="16"/>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2"/>
  </w:hdrShapeDefaults>
  <w:footnotePr>
    <w:footnote w:id="0"/>
    <w:footnote w:id="1"/>
  </w:footnotePr>
  <w:endnotePr>
    <w:endnote w:id="0"/>
    <w:endnote w:id="1"/>
  </w:endnotePr>
  <w:compat>
    <w:adjustLineHeightInTable/>
    <w:useFELayout/>
  </w:compat>
  <w:rsids>
    <w:rsidRoot w:val="003E0EE6"/>
    <w:rsid w:val="000C6510"/>
    <w:rsid w:val="000C7067"/>
    <w:rsid w:val="0021572A"/>
    <w:rsid w:val="003E0EE6"/>
    <w:rsid w:val="003E2C2C"/>
    <w:rsid w:val="00430EAD"/>
    <w:rsid w:val="007714D9"/>
    <w:rsid w:val="007E4097"/>
    <w:rsid w:val="00817F97"/>
    <w:rsid w:val="00823429"/>
    <w:rsid w:val="008A755A"/>
    <w:rsid w:val="009E1249"/>
    <w:rsid w:val="00E66195"/>
  </w:rsids>
  <m:mathPr>
    <m:mathFont m:val="Impact"/>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_tradnl" w:eastAsia="es-ES_tradnl" w:bidi="ar-SA"/>
      </w:rPr>
    </w:rPrDefault>
    <w:pPrDefault/>
  </w:docDefaults>
  <w:latentStyles w:defLockedState="0" w:defUIPriority="99" w:defSemiHidden="1" w:defUnhideWhenUsed="0" w:defQFormat="0" w:count="276">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semiHidden="0" w:qFormat="1"/>
    <w:lsdException w:name="envelope address" w:unhideWhenUsed="1"/>
    <w:lsdException w:name="envelope return"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0"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A755A"/>
    <w:pPr>
      <w:autoSpaceDE w:val="0"/>
      <w:autoSpaceDN w:val="0"/>
      <w:spacing w:after="200"/>
    </w:pPr>
    <w:rPr>
      <w:rFonts w:ascii="Cambria" w:hAnsi="Cambria" w:cs="Cambria"/>
      <w:sz w:val="24"/>
      <w:szCs w:val="24"/>
    </w:rPr>
  </w:style>
  <w:style w:type="paragraph" w:styleId="Ttulo1">
    <w:name w:val="heading 1"/>
    <w:basedOn w:val="Normal"/>
    <w:next w:val="Normal"/>
    <w:link w:val="Ttulo1Car"/>
    <w:uiPriority w:val="99"/>
    <w:qFormat/>
    <w:rsid w:val="008A755A"/>
    <w:pPr>
      <w:keepNext/>
      <w:keepLines/>
      <w:spacing w:before="480" w:after="0"/>
      <w:outlineLvl w:val="0"/>
    </w:pPr>
    <w:rPr>
      <w:rFonts w:ascii="Calibri" w:hAnsi="Calibri" w:cs="Calibri"/>
      <w:b/>
      <w:bCs/>
      <w:color w:val="008080"/>
      <w:sz w:val="32"/>
      <w:szCs w:val="32"/>
    </w:rPr>
  </w:style>
  <w:style w:type="paragraph" w:styleId="Ttulo2">
    <w:name w:val="heading 2"/>
    <w:basedOn w:val="Normal"/>
    <w:next w:val="Normal"/>
    <w:link w:val="Ttulo2Car"/>
    <w:uiPriority w:val="99"/>
    <w:qFormat/>
    <w:rsid w:val="008A755A"/>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uiPriority w:val="99"/>
    <w:qFormat/>
    <w:rsid w:val="008A755A"/>
    <w:pPr>
      <w:keepNext/>
      <w:spacing w:before="240" w:after="60"/>
      <w:outlineLvl w:val="2"/>
    </w:pPr>
    <w:rPr>
      <w:rFonts w:ascii="Arial" w:hAnsi="Arial" w:cs="Arial"/>
      <w:b/>
      <w:bCs/>
      <w:sz w:val="26"/>
      <w:szCs w:val="26"/>
      <w:lang w:val="es-ES"/>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uiPriority w:val="99"/>
    <w:rsid w:val="008A755A"/>
    <w:rPr>
      <w:rFonts w:ascii="Calibri" w:hAnsi="Calibri" w:cs="Calibri"/>
      <w:b/>
      <w:bCs/>
      <w:color w:val="008080"/>
      <w:sz w:val="32"/>
      <w:szCs w:val="32"/>
    </w:rPr>
  </w:style>
  <w:style w:type="character" w:customStyle="1" w:styleId="Ttulo2Car">
    <w:name w:val="Título 2 Car"/>
    <w:basedOn w:val="Fuentedeprrafopredeter"/>
    <w:link w:val="Ttulo2"/>
    <w:uiPriority w:val="99"/>
    <w:rsid w:val="008A755A"/>
    <w:rPr>
      <w:rFonts w:ascii="Arial" w:hAnsi="Arial" w:cs="Arial"/>
      <w:b/>
      <w:bCs/>
      <w:i/>
      <w:iCs/>
      <w:sz w:val="28"/>
      <w:szCs w:val="28"/>
      <w:lang w:val="es-ES"/>
    </w:rPr>
  </w:style>
  <w:style w:type="character" w:customStyle="1" w:styleId="Ttulo3Car">
    <w:name w:val="Título 3 Car"/>
    <w:basedOn w:val="Fuentedeprrafopredeter"/>
    <w:link w:val="Ttulo3"/>
    <w:uiPriority w:val="99"/>
    <w:rsid w:val="008A755A"/>
    <w:rPr>
      <w:rFonts w:ascii="Arial" w:hAnsi="Arial" w:cs="Arial"/>
      <w:b/>
      <w:bCs/>
      <w:sz w:val="26"/>
      <w:szCs w:val="26"/>
      <w:lang w:val="es-ES"/>
    </w:rPr>
  </w:style>
  <w:style w:type="paragraph" w:customStyle="1" w:styleId="IGOP1">
    <w:name w:val="IGOP 1"/>
    <w:basedOn w:val="Ttulo1"/>
    <w:uiPriority w:val="99"/>
    <w:rsid w:val="008A755A"/>
    <w:pPr>
      <w:keepLines w:val="0"/>
      <w:numPr>
        <w:numId w:val="1"/>
      </w:numPr>
      <w:spacing w:before="0" w:after="240"/>
    </w:pPr>
    <w:rPr>
      <w:rFonts w:ascii="Arial" w:hAnsi="Arial" w:cs="Arial"/>
      <w:color w:val="auto"/>
      <w:kern w:val="32"/>
      <w:lang w:val="ca-ES"/>
    </w:rPr>
  </w:style>
  <w:style w:type="paragraph" w:customStyle="1" w:styleId="IGOPtextbase">
    <w:name w:val="IGOP_text base"/>
    <w:basedOn w:val="Normal"/>
    <w:uiPriority w:val="99"/>
    <w:rsid w:val="008A755A"/>
    <w:pPr>
      <w:spacing w:after="240" w:line="280" w:lineRule="exact"/>
      <w:jc w:val="both"/>
    </w:pPr>
    <w:rPr>
      <w:rFonts w:ascii="Arial" w:hAnsi="Arial" w:cs="Arial"/>
      <w:sz w:val="22"/>
      <w:szCs w:val="22"/>
      <w:lang w:val="ca-ES"/>
    </w:rPr>
  </w:style>
  <w:style w:type="paragraph" w:customStyle="1" w:styleId="IGOP11">
    <w:name w:val="IGOP 1.1"/>
    <w:basedOn w:val="IGOPtextbase"/>
    <w:uiPriority w:val="99"/>
    <w:rsid w:val="008A755A"/>
    <w:pPr>
      <w:numPr>
        <w:ilvl w:val="1"/>
        <w:numId w:val="1"/>
      </w:numPr>
      <w:tabs>
        <w:tab w:val="num" w:pos="360"/>
      </w:tabs>
      <w:spacing w:before="360"/>
      <w:outlineLvl w:val="1"/>
    </w:pPr>
    <w:rPr>
      <w:b/>
      <w:bCs/>
      <w:sz w:val="24"/>
      <w:szCs w:val="24"/>
    </w:rPr>
  </w:style>
  <w:style w:type="character" w:customStyle="1" w:styleId="IGOPtextbaseCar">
    <w:name w:val="IGOP_text base Car"/>
    <w:basedOn w:val="Fuentedeprrafopredeter"/>
    <w:uiPriority w:val="99"/>
    <w:rsid w:val="008A755A"/>
    <w:rPr>
      <w:rFonts w:ascii="Arial" w:hAnsi="Arial" w:cs="Arial"/>
      <w:sz w:val="20"/>
      <w:szCs w:val="20"/>
      <w:lang w:val="ca-ES"/>
    </w:rPr>
  </w:style>
  <w:style w:type="paragraph" w:customStyle="1" w:styleId="IGOP111">
    <w:name w:val="IGOP 1.1.1"/>
    <w:uiPriority w:val="99"/>
    <w:rsid w:val="008A755A"/>
    <w:pPr>
      <w:numPr>
        <w:ilvl w:val="2"/>
        <w:numId w:val="1"/>
      </w:numPr>
      <w:autoSpaceDE w:val="0"/>
      <w:autoSpaceDN w:val="0"/>
      <w:spacing w:before="360" w:after="240"/>
      <w:outlineLvl w:val="2"/>
    </w:pPr>
    <w:rPr>
      <w:rFonts w:ascii="Arial" w:hAnsi="Arial" w:cs="Arial"/>
      <w:b/>
      <w:bCs/>
      <w:lang w:val="ca-ES"/>
    </w:rPr>
  </w:style>
  <w:style w:type="paragraph" w:customStyle="1" w:styleId="IGOPsubllistatvinyeta">
    <w:name w:val="IGOP subllistat vinyeta"/>
    <w:basedOn w:val="IGOPllistatvinyeta"/>
    <w:uiPriority w:val="99"/>
    <w:rsid w:val="008A755A"/>
    <w:pPr>
      <w:numPr>
        <w:ilvl w:val="1"/>
        <w:numId w:val="3"/>
      </w:numPr>
      <w:tabs>
        <w:tab w:val="clear" w:pos="1440"/>
        <w:tab w:val="num" w:pos="360"/>
      </w:tabs>
      <w:ind w:left="714" w:hanging="357"/>
    </w:pPr>
  </w:style>
  <w:style w:type="paragraph" w:customStyle="1" w:styleId="IGOPTextnotapeupagina">
    <w:name w:val="IGOP Text nota peu pagina"/>
    <w:basedOn w:val="Textonotapie"/>
    <w:uiPriority w:val="99"/>
    <w:rsid w:val="008A755A"/>
    <w:pPr>
      <w:spacing w:after="120"/>
    </w:pPr>
    <w:rPr>
      <w:rFonts w:ascii="Arial Narrow" w:hAnsi="Arial Narrow" w:cs="Arial Narrow"/>
    </w:rPr>
  </w:style>
  <w:style w:type="paragraph" w:customStyle="1" w:styleId="IGOPtitolGraficaGris">
    <w:name w:val="IGOP titol Grafica Gris"/>
    <w:basedOn w:val="Normal"/>
    <w:uiPriority w:val="99"/>
    <w:rsid w:val="008A755A"/>
    <w:pPr>
      <w:spacing w:after="60"/>
      <w:jc w:val="both"/>
    </w:pPr>
    <w:rPr>
      <w:rFonts w:ascii="Arial" w:hAnsi="Arial" w:cs="Arial"/>
      <w:color w:val="808080"/>
      <w:sz w:val="20"/>
      <w:szCs w:val="20"/>
      <w:lang w:val="es-ES"/>
    </w:rPr>
  </w:style>
  <w:style w:type="paragraph" w:styleId="TDC1">
    <w:name w:val="toc 1"/>
    <w:basedOn w:val="Normal"/>
    <w:next w:val="Normal"/>
    <w:autoRedefine/>
    <w:uiPriority w:val="99"/>
    <w:rsid w:val="008A755A"/>
    <w:pPr>
      <w:tabs>
        <w:tab w:val="right" w:leader="dot" w:pos="8505"/>
      </w:tabs>
      <w:spacing w:before="240" w:after="120"/>
      <w:ind w:left="284" w:right="1134" w:hanging="284"/>
    </w:pPr>
    <w:rPr>
      <w:rFonts w:ascii="Arial Narrow" w:hAnsi="Arial Narrow" w:cs="Arial Narrow"/>
      <w:b/>
      <w:bCs/>
      <w:lang w:val="es-ES"/>
    </w:rPr>
  </w:style>
  <w:style w:type="paragraph" w:styleId="TDC2">
    <w:name w:val="toc 2"/>
    <w:basedOn w:val="Normal"/>
    <w:next w:val="Normal"/>
    <w:autoRedefine/>
    <w:uiPriority w:val="99"/>
    <w:rsid w:val="008A755A"/>
    <w:pPr>
      <w:spacing w:before="120" w:after="60"/>
      <w:ind w:left="596" w:right="1134" w:hanging="369"/>
      <w:outlineLvl w:val="1"/>
    </w:pPr>
    <w:rPr>
      <w:rFonts w:ascii="Arial Narrow" w:hAnsi="Arial Narrow" w:cs="Arial Narrow"/>
      <w:sz w:val="22"/>
      <w:szCs w:val="22"/>
      <w:lang w:val="es-ES"/>
    </w:rPr>
  </w:style>
  <w:style w:type="paragraph" w:styleId="TDC3">
    <w:name w:val="toc 3"/>
    <w:basedOn w:val="Normal"/>
    <w:next w:val="Normal"/>
    <w:autoRedefine/>
    <w:uiPriority w:val="99"/>
    <w:rsid w:val="008A755A"/>
    <w:pPr>
      <w:spacing w:after="60"/>
      <w:ind w:left="1105" w:right="1134" w:hanging="510"/>
    </w:pPr>
    <w:rPr>
      <w:rFonts w:ascii="Arial Narrow" w:hAnsi="Arial Narrow" w:cs="Arial Narrow"/>
      <w:sz w:val="20"/>
      <w:szCs w:val="20"/>
      <w:lang w:val="es-ES"/>
    </w:rPr>
  </w:style>
  <w:style w:type="character" w:styleId="Hipervnculo">
    <w:name w:val="Hyperlink"/>
    <w:basedOn w:val="Fuentedeprrafopredeter"/>
    <w:uiPriority w:val="99"/>
    <w:rsid w:val="008A755A"/>
    <w:rPr>
      <w:rFonts w:ascii="Arial" w:hAnsi="Arial" w:cs="Arial"/>
      <w:color w:val="0000FF"/>
      <w:sz w:val="22"/>
      <w:szCs w:val="22"/>
      <w:u w:val="single"/>
    </w:rPr>
  </w:style>
  <w:style w:type="paragraph" w:styleId="Tabladeilustraciones">
    <w:name w:val="table of figures"/>
    <w:basedOn w:val="Normal"/>
    <w:next w:val="Normal"/>
    <w:uiPriority w:val="99"/>
    <w:rsid w:val="008A755A"/>
    <w:pPr>
      <w:spacing w:after="0"/>
      <w:ind w:left="709" w:right="851" w:hanging="709"/>
    </w:pPr>
    <w:rPr>
      <w:rFonts w:ascii="Arial" w:hAnsi="Arial" w:cs="Arial"/>
      <w:sz w:val="18"/>
      <w:szCs w:val="18"/>
      <w:lang w:val="es-ES"/>
    </w:rPr>
  </w:style>
  <w:style w:type="paragraph" w:styleId="Sangradetdecuerpo">
    <w:name w:val="Body Text Indent"/>
    <w:basedOn w:val="Normal"/>
    <w:link w:val="SangradetdecuerpoCar"/>
    <w:uiPriority w:val="99"/>
    <w:rsid w:val="008A755A"/>
    <w:pPr>
      <w:suppressAutoHyphens/>
      <w:spacing w:after="0"/>
      <w:ind w:left="284"/>
      <w:jc w:val="center"/>
    </w:pPr>
    <w:rPr>
      <w:rFonts w:ascii="Arial" w:hAnsi="Arial" w:cs="Arial"/>
      <w:b/>
      <w:bCs/>
      <w:sz w:val="20"/>
      <w:szCs w:val="20"/>
      <w:lang w:val="es-ES"/>
    </w:rPr>
  </w:style>
  <w:style w:type="character" w:customStyle="1" w:styleId="SangradetdecuerpoCar">
    <w:name w:val="Sangría de t. de cuerpo Car"/>
    <w:basedOn w:val="Fuentedeprrafopredeter"/>
    <w:link w:val="Sangradetdecuerpo"/>
    <w:uiPriority w:val="99"/>
    <w:rsid w:val="008A755A"/>
    <w:rPr>
      <w:rFonts w:ascii="Arial" w:hAnsi="Arial" w:cs="Arial"/>
      <w:b/>
      <w:bCs/>
      <w:sz w:val="20"/>
      <w:szCs w:val="20"/>
      <w:lang w:val="es-ES"/>
    </w:rPr>
  </w:style>
  <w:style w:type="paragraph" w:styleId="Textonotapie">
    <w:name w:val="footnote text"/>
    <w:basedOn w:val="Normal"/>
    <w:link w:val="TextonotapieCar"/>
    <w:uiPriority w:val="99"/>
    <w:rsid w:val="008A755A"/>
    <w:pPr>
      <w:spacing w:after="0"/>
      <w:jc w:val="both"/>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8A755A"/>
    <w:rPr>
      <w:rFonts w:ascii="Arial" w:hAnsi="Arial" w:cs="Arial"/>
      <w:sz w:val="20"/>
      <w:szCs w:val="20"/>
      <w:lang w:val="es-ES"/>
    </w:rPr>
  </w:style>
  <w:style w:type="character" w:styleId="Refdenotaalpie">
    <w:name w:val="footnote reference"/>
    <w:basedOn w:val="Fuentedeprrafopredeter"/>
    <w:uiPriority w:val="99"/>
    <w:rsid w:val="008A755A"/>
    <w:rPr>
      <w:vertAlign w:val="superscript"/>
    </w:rPr>
  </w:style>
  <w:style w:type="paragraph" w:customStyle="1" w:styleId="IGOPBibliografia">
    <w:name w:val="IGOP Bibliografia"/>
    <w:basedOn w:val="IGOPtextbase"/>
    <w:uiPriority w:val="99"/>
    <w:rsid w:val="008A755A"/>
    <w:pPr>
      <w:ind w:left="709" w:hanging="709"/>
    </w:pPr>
    <w:rPr>
      <w:lang w:val="es-ES"/>
    </w:rPr>
  </w:style>
  <w:style w:type="character" w:customStyle="1" w:styleId="IGOPnumnotapeupagina">
    <w:name w:val="IGOP_num nota peu pagina"/>
    <w:basedOn w:val="Refdenotaalpie"/>
    <w:uiPriority w:val="99"/>
    <w:rsid w:val="008A755A"/>
    <w:rPr>
      <w:rFonts w:ascii="Arial" w:hAnsi="Arial" w:cs="Arial"/>
      <w:sz w:val="22"/>
      <w:szCs w:val="22"/>
    </w:rPr>
  </w:style>
  <w:style w:type="paragraph" w:customStyle="1" w:styleId="IGOPllistatvinyeta">
    <w:name w:val="IGOP llistat vinyeta"/>
    <w:basedOn w:val="IGOPtextbase"/>
    <w:uiPriority w:val="99"/>
    <w:rsid w:val="008A755A"/>
    <w:pPr>
      <w:numPr>
        <w:numId w:val="6"/>
      </w:numPr>
      <w:spacing w:after="120" w:line="240" w:lineRule="auto"/>
    </w:pPr>
    <w:rPr>
      <w:lang w:val="es-ES"/>
    </w:rPr>
  </w:style>
  <w:style w:type="paragraph" w:customStyle="1" w:styleId="IGOPtitolTaulaGris">
    <w:name w:val="IGOP titol Taula Gris"/>
    <w:basedOn w:val="Normal"/>
    <w:uiPriority w:val="99"/>
    <w:rsid w:val="008A755A"/>
    <w:pPr>
      <w:spacing w:after="60"/>
      <w:jc w:val="both"/>
    </w:pPr>
    <w:rPr>
      <w:rFonts w:ascii="Arial" w:hAnsi="Arial" w:cs="Arial"/>
      <w:color w:val="808080"/>
      <w:sz w:val="20"/>
      <w:szCs w:val="20"/>
      <w:lang w:val="es-ES"/>
    </w:rPr>
  </w:style>
  <w:style w:type="paragraph" w:customStyle="1" w:styleId="IGOPfontdetaula">
    <w:name w:val="IGOP font de taula"/>
    <w:basedOn w:val="Normal"/>
    <w:uiPriority w:val="99"/>
    <w:rsid w:val="008A755A"/>
    <w:pPr>
      <w:spacing w:before="120" w:after="240"/>
      <w:jc w:val="both"/>
    </w:pPr>
    <w:rPr>
      <w:rFonts w:ascii="Arial" w:hAnsi="Arial" w:cs="Arial"/>
      <w:sz w:val="16"/>
      <w:szCs w:val="16"/>
      <w:lang w:val="es-ES"/>
    </w:rPr>
  </w:style>
  <w:style w:type="paragraph" w:customStyle="1" w:styleId="IGOPtitolblaucapalera">
    <w:name w:val="IGOP titol blau capçalera"/>
    <w:uiPriority w:val="99"/>
    <w:rsid w:val="008A755A"/>
    <w:pPr>
      <w:autoSpaceDE w:val="0"/>
      <w:autoSpaceDN w:val="0"/>
      <w:ind w:left="5761" w:right="45"/>
      <w:jc w:val="right"/>
    </w:pPr>
    <w:rPr>
      <w:rFonts w:ascii="Arial" w:hAnsi="Arial" w:cs="Arial"/>
      <w:color w:val="C0C0C0"/>
      <w:sz w:val="16"/>
      <w:szCs w:val="16"/>
      <w:lang w:val="ca-ES"/>
    </w:rPr>
  </w:style>
  <w:style w:type="paragraph" w:styleId="Encabezado">
    <w:name w:val="header"/>
    <w:basedOn w:val="Normal"/>
    <w:link w:val="EncabezadoCar"/>
    <w:uiPriority w:val="99"/>
    <w:rsid w:val="008A755A"/>
    <w:pPr>
      <w:tabs>
        <w:tab w:val="center" w:pos="4252"/>
        <w:tab w:val="right" w:pos="8504"/>
      </w:tabs>
      <w:spacing w:after="0"/>
    </w:pPr>
    <w:rPr>
      <w:rFonts w:ascii="Arial" w:hAnsi="Arial" w:cs="Arial"/>
      <w:lang w:val="es-ES"/>
    </w:rPr>
  </w:style>
  <w:style w:type="character" w:customStyle="1" w:styleId="EncabezadoCar">
    <w:name w:val="Encabezado Car"/>
    <w:basedOn w:val="Fuentedeprrafopredeter"/>
    <w:link w:val="Encabezado"/>
    <w:uiPriority w:val="99"/>
    <w:rsid w:val="008A755A"/>
    <w:rPr>
      <w:rFonts w:ascii="Arial" w:hAnsi="Arial" w:cs="Arial"/>
      <w:lang w:val="es-ES"/>
    </w:rPr>
  </w:style>
  <w:style w:type="paragraph" w:styleId="Piedepgina">
    <w:name w:val="footer"/>
    <w:basedOn w:val="Normal"/>
    <w:link w:val="PiedepginaCar"/>
    <w:uiPriority w:val="99"/>
    <w:rsid w:val="008A755A"/>
    <w:pPr>
      <w:tabs>
        <w:tab w:val="center" w:pos="4252"/>
        <w:tab w:val="right" w:pos="8504"/>
      </w:tabs>
      <w:spacing w:after="0"/>
    </w:pPr>
    <w:rPr>
      <w:rFonts w:ascii="Arial" w:hAnsi="Arial" w:cs="Arial"/>
      <w:lang w:val="es-ES"/>
    </w:rPr>
  </w:style>
  <w:style w:type="character" w:customStyle="1" w:styleId="PiedepginaCar">
    <w:name w:val="Pie de página Car"/>
    <w:basedOn w:val="Fuentedeprrafopredeter"/>
    <w:link w:val="Piedepgina"/>
    <w:uiPriority w:val="99"/>
    <w:rsid w:val="008A755A"/>
    <w:rPr>
      <w:rFonts w:ascii="Arial" w:hAnsi="Arial" w:cs="Arial"/>
      <w:lang w:val="es-ES"/>
    </w:rPr>
  </w:style>
  <w:style w:type="character" w:styleId="Nmerodepgina">
    <w:name w:val="page number"/>
    <w:basedOn w:val="Fuentedeprrafopredeter"/>
    <w:uiPriority w:val="99"/>
    <w:rsid w:val="008A755A"/>
  </w:style>
  <w:style w:type="character" w:customStyle="1" w:styleId="IGOPllistatvinyetaCarCar">
    <w:name w:val="IGOP llistat vinyeta Car Car"/>
    <w:basedOn w:val="IGOPtextbaseCar"/>
    <w:uiPriority w:val="99"/>
    <w:rsid w:val="008A755A"/>
    <w:rPr>
      <w:sz w:val="22"/>
      <w:szCs w:val="22"/>
      <w:lang w:val="es-ES"/>
    </w:rPr>
  </w:style>
  <w:style w:type="paragraph" w:styleId="Epgrafe">
    <w:name w:val="caption"/>
    <w:basedOn w:val="IGOPtitolTaulaGris"/>
    <w:next w:val="Normal"/>
    <w:uiPriority w:val="99"/>
    <w:qFormat/>
    <w:rsid w:val="008A755A"/>
  </w:style>
  <w:style w:type="paragraph" w:customStyle="1" w:styleId="IGOPcitestextuals">
    <w:name w:val="IGOP_cites textuals"/>
    <w:basedOn w:val="Normal"/>
    <w:uiPriority w:val="99"/>
    <w:rsid w:val="008A755A"/>
    <w:pPr>
      <w:spacing w:after="0"/>
      <w:ind w:left="1077" w:right="944"/>
      <w:jc w:val="both"/>
    </w:pPr>
    <w:rPr>
      <w:rFonts w:ascii="Arial" w:hAnsi="Arial" w:cs="Arial"/>
      <w:color w:val="0000FF"/>
      <w:sz w:val="20"/>
      <w:szCs w:val="20"/>
      <w:lang w:val="es-ES"/>
    </w:rPr>
  </w:style>
  <w:style w:type="paragraph" w:customStyle="1" w:styleId="IGOPautorcitatextual">
    <w:name w:val="IGOP_autor cita textual"/>
    <w:basedOn w:val="Normal"/>
    <w:uiPriority w:val="99"/>
    <w:rsid w:val="008A755A"/>
    <w:pPr>
      <w:spacing w:after="0"/>
      <w:ind w:right="944"/>
      <w:jc w:val="right"/>
    </w:pPr>
    <w:rPr>
      <w:rFonts w:ascii="Arial" w:hAnsi="Arial" w:cs="Arial"/>
      <w:color w:val="000000"/>
      <w:sz w:val="16"/>
      <w:szCs w:val="16"/>
      <w:lang w:val="es-ES"/>
    </w:rPr>
  </w:style>
  <w:style w:type="paragraph" w:customStyle="1" w:styleId="IGOPtitolFiguraGris">
    <w:name w:val="IGOP titol Figura Gris"/>
    <w:basedOn w:val="IGOPtitolGraficaGris"/>
    <w:uiPriority w:val="99"/>
    <w:rsid w:val="008A755A"/>
  </w:style>
  <w:style w:type="character" w:customStyle="1" w:styleId="apple-style-span">
    <w:name w:val="apple-style-span"/>
    <w:basedOn w:val="Fuentedeprrafopredeter"/>
    <w:uiPriority w:val="99"/>
    <w:rsid w:val="008A755A"/>
  </w:style>
  <w:style w:type="character" w:styleId="Refdecomentario">
    <w:name w:val="annotation reference"/>
    <w:basedOn w:val="Fuentedeprrafopredeter"/>
    <w:uiPriority w:val="99"/>
    <w:rsid w:val="008A755A"/>
    <w:rPr>
      <w:sz w:val="18"/>
      <w:szCs w:val="18"/>
    </w:rPr>
  </w:style>
  <w:style w:type="paragraph" w:styleId="Textocomentario">
    <w:name w:val="annotation text"/>
    <w:basedOn w:val="Normal"/>
    <w:link w:val="TextocomentarioCar"/>
    <w:uiPriority w:val="99"/>
    <w:rsid w:val="008A755A"/>
    <w:pPr>
      <w:spacing w:after="0"/>
    </w:pPr>
    <w:rPr>
      <w:rFonts w:ascii="Arial" w:hAnsi="Arial" w:cs="Arial"/>
      <w:lang w:val="es-ES"/>
    </w:rPr>
  </w:style>
  <w:style w:type="character" w:customStyle="1" w:styleId="TextocomentarioCar">
    <w:name w:val="Texto comentario Car"/>
    <w:basedOn w:val="Fuentedeprrafopredeter"/>
    <w:link w:val="Textocomentario"/>
    <w:uiPriority w:val="99"/>
    <w:rsid w:val="008A755A"/>
    <w:rPr>
      <w:rFonts w:ascii="Arial" w:hAnsi="Arial" w:cs="Arial"/>
      <w:lang w:val="es-ES"/>
    </w:rPr>
  </w:style>
  <w:style w:type="paragraph" w:styleId="Textodeglobo">
    <w:name w:val="Balloon Text"/>
    <w:basedOn w:val="Normal"/>
    <w:link w:val="TextodegloboCar"/>
    <w:uiPriority w:val="99"/>
    <w:rsid w:val="008A755A"/>
    <w:pPr>
      <w:spacing w:after="0"/>
    </w:pPr>
    <w:rPr>
      <w:rFonts w:ascii="Tahoma" w:hAnsi="Tahoma" w:cs="Tahoma"/>
      <w:sz w:val="16"/>
      <w:szCs w:val="16"/>
      <w:lang w:val="es-ES"/>
    </w:rPr>
  </w:style>
  <w:style w:type="character" w:customStyle="1" w:styleId="TextodegloboCar">
    <w:name w:val="Texto de globo Car"/>
    <w:basedOn w:val="Fuentedeprrafopredeter"/>
    <w:link w:val="Textodeglobo"/>
    <w:uiPriority w:val="99"/>
    <w:rsid w:val="008A755A"/>
    <w:rPr>
      <w:rFonts w:ascii="Tahoma" w:hAnsi="Tahoma" w:cs="Tahoma"/>
      <w:sz w:val="16"/>
      <w:szCs w:val="16"/>
      <w:lang w:val="es-ES"/>
    </w:rPr>
  </w:style>
  <w:style w:type="paragraph" w:styleId="Asuntodelcomentario">
    <w:name w:val="annotation subject"/>
    <w:basedOn w:val="Textocomentario"/>
    <w:next w:val="Textocomentario"/>
    <w:link w:val="AsuntodelcomentarioCar"/>
    <w:uiPriority w:val="99"/>
    <w:rsid w:val="008A755A"/>
    <w:rPr>
      <w:b/>
      <w:bCs/>
      <w:sz w:val="20"/>
      <w:szCs w:val="20"/>
    </w:rPr>
  </w:style>
  <w:style w:type="character" w:customStyle="1" w:styleId="AsuntodelcomentarioCar">
    <w:name w:val="Asunto del comentario Car"/>
    <w:basedOn w:val="TextocomentarioCar"/>
    <w:link w:val="Asuntodelcomentario"/>
    <w:uiPriority w:val="99"/>
    <w:rsid w:val="008A755A"/>
    <w:rPr>
      <w:b/>
      <w:bCs/>
      <w:sz w:val="20"/>
      <w:szCs w:val="20"/>
    </w:rPr>
  </w:style>
  <w:style w:type="paragraph" w:styleId="Textodecuerpo">
    <w:name w:val="Body Text"/>
    <w:basedOn w:val="Normal"/>
    <w:link w:val="TextodecuerpoCar"/>
    <w:uiPriority w:val="99"/>
    <w:rsid w:val="008A755A"/>
    <w:pPr>
      <w:spacing w:after="0"/>
      <w:jc w:val="both"/>
    </w:pPr>
    <w:rPr>
      <w:rFonts w:ascii="Tahoma" w:hAnsi="Tahoma" w:cs="Tahoma"/>
      <w:noProof/>
      <w:lang w:val="en-US"/>
    </w:rPr>
  </w:style>
  <w:style w:type="character" w:customStyle="1" w:styleId="TextodecuerpoCar">
    <w:name w:val="Texto de cuerpo Car"/>
    <w:basedOn w:val="Fuentedeprrafopredeter"/>
    <w:link w:val="Textodecuerpo"/>
    <w:uiPriority w:val="99"/>
    <w:semiHidden/>
    <w:rsid w:val="003E0EE6"/>
    <w:rPr>
      <w:rFonts w:ascii="Cambria" w:hAnsi="Cambria" w:cs="Cambria"/>
      <w:sz w:val="24"/>
      <w:szCs w:val="24"/>
    </w:rPr>
  </w:style>
  <w:style w:type="paragraph" w:styleId="Prrafodelista">
    <w:name w:val="List Paragraph"/>
    <w:basedOn w:val="Normal"/>
    <w:uiPriority w:val="99"/>
    <w:qFormat/>
    <w:rsid w:val="008A755A"/>
    <w:pPr>
      <w:spacing w:line="276" w:lineRule="auto"/>
      <w:ind w:left="720"/>
    </w:pPr>
    <w:rPr>
      <w:rFonts w:ascii="Calibri" w:hAnsi="Calibri" w:cs="Calibri"/>
      <w:sz w:val="22"/>
      <w:szCs w:val="22"/>
      <w:lang w:val="es-ES"/>
    </w:rPr>
  </w:style>
  <w:style w:type="paragraph" w:styleId="NormalWeb">
    <w:name w:val="Normal (Web)"/>
    <w:basedOn w:val="Normal"/>
    <w:rsid w:val="00430EAD"/>
    <w:pPr>
      <w:autoSpaceDE/>
      <w:autoSpaceDN/>
      <w:spacing w:before="100" w:beforeAutospacing="1" w:after="100" w:afterAutospacing="1"/>
    </w:pPr>
    <w:rPr>
      <w:rFonts w:ascii="Times New Roman" w:eastAsia="Calibri" w:hAnsi="Times New Roman" w:cs="Times New Roman"/>
      <w:color w:val="000000"/>
      <w:lang w:val="en-GB" w:eastAsia="en-US" w:bidi="es-ES_tradnl"/>
    </w:rPr>
  </w:style>
  <w:style w:type="character" w:styleId="Hipervnculovisitado">
    <w:name w:val="FollowedHyperlink"/>
    <w:basedOn w:val="Fuentedeprrafopredeter"/>
    <w:uiPriority w:val="99"/>
    <w:semiHidden/>
    <w:unhideWhenUsed/>
    <w:rsid w:val="0082342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ariela.iglesias@uab.cat" TargetMode="External"/><Relationship Id="rId8" Type="http://schemas.openxmlformats.org/officeDocument/2006/relationships/hyperlink" Target="mailto:marc.marti@uab.cat" TargetMode="External"/><Relationship Id="rId9" Type="http://schemas.openxmlformats.org/officeDocument/2006/relationships/hyperlink" Target="mailto:Joan.subirats@uab.cat" TargetMode="External"/><Relationship Id="rId10" Type="http://schemas.openxmlformats.org/officeDocument/2006/relationships/hyperlink" Target="mailto:marionatomas@ub.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6605</Words>
  <Characters>37652</Characters>
  <Application>Microsoft Word 12.0.0</Application>
  <DocSecurity>0</DocSecurity>
  <Lines>313</Lines>
  <Paragraphs>75</Paragraphs>
  <ScaleCrop>false</ScaleCrop>
  <Company> </Company>
  <LinksUpToDate>false</LinksUpToDate>
  <CharactersWithSpaces>46239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mc</dc:creator>
  <cp:keywords/>
  <dc:description/>
  <cp:lastModifiedBy>Marc mc</cp:lastModifiedBy>
  <cp:revision>5</cp:revision>
  <dcterms:created xsi:type="dcterms:W3CDTF">2011-07-30T16:37:00Z</dcterms:created>
  <dcterms:modified xsi:type="dcterms:W3CDTF">2011-07-30T16:46:00Z</dcterms:modified>
</cp:coreProperties>
</file>