
<file path=[Content_Types].xml><?xml version="1.0" encoding="utf-8"?>
<Types xmlns="http://schemas.openxmlformats.org/package/2006/content-types">
  <Override PartName="/word/fontTable.xml" ContentType="application/vnd.openxmlformats-officedocument.wordprocessingml.fontTable+xml"/>
  <Override PartName="/word/_rels/document.xml.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style0"/>
        <w:jc w:val="left"/>
        <w:spacing w:line="360" w:lineRule="atLeast"/>
      </w:pPr>
      <w:r>
        <w:rPr>
          <w:lang w:val="es-ES"/>
        </w:rPr>
        <w:t>Juan E. Serrano Moreno (Univ. Paris I Panthéon-Sorbonne-CESSP)</w:t>
      </w:r>
    </w:p>
    <w:p>
      <w:pPr>
        <w:pStyle w:val="style0"/>
        <w:jc w:val="left"/>
        <w:spacing w:line="360" w:lineRule="atLeast"/>
      </w:pPr>
      <w:r>
        <w:rPr>
          <w:lang w:val="es-ES"/>
        </w:rPr>
        <w:t>Congreso AECPA 2011</w:t>
      </w:r>
    </w:p>
    <w:p>
      <w:pPr>
        <w:pStyle w:val="style0"/>
        <w:jc w:val="left"/>
        <w:spacing w:line="360" w:lineRule="atLeast"/>
      </w:pPr>
      <w:r>
        <w:rPr>
          <w:lang w:val="es-ES"/>
        </w:rPr>
        <w:t>GT 3.4</w:t>
      </w:r>
    </w:p>
    <w:p>
      <w:pPr>
        <w:pStyle w:val="style0"/>
        <w:jc w:val="left"/>
        <w:spacing w:line="360" w:lineRule="atLeast"/>
      </w:pPr>
      <w:r>
        <w:rPr>
          <w:lang w:val="es-ES"/>
        </w:rPr>
      </w:r>
    </w:p>
    <w:p>
      <w:pPr>
        <w:pStyle w:val="style0"/>
        <w:jc w:val="center"/>
        <w:spacing w:line="360" w:lineRule="atLeast"/>
      </w:pPr>
      <w:r>
        <w:rPr>
          <w:sz w:val="28"/>
          <w:b/>
          <w:szCs w:val="28"/>
          <w:bCs/>
          <w:lang w:val="es-ES"/>
        </w:rPr>
        <w:t>Entre el perdón y el martirologio.</w:t>
      </w:r>
    </w:p>
    <w:p>
      <w:pPr>
        <w:pStyle w:val="style0"/>
        <w:jc w:val="center"/>
        <w:spacing w:line="360" w:lineRule="atLeast"/>
      </w:pPr>
      <w:r>
        <w:rPr>
          <w:sz w:val="28"/>
          <w:b/>
          <w:szCs w:val="28"/>
          <w:bCs/>
          <w:lang w:val="es-ES"/>
        </w:rPr>
        <w:t>La memoria de la persecución religiosa en la diócesis de Cartagena-Murcia</w:t>
      </w:r>
    </w:p>
    <w:p>
      <w:pPr>
        <w:pStyle w:val="style0"/>
        <w:jc w:val="both"/>
        <w:spacing w:line="360" w:lineRule="atLeast"/>
      </w:pPr>
      <w:r>
        <w:rPr>
          <w:lang w:val="es-ES"/>
        </w:rPr>
      </w:r>
    </w:p>
    <w:p>
      <w:pPr>
        <w:pStyle w:val="style0"/>
        <w:jc w:val="both"/>
        <w:spacing w:line="100" w:lineRule="atLeast"/>
      </w:pPr>
      <w:r>
        <w:rPr>
          <w:lang w:eastAsia="ar-SA" w:val="es-ES"/>
        </w:rPr>
      </w:r>
    </w:p>
    <w:p>
      <w:pPr>
        <w:pStyle w:val="style0"/>
        <w:jc w:val="both"/>
        <w:ind w:hanging="0" w:left="3413" w:right="0"/>
        <w:spacing w:line="100" w:lineRule="atLeast"/>
      </w:pPr>
      <w:r>
        <w:rPr>
          <w:lang w:eastAsia="ar-SA" w:val="es-ES"/>
        </w:rPr>
        <w:t>“</w:t>
      </w:r>
      <w:r>
        <w:rPr>
          <w:lang w:eastAsia="ar-SA" w:val="es-ES"/>
        </w:rPr>
        <w:t xml:space="preserve">Si se perdiera la </w:t>
      </w:r>
      <w:r>
        <w:rPr>
          <w:lang w:val="es-ES"/>
        </w:rPr>
        <w:t>memoria de los cristianos que han entregado su vida por confesar la fe, el tiempo presente, con sus proyectos y sus ideales, perdería una de sus características más valiosas, ya que los grandes valores humanos y religiosos dejarían de estar corroborados por un testimonio concreto inscrito en la historia.”</w:t>
      </w:r>
    </w:p>
    <w:p>
      <w:pPr>
        <w:pStyle w:val="style0"/>
        <w:jc w:val="right"/>
        <w:ind w:hanging="0" w:left="3413" w:right="0"/>
        <w:spacing w:line="100" w:lineRule="atLeast"/>
      </w:pPr>
      <w:r>
        <w:rPr>
          <w:lang w:eastAsia="ar-SA" w:val="es-ES"/>
        </w:rPr>
        <w:t xml:space="preserve">Juan Pablo II </w:t>
      </w:r>
      <w:r>
        <w:rPr>
          <w:rStyle w:val="style16"/>
          <w:lang w:eastAsia="ar-SA" w:val="es-ES"/>
        </w:rPr>
        <w:footnoteReference w:id="2"/>
      </w:r>
    </w:p>
    <w:p>
      <w:pPr>
        <w:pStyle w:val="style0"/>
        <w:jc w:val="both"/>
        <w:spacing w:line="100" w:lineRule="atLeast"/>
      </w:pPr>
      <w:r>
        <w:rPr>
          <w:lang w:val="es-ES"/>
        </w:rPr>
      </w:r>
    </w:p>
    <w:p>
      <w:pPr>
        <w:pStyle w:val="style0"/>
        <w:jc w:val="both"/>
        <w:spacing w:line="100" w:lineRule="atLeast"/>
      </w:pPr>
      <w:r>
        <w:rPr>
          <w:lang w:val="es-ES"/>
        </w:rPr>
      </w:r>
    </w:p>
    <w:p>
      <w:pPr>
        <w:pStyle w:val="style0"/>
        <w:jc w:val="both"/>
        <w:spacing w:line="360" w:lineRule="atLeast"/>
      </w:pPr>
      <w:r>
        <w:rPr>
          <w:lang w:val="es-ES"/>
        </w:rPr>
      </w:r>
    </w:p>
    <w:p>
      <w:pPr>
        <w:pStyle w:val="style0"/>
        <w:jc w:val="both"/>
        <w:spacing w:line="360" w:lineRule="atLeast"/>
      </w:pPr>
      <w:r>
        <w:rPr>
          <w:lang w:val="es-ES"/>
        </w:rPr>
      </w:r>
    </w:p>
    <w:p>
      <w:pPr>
        <w:pStyle w:val="style0"/>
        <w:jc w:val="both"/>
        <w:spacing w:line="360" w:lineRule="atLeast"/>
      </w:pPr>
      <w:r>
        <w:rPr>
          <w:lang w:eastAsia="ar-SA" w:val="es-ES"/>
        </w:rPr>
        <w:tab/>
        <w:t>Durante su última visita a España del Papa Benedicto XVI creó cierta polémica al comparar la “laicismo agresivo” del actual gobierno socialista al anticlericalismo de la Segunda República</w:t>
      </w:r>
      <w:r>
        <w:rPr>
          <w:rStyle w:val="style16"/>
          <w:lang w:bidi="en-US" w:eastAsia="en-US" w:val="es-ES"/>
        </w:rPr>
        <w:footnoteReference w:id="3"/>
      </w:r>
      <w:r>
        <w:rPr>
          <w:lang w:bidi="en-US" w:eastAsia="en-US" w:val="es-ES"/>
        </w:rPr>
        <w:t>. Esta comparación fue interpretada por</w:t>
      </w:r>
      <w:r>
        <w:rPr>
          <w:lang w:bidi="en-US" w:eastAsia="ar-SA" w:val="es-ES"/>
        </w:rPr>
        <w:t xml:space="preserve"> </w:t>
      </w:r>
      <w:r>
        <w:rPr>
          <w:lang w:bidi="en-US" w:eastAsia="en-US" w:val="es-ES"/>
        </w:rPr>
        <w:t xml:space="preserve">las asociaciones de recuperación memoria histórica como una provocación y un agravio de la parte de la Iglesia. El presidente de la ARMH Emilio Silva declaró que “tanto el Papa como la jerarquía de la Iglesia en general, han vuelto a demostrar una doble moral al hablar de los años 30 con ese rechazo, sin tener en cuenta el papel que jugó la Iglesia católica tanto en el Golpe de Estado del general </w:t>
      </w:r>
      <w:r>
        <w:rPr>
          <w:b w:val="off"/>
          <w:bCs w:val="off"/>
          <w:lang w:bidi="en-US" w:eastAsia="en-US" w:val="es-ES"/>
        </w:rPr>
        <w:t>Franco</w:t>
      </w:r>
      <w:r>
        <w:rPr>
          <w:lang w:bidi="en-US" w:eastAsia="en-US" w:val="es-ES"/>
        </w:rPr>
        <w:t xml:space="preserve"> como en la dictadura, convirtiéndose en uno de los instrumentos de la represión durante 40 años”</w:t>
      </w:r>
      <w:r>
        <w:rPr>
          <w:rStyle w:val="style16"/>
          <w:lang w:bidi="en-US" w:eastAsia="en-US" w:val="es-ES"/>
        </w:rPr>
        <w:footnoteReference w:id="4"/>
      </w:r>
      <w:r>
        <w:rPr>
          <w:lang w:bidi="en-US" w:eastAsia="en-US" w:val="es-ES"/>
        </w:rPr>
        <w:t xml:space="preserve">. </w:t>
      </w:r>
      <w:r>
        <w:rPr>
          <w:lang w:val="es-ES"/>
        </w:rPr>
        <w:t xml:space="preserve">Este cruce de declaraciones puede ser analizado como uno de los numerosos </w:t>
      </w:r>
      <w:r>
        <w:rPr>
          <w:i/>
          <w:iCs/>
          <w:lang w:val="es-ES"/>
        </w:rPr>
        <w:t>conflictos alrededor de la guerra civil y de la dictadura</w:t>
      </w:r>
      <w:r>
        <w:rPr>
          <w:lang w:val="es-ES"/>
        </w:rPr>
        <w:t xml:space="preserve"> </w:t>
      </w:r>
      <w:r>
        <w:rPr>
          <w:i/>
          <w:iCs/>
          <w:lang w:val="es-ES"/>
        </w:rPr>
        <w:t>presentes en la esfera pública española</w:t>
      </w:r>
      <w:r>
        <w:rPr>
          <w:lang w:val="es-ES"/>
        </w:rPr>
        <w:t xml:space="preserve"> que no han dejado de aumentar desde la mitad de los años noventa. Conflictos que progresivamente se instalaron en la actualidad mediática gracias, por un lado, a la ruptura del </w:t>
      </w:r>
      <w:r>
        <w:rPr>
          <w:rFonts w:cs="DejaVu Sans;Times New Roman" w:eastAsia="DejaVu Sans;Times New Roman"/>
          <w:lang w:bidi="en-US" w:eastAsia="en-US" w:val="es-ES"/>
        </w:rPr>
        <w:t>“pacto de silencio”</w:t>
      </w:r>
      <w:r>
        <w:rPr>
          <w:rStyle w:val="style16"/>
          <w:rFonts w:cs="DejaVu Sans;Times New Roman" w:eastAsia="DejaVu Sans;Times New Roman"/>
          <w:lang w:bidi="en-US" w:eastAsia="ar-SA" w:val="es-ES"/>
        </w:rPr>
        <w:footnoteReference w:id="5"/>
      </w:r>
      <w:r>
        <w:rPr>
          <w:rFonts w:cs="DejaVu Sans;Times New Roman" w:eastAsia="DejaVu Sans;Times New Roman"/>
          <w:lang w:bidi="en-US" w:eastAsia="en-US" w:val="es-ES"/>
        </w:rPr>
        <w:t xml:space="preserve"> entre los grandes partidos políticos heredado de la transición y, por otro lado,</w:t>
      </w:r>
      <w:r>
        <w:rPr>
          <w:lang w:val="es-ES"/>
        </w:rPr>
        <w:t xml:space="preserve"> gracias al trabajo de las famosas asociaciones de memoria histórica. Estas asociaciones consiguieron a partir del año 2000 y gracias a acciones espectaculares como las exhumaciones y el recurso al derecho internacional llamar atención de los medios de comunicación y por ende de la clase política.</w:t>
      </w:r>
      <w:r>
        <w:rPr>
          <w:rStyle w:val="style16"/>
          <w:lang w:val="es-ES"/>
        </w:rPr>
        <w:footnoteReference w:id="6"/>
      </w:r>
      <w:r>
        <w:rPr>
          <w:lang w:val="es-ES"/>
        </w:rPr>
        <w:t xml:space="preserve"> De esta manera, el gobierno de Zapatero intentó producir a partir de 2004 la primera política pública sobre la memoria de la guerra civil en democracia pese a que los conflictos con el resto de partidos e incluso con las propias asociaciones acabaron por desnaturalizar el proyecto, vaciando en gran medida del contenido normativo de la llamada ley de “memoria histórica” adoptada el 26 de diciembre 2007.</w:t>
      </w:r>
      <w:r>
        <w:rPr>
          <w:rStyle w:val="style16"/>
          <w:lang w:val="es-ES"/>
        </w:rPr>
        <w:footnoteReference w:id="7"/>
      </w:r>
      <w:r>
        <w:rPr>
          <w:lang w:val="es-ES"/>
        </w:rPr>
        <w:t xml:space="preserve"> La esfera pública española se encontró por aquel entonces inundada de conflictos alrededor de la memoria de la guerra civil, que llegaron a su punto álgido de la mano del proceso abierto por Garzón para investigar los crímenes del franquismo y su posterior suspensión a partir de 2008.</w:t>
      </w:r>
    </w:p>
    <w:p>
      <w:pPr>
        <w:pStyle w:val="style0"/>
        <w:jc w:val="both"/>
        <w:spacing w:line="360" w:lineRule="atLeast"/>
      </w:pPr>
      <w:r>
        <w:rPr>
          <w:lang w:val="es-ES"/>
        </w:rPr>
      </w:r>
    </w:p>
    <w:p>
      <w:pPr>
        <w:pStyle w:val="style0"/>
        <w:jc w:val="both"/>
        <w:spacing w:line="360" w:lineRule="atLeast"/>
      </w:pPr>
      <w:r>
        <w:rPr>
          <w:lang w:val="es-ES"/>
        </w:rPr>
        <w:t>Estos conflicto son aprehendidos en este texto como luchas simbólicas que buscan promover o imponer una narración particular y orientada de un acontecimiento histórico en la esfera pública.</w:t>
      </w:r>
      <w:r>
        <w:rPr>
          <w:color w:val="000000"/>
          <w:i w:val="off"/>
          <w:b w:val="off"/>
          <w:iCs w:val="off"/>
          <w:bCs w:val="off"/>
          <w:rStyle w:val="style16"/>
          <w:rFonts w:cs="DejaVu Sans;Times New Roman" w:eastAsia="DejaVu Sans;Times New Roman"/>
          <w:lang w:bidi="en-US" w:eastAsia="en-US" w:val="es-ES"/>
        </w:rPr>
        <w:footnoteReference w:id="8"/>
      </w:r>
      <w:r>
        <w:rPr>
          <w:lang w:val="es-ES"/>
        </w:rPr>
        <w:t xml:space="preserve"> Bajo mi punto de vista, estos conflictos son portadores de marcos de interpretación,</w:t>
      </w:r>
      <w:r>
        <w:rPr>
          <w:rStyle w:val="style16"/>
          <w:lang w:val="es-ES"/>
        </w:rPr>
        <w:footnoteReference w:id="9"/>
      </w:r>
      <w:r>
        <w:rPr>
          <w:lang w:val="es-ES"/>
        </w:rPr>
        <w:t xml:space="preserve"> a menudo antagonistas, que contribuyen a forjar las representaciones del pasado de los actores tejiendo las “webs of signifiance” en las que se encuentran inmersos.</w:t>
      </w:r>
      <w:r>
        <w:rPr>
          <w:rStyle w:val="style16"/>
          <w:lang w:val="es-ES"/>
        </w:rPr>
        <w:footnoteReference w:id="10"/>
      </w:r>
      <w:r>
        <w:rPr>
          <w:lang w:val="es-ES"/>
        </w:rPr>
        <w:t xml:space="preserve"> Si comparamos el caso español a otros países nos damos cuenta de que su especificad no reside en la existencia en si misma de tales conflictos. En realidad, parece que la “memoria” ha llegado a convertirse en numerosos países a la vez en un campo de acción pública y en un resorte de movilización para los movimientos sociales. Esto es particularmente notorio en los países que han sufrido violencias fratricidas, como lo demuestra la proliferación de los “comités de verdad y reconciliación” convertidos en técnicas institucionales universalmente exportables.</w:t>
      </w:r>
      <w:r>
        <w:rPr>
          <w:rStyle w:val="style16"/>
          <w:lang w:val="es-ES"/>
        </w:rPr>
        <w:footnoteReference w:id="11"/>
      </w:r>
      <w:r>
        <w:rPr>
          <w:lang w:val="es-ES"/>
        </w:rPr>
        <w:t xml:space="preserve"> Todo indica que en el siglo XXI el </w:t>
      </w:r>
      <w:r>
        <w:rPr>
          <w:i/>
          <w:iCs/>
          <w:lang w:val="es-ES"/>
        </w:rPr>
        <w:t>dissensus</w:t>
      </w:r>
      <w:r>
        <w:rPr>
          <w:lang w:val="es-ES"/>
        </w:rPr>
        <w:t xml:space="preserve"> memorial se ha convertido en la norma y el consenso en la excepción. </w:t>
      </w:r>
    </w:p>
    <w:p>
      <w:pPr>
        <w:pStyle w:val="style0"/>
        <w:jc w:val="both"/>
        <w:spacing w:line="360" w:lineRule="atLeast"/>
      </w:pPr>
      <w:r>
        <w:rPr>
          <w:lang w:val="es-ES"/>
        </w:rPr>
      </w:r>
    </w:p>
    <w:p>
      <w:pPr>
        <w:pStyle w:val="style0"/>
        <w:jc w:val="both"/>
        <w:spacing w:line="360" w:lineRule="atLeast"/>
      </w:pPr>
      <w:r>
        <w:rPr>
          <w:lang w:val="es-ES"/>
        </w:rPr>
        <w:t>La especificidad del caso español reside de esta manera a mi entender en el grado en que los conflictos de memoria participan activamente en la politización</w:t>
      </w:r>
      <w:r>
        <w:rPr>
          <w:rStyle w:val="style16"/>
          <w:lang w:val="es-ES"/>
        </w:rPr>
        <w:footnoteReference w:id="12"/>
      </w:r>
      <w:r>
        <w:rPr>
          <w:lang w:val="es-ES"/>
        </w:rPr>
        <w:t xml:space="preserve"> de la ciudadanía. Los marcos de interpretación observables en los conflictos alrededor de la memoria de la guerra civil son utilizados por los actores para aprehender la actualidad política, artística, incluso futbolística y por supuesto religiosa. La memoria politiza así los debates de actualidad a la vez que la actualidad politiza los debates sobre la memoria. Adoptando una perspectiva socio-histórica</w:t>
      </w:r>
      <w:r>
        <w:rPr>
          <w:rStyle w:val="style16"/>
          <w:lang w:val="es-ES"/>
        </w:rPr>
        <w:footnoteReference w:id="13"/>
      </w:r>
      <w:r>
        <w:rPr>
          <w:lang w:val="es-ES"/>
        </w:rPr>
        <w:t xml:space="preserve"> mis investigaciones tratan de analizar el papel de la memoria en la construcción de culturas políticas en una joven democracia como la española a través el estudio de los diversos marcos de interpretación producidos y utilizados a los actores protagonistas de los conflictos tanto a nivel nacional como a nivel microsociológico. El presente texto trata por tanto de analizar la evolución de la memoria de la guerra civil propia a la Iglesia Católica española a partir de sucesos concretos observados en la región de Murcia. Abordaré en un primer tiempo la evolución histórica del discurso de la Iglesia Católica Española que ha hecho de la “persecución religiosa” el marco dominante de la institución a la hora de entender la guerra civil, para abordar en un segundo tiempo las especificidades del caso murciano presentando varios materiales empíricos recogidos a modo de ilustración.</w:t>
      </w:r>
    </w:p>
    <w:p>
      <w:pPr>
        <w:pStyle w:val="style0"/>
        <w:jc w:val="both"/>
        <w:spacing w:line="360" w:lineRule="atLeast"/>
      </w:pPr>
      <w:r>
        <w:rPr>
          <w:lang w:val="es-ES"/>
        </w:rPr>
      </w:r>
    </w:p>
    <w:p>
      <w:pPr>
        <w:pStyle w:val="style0"/>
        <w:jc w:val="both"/>
        <w:spacing w:line="360" w:lineRule="atLeast"/>
      </w:pPr>
      <w:r>
        <w:rPr>
          <w:i/>
          <w:b/>
          <w:iCs/>
          <w:bCs/>
          <w:lang w:val="es-ES"/>
        </w:rPr>
        <w:t>La evolución de la relación entre la Iglesia y la guerra civil</w:t>
      </w:r>
      <w:r>
        <w:rPr>
          <w:lang w:val="es-ES"/>
        </w:rPr>
        <w:t xml:space="preserve"> </w:t>
      </w:r>
    </w:p>
    <w:p>
      <w:pPr>
        <w:pStyle w:val="style0"/>
        <w:jc w:val="both"/>
        <w:spacing w:line="360" w:lineRule="atLeast"/>
      </w:pPr>
      <w:r>
        <w:rPr>
          <w:lang w:val="es-ES"/>
        </w:rPr>
      </w:r>
    </w:p>
    <w:p>
      <w:pPr>
        <w:pStyle w:val="style0"/>
        <w:jc w:val="both"/>
        <w:spacing w:line="360" w:lineRule="atLeast"/>
      </w:pPr>
      <w:r>
        <w:rPr>
          <w:lang w:val="es-ES"/>
        </w:rPr>
        <w:tab/>
        <w:t>El origen del primer marco de interpretación de la guerra civil propio a la Iglesia Católica apareció durante el trascurso mismo de la guerra motivado por la necesidad de defender la institución frente a la represión republicana ejercida contra sus miembros, fieles y bienes. Este marco legitimaba la guerra calificándola de “cruzada” y terminó por imponerse como la memoria oficial de la Iglesia e incluso del propio régimen franquista. Se trata de una visión teológica, ortodoxa y anti-naturalista</w:t>
      </w:r>
      <w:r>
        <w:rPr>
          <w:rStyle w:val="style16"/>
          <w:lang w:bidi="en-US" w:eastAsia="en-US" w:val="es-ES"/>
        </w:rPr>
        <w:footnoteReference w:id="14"/>
      </w:r>
      <w:r>
        <w:rPr>
          <w:lang w:val="es-ES"/>
        </w:rPr>
        <w:t xml:space="preserve"> del conflicto que inspiró en gran medida las conmemoraciones y discursos oficiales del régimen.</w:t>
      </w:r>
      <w:r>
        <w:rPr>
          <w:rStyle w:val="style16"/>
          <w:lang w:val="es-ES"/>
        </w:rPr>
        <w:footnoteReference w:id="15"/>
      </w:r>
      <w:r>
        <w:rPr>
          <w:lang w:val="es-ES"/>
        </w:rPr>
        <w:t xml:space="preserve"> La narración maniquea del conflicto constituyó y sigue constituyendo para ciertos actores un marco de interpretación ajeno el conocimiento historiográfico y construido en cambio fundamentalmente sobre una visión mesiánica que condena a los “rojos” y homenajea a los “mártires”. Su origen se encuentra en la “Carta colectiva de los obispos españoles a los obispos de todo el mundo con motivo de la guerra en España” </w:t>
      </w:r>
      <w:r>
        <w:rPr>
          <w:lang w:val="es-ES"/>
        </w:rPr>
        <w:t>firmada por casi todos los obispos a instancias del cardenal Gomá, en 1937. Pese a que en la carta</w:t>
      </w:r>
      <w:r>
        <w:rPr>
          <w:lang w:val="es-ES"/>
        </w:rPr>
        <w:t xml:space="preserve"> no aparece el término “cruzada”, que acabó siendo utilizado sistemáticamente como sinónimo de guerra civil, los obispos afirman que la persecución religiosa cometida por las tropas republicanas no tiene paragón en la historia y supera la ejercida por los soviets rusos.</w:t>
      </w:r>
      <w:r>
        <w:rPr>
          <w:sz w:val="24"/>
          <w:szCs w:val="24"/>
          <w:rStyle w:val="style16"/>
          <w:rFonts w:ascii="TimesNewRomanPSMT" w:cs="TimesNewRomanPSMT" w:eastAsia="TimesNewRomanPSMT" w:hAnsi="TimesNewRomanPSMT"/>
          <w:lang w:val="es-ES"/>
        </w:rPr>
        <w:footnoteReference w:id="16"/>
      </w:r>
      <w:r>
        <w:rPr>
          <w:sz w:val="24"/>
          <w:szCs w:val="24"/>
          <w:rFonts w:ascii="TimesNewRomanPSMT" w:cs="TimesNewRomanPSMT" w:eastAsia="TimesNewRomanPSMT" w:hAnsi="TimesNewRomanPSMT"/>
          <w:lang w:val="es-ES"/>
        </w:rPr>
        <w:t xml:space="preserve"> </w:t>
      </w:r>
      <w:r>
        <w:rPr>
          <w:lang w:val="es-ES"/>
        </w:rPr>
        <w:t>La carta iba dirigida al episcopado católico con una petición concreta: “Ayudanos con la divulgación del contenido de estas letras, vigilando la prensa y la propaganda católica, rectificando los errores de la indiferente o adversa. El hombre enemigo ha sembrado copiosamente la cizaña; ayudadnos a sembrar profusamente la buena semilla”.</w:t>
      </w:r>
      <w:r>
        <w:rPr>
          <w:rStyle w:val="style16"/>
          <w:lang w:val="es-ES"/>
        </w:rPr>
        <w:footnoteReference w:id="17"/>
      </w:r>
      <w:r>
        <w:rPr>
          <w:lang w:val="es-ES"/>
        </w:rPr>
        <w:t xml:space="preserve"> El maniqueísmo que destilan estas líneas tardará décadas en suavizarse.  </w:t>
      </w:r>
    </w:p>
    <w:p>
      <w:pPr>
        <w:pStyle w:val="style0"/>
        <w:jc w:val="both"/>
        <w:spacing w:line="360" w:lineRule="atLeast"/>
      </w:pPr>
      <w:r>
        <w:rPr>
          <w:lang w:val="es-ES"/>
        </w:rPr>
      </w:r>
    </w:p>
    <w:p>
      <w:pPr>
        <w:pStyle w:val="style0"/>
        <w:jc w:val="both"/>
        <w:spacing w:line="360" w:lineRule="atLeast"/>
      </w:pPr>
      <w:r>
        <w:rPr>
          <w:lang w:val="es-ES"/>
        </w:rPr>
        <w:t xml:space="preserve">El único momento en el que se entrevió una posible revisión de la interpretación maniquea de la guerra por parte de la Iglesia tuvo lugar en el preludio de la transición como consecuencia indirecta de la crisis del nacional-catolicismo. Es bien sabido que la relación entre el la Iglesia y el régimen fueron degradándose progresivamente como resultado de la crisis interna </w:t>
        <w:tab/>
        <w:t>a la institución. Crisis que encuentra en gran medida su origen en los conflictos internos de la Acción Católica.</w:t>
      </w:r>
      <w:r>
        <w:rPr>
          <w:rStyle w:val="style16"/>
          <w:lang w:val="es-ES"/>
        </w:rPr>
        <w:footnoteReference w:id="18"/>
      </w:r>
      <w:r>
        <w:rPr>
          <w:lang w:val="es-ES"/>
        </w:rPr>
        <w:t xml:space="preserve"> Las organizaciones obreras HOAC y JOC demandaban con cada vez más fuerza un “examen de conciencia” de la posición de la Iglesia en la sociedad y en la política española.</w:t>
      </w:r>
      <w:r>
        <w:rPr>
          <w:rStyle w:val="style16"/>
          <w:lang w:val="es-ES"/>
        </w:rPr>
        <w:footnoteReference w:id="19"/>
      </w:r>
      <w:r>
        <w:rPr>
          <w:lang w:val="es-ES"/>
        </w:rPr>
        <w:t xml:space="preserve"> En este contexto, el 13 de septiembre 1971 tuvo lugar la </w:t>
      </w:r>
      <w:r>
        <w:rPr>
          <w:lang w:val="es-ES"/>
        </w:rPr>
        <w:t>Asamblea conjunta de la Conferencia Episcopal con los obispos y 169 sacerdotes. En dicha asamblea se votó una propuesta que no consiguió la mayoría necesaria para su adopción que decía así: “</w:t>
      </w:r>
      <w:r>
        <w:rPr>
          <w:lang w:val="es-ES"/>
        </w:rPr>
        <w:t>Reconocemos humildemente y pedimos perdón porque nosotros no supimos ser, a su tiempo, verdaderos ministros de reconciliación en el seno de nuestro pueblo, dividido por una guerra entre hermanos”.</w:t>
      </w:r>
      <w:r>
        <w:rPr>
          <w:rStyle w:val="style16"/>
          <w:lang w:val="es-ES"/>
        </w:rPr>
        <w:footnoteReference w:id="20"/>
      </w:r>
      <w:r>
        <w:rPr>
          <w:lang w:val="es-ES"/>
        </w:rPr>
        <w:t xml:space="preserve"> Unos días después el cardenal Tarancón fue elegido presidente de la Conferencia Espiscopal lo que supuso la apertura de la jerarquía eclesiástica al clero crítico con el franquismo y cercano a la clase obrera. </w:t>
      </w:r>
    </w:p>
    <w:p>
      <w:pPr>
        <w:pStyle w:val="style0"/>
        <w:jc w:val="both"/>
        <w:spacing w:line="360" w:lineRule="atLeast"/>
      </w:pPr>
      <w:r>
        <w:rPr>
          <w:lang w:val="es-ES"/>
        </w:rPr>
      </w:r>
    </w:p>
    <w:p>
      <w:pPr>
        <w:pStyle w:val="style0"/>
        <w:jc w:val="both"/>
        <w:spacing w:line="360" w:lineRule="atLeast"/>
      </w:pPr>
      <w:r>
        <w:rPr>
          <w:lang w:val="es-ES"/>
        </w:rPr>
        <w:t>Sin embargo, los acontecimientos de la transición se sucedieron de manera vertiginosa y la revisión de la interpretación oficial de la guerra civil por parte de la Iglesia dejó de ser un tema candente. A este respecto, la tesis sostenida por Paloma Aguilar sobre el papel moderador del recuerdo de la guerra civil en el comportamiento de las élites políticas que negociaron los grandes acuerdos de la transición puede servir para esclarecer la actitud conciliadora de la Iglesia en un contexto marcado por la incertidumbre.</w:t>
      </w:r>
      <w:r>
        <w:rPr>
          <w:rStyle w:val="style16"/>
          <w:lang w:val="es-ES"/>
        </w:rPr>
        <w:footnoteReference w:id="21"/>
      </w:r>
      <w:r>
        <w:rPr>
          <w:lang w:val="es-ES"/>
        </w:rPr>
        <w:t xml:space="preserve"> Los actores habían interiorizado la creencia de que un nuevo conflicto armado podía repetirse, posibilidad que solía podía desactivarse no mediante el “olvido” de la guerra sino mediante la movilización de una retórica de la reconciliación y del “nunca más” a la hora de referirse a la misma. Entonces, </w:t>
      </w:r>
      <w:r>
        <w:rPr>
          <w:lang w:val="es-ES"/>
        </w:rPr>
        <w:t xml:space="preserve">¿cuál fue la actitud de la Iglesia cuando más tarde cuando los conflictos alrededor de la memoria de la guerra civil empezaron a multiplicarse en la esfera pública? Una vez finalizado el “status quo memorial” heredado de la transición, como si de un movimiento pendular se tratara, la denominada “persecución religiosa” ejercida por el bando republicano contra la Iglesia volvió a constituirse como el marco de interpretación dominante de la institución tal y como sucedió el los largos de años de la posguerra. Pero, este marco evolucionó substancialmente, </w:t>
      </w:r>
      <w:r>
        <w:rPr>
          <w:i/>
          <w:iCs/>
          <w:lang w:val="es-ES"/>
        </w:rPr>
        <w:t xml:space="preserve">el maniqueismo fue substituido por el martirologio apolítico como eje central de un discurso destinado esta vez esencialmente al uso interno de la institución. </w:t>
      </w:r>
    </w:p>
    <w:p>
      <w:pPr>
        <w:pStyle w:val="style0"/>
        <w:jc w:val="both"/>
        <w:spacing w:line="360" w:lineRule="atLeast"/>
      </w:pPr>
      <w:r>
        <w:rPr>
          <w:lang w:val="es-ES"/>
        </w:rPr>
      </w:r>
    </w:p>
    <w:p>
      <w:pPr>
        <w:pStyle w:val="style0"/>
        <w:jc w:val="both"/>
        <w:spacing w:line="360" w:lineRule="atLeast"/>
      </w:pPr>
      <w:r>
        <w:rPr>
          <w:i/>
          <w:b/>
          <w:iCs/>
          <w:bCs/>
          <w:lang w:val="es-ES"/>
        </w:rPr>
        <w:t xml:space="preserve">La persecución religiosa como marco de interpretación </w:t>
      </w:r>
    </w:p>
    <w:p>
      <w:pPr>
        <w:pStyle w:val="style0"/>
        <w:jc w:val="both"/>
        <w:spacing w:line="360" w:lineRule="atLeast"/>
      </w:pPr>
      <w:r>
        <w:rPr>
          <w:lang w:val="es-ES"/>
        </w:rPr>
      </w:r>
    </w:p>
    <w:p>
      <w:pPr>
        <w:pStyle w:val="style0"/>
        <w:jc w:val="both"/>
        <w:spacing w:line="360" w:lineRule="atLeast"/>
      </w:pPr>
      <w:r>
        <w:rPr>
          <w:lang w:val="es-ES"/>
        </w:rPr>
        <w:tab/>
        <w:t>Es necesario volver atrás en el tiempo y medir el peso que dejó la represión republicana en la memoria de la Iglesia. Los hechos históricos de la persecución religiosa dirigida contra los miembros, bienes y fieles de la Iglesia durante la Segunda República y la guerra civil se encuentran hoy día en efecto muy bien documentada gracias al trabajo de investigación llevado a cabo por los propios miembros de la Iglesia. Este trabajo comenzó al terminar la guerra mediante la producción de informes diocesanos que hacen el inventario de las víctimas ejecutadas por sus creencias religiosas y los bienes o símbolos católicos dañados o destruidos. Informes que pasaron a formar un capítulo específico de cada Causa General provincial.</w:t>
      </w:r>
      <w:r>
        <w:rPr>
          <w:rStyle w:val="style16"/>
          <w:lang w:val="es-ES"/>
        </w:rPr>
        <w:footnoteReference w:id="22"/>
      </w:r>
      <w:r>
        <w:rPr>
          <w:lang w:val="es-ES"/>
        </w:rPr>
        <w:t xml:space="preserve"> Antonio Montero Moreno, fue el primero en explotar estas fuentes en sus tesis doctoral en la Universidad Pontificia de Salamanca publicando en 1961 la obra de referencia en la materia, </w:t>
      </w:r>
      <w:r>
        <w:rPr>
          <w:i/>
          <w:iCs/>
          <w:lang w:val="es-ES"/>
        </w:rPr>
        <w:t xml:space="preserve">Historia de la persecución religiosa en España. 1936-1939, </w:t>
      </w:r>
      <w:r>
        <w:rPr>
          <w:sz w:val="24"/>
          <w:i w:val="off"/>
          <w:b w:val="off"/>
          <w:szCs w:val="24"/>
          <w:iCs w:val="off"/>
          <w:bCs w:val="off"/>
          <w:lang w:bidi="ar-SA" w:eastAsia="fr-FR" w:val="es-ES"/>
        </w:rPr>
        <w:t xml:space="preserve">de la que han publicado cinco ediciones. El autor, arzobispo emérito de la archiocésis de Mérida Badajoz y antiguo director de la revista </w:t>
      </w:r>
      <w:r>
        <w:rPr>
          <w:sz w:val="24"/>
          <w:i/>
          <w:b w:val="off"/>
          <w:szCs w:val="24"/>
          <w:iCs/>
          <w:bCs w:val="off"/>
          <w:lang w:bidi="ar-SA" w:eastAsia="fr-FR" w:val="es-ES"/>
        </w:rPr>
        <w:t>Ecclesia</w:t>
      </w:r>
      <w:r>
        <w:rPr>
          <w:sz w:val="24"/>
          <w:i w:val="off"/>
          <w:b w:val="off"/>
          <w:szCs w:val="24"/>
          <w:iCs w:val="off"/>
          <w:bCs w:val="off"/>
          <w:lang w:bidi="ar-SA" w:eastAsia="fr-FR" w:val="es-ES"/>
        </w:rPr>
        <w:t xml:space="preserve"> de 1958 a 1967, concluye que el número de víctimas mortales ocasionada por la persecución religiosa ascendía a 6.832.</w:t>
      </w:r>
      <w:r>
        <w:rPr>
          <w:sz w:val="24"/>
          <w:i w:val="off"/>
          <w:b w:val="off"/>
          <w:szCs w:val="24"/>
          <w:iCs w:val="off"/>
          <w:bCs w:val="off"/>
          <w:rStyle w:val="style16"/>
          <w:lang w:bidi="ar-SA" w:eastAsia="fr-FR" w:val="es-ES"/>
        </w:rPr>
        <w:footnoteReference w:id="23"/>
      </w:r>
      <w:r>
        <w:rPr>
          <w:sz w:val="24"/>
          <w:i w:val="off"/>
          <w:b w:val="off"/>
          <w:szCs w:val="24"/>
          <w:iCs w:val="off"/>
          <w:bCs w:val="off"/>
          <w:lang w:bidi="ar-SA" w:eastAsia="fr-FR" w:val="es-ES"/>
        </w:rPr>
        <w:t xml:space="preserve"> </w:t>
      </w:r>
      <w:r>
        <w:rPr>
          <w:lang w:val="es-ES"/>
        </w:rPr>
        <w:t>En base a este esfuerzo documental la Conferencia Episcopal Española ha podido iniciar numerosos procesos de beatificación de los mártires católicos: 969 beatificaciones han sido pronunciadas por el Vaticano entre 1987 y 2007 y 863 casos se encuentran actualmente pendientes de estudio en el Vaticano.</w:t>
      </w:r>
      <w:r>
        <w:rPr>
          <w:sz w:val="24"/>
          <w:i w:val="off"/>
          <w:b w:val="off"/>
          <w:szCs w:val="24"/>
          <w:iCs w:val="off"/>
          <w:bCs w:val="off"/>
          <w:rStyle w:val="style16"/>
          <w:lang w:bidi="ar-SA" w:eastAsia="fr-FR" w:val="es-ES"/>
        </w:rPr>
        <w:footnoteReference w:id="24"/>
      </w:r>
      <w:r>
        <w:rPr>
          <w:sz w:val="24"/>
          <w:i w:val="off"/>
          <w:b w:val="off"/>
          <w:szCs w:val="24"/>
          <w:iCs w:val="off"/>
          <w:bCs w:val="off"/>
          <w:lang w:bidi="ar-SA" w:eastAsia="fr-FR" w:val="es-ES"/>
        </w:rPr>
        <w:t xml:space="preserve"> </w:t>
      </w:r>
    </w:p>
    <w:p>
      <w:pPr>
        <w:pStyle w:val="style0"/>
        <w:jc w:val="both"/>
        <w:spacing w:line="360" w:lineRule="atLeast"/>
      </w:pPr>
      <w:r>
        <w:rPr>
          <w:sz w:val="24"/>
          <w:i w:val="off"/>
          <w:b w:val="off"/>
          <w:szCs w:val="24"/>
          <w:iCs w:val="off"/>
          <w:bCs w:val="off"/>
          <w:lang w:bidi="ar-SA" w:eastAsia="fr-FR" w:val="es-ES"/>
        </w:rPr>
      </w:r>
    </w:p>
    <w:p>
      <w:pPr>
        <w:pStyle w:val="style0"/>
        <w:jc w:val="both"/>
        <w:spacing w:line="360" w:lineRule="atLeast"/>
      </w:pPr>
      <w:r>
        <w:rPr>
          <w:sz w:val="24"/>
          <w:i w:val="off"/>
          <w:b w:val="off"/>
          <w:szCs w:val="24"/>
          <w:iCs w:val="off"/>
          <w:bCs w:val="off"/>
          <w:lang w:bidi="ar-SA" w:eastAsia="fr-FR" w:val="es-ES"/>
        </w:rPr>
        <w:t xml:space="preserve">Los procesos de beatificación son largos y complejos. En ellos se contemplan dos categorías de beatos: los </w:t>
      </w:r>
      <w:r>
        <w:rPr>
          <w:sz w:val="24"/>
          <w:i w:val="off"/>
          <w:b w:val="off"/>
          <w:szCs w:val="24"/>
          <w:iCs w:val="off"/>
          <w:bCs w:val="off"/>
          <w:rFonts w:ascii="TimesNewRomanPSMT" w:cs="TimesNewRomanPSMT" w:eastAsia="TimesNewRomanPSMT" w:hAnsi="TimesNewRomanPSMT"/>
          <w:lang w:bidi="ar-SA" w:eastAsia="fr-FR" w:val="es-ES"/>
        </w:rPr>
        <w:t xml:space="preserve">beatos mártires y los beatos por vía de </w:t>
      </w:r>
      <w:r>
        <w:rPr>
          <w:sz w:val="24"/>
          <w:szCs w:val="24"/>
          <w:rFonts w:ascii="TimesNewRomanPSMT" w:cs="TimesNewRomanPSMT" w:eastAsia="TimesNewRomanPSMT" w:hAnsi="TimesNewRomanPSMT"/>
          <w:lang w:val="es-ES"/>
        </w:rPr>
        <w:t xml:space="preserve">virtudes heroicas. </w:t>
      </w:r>
      <w:r>
        <w:rPr>
          <w:sz w:val="24"/>
          <w:i w:val="off"/>
          <w:b w:val="off"/>
          <w:szCs w:val="24"/>
          <w:iCs w:val="off"/>
          <w:bCs w:val="off"/>
          <w:rFonts w:cs="TimesNewRomanPSMT" w:eastAsia="TimesNewRomanPSMT"/>
          <w:lang w:bidi="ar-SA" w:eastAsia="fr-FR" w:val="es-ES"/>
        </w:rPr>
        <w:t>El derecho canónico aplicable a estos procedimientos</w:t>
      </w:r>
      <w:r>
        <w:rPr>
          <w:sz w:val="24"/>
          <w:szCs w:val="24"/>
          <w:rFonts w:ascii="TimesNewRomanPSMT" w:cs="TimesNewRomanPSMT" w:eastAsia="TimesNewRomanPSMT" w:hAnsi="TimesNewRomanPSMT"/>
          <w:lang w:val="es-ES"/>
        </w:rPr>
        <w:t xml:space="preserve"> </w:t>
      </w:r>
      <w:r>
        <w:rPr>
          <w:sz w:val="24"/>
          <w:i w:val="off"/>
          <w:b w:val="off"/>
          <w:szCs w:val="24"/>
          <w:iCs w:val="off"/>
          <w:bCs w:val="off"/>
          <w:lang w:bidi="ar-SA" w:eastAsia="fr-FR" w:val="es-ES"/>
        </w:rPr>
        <w:t>reza así: “La causa de beatificación y canonización se refiere a un fiel católico que en vida, en su muerte y después de su muerte tuvo fama de santidad, viviendo heroicamente todas las virtudes cristianas; o bien goza de fama de martirio porque, siguiendo al Señor Jesucristo más de cerca, sacrificó su vida en el acto del martirio.”</w:t>
      </w:r>
      <w:r>
        <w:rPr>
          <w:sz w:val="24"/>
          <w:i w:val="off"/>
          <w:b w:val="off"/>
          <w:szCs w:val="24"/>
          <w:iCs w:val="off"/>
          <w:bCs w:val="off"/>
          <w:rStyle w:val="style16"/>
          <w:lang w:bidi="ar-SA" w:eastAsia="fr-FR" w:val="es-ES"/>
        </w:rPr>
        <w:footnoteReference w:id="25"/>
      </w:r>
      <w:r>
        <w:rPr>
          <w:sz w:val="24"/>
          <w:i w:val="off"/>
          <w:b w:val="off"/>
          <w:szCs w:val="24"/>
          <w:iCs w:val="off"/>
          <w:bCs w:val="off"/>
          <w:lang w:bidi="ar-SA" w:eastAsia="fr-FR" w:val="es-ES"/>
        </w:rPr>
        <w:t xml:space="preserve"> Para la primera categoría de candidatos a la beatificación y posterior santificación es necesario probar que el mismo realizó al menos cinco milagros en vida. Para la segunda categoría, que es la que nos ocupa aquí, es necesario probar que el candidato murió de manera violenta a causa de su fe cristiana. En el último cuarto del siglo XX hemos asistido a una impresionante multiplicación de beatificaciones de mártires. Este fenómeno no hubiera sido posible sin la reforma del derecho canónico vaticano emprendida bajo el pontificado de Juan Pablo II. </w:t>
      </w:r>
      <w:r>
        <w:rPr>
          <w:lang w:val="es-ES"/>
        </w:rPr>
        <w:t>Dicha reforma flexibilizó en gran medida los procedimientos de canonización reduciendo de cincuenta a cinco años el plazo  necesario para iniciar el proceso a partir de la muerte del candidato.</w:t>
      </w:r>
      <w:r>
        <w:rPr>
          <w:rStyle w:val="style16"/>
          <w:lang w:val="es-ES"/>
        </w:rPr>
        <w:footnoteReference w:id="26"/>
      </w:r>
      <w:r>
        <w:rPr>
          <w:lang w:val="es-ES"/>
        </w:rPr>
        <w:t xml:space="preserve"> </w:t>
      </w:r>
    </w:p>
    <w:p>
      <w:pPr>
        <w:pStyle w:val="style0"/>
        <w:jc w:val="both"/>
        <w:spacing w:line="360" w:lineRule="atLeast"/>
      </w:pPr>
      <w:r>
        <w:rPr>
          <w:lang w:val="es-ES"/>
        </w:rPr>
      </w:r>
    </w:p>
    <w:p>
      <w:pPr>
        <w:pStyle w:val="style0"/>
        <w:jc w:val="both"/>
        <w:spacing w:line="360" w:lineRule="atLeast"/>
      </w:pPr>
      <w:r>
        <w:rPr>
          <w:lang w:val="es-ES"/>
        </w:rPr>
        <w:t>En efecto, el Juan Pablo II incluyó como una de las prioridades de su pontificado el homenaje a</w:t>
      </w:r>
      <w:r>
        <w:rPr>
          <w:sz w:val="24"/>
          <w:i w:val="off"/>
          <w:b w:val="off"/>
          <w:szCs w:val="24"/>
          <w:iCs w:val="off"/>
          <w:bCs w:val="off"/>
          <w:rFonts w:ascii="TimesNewRomanPSMT" w:cs="TimesNewRomanPSMT" w:eastAsia="TimesNewRomanPSMT" w:hAnsi="TimesNewRomanPSMT"/>
          <w:lang w:bidi="ar-SA" w:eastAsia="fr-FR" w:val="es-ES"/>
        </w:rPr>
        <w:t xml:space="preserve"> “los muchos que dieron testimonio de la fe </w:t>
      </w:r>
      <w:r>
        <w:rPr>
          <w:lang w:val="es-ES"/>
        </w:rPr>
        <w:t xml:space="preserve">con sufrimientos a menudo heroicos” durante el siglo XX, </w:t>
      </w:r>
      <w:r>
        <w:rPr>
          <w:sz w:val="24"/>
          <w:i w:val="off"/>
          <w:b w:val="off"/>
          <w:szCs w:val="24"/>
          <w:iCs w:val="off"/>
          <w:bCs w:val="off"/>
          <w:lang w:bidi="ar-SA" w:eastAsia="fr-FR" w:val="es-ES"/>
        </w:rPr>
        <w:t xml:space="preserve">“tal </w:t>
      </w:r>
      <w:r>
        <w:rPr>
          <w:sz w:val="24"/>
          <w:i w:val="off"/>
          <w:b w:val="off"/>
          <w:szCs w:val="24"/>
          <w:iCs w:val="off"/>
          <w:bCs w:val="off"/>
          <w:rFonts w:ascii="TimesNewRomanPSMT" w:cs="TimesNewRomanPSMT" w:eastAsia="TimesNewRomanPSMT" w:hAnsi="TimesNewRomanPSMT"/>
          <w:lang w:bidi="ar-SA" w:eastAsia="fr-FR" w:val="es-ES"/>
        </w:rPr>
        <w:t>vez más que en el primer período del cristianismo”,</w:t>
      </w:r>
      <w:r>
        <w:rPr>
          <w:lang w:val="es-ES"/>
        </w:rPr>
        <w:t xml:space="preserve"> </w:t>
      </w:r>
      <w:r>
        <w:rPr>
          <w:sz w:val="24"/>
          <w:i w:val="off"/>
          <w:b w:val="off"/>
          <w:szCs w:val="24"/>
          <w:iCs w:val="off"/>
          <w:bCs w:val="off"/>
          <w:lang w:bidi="ar-SA" w:eastAsia="fr-FR" w:val="es-ES"/>
        </w:rPr>
        <w:t>entre los cuales los españoles y mejicanos serían los más numerosos</w:t>
      </w:r>
      <w:r>
        <w:rPr>
          <w:sz w:val="24"/>
          <w:i w:val="off"/>
          <w:b w:val="off"/>
          <w:szCs w:val="24"/>
          <w:iCs w:val="off"/>
          <w:bCs w:val="off"/>
          <w:rFonts w:ascii="TimesNewRomanPSMT" w:cs="TimesNewRomanPSMT" w:eastAsia="TimesNewRomanPSMT" w:hAnsi="TimesNewRomanPSMT"/>
          <w:lang w:bidi="ar-SA" w:eastAsia="fr-FR" w:val="es-ES"/>
        </w:rPr>
        <w:t>.</w:t>
      </w:r>
      <w:r>
        <w:rPr>
          <w:sz w:val="24"/>
          <w:i w:val="off"/>
          <w:b w:val="off"/>
          <w:szCs w:val="24"/>
          <w:iCs w:val="off"/>
          <w:bCs w:val="off"/>
          <w:rStyle w:val="style16"/>
          <w:rFonts w:cs="TimesNewRomanPSMT" w:eastAsia="TimesNewRomanPSMT"/>
          <w:lang w:bidi="ar-SA" w:eastAsia="fr-FR" w:val="es-ES"/>
        </w:rPr>
        <w:footnoteReference w:id="27"/>
      </w:r>
      <w:r>
        <w:rPr>
          <w:sz w:val="24"/>
          <w:i w:val="off"/>
          <w:b w:val="off"/>
          <w:szCs w:val="24"/>
          <w:iCs w:val="off"/>
          <w:bCs w:val="off"/>
          <w:rFonts w:cs="TimesNewRomanPSMT" w:eastAsia="TimesNewRomanPSMT"/>
          <w:lang w:bidi="ar-SA" w:eastAsia="fr-FR" w:val="es-ES"/>
        </w:rPr>
        <w:t xml:space="preserve"> El Pontífice hizo valer sus orígenes polacos para justificar tal decisión al afirmar que “l</w:t>
      </w:r>
      <w:r>
        <w:rPr>
          <w:sz w:val="24"/>
          <w:i w:val="off"/>
          <w:b w:val="off"/>
          <w:szCs w:val="24"/>
          <w:iCs w:val="off"/>
          <w:bCs w:val="off"/>
          <w:rFonts w:ascii="TimesNewRomanPSMT" w:cs="TimesNewRomanPSMT" w:eastAsia="TimesNewRomanPSMT" w:hAnsi="TimesNewRomanPSMT"/>
          <w:lang w:bidi="ar-SA" w:eastAsia="fr-FR" w:val="es-ES"/>
        </w:rPr>
        <w:t xml:space="preserve">a generación a la que pertenezco ha conocido el horror de la guerra, los campos de concentración </w:t>
      </w:r>
      <w:r>
        <w:rPr>
          <w:sz w:val="24"/>
          <w:szCs w:val="24"/>
          <w:rFonts w:ascii="TimesNewRomanPSMT" w:cs="TimesNewRomanPSMT" w:eastAsia="TimesNewRomanPSMT" w:hAnsi="TimesNewRomanPSMT"/>
          <w:lang w:val="es-ES"/>
        </w:rPr>
        <w:t xml:space="preserve">y la persecución. En mi Patria, durante la segunda Guerra Mundial, sacerdotes y cristianos fueron deportados a los campos de exterminio. Sólo en Dachau fueron internados casi tres mil sacerdotes; su sacrificio se unió al de muchos cristianos provenientes de otros países europeos, pertenecientes </w:t>
      </w:r>
      <w:r>
        <w:rPr>
          <w:sz w:val="24"/>
          <w:i w:val="off"/>
          <w:b w:val="off"/>
          <w:szCs w:val="24"/>
          <w:iCs w:val="off"/>
          <w:bCs w:val="off"/>
          <w:rFonts w:ascii="TimesNewRomanPSMT" w:cs="TimesNewRomanPSMT" w:eastAsia="TimesNewRomanPSMT" w:hAnsi="TimesNewRomanPSMT"/>
          <w:lang w:bidi="ar-SA" w:eastAsia="fr-FR" w:val="es-ES"/>
        </w:rPr>
        <w:t>también a otras Iglesias y Comunidades eclesiales.”</w:t>
      </w:r>
      <w:r>
        <w:rPr>
          <w:sz w:val="24"/>
          <w:i w:val="off"/>
          <w:b w:val="off"/>
          <w:szCs w:val="24"/>
          <w:iCs w:val="off"/>
          <w:bCs w:val="off"/>
          <w:rStyle w:val="style16"/>
          <w:rFonts w:ascii="TimesNewRomanPSMT" w:cs="TimesNewRomanPSMT" w:eastAsia="TimesNewRomanPSMT" w:hAnsi="TimesNewRomanPSMT"/>
          <w:lang w:bidi="ar-SA" w:eastAsia="fr-FR" w:val="es-ES"/>
        </w:rPr>
        <w:footnoteReference w:id="28"/>
      </w:r>
      <w:r>
        <w:rPr>
          <w:sz w:val="24"/>
          <w:i w:val="off"/>
          <w:b w:val="off"/>
          <w:szCs w:val="24"/>
          <w:iCs w:val="off"/>
          <w:bCs w:val="off"/>
          <w:rFonts w:cs="TimesNewRomanPSMT" w:eastAsia="TimesNewRomanPSMT"/>
          <w:lang w:bidi="ar-SA" w:eastAsia="fr-FR" w:val="es-ES"/>
        </w:rPr>
        <w:t xml:space="preserve"> De esta forma, la persecución religiosa de los años treinta en España será también presentada como la obra de la barbarie totalitaria, esta vez comunista en lugar de nazi. El destino de los mártires españoles es así interpretado a través a partir de la violencia totalitaria europea del siglo XX, estableciendo una solidaridad de destino entre ellos y el resto de las víctimas del nazismo.</w:t>
      </w:r>
    </w:p>
    <w:p>
      <w:pPr>
        <w:pStyle w:val="style0"/>
        <w:jc w:val="both"/>
        <w:spacing w:line="360" w:lineRule="atLeast"/>
      </w:pPr>
      <w:r>
        <w:rPr>
          <w:sz w:val="24"/>
          <w:i w:val="off"/>
          <w:b w:val="off"/>
          <w:szCs w:val="24"/>
          <w:iCs w:val="off"/>
          <w:bCs w:val="off"/>
          <w:rFonts w:cs="TimesNewRomanPSMT" w:eastAsia="TimesNewRomanPSMT"/>
          <w:lang w:bidi="ar-SA" w:eastAsia="fr-FR" w:val="es-ES"/>
        </w:rPr>
      </w:r>
    </w:p>
    <w:p>
      <w:pPr>
        <w:pStyle w:val="style0"/>
        <w:jc w:val="both"/>
        <w:autoSpaceDE w:val="false"/>
        <w:spacing w:line="360" w:lineRule="atLeast"/>
      </w:pPr>
      <w:r>
        <w:rPr>
          <w:sz w:val="24"/>
          <w:i w:val="off"/>
          <w:b w:val="off"/>
          <w:szCs w:val="24"/>
          <w:iCs w:val="off"/>
          <w:bCs w:val="off"/>
          <w:rFonts w:cs="TimesNewRomanPSMT" w:eastAsia="TimesNewRomanPSMT"/>
          <w:lang w:bidi="ar-SA" w:eastAsia="fr-FR" w:val="es-ES"/>
        </w:rPr>
        <w:t>Las primeras beatificaciones de mártires españoles pronunciadas por el Vaticano el 29 de marzo 1987 por el Papa Juan Pablo II fueron las de “las mártires de Guadalajara”, tres carmelitas descalzas.</w:t>
      </w:r>
      <w:r>
        <w:rPr>
          <w:sz w:val="24"/>
          <w:i w:val="off"/>
          <w:b w:val="off"/>
          <w:szCs w:val="24"/>
          <w:iCs w:val="off"/>
          <w:bCs w:val="off"/>
          <w:rStyle w:val="style16"/>
          <w:rFonts w:cs="TimesNewRomanPSMT" w:eastAsia="TimesNewRomanPSMT"/>
          <w:lang w:bidi="ar-SA" w:eastAsia="fr-FR" w:val="es-ES"/>
        </w:rPr>
        <w:footnoteReference w:id="29"/>
      </w:r>
      <w:r>
        <w:rPr>
          <w:sz w:val="24"/>
          <w:i w:val="off"/>
          <w:b w:val="off"/>
          <w:szCs w:val="24"/>
          <w:iCs w:val="off"/>
          <w:bCs w:val="off"/>
          <w:rFonts w:cs="TimesNewRomanPSMT" w:eastAsia="TimesNewRomanPSMT"/>
          <w:lang w:bidi="ar-SA" w:eastAsia="fr-FR" w:val="es-ES"/>
        </w:rPr>
        <w:t xml:space="preserve"> A partir de ahí, las beatificaciones se han multiplicado y han tomado una naturaleza cada vez menos procedimental y cada vez más ritual, convirtiéndose en  grandes ceremonias en la plaza San Pedro donde el Papa pronuncia beatificaciones colectivas con la asistencia miles de personas. A título de ejemplo podemos mencionar la misa celebrada en 1992 para beatificar entro otros a 122 religiosos asesinados en la guerra civil ante la presencia de 20.000 personas, la mayoría españoles.</w:t>
      </w:r>
      <w:r>
        <w:rPr>
          <w:sz w:val="24"/>
          <w:i w:val="off"/>
          <w:b w:val="off"/>
          <w:szCs w:val="24"/>
          <w:iCs w:val="off"/>
          <w:bCs w:val="off"/>
          <w:rStyle w:val="style16"/>
          <w:rFonts w:cs="TimesNewRomanPSMT" w:eastAsia="TimesNewRomanPSMT"/>
          <w:lang w:bidi="ar-SA" w:eastAsia="fr-FR" w:val="es-ES"/>
        </w:rPr>
        <w:footnoteReference w:id="30"/>
      </w:r>
      <w:r>
        <w:rPr>
          <w:sz w:val="24"/>
          <w:i w:val="off"/>
          <w:b w:val="off"/>
          <w:szCs w:val="24"/>
          <w:iCs w:val="off"/>
          <w:bCs w:val="off"/>
          <w:rFonts w:cs="TimesNewRomanPSMT" w:eastAsia="TimesNewRomanPSMT"/>
          <w:lang w:bidi="ar-SA" w:eastAsia="fr-FR" w:val="es-ES"/>
        </w:rPr>
        <w:t xml:space="preserve"> </w:t>
      </w:r>
      <w:r>
        <w:rPr>
          <w:sz w:val="24"/>
          <w:i w:val="off"/>
          <w:b w:val="off"/>
          <w:szCs w:val="24"/>
          <w:iCs w:val="off"/>
          <w:bCs w:val="off"/>
          <w:rFonts w:cs="TimesNewRomanPSMT" w:eastAsia="TimesNewRomanPSMT"/>
          <w:lang w:bidi="ar-SA" w:eastAsia="fr-FR" w:val="es-ES"/>
        </w:rPr>
        <w:t xml:space="preserve">Juan Pablo II también innovó mediante la celebración de misas de beatificación en sus visitas fuera de Roma, como sucedió con </w:t>
      </w:r>
      <w:r>
        <w:rPr>
          <w:sz w:val="24"/>
          <w:i w:val="off"/>
          <w:b w:val="off"/>
          <w:szCs w:val="24"/>
          <w:iCs w:val="off"/>
          <w:bCs w:val="off"/>
          <w:rFonts w:ascii="TimesNewRomanPSMT" w:cs="TimesNewRomanPSMT" w:eastAsia="TimesNewRomanPSMT" w:hAnsi="TimesNewRomanPSMT"/>
          <w:lang w:bidi="ar-SA" w:eastAsia="fr-FR" w:val="es-ES"/>
        </w:rPr>
        <w:t>San Pedro de Bethencour en Guatemala, así como en España durante la visita del Pontífice en 2003.</w:t>
      </w:r>
      <w:r>
        <w:rPr>
          <w:sz w:val="24"/>
          <w:i w:val="off"/>
          <w:b w:val="off"/>
          <w:szCs w:val="24"/>
          <w:iCs w:val="off"/>
          <w:bCs w:val="off"/>
          <w:rStyle w:val="style16"/>
          <w:rFonts w:ascii="TimesNewRomanPSMT" w:cs="TimesNewRomanPSMT" w:eastAsia="TimesNewRomanPSMT" w:hAnsi="TimesNewRomanPSMT"/>
          <w:lang w:bidi="ar-SA" w:eastAsia="fr-FR" w:val="es-ES"/>
        </w:rPr>
        <w:footnoteReference w:id="31"/>
      </w:r>
      <w:r>
        <w:rPr>
          <w:sz w:val="24"/>
          <w:i w:val="off"/>
          <w:b w:val="off"/>
          <w:szCs w:val="24"/>
          <w:iCs w:val="off"/>
          <w:bCs w:val="off"/>
          <w:rFonts w:ascii="TimesNewRomanPSMT" w:cs="TimesNewRomanPSMT" w:eastAsia="TimesNewRomanPSMT" w:hAnsi="TimesNewRomanPSMT"/>
          <w:lang w:bidi="ar-SA" w:eastAsia="fr-FR" w:val="es-ES"/>
        </w:rPr>
        <w:t xml:space="preserve"> </w:t>
      </w:r>
    </w:p>
    <w:p>
      <w:pPr>
        <w:pStyle w:val="style0"/>
        <w:jc w:val="both"/>
        <w:autoSpaceDE w:val="false"/>
        <w:spacing w:line="360" w:lineRule="atLeast"/>
      </w:pPr>
      <w:r>
        <w:rPr>
          <w:sz w:val="24"/>
          <w:i w:val="off"/>
          <w:b w:val="off"/>
          <w:szCs w:val="24"/>
          <w:iCs w:val="off"/>
          <w:bCs w:val="off"/>
          <w:rFonts w:ascii="TimesNewRomanPSMT" w:cs="TimesNewRomanPSMT" w:eastAsia="TimesNewRomanPSMT" w:hAnsi="TimesNewRomanPSMT"/>
          <w:lang w:bidi="ar-SA" w:eastAsia="fr-FR" w:val="es-ES"/>
        </w:rPr>
      </w:r>
    </w:p>
    <w:p>
      <w:pPr>
        <w:pStyle w:val="style0"/>
        <w:jc w:val="both"/>
        <w:autoSpaceDE w:val="false"/>
        <w:spacing w:line="360" w:lineRule="atLeast"/>
      </w:pPr>
      <w:r>
        <w:rPr>
          <w:sz w:val="24"/>
          <w:i w:val="off"/>
          <w:b w:val="off"/>
          <w:szCs w:val="24"/>
          <w:iCs w:val="off"/>
          <w:bCs w:val="off"/>
          <w:rFonts w:ascii="TimesNewRomanPSMT" w:cs="TimesNewRomanPSMT" w:eastAsia="TimesNewRomanPSMT" w:hAnsi="TimesNewRomanPSMT"/>
          <w:lang w:bidi="ar-SA" w:eastAsia="fr-FR" w:val="es-ES"/>
        </w:rPr>
        <w:t xml:space="preserve">El </w:t>
      </w:r>
      <w:r>
        <w:rPr>
          <w:sz w:val="24"/>
          <w:i w:val="off"/>
          <w:b w:val="off"/>
          <w:szCs w:val="24"/>
          <w:iCs w:val="off"/>
          <w:bCs w:val="off"/>
          <w:rFonts w:ascii="TimesNewRomanPSMT" w:cs="TimesNewRomanPSMT" w:eastAsia="TimesNewRomanPSMT" w:hAnsi="TimesNewRomanPSMT"/>
          <w:lang w:bidi="ar-SA" w:eastAsia="fr-FR" w:val="es-ES"/>
        </w:rPr>
        <w:t>28 de octubre de 2007</w:t>
      </w:r>
      <w:r>
        <w:rPr>
          <w:sz w:val="24"/>
          <w:i w:val="off"/>
          <w:b w:val="off"/>
          <w:szCs w:val="24"/>
          <w:iCs w:val="off"/>
          <w:bCs w:val="off"/>
          <w:rFonts w:ascii="TimesNewRomanPSMT" w:cs="TimesNewRomanPSMT" w:eastAsia="TimesNewRomanPSMT" w:hAnsi="TimesNewRomanPSMT"/>
          <w:lang w:bidi="ar-SA" w:eastAsia="fr-FR" w:val="es-ES"/>
        </w:rPr>
        <w:t xml:space="preserve"> tuvo lugar la ceremonia de beatificación colectiva más impresionante de las víctimas de la persecución religiosa española. En la Plaza San Pedro, el Papa beatificó a 489 mártires en una ceremonia multitudinaria ante la presencia de miles de fieles así como de representantes de los altos estamentos de la Conferencia Episcopal Española y del ministro de exteriores Miguel Ángel Moratinos. Esta ceremonia fue el resultado de un trabajo conjunto de la Oficina para las Causas de los Santos de la Conferencia Episcopal Española y de la Congregación de las Causas de los Santos de Roma que en 2002 decidieron unificar 23 causas de beatificación en curso.</w:t>
      </w:r>
      <w:r>
        <w:rPr>
          <w:sz w:val="24"/>
          <w:i w:val="off"/>
          <w:b w:val="off"/>
          <w:szCs w:val="24"/>
          <w:iCs w:val="off"/>
          <w:bCs w:val="off"/>
          <w:rStyle w:val="style16"/>
          <w:rFonts w:ascii="TimesNewRomanPSMT" w:cs="TimesNewRomanPSMT" w:eastAsia="TimesNewRomanPSMT" w:hAnsi="TimesNewRomanPSMT"/>
          <w:lang w:bidi="ar-SA" w:eastAsia="fr-FR" w:val="es-ES"/>
        </w:rPr>
        <w:footnoteReference w:id="32"/>
      </w:r>
      <w:r>
        <w:rPr>
          <w:sz w:val="24"/>
          <w:i w:val="off"/>
          <w:b w:val="off"/>
          <w:szCs w:val="24"/>
          <w:iCs w:val="off"/>
          <w:bCs w:val="off"/>
          <w:rFonts w:ascii="TimesNewRomanPSMT" w:cs="TimesNewRomanPSMT" w:eastAsia="TimesNewRomanPSMT" w:hAnsi="TimesNewRomanPSMT"/>
          <w:lang w:bidi="ar-SA" w:eastAsia="fr-FR" w:val="es-ES"/>
        </w:rPr>
        <w:t xml:space="preserve"> El monumental trabajo de documentación realizado por la Iglesia Española que hizo posible tal ceremonia se encuentra resumido en el libro</w:t>
      </w:r>
      <w:r>
        <w:rPr>
          <w:sz w:val="24"/>
          <w:i/>
          <w:b w:val="off"/>
          <w:szCs w:val="24"/>
          <w:iCs/>
          <w:bCs w:val="off"/>
          <w:rFonts w:ascii="TimesNewRomanPSMT" w:cs="TimesNewRomanPSMT" w:eastAsia="TimesNewRomanPSMT" w:hAnsi="TimesNewRomanPSMT"/>
          <w:lang w:bidi="ar-SA" w:eastAsia="fr-FR" w:val="es-ES"/>
        </w:rPr>
        <w:t xml:space="preserve"> Quiénes son y de dónde vienen: 498 mártires del siglo XX en España</w:t>
      </w:r>
      <w:r>
        <w:rPr>
          <w:sz w:val="24"/>
          <w:i w:val="off"/>
          <w:b w:val="off"/>
          <w:szCs w:val="24"/>
          <w:iCs w:val="off"/>
          <w:bCs w:val="off"/>
          <w:rFonts w:ascii="TimesNewRomanPSMT" w:cs="TimesNewRomanPSMT" w:eastAsia="TimesNewRomanPSMT" w:hAnsi="TimesNewRomanPSMT"/>
          <w:lang w:bidi="ar-SA" w:eastAsia="fr-FR" w:val="es-ES"/>
        </w:rPr>
        <w:t>.</w:t>
      </w:r>
      <w:r>
        <w:rPr>
          <w:sz w:val="24"/>
          <w:i w:val="off"/>
          <w:b w:val="off"/>
          <w:szCs w:val="24"/>
          <w:iCs w:val="off"/>
          <w:bCs w:val="off"/>
          <w:rStyle w:val="style16"/>
          <w:rFonts w:ascii="TimesNewRomanPSMT" w:cs="TimesNewRomanPSMT" w:eastAsia="TimesNewRomanPSMT" w:hAnsi="TimesNewRomanPSMT"/>
          <w:lang w:bidi="ar-SA" w:eastAsia="fr-FR" w:val="es-ES"/>
        </w:rPr>
        <w:footnoteReference w:id="33"/>
      </w:r>
      <w:r>
        <w:rPr>
          <w:sz w:val="24"/>
          <w:i w:val="off"/>
          <w:b w:val="off"/>
          <w:szCs w:val="24"/>
          <w:iCs w:val="off"/>
          <w:bCs w:val="off"/>
          <w:rFonts w:ascii="TimesNewRomanPSMT" w:cs="TimesNewRomanPSMT" w:eastAsia="TimesNewRomanPSMT" w:hAnsi="TimesNewRomanPSMT"/>
          <w:lang w:bidi="ar-SA" w:eastAsia="fr-FR" w:val="es-ES"/>
        </w:rPr>
        <w:t xml:space="preserve"> La jerarquía eclesiástica española organizó a conciencia la ceremonia en la Santa Sede. De esta forma, la Conferencia Episcopal lanzó el siguiente llamamiento a sus fieles: </w:t>
      </w:r>
    </w:p>
    <w:p>
      <w:pPr>
        <w:pStyle w:val="style0"/>
        <w:jc w:val="both"/>
        <w:autoSpaceDE w:val="false"/>
        <w:spacing w:line="360" w:lineRule="atLeast"/>
      </w:pPr>
      <w:r>
        <w:rPr>
          <w:lang w:val="es-ES"/>
        </w:rPr>
      </w:r>
    </w:p>
    <w:p>
      <w:pPr>
        <w:pStyle w:val="style0"/>
        <w:jc w:val="both"/>
        <w:autoSpaceDE w:val="false"/>
        <w:ind w:hanging="0" w:left="709" w:right="0"/>
        <w:spacing w:line="100" w:lineRule="atLeast"/>
      </w:pPr>
      <w:r>
        <w:rPr>
          <w:sz w:val="24"/>
          <w:i w:val="off"/>
          <w:b w:val="off"/>
          <w:szCs w:val="24"/>
          <w:iCs w:val="off"/>
          <w:bCs w:val="off"/>
          <w:rFonts w:ascii="TimesNewRomanPSMT" w:cs="TimesNewRomanPSMT" w:eastAsia="TimesNewRomanPSMT" w:hAnsi="TimesNewRomanPSMT"/>
          <w:lang w:bidi="ar-SA" w:eastAsia="fr-FR" w:val="es-ES"/>
        </w:rPr>
        <w:t>“</w:t>
      </w:r>
      <w:r>
        <w:rPr>
          <w:lang w:val="es-ES"/>
        </w:rPr>
        <w:t xml:space="preserve">Invitamos y animamos a todos los que puedan a acudir a Roma para la fiesta de la beatificación. Allí, junto a los sepulcros de los mártires Pedro y Pablo, y los de tantos otros de la primera hora del cristianismo, daremos gloria a Dios por los nuevos mártires de España. </w:t>
      </w:r>
      <w:r>
        <w:rPr>
          <w:sz w:val="24"/>
          <w:i w:val="off"/>
          <w:b w:val="off"/>
          <w:szCs w:val="24"/>
          <w:iCs w:val="off"/>
          <w:bCs w:val="off"/>
          <w:rFonts w:ascii="TimesNewRomanPSMT" w:cs="TimesNewRomanPSMT" w:eastAsia="TimesNewRomanPSMT" w:hAnsi="TimesNewRomanPSMT"/>
          <w:lang w:bidi="ar-SA" w:eastAsia="fr-FR" w:val="es-ES"/>
        </w:rPr>
        <w:t>Informaos en vuestras parroquias, centros religiosos o en vuestras diócesis sobre el modo en que podáis incorporaros a la peregrinación a Roma. No dejéis de participar en las actividades que se organicen para prepararse espiritualmente a la beatificación y en los actos de acción de gracias, tanto si vais a ir a Roma como si no podéis hacerlo.”</w:t>
      </w:r>
      <w:r>
        <w:rPr>
          <w:sz w:val="24"/>
          <w:i w:val="off"/>
          <w:b w:val="off"/>
          <w:szCs w:val="24"/>
          <w:iCs w:val="off"/>
          <w:bCs w:val="off"/>
          <w:rStyle w:val="style16"/>
          <w:rFonts w:ascii="TimesNewRomanPSMT" w:cs="TimesNewRomanPSMT" w:eastAsia="TimesNewRomanPSMT" w:hAnsi="TimesNewRomanPSMT"/>
          <w:lang w:bidi="ar-SA" w:eastAsia="fr-FR" w:val="es-ES"/>
        </w:rPr>
        <w:footnoteReference w:id="34"/>
      </w:r>
    </w:p>
    <w:p>
      <w:pPr>
        <w:pStyle w:val="style0"/>
        <w:jc w:val="both"/>
        <w:autoSpaceDE w:val="false"/>
        <w:spacing w:line="360" w:lineRule="atLeast"/>
      </w:pPr>
      <w:r>
        <w:rPr>
          <w:sz w:val="24"/>
          <w:szCs w:val="24"/>
          <w:rFonts w:ascii="TimesNewRomanPSMT" w:cs="TimesNewRomanPSMT" w:eastAsia="TimesNewRomanPSMT" w:hAnsi="TimesNewRomanPSMT"/>
          <w:lang w:val="es-ES"/>
        </w:rPr>
        <w:t xml:space="preserve">  </w:t>
      </w:r>
    </w:p>
    <w:p>
      <w:pPr>
        <w:pStyle w:val="style0"/>
        <w:jc w:val="both"/>
        <w:spacing w:line="360" w:lineRule="atLeast"/>
      </w:pPr>
      <w:r>
        <w:rPr>
          <w:sz w:val="24"/>
          <w:szCs w:val="24"/>
          <w:rFonts w:ascii="TimesNewRomanPSMT" w:cs="TimesNewRomanPSMT" w:eastAsia="TimesNewRomanPSMT" w:hAnsi="TimesNewRomanPSMT"/>
          <w:lang w:val="es-ES"/>
        </w:rPr>
        <w:t>Esta “fiesta de la beatificación” supuso una oportunidad ideal para situar a España en el epicentro del catolicismo internacional y reforzar al mismo tiempo la fe de los creyentes que peregrinaron en masa a Roma. Esta ceremonia puede se interpretada como un instrumento mediante el cual la institución trata de consolidar al grupo reforzando su cohesión interna.</w:t>
      </w:r>
      <w:r>
        <w:rPr>
          <w:lang w:val="es-ES"/>
        </w:rPr>
        <w:t xml:space="preserve"> El Cardenal José Saraiva Martins –</w:t>
      </w:r>
      <w:r>
        <w:rPr>
          <w:sz w:val="24"/>
          <w:szCs w:val="24"/>
          <w:rFonts w:ascii="TimesNewRomanPSMT" w:cs="TimesNewRomanPSMT" w:eastAsia="TimesNewRomanPSMT" w:hAnsi="TimesNewRomanPSMT"/>
          <w:lang w:val="es-ES"/>
        </w:rPr>
        <w:t xml:space="preserve"> Prefecto de la Congregación para las Causas de los Santos desde mayo de 1998 hasta septiembre de 2008 – en su homilía pronunciada en la ceremonia afirmó que “v</w:t>
      </w:r>
      <w:r>
        <w:rPr>
          <w:sz w:val="24"/>
          <w:szCs w:val="24"/>
          <w:rFonts w:ascii="TimesNewRomanPSMT" w:cs="TimesNewRomanPSMT" w:eastAsia="TimesNewRomanPSMT" w:hAnsi="TimesNewRomanPSMT"/>
          <w:lang w:val="es-ES"/>
        </w:rPr>
        <w:t>ivimos en una época en la cual la verdadera identidad de los cristianos está constantemente amenazada y esto significa que ellos o son mártires, es decir adhieren a su fe bautismal en modo coherente, o tienen que adaptarse.”</w:t>
      </w:r>
      <w:r>
        <w:rPr>
          <w:sz w:val="24"/>
          <w:szCs w:val="24"/>
          <w:rStyle w:val="style16"/>
          <w:rFonts w:ascii="TimesNewRomanPSMT" w:cs="TimesNewRomanPSMT" w:eastAsia="TimesNewRomanPSMT" w:hAnsi="TimesNewRomanPSMT"/>
          <w:lang w:val="es-ES"/>
        </w:rPr>
        <w:footnoteReference w:id="35"/>
      </w:r>
      <w:r>
        <w:rPr>
          <w:sz w:val="24"/>
          <w:szCs w:val="24"/>
          <w:rFonts w:ascii="TimesNewRomanPSMT" w:cs="TimesNewRomanPSMT" w:eastAsia="TimesNewRomanPSMT" w:hAnsi="TimesNewRomanPSMT"/>
          <w:lang w:val="es-ES"/>
        </w:rPr>
        <w:t xml:space="preserve"> Por ello, no basta con “</w:t>
      </w:r>
      <w:r>
        <w:rPr>
          <w:lang w:val="es-ES"/>
        </w:rPr>
        <w:t>contentarnos con celebrar la memoria de los mártires, admirar su ejemplo y seguir adelante en nuestra vida con paso cansino”, sino que hay que preguntarse  “¿qué mensaje transmiten los mártires a cada uno de nosotros aquí presentes?”</w:t>
      </w:r>
      <w:r>
        <w:rPr>
          <w:sz w:val="24"/>
          <w:szCs w:val="24"/>
          <w:rStyle w:val="style16"/>
          <w:rFonts w:ascii="TimesNewRomanPSMT" w:cs="TimesNewRomanPSMT" w:eastAsia="TimesNewRomanPSMT" w:hAnsi="TimesNewRomanPSMT"/>
          <w:lang w:val="es-ES"/>
        </w:rPr>
        <w:footnoteReference w:id="36"/>
      </w:r>
      <w:r>
        <w:rPr>
          <w:lang w:val="es-ES"/>
        </w:rPr>
        <w:t xml:space="preserve">. A lo que responde: </w:t>
      </w:r>
    </w:p>
    <w:p>
      <w:pPr>
        <w:pStyle w:val="style0"/>
        <w:jc w:val="both"/>
        <w:spacing w:line="360" w:lineRule="atLeast"/>
      </w:pPr>
      <w:r>
        <w:rPr/>
      </w:r>
    </w:p>
    <w:p>
      <w:pPr>
        <w:pStyle w:val="style0"/>
        <w:jc w:val="both"/>
        <w:ind w:hanging="0" w:left="709" w:right="0"/>
        <w:spacing w:line="100" w:lineRule="atLeast"/>
      </w:pPr>
      <w:r>
        <w:rPr>
          <w:lang w:val="es-ES"/>
        </w:rPr>
        <w:t>“</w:t>
      </w:r>
      <w:r>
        <w:rPr>
          <w:lang w:val="es-ES"/>
        </w:rPr>
        <w:t xml:space="preserve">Ya que la vida cristiana es una confesión personal cotidiana de la fe en el Hijo de Dios hecho hombre, esta coherencia puede llegar en algunos casos hasta el derramamiento de la sangre. Pero como la vida de un solo cristiano donada en defensa de la fe tiene el efecto de fortalecer la de toda la Iglesia, el hecho de proponer el ejemplo de los mártires significa recordar que la santidad no consiste solamente en la reafirmación de valores comunes para todos, sino en la adhesión personal a Cristo Salvador del cosmos y de la historia. El martirio es un paradigma de esta verdad desde el </w:t>
      </w:r>
      <w:r>
        <w:rPr>
          <w:sz w:val="24"/>
          <w:szCs w:val="24"/>
          <w:rFonts w:ascii="TimesNewRomanPSMT" w:cs="TimesNewRomanPSMT" w:eastAsia="TimesNewRomanPSMT" w:hAnsi="TimesNewRomanPSMT"/>
          <w:lang w:val="es-ES"/>
        </w:rPr>
        <w:t>acontecimiento de Pentecostés.”</w:t>
      </w:r>
      <w:r>
        <w:rPr>
          <w:sz w:val="24"/>
          <w:szCs w:val="24"/>
          <w:rStyle w:val="style16"/>
          <w:rFonts w:ascii="TimesNewRomanPSMT" w:cs="TimesNewRomanPSMT" w:eastAsia="TimesNewRomanPSMT" w:hAnsi="TimesNewRomanPSMT"/>
          <w:lang w:val="es-ES"/>
        </w:rPr>
        <w:footnoteReference w:id="37"/>
      </w:r>
    </w:p>
    <w:p>
      <w:pPr>
        <w:pStyle w:val="style0"/>
        <w:jc w:val="both"/>
        <w:spacing w:line="360" w:lineRule="atLeast"/>
      </w:pPr>
      <w:r>
        <w:rPr>
          <w:lang w:val="es-ES"/>
        </w:rPr>
      </w:r>
    </w:p>
    <w:p>
      <w:pPr>
        <w:pStyle w:val="style0"/>
        <w:jc w:val="both"/>
        <w:spacing w:line="360" w:lineRule="atLeast"/>
      </w:pPr>
      <w:r>
        <w:rPr>
          <w:lang w:val="es-ES"/>
        </w:rPr>
        <w:t xml:space="preserve">Es interesante observar el sumo cuidado con el que el discurso eclesial presenta y califica a los mártires españoles. Cuidado motivado por la voluntad de alejarse del marco de interpretación de la guerra civil basado en el maniqueísmo para acercarse al marco del martirologio y anticipar las críticas que le son dirigidas por otros segmentos de la sociedad. En este sentido, la Conferencia Episcopal subrayó la especificidad de este tipo de “víctimas” al afirmar: </w:t>
      </w:r>
    </w:p>
    <w:p>
      <w:pPr>
        <w:pStyle w:val="style0"/>
        <w:jc w:val="both"/>
        <w:spacing w:line="360" w:lineRule="atLeast"/>
      </w:pPr>
      <w:r>
        <w:rPr>
          <w:lang w:val="es-ES"/>
        </w:rPr>
      </w:r>
    </w:p>
    <w:p>
      <w:pPr>
        <w:pStyle w:val="style0"/>
        <w:jc w:val="both"/>
        <w:ind w:hanging="0" w:left="709" w:right="0"/>
        <w:spacing w:line="100" w:lineRule="atLeast"/>
      </w:pPr>
      <w:r>
        <w:rPr>
          <w:lang w:val="es-ES"/>
        </w:rPr>
        <w:t>“</w:t>
      </w:r>
      <w:r>
        <w:rPr>
          <w:lang w:val="es-ES"/>
        </w:rPr>
        <w:t>No decimos, por tanto, “mártires de la Guerra Civil”, lo cual es inexacto cronológica y técnicamente. Las guerras tienen caídos en uno y en otro bando. Las represiones políticas tienen víctimas, sean de uno o de otro signo. Sólo las persecuciones religiosas tienen mártires, sean de una o de otra ideología, de una o de otra preferencia – o pertenencia – política o incluso de distintas confesiones religiosas.”</w:t>
      </w:r>
      <w:r>
        <w:rPr>
          <w:rStyle w:val="style16"/>
          <w:lang w:val="es-ES"/>
        </w:rPr>
        <w:footnoteReference w:id="38"/>
      </w:r>
      <w:r>
        <w:rPr>
          <w:lang w:val="es-ES"/>
        </w:rPr>
        <w:t xml:space="preserve"> </w:t>
      </w:r>
    </w:p>
    <w:p>
      <w:pPr>
        <w:pStyle w:val="style0"/>
        <w:jc w:val="both"/>
        <w:spacing w:line="360" w:lineRule="atLeast"/>
      </w:pPr>
      <w:r>
        <w:rPr>
          <w:lang w:val="es-ES"/>
        </w:rPr>
      </w:r>
    </w:p>
    <w:p>
      <w:pPr>
        <w:pStyle w:val="style0"/>
        <w:jc w:val="both"/>
        <w:spacing w:line="360" w:lineRule="atLeast"/>
      </w:pPr>
      <w:r>
        <w:rPr>
          <w:lang w:val="es-ES"/>
        </w:rPr>
        <w:t xml:space="preserve">Del mismo modo, la Conferencia Episcopal establece una conexión entre la actualidad política y el homenaje a </w:t>
      </w:r>
      <w:r>
        <w:rPr>
          <w:i/>
          <w:iCs/>
          <w:lang w:val="es-ES"/>
        </w:rPr>
        <w:t>sus</w:t>
      </w:r>
      <w:r>
        <w:rPr>
          <w:lang w:val="es-ES"/>
        </w:rPr>
        <w:t xml:space="preserve"> mártires en un contexto marcado por la multiplicación de los conflictos alrededor de la memoria de la guerra civil en la esfera pública española. Hay que recordar que esta ceremonia tuvo lugar en plena tramitación parlamentaria de la ley de “memoria histórica” del gobierno socialista adoptada a finales de 2007. De esta manera, la Conferencia Episcopal afirmó que:</w:t>
      </w:r>
    </w:p>
    <w:p>
      <w:pPr>
        <w:pStyle w:val="style0"/>
        <w:jc w:val="both"/>
        <w:spacing w:line="360" w:lineRule="atLeast"/>
      </w:pPr>
      <w:r>
        <w:rPr>
          <w:lang w:val="es-ES"/>
        </w:rPr>
      </w:r>
    </w:p>
    <w:p>
      <w:pPr>
        <w:pStyle w:val="style0"/>
        <w:jc w:val="both"/>
        <w:ind w:hanging="0" w:left="709" w:right="0"/>
        <w:spacing w:line="100" w:lineRule="atLeast"/>
      </w:pPr>
      <w:r>
        <w:rPr>
          <w:lang w:val="es-ES"/>
        </w:rPr>
        <w:t>“</w:t>
      </w:r>
      <w:r>
        <w:rPr>
          <w:lang w:val="es-ES"/>
        </w:rPr>
        <w:t xml:space="preserve">La beatificación que vamos a celebrar es una hora de gracia para la Iglesia que peregrina en España y para toda la sociedad. Os invitamos a prepararos bien para esta fiesta y a participar en ella de modo que se convierta para todos en un nuevo estímulo para la renovación de la vida cristiana. </w:t>
      </w:r>
      <w:r>
        <w:rPr>
          <w:i/>
          <w:iCs/>
          <w:lang w:val="es-ES"/>
        </w:rPr>
        <w:t>Lo necesitamos de modo especial en estos momentos en los que, al tiempo que se difunde la mentalidad laicista, la reconciliación parece amenazada en nuestra sociedad.</w:t>
      </w:r>
      <w:r>
        <w:rPr>
          <w:lang w:val="es-ES"/>
        </w:rPr>
        <w:t xml:space="preserve"> Los mártires, que murieron perdonando, son el mejor aliento para que todos fomentemos el espíritu de reconciliación.”</w:t>
      </w:r>
      <w:r>
        <w:rPr>
          <w:rStyle w:val="style16"/>
          <w:lang w:val="es-ES"/>
        </w:rPr>
        <w:footnoteReference w:id="39"/>
      </w:r>
    </w:p>
    <w:p>
      <w:pPr>
        <w:pStyle w:val="style0"/>
        <w:jc w:val="both"/>
        <w:spacing w:line="360" w:lineRule="atLeast"/>
      </w:pPr>
      <w:r>
        <w:rPr>
          <w:lang w:val="es-ES"/>
        </w:rPr>
      </w:r>
    </w:p>
    <w:p>
      <w:pPr>
        <w:pStyle w:val="style0"/>
        <w:jc w:val="both"/>
        <w:spacing w:line="360" w:lineRule="atLeast"/>
      </w:pPr>
      <w:r>
        <w:rPr>
          <w:lang w:val="es-ES"/>
        </w:rPr>
        <w:t>Estas líneas resumen la esencia del problema que intento analizar en el presente texto: la oposición de diferentes concepciones de la “reconciliación” entre los bandos enfrentados en la guerra civil. En efecto, para el gobierno socialista, que intentó recoger las reivindicaciones de las asociaciones de memoria histórica, la reconciliación entre las “dos Españas” necesitaba ser redefinida a partir de un paradigma basado en el derecho penal internacional y siguiendo el modelo del resto de democracias europeas con pasados totalitarios.</w:t>
      </w:r>
      <w:r>
        <w:rPr>
          <w:rStyle w:val="style16"/>
          <w:lang w:val="es-ES"/>
        </w:rPr>
        <w:footnoteReference w:id="40"/>
      </w:r>
      <w:r>
        <w:rPr>
          <w:lang w:val="es-ES"/>
        </w:rPr>
        <w:t xml:space="preserve"> Un paradigma según el cual las víctimas republicanas son objeto de un agravio frente al resto de víctimas de la guerra civil al no haber sido reconocidas públicamente por los poderes públicos. En cambio, para la Iglesia Católica, dicha “reconciliación” ya ha sido concluida, es más, las demandas de las víctimas del franquismo la ponen en peligro. Es por ello que el homenaje a sus víctimas es siempre presentado desde la óptica del perdón, un concepto primordial en el </w:t>
      </w:r>
      <w:r>
        <w:rPr>
          <w:i/>
          <w:iCs/>
          <w:lang w:val="es-ES"/>
        </w:rPr>
        <w:t>ethos</w:t>
      </w:r>
      <w:r>
        <w:rPr>
          <w:lang w:val="es-ES"/>
        </w:rPr>
        <w:t xml:space="preserve"> católico. En todos los discursos eclesiales se recuerda por tanto que los mártires murieron perdonando a sus verdugos. En efecto, la Iglesia reuerda una y otra vez que el homenaje a sus víctimas está dirigido a los miembros de la institución, ya sea al clero o a los fieles, y tiene un carácter “apolítico”. Es por ello que </w:t>
      </w:r>
      <w:r>
        <w:rPr>
          <w:lang w:val="es-ES"/>
        </w:rPr>
        <w:t>el secretario de Estado vaticano, Tarcisio Bertone durante la misa de Acción de Gracias por la beatificación de los 489 mártires españoles en 2007 afirmó que éstos “no han sido propuestos al pueblo de Dios por su implicación política, ni por luchar contra nadie, sino por ofrecer sus vidas como testimonio de amor a Cristo y con la plena conciencia de sentirse miembros de la Iglesia”.</w:t>
      </w:r>
      <w:r>
        <w:rPr>
          <w:rStyle w:val="style16"/>
          <w:lang w:val="es-ES"/>
        </w:rPr>
        <w:footnoteReference w:id="41"/>
      </w:r>
      <w:r>
        <w:rPr>
          <w:lang w:val="es-ES"/>
        </w:rPr>
        <w:t xml:space="preserve"> </w:t>
      </w:r>
      <w:r>
        <w:rPr>
          <w:lang w:val="es-ES"/>
        </w:rPr>
        <w:t xml:space="preserve">Después de haber analizado las implicaciones de los marcos de interpretación de la Iglesia Católica española de la guerra civil, trataré a continuación de ilustrarlos con los datos recogidos a nivel local en la región de Murcia. </w:t>
      </w:r>
    </w:p>
    <w:p>
      <w:pPr>
        <w:pStyle w:val="style0"/>
        <w:jc w:val="both"/>
        <w:spacing w:line="360" w:lineRule="atLeast"/>
      </w:pPr>
      <w:r>
        <w:rPr>
          <w:lang w:val="es-ES"/>
        </w:rPr>
      </w:r>
    </w:p>
    <w:p>
      <w:pPr>
        <w:pStyle w:val="style0"/>
        <w:jc w:val="both"/>
        <w:autoSpaceDE w:val="false"/>
        <w:spacing w:line="360" w:lineRule="atLeast"/>
      </w:pPr>
      <w:r>
        <w:rPr>
          <w:sz w:val="24"/>
          <w:i/>
          <w:b/>
          <w:szCs w:val="24"/>
          <w:iCs/>
          <w:bCs/>
          <w:lang w:val="es-ES"/>
        </w:rPr>
        <w:t>El caso murciano</w:t>
      </w:r>
      <w:r>
        <w:rPr>
          <w:sz w:val="24"/>
          <w:i w:val="off"/>
          <w:b w:val="off"/>
          <w:szCs w:val="24"/>
          <w:iCs w:val="off"/>
          <w:bCs w:val="off"/>
          <w:lang w:val="es-ES"/>
        </w:rPr>
        <w:t xml:space="preserve"> </w:t>
      </w:r>
    </w:p>
    <w:p>
      <w:pPr>
        <w:pStyle w:val="style0"/>
        <w:jc w:val="both"/>
        <w:autoSpaceDE w:val="false"/>
        <w:spacing w:line="360" w:lineRule="atLeast"/>
      </w:pPr>
      <w:r>
        <w:rPr>
          <w:sz w:val="24"/>
          <w:i w:val="off"/>
          <w:b w:val="off"/>
          <w:szCs w:val="24"/>
          <w:iCs w:val="off"/>
          <w:bCs w:val="off"/>
          <w:lang w:val="es-ES"/>
        </w:rPr>
      </w:r>
    </w:p>
    <w:p>
      <w:pPr>
        <w:pStyle w:val="style0"/>
        <w:jc w:val="both"/>
        <w:autoSpaceDE w:val="false"/>
        <w:spacing w:line="360" w:lineRule="atLeast"/>
      </w:pPr>
      <w:r>
        <w:rPr>
          <w:sz w:val="24"/>
          <w:i w:val="off"/>
          <w:b w:val="off"/>
          <w:szCs w:val="24"/>
          <w:iCs w:val="off"/>
          <w:bCs w:val="off"/>
          <w:lang w:val="es-ES"/>
        </w:rPr>
        <w:tab/>
        <w:t>Hoy día conocemos en detalle la amplitud y modalidades de la represión republicana en la región de Murcia gracias a la investigación de la historiadora Carmen González Martínez que estudió en detalle los archivos de la Causa General. La autora caracteriza la represión como una forma de violencia “incontrolada, estructural, popular y colectiva”.</w:t>
      </w:r>
      <w:r>
        <w:rPr>
          <w:sz w:val="24"/>
          <w:i w:val="off"/>
          <w:b w:val="off"/>
          <w:szCs w:val="24"/>
          <w:iCs w:val="off"/>
          <w:bCs w:val="off"/>
          <w:rStyle w:val="style16"/>
          <w:lang w:val="es-ES"/>
        </w:rPr>
        <w:footnoteReference w:id="42"/>
      </w:r>
      <w:r>
        <w:rPr>
          <w:sz w:val="24"/>
          <w:i w:val="off"/>
          <w:b w:val="off"/>
          <w:szCs w:val="24"/>
          <w:iCs w:val="off"/>
          <w:bCs w:val="off"/>
          <w:lang w:val="es-ES"/>
        </w:rPr>
        <w:t xml:space="preserve">  El número total de muertes violentas, de los cuales 86% tuvieron lugar en los primeros seis meses de la guerra en un clima de “exaltación revolucionaria”, ascendió a 740 de los cuáles 514 fueron asesinatos extrajudiciales.</w:t>
      </w:r>
      <w:r>
        <w:rPr>
          <w:sz w:val="24"/>
          <w:i w:val="off"/>
          <w:b w:val="off"/>
          <w:szCs w:val="24"/>
          <w:iCs w:val="off"/>
          <w:bCs w:val="off"/>
          <w:rStyle w:val="style16"/>
          <w:lang w:val="es-ES"/>
        </w:rPr>
        <w:footnoteReference w:id="43"/>
      </w:r>
      <w:r>
        <w:rPr>
          <w:sz w:val="24"/>
          <w:i w:val="off"/>
          <w:b w:val="off"/>
          <w:szCs w:val="24"/>
          <w:iCs w:val="off"/>
          <w:bCs w:val="off"/>
          <w:lang w:val="es-ES"/>
        </w:rPr>
        <w:t xml:space="preserve"> Cifras que reduce considerablemente el cálculo de 1.812 muertes acontecidas en la región realizado por el historiador del régimen franquista Salas Larrázabal</w:t>
      </w:r>
      <w:r>
        <w:rPr>
          <w:sz w:val="24"/>
          <w:i w:val="off"/>
          <w:b w:val="off"/>
          <w:szCs w:val="24"/>
          <w:iCs w:val="off"/>
          <w:bCs w:val="off"/>
          <w:rStyle w:val="style16"/>
          <w:rFonts w:cs="TimesNewRomanPSMT" w:eastAsia="TimesNewRomanPSMT"/>
          <w:lang w:val="es-ES"/>
        </w:rPr>
        <w:footnoteReference w:id="44"/>
      </w:r>
      <w:r>
        <w:rPr>
          <w:sz w:val="24"/>
          <w:i w:val="off"/>
          <w:b w:val="off"/>
          <w:szCs w:val="24"/>
          <w:iCs w:val="off"/>
          <w:bCs w:val="off"/>
          <w:rFonts w:cs="TimesNewRomanPSMT" w:eastAsia="TimesNewRomanPSMT"/>
          <w:lang w:val="es-ES"/>
        </w:rPr>
        <w:t xml:space="preserve">. Hecho que confirma la tendencia presente desde los años ochenta en la literatura historiográfica de revisar a la baja las cifras de la represión republicana y revisar a la alta las cifras de la represión franquista. En resumen, pese a los esfuerzos del gobierno republicano de controlar la represión, las autoridades se encontraron desbordadas y fueron incapaces de asegurar el monopolio de la violencia. </w:t>
      </w:r>
    </w:p>
    <w:p>
      <w:pPr>
        <w:pStyle w:val="style0"/>
        <w:jc w:val="both"/>
        <w:autoSpaceDE w:val="false"/>
        <w:spacing w:line="360" w:lineRule="atLeast"/>
      </w:pPr>
      <w:r>
        <w:rPr>
          <w:sz w:val="24"/>
          <w:i w:val="off"/>
          <w:b w:val="off"/>
          <w:szCs w:val="24"/>
          <w:iCs w:val="off"/>
          <w:bCs w:val="off"/>
          <w:rFonts w:cs="TimesNewRomanPSMT" w:eastAsia="TimesNewRomanPSMT"/>
          <w:lang w:val="es-ES"/>
        </w:rPr>
      </w:r>
    </w:p>
    <w:p>
      <w:pPr>
        <w:pStyle w:val="style0"/>
        <w:jc w:val="both"/>
        <w:autoSpaceDE w:val="false"/>
        <w:spacing w:line="360" w:lineRule="atLeast"/>
      </w:pPr>
      <w:r>
        <w:rPr>
          <w:sz w:val="24"/>
          <w:i w:val="off"/>
          <w:b w:val="off"/>
          <w:szCs w:val="24"/>
          <w:iCs w:val="off"/>
          <w:bCs w:val="off"/>
          <w:rFonts w:cs="TimesNewRomanPSMT" w:eastAsia="TimesNewRomanPSMT"/>
          <w:lang w:val="es-ES"/>
        </w:rPr>
        <w:t>La persecución religiosa acontecida en la región de Murcia se encuentra bien documentada gracias al el informe diocesano elaborado en la inmediata posguerra por Francisco J. Leandro Sánchez-Ocaña, antiguo párroco de prisiones y profesor de teología dogmática. Dicho informe pasó a formar parte de la Causa General de Murcia como un capitulo específico. Es más atípico es el hecho que el documento fue adaptado para una publicación a modo de libro destinado al gran público en 1949 bajo el título “Muertes gloriosas” siendo reeditado en 2005 por el Obispado de Cartagena.</w:t>
      </w:r>
      <w:r>
        <w:rPr>
          <w:sz w:val="24"/>
          <w:i w:val="off"/>
          <w:b w:val="off"/>
          <w:szCs w:val="24"/>
          <w:iCs w:val="off"/>
          <w:bCs w:val="off"/>
          <w:rStyle w:val="style16"/>
          <w:rFonts w:cs="TimesNewRomanPSMT" w:eastAsia="TimesNewRomanPSMT"/>
          <w:lang w:val="es-ES"/>
        </w:rPr>
        <w:footnoteReference w:id="45"/>
      </w:r>
      <w:r>
        <w:rPr>
          <w:sz w:val="24"/>
          <w:i w:val="off"/>
          <w:b w:val="off"/>
          <w:szCs w:val="24"/>
          <w:iCs w:val="off"/>
          <w:bCs w:val="off"/>
          <w:rFonts w:cs="TimesNewRomanPSMT" w:eastAsia="TimesNewRomanPSMT"/>
          <w:lang w:val="es-ES"/>
        </w:rPr>
        <w:t xml:space="preserve"> Este libro está compuesto por noticias biográficas de cada una de las víctimas reconstruyendo sus muerte en base a testimonios orales o escritos. El total de las muertes violentas de miembros del clero en la diócesis de Murcia durante la guerra civil asciendo a 73, un 13,6% del conjunto, cifra inferior al 15,5% de la media nacional, y muy por debajo del triste récord de la diócesis de Barcelona donde pereció el 87,8% del clero.</w:t>
      </w:r>
      <w:r>
        <w:rPr>
          <w:sz w:val="24"/>
          <w:i w:val="off"/>
          <w:b w:val="off"/>
          <w:szCs w:val="24"/>
          <w:iCs w:val="off"/>
          <w:bCs w:val="off"/>
          <w:rStyle w:val="style16"/>
          <w:rFonts w:cs="TimesNewRomanPSMT" w:eastAsia="TimesNewRomanPSMT"/>
          <w:lang w:val="es-ES"/>
        </w:rPr>
        <w:footnoteReference w:id="46"/>
      </w:r>
      <w:r>
        <w:rPr>
          <w:sz w:val="24"/>
          <w:i w:val="off"/>
          <w:b w:val="off"/>
          <w:szCs w:val="24"/>
          <w:iCs w:val="off"/>
          <w:bCs w:val="off"/>
          <w:rFonts w:cs="TimesNewRomanPSMT" w:eastAsia="TimesNewRomanPSMT"/>
          <w:lang w:val="es-ES"/>
        </w:rPr>
        <w:t xml:space="preserve"> Este estudio fue ampliado años más tarde por el sacerdote Emilio Sánchez Baeza, archivero de la</w:t>
      </w:r>
      <w:r>
        <w:rPr>
          <w:sz w:val="24"/>
          <w:i w:val="off"/>
          <w:b w:val="off"/>
          <w:szCs w:val="24"/>
          <w:iCs w:val="off"/>
          <w:bCs w:val="off"/>
          <w:rFonts w:ascii="TimesNewRomanPSMT" w:cs="TimesNewRomanPSMT" w:eastAsia="TimesNewRomanPSMT" w:hAnsi="TimesNewRomanPSMT"/>
          <w:lang w:val="es-ES"/>
        </w:rPr>
        <w:t xml:space="preserve"> diócesis de Cartagena-Murcia en los años ochenta. Dicho autor eleva a 127 el número de víctimas añadiendo</w:t>
      </w:r>
      <w:r>
        <w:rPr>
          <w:sz w:val="24"/>
          <w:i w:val="off"/>
          <w:b w:val="off"/>
          <w:szCs w:val="24"/>
          <w:iCs w:val="off"/>
          <w:bCs w:val="off"/>
          <w:rFonts w:cs="TimesNewRomanPSMT" w:eastAsia="TimesNewRomanPSMT"/>
          <w:lang w:val="es-ES"/>
        </w:rPr>
        <w:t xml:space="preserve"> los religiosos diocesanos y nacidos en Murcia pero muertos en otros lugares y viceversa</w:t>
      </w:r>
      <w:r>
        <w:rPr>
          <w:sz w:val="24"/>
          <w:i w:val="off"/>
          <w:b w:val="off"/>
          <w:szCs w:val="24"/>
          <w:iCs w:val="off"/>
          <w:bCs w:val="off"/>
          <w:rFonts w:ascii="TimesNewRomanPSMT" w:cs="TimesNewRomanPSMT" w:eastAsia="TimesNewRomanPSMT" w:hAnsi="TimesNewRomanPSMT"/>
          <w:lang w:val="es-ES"/>
        </w:rPr>
        <w:t>.</w:t>
      </w:r>
      <w:r>
        <w:rPr>
          <w:sz w:val="24"/>
          <w:i w:val="off"/>
          <w:b w:val="off"/>
          <w:szCs w:val="24"/>
          <w:iCs w:val="off"/>
          <w:bCs w:val="off"/>
          <w:rStyle w:val="style16"/>
          <w:rFonts w:ascii="TimesNewRomanPSMT" w:cs="TimesNewRomanPSMT" w:eastAsia="TimesNewRomanPSMT" w:hAnsi="TimesNewRomanPSMT"/>
          <w:lang w:val="es-ES"/>
        </w:rPr>
        <w:footnoteReference w:id="47"/>
      </w:r>
      <w:r>
        <w:rPr>
          <w:sz w:val="24"/>
          <w:i w:val="off"/>
          <w:b w:val="off"/>
          <w:szCs w:val="24"/>
          <w:iCs w:val="off"/>
          <w:bCs w:val="off"/>
          <w:rFonts w:ascii="TimesNewRomanPSMT" w:cs="TimesNewRomanPSMT" w:eastAsia="TimesNewRomanPSMT" w:hAnsi="TimesNewRomanPSMT"/>
          <w:lang w:val="es-ES"/>
        </w:rPr>
        <w:t xml:space="preserve"> </w:t>
      </w:r>
    </w:p>
    <w:p>
      <w:pPr>
        <w:pStyle w:val="style0"/>
        <w:jc w:val="both"/>
        <w:autoSpaceDE w:val="false"/>
        <w:spacing w:line="360" w:lineRule="atLeast"/>
      </w:pPr>
      <w:r>
        <w:rPr>
          <w:sz w:val="24"/>
          <w:i w:val="off"/>
          <w:b w:val="off"/>
          <w:szCs w:val="24"/>
          <w:iCs w:val="off"/>
          <w:bCs w:val="off"/>
          <w:rFonts w:cs="TimesNewRomanPSMT" w:eastAsia="TimesNewRomanPSMT"/>
          <w:lang w:val="es-ES"/>
        </w:rPr>
      </w:r>
    </w:p>
    <w:p>
      <w:pPr>
        <w:pStyle w:val="style0"/>
        <w:jc w:val="both"/>
        <w:spacing w:line="360" w:lineRule="atLeast"/>
      </w:pPr>
      <w:r>
        <w:rPr>
          <w:i w:val="off"/>
          <w:iCs w:val="off"/>
          <w:lang w:val="es-ES"/>
        </w:rPr>
        <w:t xml:space="preserve">Como sucediera en otras diócesis, este trabajo documental sirvió de base para iniciar los procesos de beatificación de los mártires murcianos, con la diferencia que en Murcia esta labor comenzó más tarde por lo que al día de hoy ningún mártir ha sido beatificado. </w:t>
      </w:r>
      <w:r>
        <w:rPr>
          <w:i w:val="off"/>
          <w:b w:val="off"/>
          <w:iCs w:val="off"/>
          <w:bCs w:val="off"/>
          <w:lang w:val="es-ES"/>
        </w:rPr>
        <w:t>Actualmente, existen 62 procesos de beatificación en curso abiertos por orden del obispo el 20 de julio 2007.</w:t>
      </w:r>
      <w:r>
        <w:rPr>
          <w:i w:val="off"/>
          <w:b w:val="off"/>
          <w:iCs w:val="off"/>
          <w:bCs w:val="off"/>
          <w:rStyle w:val="style16"/>
          <w:lang w:val="es-ES"/>
        </w:rPr>
        <w:footnoteReference w:id="48"/>
      </w:r>
      <w:r>
        <w:rPr>
          <w:i w:val="off"/>
          <w:b w:val="off"/>
          <w:iCs w:val="off"/>
          <w:bCs w:val="off"/>
          <w:lang w:val="es-ES"/>
        </w:rPr>
        <w:t xml:space="preserve"> En una entrevista realizada al procurador de la Delegación de la Causa de los Santos de la Diócesis Cartagena-Murcia el 13 de noviembre 2009 pude obtener algunos detalles sobre la realización dichos procesos aunque desgraciadamente la documentación sobre la que trabaja la Delegación no está abierta al público por motivos de confidencialidad de los familiares y testigos. El </w:t>
      </w:r>
      <w:r>
        <w:rPr>
          <w:i/>
          <w:b w:val="off"/>
          <w:iCs/>
          <w:bCs w:val="off"/>
          <w:lang w:val="es-ES"/>
        </w:rPr>
        <w:t xml:space="preserve">modus operandi </w:t>
      </w:r>
      <w:r>
        <w:rPr>
          <w:i w:val="off"/>
          <w:b w:val="off"/>
          <w:iCs w:val="off"/>
          <w:bCs w:val="off"/>
          <w:lang w:val="es-ES"/>
        </w:rPr>
        <w:t xml:space="preserve">comienza con la búsqueda de testigos con un anuncio en el Boletín del obispado y el envío de una circular a los párrocos de la región donde se pide información sobre las personas. Este “trabajo casi de detective” se basa esencialmente en el “boca a boca” según el postulador. Los testigos directos son difíciles de encontrar dado el tiempo trascurrido. Algunos tienen más de cien años, la mayoría son hijos o sobrinos que guardan memorias infantiles de los acontecimientos o incluso recuerdan lo que sus padres les contaron sobre el familiar asesinado. Acto seguido, un juez y un notario van al domicilio de los familiares o éstos van a la diócesis para recoger el testimonio. Se trata de un acto solemne iniciado con juramento por parte de los testigos sobre un ejemplar de la biblia. En los casos de los seglares martirizados, durante dichas entrevistas los representantes de la diócesis se esfuerzan por verificar si la muerte tuvo lugar estrictamente por “motivos religiosos y no por motivos políticos”.  Una vez recopilado el material se envía a Roma donde se inicia la segunda parte del proceso, que puede llegar a tardar hasta quince años en total en consumarse. </w:t>
      </w:r>
    </w:p>
    <w:p>
      <w:pPr>
        <w:pStyle w:val="style0"/>
        <w:jc w:val="both"/>
        <w:spacing w:line="360" w:lineRule="atLeast"/>
      </w:pPr>
      <w:r>
        <w:rPr>
          <w:lang w:val="es-ES"/>
        </w:rPr>
      </w:r>
    </w:p>
    <w:p>
      <w:pPr>
        <w:pStyle w:val="style0"/>
        <w:jc w:val="both"/>
        <w:spacing w:line="360" w:lineRule="atLeast"/>
      </w:pPr>
      <w:r>
        <w:rPr>
          <w:i w:val="off"/>
          <w:b w:val="off"/>
          <w:iCs w:val="off"/>
          <w:bCs w:val="off"/>
          <w:lang w:val="es-ES"/>
        </w:rPr>
        <w:t>La entrevista realizada al postulador confirma lo constatado más arriba sobre el carácter apolítico que los actores tratan de dar a estos procesos. El entrevistado sostiene en efecto que “n</w:t>
      </w:r>
      <w:r>
        <w:rPr>
          <w:lang w:val="es-ES"/>
        </w:rPr>
        <w:t xml:space="preserve">osotros no hacemos apología ni política, hacemos historia religiosa. </w:t>
      </w:r>
      <w:r>
        <w:rPr>
          <w:sz w:val="24"/>
          <w:i w:val="off"/>
          <w:b w:val="off"/>
          <w:szCs w:val="24"/>
          <w:iCs w:val="off"/>
          <w:bCs w:val="off"/>
          <w:rFonts w:ascii="TimesNewRomanPSMT" w:cs="TimesNewRomanPSMT" w:eastAsia="TimesNewRomanPSMT" w:hAnsi="TimesNewRomanPSMT"/>
          <w:lang w:val="es-ES"/>
        </w:rPr>
        <w:t>No buscamos el aspecto político, no preguntamos por los autores de las muertes.” Incluso llega a decir que su labro le permite defender a la institución a la que pertenece en un contexto en que “l</w:t>
      </w:r>
      <w:r>
        <w:rPr>
          <w:lang w:val="es-ES"/>
        </w:rPr>
        <w:t xml:space="preserve">os historiadores de la guerra civil son muy partidistas”. Incluso llega a afirmar que la “memoria histórica” no es un tema que merezca la pena tomar en serio: “Es su política, no es política objetiva. Está dirigida contra la iglesia, contra los valores tradicionales de España.” </w:t>
      </w:r>
      <w:r>
        <w:rPr>
          <w:u w:val="none"/>
          <w:lang w:val="es-ES"/>
        </w:rPr>
        <w:t>Del mismo modo afirma que “cuando murió Franco sí hubo una reconciliación entre los españoles”, y continúa diciendo que “Zapatero está rompiendo eso, la unidad de los españoles se rompe con los nacionalismos y con los ataques a la iglesia.</w:t>
      </w:r>
      <w:r>
        <w:rPr>
          <w:lang w:val="es-ES"/>
        </w:rPr>
        <w:t xml:space="preserve"> Está enfrentando a los españoles.”</w:t>
      </w:r>
    </w:p>
    <w:p>
      <w:pPr>
        <w:pStyle w:val="style0"/>
        <w:jc w:val="both"/>
        <w:spacing w:line="360" w:lineRule="atLeast"/>
      </w:pPr>
      <w:r>
        <w:rPr>
          <w:lang w:val="es-ES"/>
        </w:rPr>
      </w:r>
    </w:p>
    <w:p>
      <w:pPr>
        <w:pStyle w:val="style0"/>
        <w:jc w:val="both"/>
        <w:spacing w:line="360" w:lineRule="atLeast"/>
      </w:pPr>
      <w:r>
        <w:rPr>
          <w:i w:val="off"/>
          <w:b w:val="off"/>
          <w:iCs w:val="off"/>
          <w:bCs w:val="off"/>
          <w:lang w:val="es-ES"/>
        </w:rPr>
        <w:t>Por otro lado, el postulador subraya que los familiares reaccionan muy positivamente ante estas labores de investigación, “t</w:t>
      </w:r>
      <w:r>
        <w:rPr>
          <w:sz w:val="24"/>
          <w:i w:val="off"/>
          <w:b w:val="off"/>
          <w:szCs w:val="24"/>
          <w:iCs w:val="off"/>
          <w:bCs w:val="off"/>
          <w:rFonts w:ascii="TimesNewRomanPSMT" w:cs="TimesNewRomanPSMT" w:eastAsia="TimesNewRomanPSMT" w:hAnsi="TimesNewRomanPSMT"/>
          <w:lang w:val="es-ES"/>
        </w:rPr>
        <w:t xml:space="preserve">ienen ganas de hablar, les hace ilusión” afirma. Los familiares viven el proceso de beatificación como un honor y les sirve para fortalecer su fe religiosa y su confianza en  la institución eclesiástica. He podido entrevistar a una mujer de avanzada edad cuyo padre se encuentra en proceso de beatificación. El mártir, un seglar, era murciano pero fue asesinado al principio de la guerra en Elche, provincia de Alicante, por lo que el proceso fue llevado a cabo por la vecina Diócesis de Orihuela y continua actualmente en la Santa Sede. La entrevistada narra el episodio de la entrevista de la siguiente manera: </w:t>
      </w:r>
    </w:p>
    <w:p>
      <w:pPr>
        <w:pStyle w:val="style0"/>
        <w:jc w:val="both"/>
        <w:autoSpaceDE w:val="false"/>
        <w:spacing w:line="360" w:lineRule="atLeast"/>
      </w:pPr>
      <w:r>
        <w:rPr>
          <w:sz w:val="24"/>
          <w:szCs w:val="24"/>
          <w:rFonts w:ascii="TimesNewRomanPSMT" w:cs="TimesNewRomanPSMT" w:eastAsia="TimesNewRomanPSMT" w:hAnsi="TimesNewRomanPSMT"/>
          <w:lang w:val="es-ES"/>
        </w:rPr>
      </w:r>
    </w:p>
    <w:p>
      <w:pPr>
        <w:pStyle w:val="style0"/>
        <w:jc w:val="both"/>
        <w:autoSpaceDE w:val="false"/>
        <w:ind w:hanging="0" w:left="709" w:right="0"/>
        <w:spacing w:line="100" w:lineRule="atLeast"/>
      </w:pPr>
      <w:r>
        <w:rPr>
          <w:sz w:val="24"/>
          <w:i w:val="off"/>
          <w:b w:val="off"/>
          <w:szCs w:val="24"/>
          <w:iCs w:val="off"/>
          <w:bCs w:val="off"/>
          <w:rFonts w:ascii="TimesNewRomanPSMT" w:cs="TimesNewRomanPSMT" w:eastAsia="TimesNewRomanPSMT" w:hAnsi="TimesNewRomanPSMT"/>
          <w:lang w:val="es-ES"/>
        </w:rPr>
        <w:t>“</w:t>
      </w:r>
      <w:r>
        <w:rPr>
          <w:sz w:val="24"/>
          <w:i w:val="off"/>
          <w:b w:val="off"/>
          <w:szCs w:val="24"/>
          <w:iCs w:val="off"/>
          <w:bCs w:val="off"/>
          <w:rFonts w:ascii="TimesNewRomanPSMT" w:cs="TimesNewRomanPSMT" w:eastAsia="TimesNewRomanPSMT" w:hAnsi="TimesNewRomanPSMT"/>
          <w:lang w:val="es-ES"/>
        </w:rPr>
        <w:t>Yo tengo una prima hermana religiosa de la caridad. Y estaba en una reunión con el sacerdote que se encarga de este asunto de las beatificaciones... Los mártires pueden ser santos sin hacer milagros, pero lo que pasa es ahora que se ha muerto Juan Pablo II, excelente Papa, y ahora está Benedicto que es fabuloso como todos los Papas pero ha entrado con un equipo más estricto para este tema. Y mi prima en la reunión dijo “anda si yo tengo una prima a la que mataron a su padre”. Y entonces este señor vino aquí en 2003 y le estuvimos contando todas las cosas. Un año antes de morirse mi madre, que firmó, porque teníamos que firmar a puerta cerrada. Vino un sacerdote notario y él. Como ahora mismo (se refiere a la presente entrevista) pero con más panafernalia, con cables y eso. Y pusimos la mano en la Biblia para jurar que todo lo que íbamos a decir era cierto. Mi hermana no dijo nada porque tenia una año cuando mataron a mi padre. Y le tuvimos que contar a este señor todas las cosas, la fe, la esperanza, la caridad del siervo de Dios como mi padre era, que en mi casa rezábamos el rosario... Tuvimos que contar todo lo que recordaba, mi madre también... (...) Y los curas que vinieron nos preguntaron un montón de cosas, tuvimos que firmar las tres jurando sobre la biblia. Yo conté pues lo que me acordaba de niña. Y al cabo de un mes volvieron con lo que habíamos dicho por escrito para que firmáramos. Y mi madre ya estaba malísima, y nos dijo que firmara aunque fuese un garabato. Firmó. Esto sería a principios del 2004. Y ya nos avisaron de Alicante que iban a enviar los expedientes a Roma. Organizaron un misa, con el juez, el obispo de Oriuhela, todos purpurados, unas cajas grandes con unos lazos blancos con todos los expedientes. Estábamos los familiares, algunos faltaban, y iban leyendo los resúmenes y el obispo puso el sello sobre los lazos. Y la señora Silvia, que es la procuradora, le pregunté que cuanto iba a tardar, me dijo que unos 5 años. Lo miran con lupa cada uno de los expediente. Pero esta señora nos dijo que cuando son muchos, la conferencia episcopal puede intervenir para que la ceremonia de beatificación sea en Orihuela, pero yo quiero ir a Roma, es mi asignatura pendiente.”</w:t>
      </w:r>
      <w:r>
        <w:rPr>
          <w:sz w:val="24"/>
          <w:i w:val="off"/>
          <w:b w:val="off"/>
          <w:szCs w:val="24"/>
          <w:iCs w:val="off"/>
          <w:bCs w:val="off"/>
          <w:rStyle w:val="style16"/>
          <w:rFonts w:ascii="TimesNewRomanPSMT" w:cs="TimesNewRomanPSMT" w:eastAsia="TimesNewRomanPSMT" w:hAnsi="TimesNewRomanPSMT"/>
          <w:lang w:val="es-ES"/>
        </w:rPr>
        <w:footnoteReference w:id="49"/>
      </w:r>
      <w:r>
        <w:rPr>
          <w:sz w:val="24"/>
          <w:i w:val="off"/>
          <w:b w:val="off"/>
          <w:szCs w:val="24"/>
          <w:iCs w:val="off"/>
          <w:bCs w:val="off"/>
          <w:rFonts w:ascii="TimesNewRomanPSMT" w:cs="TimesNewRomanPSMT" w:eastAsia="TimesNewRomanPSMT" w:hAnsi="TimesNewRomanPSMT"/>
          <w:lang w:val="es-ES"/>
        </w:rPr>
        <w:t xml:space="preserve"> </w:t>
      </w:r>
    </w:p>
    <w:p>
      <w:pPr>
        <w:pStyle w:val="style0"/>
        <w:jc w:val="both"/>
        <w:spacing w:line="360" w:lineRule="atLeast"/>
      </w:pPr>
      <w:r>
        <w:rPr>
          <w:sz w:val="24"/>
          <w:i w:val="off"/>
          <w:b w:val="off"/>
          <w:szCs w:val="24"/>
          <w:iCs w:val="off"/>
          <w:bCs w:val="off"/>
          <w:rFonts w:cs="TimesNewRomanPSMT" w:eastAsia="TimesNewRomanPSMT"/>
          <w:lang w:val="es-ES"/>
        </w:rPr>
      </w:r>
    </w:p>
    <w:p>
      <w:pPr>
        <w:pStyle w:val="style0"/>
        <w:jc w:val="both"/>
        <w:spacing w:line="360" w:lineRule="atLeast"/>
      </w:pPr>
      <w:r>
        <w:rPr>
          <w:lang w:val="es-ES"/>
        </w:rPr>
        <w:t xml:space="preserve">Estas palabras muestran la importancia que tiene para la entrevistada el proceso de beatificación de su padre. Una importancia que es entendida desde el punto de vista religioso y familiar pero no político. Sin embargo al preguntarle su opinión sobre “todo lo que se ha montado con la memoria histórica”, la entrevistada formula una respuesta con claros tientes políticos: </w:t>
      </w:r>
    </w:p>
    <w:p>
      <w:pPr>
        <w:pStyle w:val="style0"/>
        <w:jc w:val="both"/>
      </w:pPr>
      <w:r>
        <w:rPr/>
      </w:r>
    </w:p>
    <w:p>
      <w:pPr>
        <w:pStyle w:val="style0"/>
        <w:jc w:val="both"/>
        <w:ind w:hanging="0" w:left="709" w:right="0"/>
      </w:pPr>
      <w:r>
        <w:rPr>
          <w:lang w:val="es-ES"/>
        </w:rPr>
        <w:t>“</w:t>
      </w:r>
      <w:r>
        <w:rPr>
          <w:lang w:val="es-ES"/>
        </w:rPr>
        <w:t>Pues pienso que están rizando el rizo, para ver que van a sacar, pero ¿qué van a sacar? No sé si después me tendré que confesar con todo lo que te estoy diciendo. El otro día viendo la tele vi a Santiago Carrillo nombrado a Honoris Causa de una Universidad... ¡Pero si en Paracuellos se cargó a un montón de gente! El Señor es misericordioso, pero ... Los ricos han sabido ser pobres pero los pobres no han sabido ser ricos. Y los cuadros, y venga dinero pá Rusia. ¡Qué disparate! Mi opinión es que lo están haciendo muy mal. Y venga y tantas casas para no sé quien, pero que cara más dura, si el paro va en aumento, si no saben hacerlo. Cualquier mandatario debe rodearse de personas que entiendan de economía, de sanidad, de todo, pero aquí... madre mía. No hay un líder de peso.”</w:t>
      </w:r>
      <w:r>
        <w:rPr>
          <w:rStyle w:val="style16"/>
          <w:lang w:val="es-ES"/>
        </w:rPr>
        <w:footnoteReference w:id="50"/>
      </w:r>
      <w:r>
        <w:rPr>
          <w:lang w:val="es-ES"/>
        </w:rPr>
        <w:t xml:space="preserve"> </w:t>
      </w:r>
    </w:p>
    <w:p>
      <w:pPr>
        <w:pStyle w:val="style0"/>
        <w:jc w:val="both"/>
        <w:spacing w:line="360" w:lineRule="atLeast"/>
      </w:pPr>
      <w:r>
        <w:rPr>
          <w:lang w:val="es-ES"/>
        </w:rPr>
      </w:r>
    </w:p>
    <w:p>
      <w:pPr>
        <w:pStyle w:val="style0"/>
        <w:jc w:val="both"/>
        <w:spacing w:line="360" w:lineRule="atLeast"/>
      </w:pPr>
      <w:r>
        <w:rPr>
          <w:lang w:val="es-ES"/>
        </w:rPr>
        <w:t xml:space="preserve">Esta respuesta ilustra la aparente paradoja en la que se encuentra la memoria de la persecución religiosa. Por un lado, el homenaje a los mártires de la guerra civil es entendido como un honor apolítico propio a la institución eclesiástica, y por otro, el homenaje demando por las asociaciones de memoria histórica, los parientes de la víctimas del franquismo y por el gobierno de Zapatero, es entendido como una provocación y una revancha que pone en riesgo la reconciliación de los españoles. </w:t>
      </w:r>
    </w:p>
    <w:p>
      <w:pPr>
        <w:pStyle w:val="style0"/>
        <w:jc w:val="both"/>
        <w:spacing w:line="360" w:lineRule="atLeast"/>
      </w:pPr>
      <w:r>
        <w:rPr>
          <w:lang w:val="es-ES"/>
        </w:rPr>
      </w:r>
    </w:p>
    <w:p>
      <w:pPr>
        <w:pStyle w:val="style0"/>
        <w:jc w:val="left"/>
        <w:autoSpaceDE w:val="false"/>
      </w:pPr>
      <w:r>
        <w:rPr>
          <w:i/>
          <w:b/>
          <w:iCs/>
          <w:bCs/>
          <w:lang w:val="es-ES"/>
        </w:rPr>
        <w:t>Conclusión</w:t>
      </w:r>
      <w:r>
        <w:rPr>
          <w:i w:val="off"/>
          <w:iCs w:val="off"/>
          <w:lang w:val="es-ES"/>
        </w:rPr>
        <w:t xml:space="preserve"> </w:t>
      </w:r>
    </w:p>
    <w:p>
      <w:pPr>
        <w:pStyle w:val="style0"/>
        <w:jc w:val="left"/>
        <w:autoSpaceDE w:val="false"/>
      </w:pPr>
      <w:r>
        <w:rPr>
          <w:i w:val="off"/>
          <w:iCs w:val="off"/>
          <w:lang w:val="es-ES"/>
        </w:rPr>
      </w:r>
    </w:p>
    <w:p>
      <w:pPr>
        <w:pStyle w:val="style0"/>
        <w:jc w:val="both"/>
        <w:autoSpaceDE w:val="false"/>
        <w:spacing w:line="360" w:lineRule="atLeast"/>
      </w:pPr>
      <w:r>
        <w:rPr>
          <w:sz w:val="24"/>
          <w:i w:val="off"/>
          <w:szCs w:val="24"/>
          <w:iCs w:val="off"/>
          <w:rFonts w:ascii="TimesNewRomanPSMT" w:cs="TimesNewRomanPSMT" w:eastAsia="TimesNewRomanPSMT" w:hAnsi="TimesNewRomanPSMT"/>
          <w:lang w:val="es-ES"/>
        </w:rPr>
        <w:tab/>
      </w:r>
    </w:p>
    <w:p>
      <w:pPr>
        <w:pStyle w:val="style0"/>
        <w:jc w:val="both"/>
        <w:autoSpaceDE w:val="false"/>
        <w:spacing w:line="360" w:lineRule="atLeast"/>
      </w:pPr>
      <w:r>
        <w:rPr>
          <w:sz w:val="24"/>
          <w:i w:val="off"/>
          <w:szCs w:val="24"/>
          <w:iCs w:val="off"/>
          <w:rFonts w:ascii="TimesNewRomanPSMT" w:cs="TimesNewRomanPSMT" w:eastAsia="TimesNewRomanPSMT" w:hAnsi="TimesNewRomanPSMT"/>
          <w:lang w:val="es-ES"/>
        </w:rPr>
        <w:tab/>
        <w:t>Espero que estos ejemplos sirvan para apoyar las tesis defendidas en el presente texto. Podríamos seguir analizando más materiales empíricos relativos al homenaje de otros mártires murcianos y sus efectos en la esfera pública regional, así como sobre los conflictos originados recientemente en relación con bienes y símbolos religiosos destruidos durante la guerra civil y reconstruidos en la posguerra, pero a falta de espacio para desarrollarlos en detalle nos detendremos aquí. Para concluir cabe decir que desde el punto de vista sociológico, el homenaje a los mártires de la guerra civil supone un trabajo de una institución que, como cualquier otra, trata de consolidar su cohesión interna. En efecto, la Iglesia ha sido aquí analizada como una institución, entendida, siguiendo la definición de Jacques Lagroye, como “un conjunto de prácticas, tareas particulares, ritos y reglas de conducta entre personas. Pero una institución es también un conjunto de creencias o de representaciones que conciernen estas prácticas, que definen su significado y que tienden a justificar su existencia. Es por su doble inscripción en las prácticas y en las creencias que aprehendemos aquí las instituciones.”</w:t>
      </w:r>
      <w:r>
        <w:rPr>
          <w:sz w:val="24"/>
          <w:i w:val="off"/>
          <w:szCs w:val="24"/>
          <w:iCs w:val="off"/>
          <w:rStyle w:val="style16"/>
          <w:rFonts w:ascii="TimesNewRomanPSMT" w:cs="TimesNewRomanPSMT" w:eastAsia="TimesNewRomanPSMT" w:hAnsi="TimesNewRomanPSMT"/>
          <w:lang w:val="es-ES"/>
        </w:rPr>
        <w:footnoteReference w:id="51"/>
      </w:r>
    </w:p>
    <w:p>
      <w:pPr>
        <w:pStyle w:val="style0"/>
        <w:jc w:val="both"/>
        <w:autoSpaceDE w:val="false"/>
        <w:spacing w:line="100" w:lineRule="atLeast"/>
      </w:pPr>
      <w:r>
        <w:rPr>
          <w:i w:val="off"/>
          <w:iCs w:val="off"/>
          <w:lang w:val="es-ES"/>
        </w:rPr>
      </w:r>
    </w:p>
    <w:p>
      <w:pPr>
        <w:pStyle w:val="style0"/>
        <w:jc w:val="both"/>
        <w:autoSpaceDE w:val="false"/>
        <w:spacing w:line="360" w:lineRule="atLeast"/>
      </w:pPr>
      <w:r>
        <w:rPr>
          <w:sz w:val="24"/>
          <w:i w:val="off"/>
          <w:szCs w:val="24"/>
          <w:iCs w:val="off"/>
          <w:rFonts w:ascii="TimesNewRomanPSMT" w:cs="TimesNewRomanPSMT" w:eastAsia="TimesNewRomanPSMT" w:hAnsi="TimesNewRomanPSMT"/>
          <w:lang w:val="es-ES"/>
        </w:rPr>
        <w:t xml:space="preserve">Las ceremonias de beatificación así como los efectos que estos procesos producen en los familiares  de los mártires reafirman la fe de los creyentes y justifican la existencia misma de la institución. Por ello, la memoria de la persecución religiosa puede desencadenar el proceso de </w:t>
      </w:r>
      <w:r>
        <w:rPr>
          <w:i w:val="off"/>
          <w:iCs w:val="off"/>
          <w:lang w:val="es-ES"/>
        </w:rPr>
        <w:t xml:space="preserve">comunalización weberiano, es decir, la aparición de un sentimiento subjetivo de la parte de los actores de sentirse pertenecientes a una comunidad, en este caso religiosa. En el contexto de la tendencia actual de disminución del número de fieles y sacerdotes, la celebración de los mártires como víctimas de la violencia totalitaria del siglo XX permite a la institución hacer valer una legitimad propia para no ser percibida exclusivamente como la cómplice del franquismo tal y como se le acusa a menudo. Pero estas acciones y discursos tan bien calculados pueden originar efectos inesperados. Buscando cohesionar la comunidad religiosa mediante un homenaje interno de sus miembros martirizados en el pasado, la Iglesia participa a avivar los conflictos alrededor de la memoria de la guerra civil y contribuye externamente a radicalizar las representaciones del pasado de los ciudadanos. En resumen, si bien es cierto que la memoria de la persecución religiosa permite a Iglesia el cerrar filas, no es menos cierto que la aleja del resto de segmentos de la sociedad.     </w:t>
      </w:r>
    </w:p>
    <w:p>
      <w:pPr>
        <w:pStyle w:val="style0"/>
        <w:jc w:val="both"/>
        <w:autoSpaceDE w:val="false"/>
        <w:spacing w:line="360" w:lineRule="atLeast"/>
      </w:pPr>
      <w:r>
        <w:rPr>
          <w:i w:val="off"/>
          <w:iCs w:val="off"/>
          <w:lang w:val="es-ES"/>
        </w:rPr>
      </w:r>
    </w:p>
    <w:p>
      <w:pPr>
        <w:pStyle w:val="style0"/>
        <w:jc w:val="left"/>
        <w:autoSpaceDE w:val="false"/>
      </w:pPr>
      <w:r>
        <w:rPr>
          <w:sz w:val="24"/>
          <w:i w:val="off"/>
          <w:b w:val="off"/>
          <w:szCs w:val="24"/>
          <w:iCs w:val="off"/>
          <w:bCs w:val="off"/>
          <w:lang w:val="es-ES"/>
        </w:rPr>
      </w:r>
    </w:p>
    <w:sectPr>
      <w:formProt w:val="off"/>
      <w:pgSz w:h="16837" w:w="11905"/>
      <w:textDirection w:val="lrTb"/>
      <w:pgNumType w:fmt="decimal"/>
      <w:type w:val="nextPage"/>
      <w:footerReference r:id="rId2" w:type="default"/>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80"/>
    <w:family w:val="roman"/>
    <w:pitch w:val="variable"/>
  </w:font>
</w:fonts>
</file>

<file path=word/footer1.xml><?xml version="1.0" encoding="utf-8"?>
<w:ftr xmlns:w="http://schemas.openxmlformats.org/wordprocessingml/2006/main">
  <w:p>
    <w:pPr>
      <w:pStyle w:val="style29"/>
      <w:jc w:val="center"/>
    </w:pPr>
    <w:r>
      <w:fldChar w:fldCharType="begin"/>
    </w:r>
    <w:r>
      <w:rPr/>
      <w:fldChar w:fldCharType="begin"/>
    </w:r>
    <w:r>
      <w:instrText> PAGE </w:instrText>
    </w:r>
    <w:r>
      <w:fldChar w:fldCharType="separate"/>
    </w:r>
    <w:r>
      <w:t>15</w:t>
    </w:r>
    <w:r>
      <w:fldChar w:fldCharType="end"/>
    </w:r>
  </w:p>
</w:ftr>
</file>

<file path=word/footnotes.xml><?xml version="1.0" encoding="UTF-8" standalone="yes"?>
<w:footnotes xmlns:w="http://schemas.openxmlformats.org/wordprocessingml/2006/main"><w:footnote w:id="0" w:type="separator"><w:p><w:r><w:separator/></w:r></w:p></w:footnote><w:footnote w:id="1" w:type="continuationSeparator"><w:p><w:r><w:continuationSeparator/></w:r></w:p></w:footnote><w:footnote w:id="2"><w:p><w:pPr><w:pStyle w:val="style28"/><w:jc w:val="both"/></w:pPr><w:r><w:rPr><w:lang w:eastAsia="ar-SA" w:val="es-ES"/></w:rPr><w:tab/><w:t>Juan Pablo II, “</w:t></w:r><w:r><w:rPr><w:lang w:val="es-ES"/></w:rPr><w:t xml:space="preserve">Discurso a los participantes en la VIII sesión pública de las Academias pontificias”, 3 de noviembre de 2003, n. 2: </w:t></w:r><w:r><w:rPr><w:i/><w:iCs/><w:lang w:val="es-ES"/></w:rPr><w:t>L&apos;Osservatore Romano</w:t></w:r><w:r><w:rPr><w:lang w:val="es-ES"/></w:rPr><w:t>, edición en lengua española, 21 de noviembre de 2003, p. 6.</w:t></w:r></w:p></w:footnote><w:footnote w:id="3"><w:p><w:pPr><w:pStyle w:val="style28"/><w:jc w:val="both"/></w:pPr><w:r><w:rPr></w:rPr><w:tab/><w:t xml:space="preserve">Le Pape a suscité la polémique comparant la « laïcité agressive » de l&apos;Espagne actuelle à l&apos;anticléricalisme de la Seconde République. « El Papa vincula el laicismo de la España actual con el anticlericalismo de la República », </w:t></w:r><w:r><w:rPr><w:i/><w:iCs/></w:rPr><w:t xml:space="preserve">El País, </w:t></w:r><w:r><w:rPr></w:rPr><w:t>6 novembre 2010</w:t></w:r><w:r><w:rPr><w:i/><w:iCs/></w:rPr><w:t>.</w:t></w:r></w:p></w:footnote><w:footnote w:id="4"><w:p><w:pPr><w:pStyle w:val="style28"/><w:jc w:val="both"/></w:pPr><w:r><w:rPr><w:lang w:val="es-ES"/></w:rPr><w:tab/><w:t>“</w:t></w:r><w:r><w:rPr><w:lang w:val="es-ES"/></w:rPr><w:t xml:space="preserve">La Memoria estima &quot;insultante&quot; el &apos;guerracivilismo&apos; del Papa”, </w:t></w:r><w:r><w:rPr><w:i/><w:iCs/></w:rPr><w:t>Nuevatribuna.es</w:t></w:r><w:r><w:rPr></w:rPr><w:t>, 7/11/2010</w:t></w:r></w:p></w:footnote><w:footnote w:id="5"><w:p><w:pPr><w:pStyle w:val="style28"/><w:jc w:val="both"/></w:pPr><w:r><w:rPr><w:rFonts w:cs="DejaVu Sans;Times New Roman" w:eastAsia="DejaVu Sans;Times New Roman"/><w:lang w:bidi="en-US" w:eastAsia="en-US" w:val="es-ES"/></w:rPr><w:tab/><w:t xml:space="preserve">El “pacto de silencio” entre las élites políticas mediante el cual éstas renunciaban a salirse del discurso de la reconciliación a la hora de referirse a la guerra civil empezó a resquebrajarse a medida que el nuevo régimen democrático se consolidaba. De esta manera, en la campaña electoral de 1993 el PSOE a la luz de los resultados de los sondeos que ponían en riesgo su victoria en las elecciones generales acusó al PP de ser el “heredero del franquismo” abriendo así la caja de pandora de los conflictos alrededor de la memoria de la guerra civil. </w:t></w:r><w:r><w:rPr><w:rFonts w:cs="DejaVu Sans;Times New Roman" w:eastAsia="DejaVu Sans;Times New Roman"/><w:lang w:bidi="en-US" w:eastAsia="en-US"/></w:rPr><w:t>Paloma Aguilar, « Presencia y ausencia de la guerra civil y del franquismo en la democracia española. Reflexiones acerca de la articulación y ruptura del pacto de silencio », en Julio Aróstegui y François Godicheau (eds.)</w:t></w:r><w:r><w:rPr><w:i/><w:iCs/><w:rFonts w:cs="DejaVu Sans;Times New Roman" w:eastAsia="DejaVu Sans;Times New Roman"/><w:lang w:bidi="en-US" w:eastAsia="en-US"/></w:rPr><w:t>, Guerra civil. Mito y memoria, op. cit.</w:t></w:r></w:p></w:footnote><w:footnote w:id="6"><w:p><w:pPr><w:pStyle w:val="style28"/><w:jc w:val="both"/></w:pPr><w:r><w:rPr></w:rPr><w:tab/><w:t xml:space="preserve">Emilio Silva, </w:t></w:r><w:r><w:rPr><w:i/><w:iCs/></w:rPr><w:t>Las fosas de Franco. Crónica de un desagravio</w:t></w:r><w:r><w:rPr></w:rPr><w:t>, Temas de Hoy, Madrid, 2006 (2003), p.19.</w:t></w:r></w:p></w:footnote><w:footnote w:id="7"><w:p><w:pPr><w:pStyle w:val="style28"/><w:jc w:val="both"/></w:pPr><w:r><w:rPr><w:b w:val="off"/><w:bCs w:val="off"/><w:lang w:val="es-ES"/></w:rPr><w:tab/><w:t xml:space="preserve">José Antonio Martín Pallín et Rafael Escudero Alday, </w:t></w:r><w:r><w:rPr><w:i/><w:b w:val="off"/><w:iCs/><w:bCs w:val="off"/><w:lang w:val="es-ES"/></w:rPr><w:t>Derecho y memoria histórica</w:t></w:r><w:r><w:rPr><w:b w:val="off"/><w:bCs w:val="off"/><w:lang w:val="es-ES"/></w:rPr><w:t>, Madrid, Editorial Trotta, 2008,</w:t></w:r></w:p></w:footnote><w:footnote w:id="8"><w:p><w:pPr><w:pStyle w:val="style28"/><w:jc w:val="both"/></w:pPr><w:r><w:rPr><w:color w:val="000000"/><w:rFonts w:cs="DejaVu Sans;Times New Roman" w:eastAsia="DejaVu Sans;Times New Roman"/><w:lang w:bidi="ar-SA" w:eastAsia="fr-FR" w:val="fr-FR"/></w:rPr><w:tab/><w:t xml:space="preserve">Joël Candau, </w:t></w:r><w:r><w:rPr><w:color w:val="000000"/><w:i/><w:iCs/><w:rFonts w:cs="DejaVu Sans;Times New Roman" w:eastAsia="DejaVu Sans;Times New Roman"/><w:lang w:bidi="ar-SA" w:eastAsia="fr-FR" w:val="fr-FR"/></w:rPr><w:t>Anthropologie de la mémoire</w:t></w:r><w:r><w:rPr><w:color w:val="000000"/><w:rFonts w:cs="DejaVu Sans;Times New Roman" w:eastAsia="DejaVu Sans;Times New Roman"/><w:lang w:bidi="ar-SA" w:eastAsia="fr-FR" w:val="fr-FR"/></w:rPr><w:t xml:space="preserve">, Paris, Armand Collin, 2005, p. 101-102. Jürgen Habermas, </w:t></w:r><w:r><w:rPr><w:color w:val="000000"/><w:i/><w:iCs/><w:rFonts w:cs="DejaVu Sans;Times New Roman" w:eastAsia="DejaVu Sans;Times New Roman"/><w:lang w:bidi="ar-SA" w:eastAsia="fr-FR" w:val="fr-FR"/></w:rPr><w:t>L&apos;espace public. Archéologie de la publicité comme dimension constitutive de la société bourgeoise</w:t></w:r><w:r><w:rPr><w:color w:val="000000"/><w:rFonts w:cs="DejaVu Sans;Times New Roman" w:eastAsia="DejaVu Sans;Times New Roman"/><w:lang w:bidi="ar-SA" w:eastAsia="fr-FR" w:val="fr-FR"/></w:rPr><w:t xml:space="preserve">, 1996 (1962). </w:t></w:r></w:p></w:footnote><w:footnote w:id="9"><w:p><w:pPr><w:pStyle w:val="style28"/><w:jc w:val="both"/></w:pPr><w:r><w:rPr><w:lang w:val="es-ES"/></w:rPr><w:tab/><w:t xml:space="preserve">Nos referimos aquí al concepto de </w:t></w:r><w:r><w:rPr><w:i/><w:iCs/><w:lang w:val="es-ES"/></w:rPr><w:t>framing</w:t></w:r><w:r><w:rPr><w:lang w:val="es-ES"/></w:rPr><w:t xml:space="preserve">. Manuel Castells inspirado en los trabajos sobre neurociencia afirma que la comunicación y el poder se encuentran cada vez más íntimamente relacionados a la luz el proceso de expansión que experimenta la esfera pública en la actualidad. El sociólogo nos invita a estudiar estos marcos al afirmar que “dado que los medios son la principal fuente de la comunicación socializada, que es una comunicación con el potencial de alcanzar a la sociedad en su conjunto, el enmarcado de la opinión pública se realiza mediante procesos que se producen principalmente en los medios de comunicación.” Manuel Castells, </w:t></w:r><w:r><w:rPr><w:i/><w:iCs/><w:lang w:val="es-ES"/></w:rPr><w:t>Comunicación y poder</w:t></w:r><w:r><w:rPr><w:lang w:val="es-ES"/></w:rPr><w:t>,  Madrid, Alianza Editorial, 2009, pp. 214 y s.</w:t></w:r></w:p></w:footnote><w:footnote w:id="10"><w:p><w:pPr><w:pStyle w:val="style28"/><w:jc w:val="both"/><w:spacing w:line="100" w:lineRule="atLeast"/></w:pPr><w:r><w:rPr></w:rPr><w:tab/><w:t xml:space="preserve">Clifford Geertz, </w:t></w:r><w:r><w:rPr><w:i/><w:iCs/></w:rPr><w:t xml:space="preserve">The </w:t></w:r><w:r><w:rPr><w:sz w:val="20"/><w:i/><w:szCs w:val="20"/><w:iCs/><w:rFonts w:ascii="TimesNewRomanPSMT" w:cs="TimesNewRomanPSMT" w:eastAsia="TimesNewRomanPSMT" w:hAnsi="TimesNewRomanPSMT"/></w:rPr><w:t>Interpretation of Cultures: Selected Essays</w:t></w:r><w:r><w:rPr><w:sz w:val="20"/><w:szCs w:val="20"/><w:rFonts w:ascii="TimesNewRomanPSMT" w:cs="TimesNewRomanPSMT" w:eastAsia="TimesNewRomanPSMT" w:hAnsi="TimesNewRomanPSMT"/></w:rPr><w:t>, Basic Books, 1973, p. 5</w:t></w:r></w:p></w:footnote><w:footnote w:id="11"><w:p><w:pPr><w:pStyle w:val="style28"/><w:jc w:val="left"/><w:autoSpaceDE w:val="false"/></w:pPr><w:r><w:rPr><w:sz w:val="20"/><w:szCs w:val="20"/><w:rFonts w:ascii="TimesNewRomanPSMT" w:cs="TimesNewRomanPSMT" w:eastAsia="TimesNewRomanPSMT" w:hAnsi="TimesNewRomanPSMT"/></w:rPr><w:tab/><w:t xml:space="preserve">Sandrine Lefranc, </w:t></w:r><w:r><w:rPr><w:sz w:val="20"/><w:i/><w:szCs w:val="20"/><w:iCs/><w:rFonts w:ascii="TimesNewRomanPSMT" w:cs="TimesNewRomanPSMT" w:eastAsia="TimesNewRomanPSMT" w:hAnsi="TimesNewRomanPSMT"/></w:rPr><w:t>Politiques du pardon</w:t></w:r><w:r><w:rPr><w:sz w:val="20"/><w:szCs w:val="20"/><w:rFonts w:ascii="TimesNewRomanPSMT" w:cs="TimesNewRomanPSMT" w:eastAsia="TimesNewRomanPSMT" w:hAnsi="TimesNewRomanPSMT"/></w:rPr><w:t>, Paris, PUF, 2002.</w:t></w:r></w:p></w:footnote><w:footnote w:id="12"><w:p><w:pPr><w:pStyle w:val="style28"/></w:pPr><w:r><w:rPr></w:rPr><w:tab/><w:t xml:space="preserve">Jacques Lagroye (dir.), </w:t></w:r><w:r><w:rPr><w:i/><w:iCs/></w:rPr><w:t>La politisation</w:t></w:r><w:r><w:rPr></w:rPr><w:t>, Paris, Belin, 2004.</w:t></w:r></w:p></w:footnote><w:footnote w:id="13"><w:p><w:pPr><w:pStyle w:val="style28"/><w:jc w:val="both"/></w:pPr><w:r><w:rPr><w:i w:val="off"/><w:b w:val="off"/><w:iCs w:val="off"/><w:bCs w:val="off"/><w:rFonts w:ascii="TimesNewRomanPSMT;Times New Roman" w:cs="TimesNewRomanPSMT;Times New Roman" w:eastAsia="TimesNewRomanPSMT;Times New Roman" w:hAnsi="TimesNewRomanPSMT;Times New Roman"/></w:rPr><w:tab/><w:t xml:space="preserve">Yves Déloye, « Pour une sociologie historique de la compétence à opiner « politiquement ». Quelques hypothèses de travail à partir de l&apos;histoire électorale française », </w:t></w:r><w:r><w:rPr><w:i/><w:b w:val="off"/><w:iCs/><w:bCs w:val="off"/><w:rFonts w:ascii="TimesNewRomanPSMT;Times New Roman" w:cs="TimesNewRomanPSMT;Times New Roman" w:eastAsia="TimesNewRomanPSMT;Times New Roman" w:hAnsi="TimesNewRomanPSMT;Times New Roman"/></w:rPr><w:t>Revue Française de Science Politique</w:t></w:r><w:r><w:rPr><w:i w:val="off"/><w:b w:val="off"/><w:iCs w:val="off"/><w:bCs w:val="off"/><w:rFonts w:ascii="TimesNewRomanPSMT;Times New Roman" w:cs="TimesNewRomanPSMT;Times New Roman" w:eastAsia="TimesNewRomanPSMT;Times New Roman" w:hAnsi="TimesNewRomanPSMT;Times New Roman"/></w:rPr><w:t>, vol. 57, n°6, 2006/7, pages 775-799</w:t></w:r><w:r><w:rPr><w:i w:val="off"/><w:b w:val="off"/><w:iCs w:val="off"/><w:bCs w:val="off"/></w:rPr><w:t xml:space="preserve"> ; </w:t></w:r><w:r><w:rPr><w:i/><w:b w:val="off"/><w:iCs/><w:bCs w:val="off"/></w:rPr><w:t>Les voix de Dieu</w:t></w:r><w:r><w:rPr><w:i w:val="off"/><w:b w:val="off"/><w:shd w:fill="auto"/><w:iCs w:val="off"/><w:bCs w:val="off"/></w:rPr><w:t xml:space="preserve">, Paris, Fayard, 2006 ; </w:t></w:r><w:r><w:rPr><w:color w:val="auto"/><w:sz w:val="20"/><w:i/><w:b w:val="off"/><w:shd w:fill="auto"/><w:szCs w:val="20"/><w:iCs/><w:bCs w:val="off"/><w:rFonts w:ascii="TimesNewRomanPSMT;Times New Roman" w:cs="DejaVu Sans" w:eastAsia="DejaVu Sans" w:hAnsi="TimesNewRomanPSMT;Times New Roman"/><w:lang w:bidi="en-US" w:eastAsia="en-US" w:val="fr-FR"/></w:rPr><w:t>Sociologie historique du politique</w:t></w:r><w:r><w:rPr><w:color w:val="auto"/><w:sz w:val="20"/><w:i w:val="off"/><w:b w:val="off"/><w:shd w:fill="auto"/><w:szCs w:val="20"/><w:iCs w:val="off"/><w:bCs w:val="off"/><w:rFonts w:ascii="TimesNewRomanPSMT;Times New Roman" w:cs="DejaVu Sans" w:eastAsia="DejaVu Sans" w:hAnsi="TimesNewRomanPSMT;Times New Roman"/><w:lang w:bidi="en-US" w:eastAsia="en-US" w:val="fr-FR"/></w:rPr><w:t xml:space="preserve">, La Découverte, Paris, 2007 (1997) p. 23  y Yves Déloye et Bertrand Voutat, </w:t></w:r><w:r><w:rPr><w:color w:val="auto"/><w:sz w:val="20"/><w:i/><w:b w:val="off"/><w:shd w:fill="auto"/><w:szCs w:val="20"/><w:iCs/><w:bCs w:val="off"/><w:rFonts w:ascii="TimesNewRomanPSMT;Times New Roman" w:cs="DejaVu Sans" w:eastAsia="DejaVu Sans" w:hAnsi="TimesNewRomanPSMT;Times New Roman"/><w:lang w:bidi="en-US" w:eastAsia="en-US" w:val="fr-FR"/></w:rPr><w:t>Faire de la science politique</w:t></w:r><w:r><w:rPr><w:color w:val="auto"/><w:sz w:val="20"/><w:i w:val="off"/><w:b w:val="off"/><w:shd w:fill="auto"/><w:szCs w:val="20"/><w:iCs w:val="off"/><w:bCs w:val="off"/><w:rFonts w:ascii="TimesNewRomanPSMT;Times New Roman" w:cs="DejaVu Sans" w:eastAsia="DejaVu Sans" w:hAnsi="TimesNewRomanPSMT;Times New Roman"/><w:lang w:bidi="en-US" w:eastAsia="en-US" w:val="fr-FR"/></w:rPr><w:t>, Belin, 2002.</w:t></w:r></w:p></w:footnote><w:footnote w:id="14"><w:p><w:pPr><w:pStyle w:val="style28"/><w:jc w:val="both"/></w:pPr><w:r><w:rPr></w:rPr><w:tab/><w:t xml:space="preserve">Pablo Sánchez León, “La objetividad como ortodoxia: los historiadores y el conocimiento de la guerra civil española”, dans Julio Aróstegui et François Godicheau (eds.), </w:t></w:r><w:r><w:rPr><w:i/><w:iCs/></w:rPr><w:t>Guerra Civil. Mito y memoria</w:t></w:r><w:r><w:rPr></w:rPr><w:t>, Madrid, Marcial Pons, 2006, pp. 95-135.</w:t></w:r></w:p></w:footnote><w:footnote w:id="15"><w:p><w:pPr><w:pStyle w:val="style28"/><w:jc w:val="both"/></w:pPr><w:r><w:rPr><w:b w:val="off"/><w:bCs w:val="off"/><w:lang w:val="es-ES"/></w:rPr><w:tab/><w:t xml:space="preserve">Hablando de las conmemoraciones oficiales en la posguerra Santos Juliá afirma que “en España quedó muy poco lugar para la fundación de una religión política: la Iglesia católica absorbió por su mayor potencia todos los cultos que de otra forma hubieran derivado hacia la creación de un ceremonial estrictamente civil de tipo fascista y/o militar, se los apropió y los representó según su propia liturgia, como celebración de la resurrección por la muerte, de la esperanza de nueva vida por la expiación de la culpa, como un acontecimiento de una historia de salvación que había exigido el derramamiento de sangre inocente, sangre de mártires, como prenda de nueva vida.” Santos Juliá, “Memoria, historia y política de un pasado de guerra y dictadura”, en Santos Juliá (dir.), </w:t></w:r><w:r><w:rPr><w:i/><w:b w:val="off"/><w:iCs/><w:bCs w:val="off"/><w:lang w:val="es-ES"/></w:rPr><w:t>Memoria de la guerra y del franquismo</w:t></w:r><w:r><w:rPr><w:b w:val="off"/><w:bCs w:val="off"/><w:lang w:val="es-ES"/></w:rPr><w:t xml:space="preserve">, Madrid, Taurus, 2006, pp.32-33. </w:t></w:r></w:p></w:footnote><w:footnote w:id="16"><w:p><w:pPr><w:pStyle w:val="style28"/><w:jc w:val="both"/></w:pPr><w:r><w:rPr><w:lang w:val="es-ES"/></w:rPr><w:tab/><w:t>“</w:t></w:r><w:r><w:rPr><w:lang w:val="es-ES"/></w:rPr><w:t>No creemos que en la historia del Cristianismo y en el espacio de unas semanas se haya dado explosión semejante, en todas las formas de pensamiento, de voluntad y de pasión, del odio contra Jesucristo y su religión sagrada.”</w:t></w:r><w:r><w:rPr></w:rPr><w:t xml:space="preserve"> Iribaren (ed.), </w:t></w:r><w:r><w:rPr><w:i/><w:iCs/></w:rPr><w:t>Documentos colectivos del epsicopado español,</w:t></w:r><w:r><w:rPr></w:rPr><w:t xml:space="preserve"> 1870-1974, Madrid, 1974, pp. 219-242 </w:t></w:r></w:p></w:footnote><w:footnote w:id="17"><w:p><w:pPr><w:pStyle w:val="style28"/></w:pPr><w:r><w:rPr></w:rPr><w:tab/><w:t>Ibid.</w:t></w:r></w:p></w:footnote><w:footnote w:id="18"><w:p><w:pPr><w:pStyle w:val="style28"/><w:jc w:val="both"/></w:pPr><w:r><w:rPr><w:lang w:val="es-ES"/></w:rPr><w:tab/><w:t xml:space="preserve">Antonio Murcia Santos, </w:t></w:r><w:r><w:rPr><w:i/><w:iCs/><w:lang w:val="es-ES"/></w:rPr><w:t>Obreros y obispos en el franquismo. Estudio sobre la significación eclesiológico de la crisis de la Acción Católica Española</w:t></w:r><w:r><w:rPr><w:lang w:val="es-ES"/></w:rPr><w:t xml:space="preserve">, Madrid, Ediciones HOAC, 1995 ; </w:t></w:r><w:r><w:rPr><w:lang w:val="es-ES"/></w:rPr><w:t xml:space="preserve">Basilisa Lopez Garcia, </w:t></w:r><w:r><w:rPr><w:i/><w:iCs/><w:lang w:val="es-ES"/></w:rPr><w:t>Aproximacion a la historia de la HOAC. 1946-1981</w:t></w:r><w:r><w:rPr><w:lang w:val="es-ES"/></w:rPr><w:t xml:space="preserve">, Madrid, Ediciones HOAC, 1995. </w:t></w:r></w:p></w:footnote><w:footnote w:id="19"><w:p><w:pPr><w:pStyle w:val="style28"/><w:jc w:val="both"/></w:pPr><w:r><w:rPr></w:rPr><w:tab/><w:t xml:space="preserve">Juan J. Linz, « Church and State in Spain from the Civil War to the Return of Democracy », </w:t></w:r><w:r><w:rPr><w:i/><w:iCs/></w:rPr><w:t>Daedalus</w:t></w:r><w:r><w:rPr></w:rPr><w:t xml:space="preserve">, vol. 120, No. 3, 1991, pp. 159-178. </w:t></w:r></w:p></w:footnote><w:footnote w:id="20"><w:p><w:pPr><w:pStyle w:val="style28"/><w:jc w:val="both"/></w:pPr><w:r><w:rPr><w:lang w:val="es-ES"/></w:rPr><w:tab/><w:t xml:space="preserve">Sobre este punto el historiado y teólogo Antonio Murcia Santos señala que “más de la mitad de los asambleístas habían nacido antes de 1939. Casi la mitad estuvo en contra de la propuesta. Los mártires de la cruzada seguían pesando mas que la conciencia de culpabilidad, el libro de Montero más que los rojos asesinados por los nacionales.” Antonio Murcia Santos, </w:t></w:r><w:r><w:rPr><w:i/><w:iCs/><w:lang w:val="es-ES"/></w:rPr><w:t>Obreros y obispos en el franquismo. op. cit.</w:t></w:r><w:r><w:rPr><w:lang w:val="es-ES"/></w:rPr><w:t>, p. 200.</w:t></w:r></w:p></w:footnote><w:footnote w:id="21"><w:p><w:pPr><w:pStyle w:val="style28"/><w:jc w:val="both"/><w:pageBreakBefore/></w:pPr><w:r><w:rPr><w:i w:val="off"/><w:iCs w:val="off"/><w:lang w:bidi="ar-SA" w:eastAsia="fr-FR" w:val="es-ES"/></w:rPr><w:tab/><w:t>Paloma Aguilar</w:t></w:r><w:r><w:rPr><w:i/><w:iCs/><w:lang w:bidi="ar-SA" w:eastAsia="fr-FR" w:val="es-ES"/></w:rPr><w:t xml:space="preserve">, Políticas de la memoria. Memorias de </w:t></w:r><w:r><w:rPr><w:i/><w:iCs/></w:rPr><w:t xml:space="preserve">la política. El caso español en perspectiva comparada, </w:t></w:r><w:r><w:rPr></w:rPr><w:t>Madrid, Alianza Editorial, 2008.</w:t></w:r></w:p></w:footnote><w:footnote w:id="22"><w:p><w:pPr><w:pStyle w:val="style28"/><w:jc w:val="both"/></w:pPr><w:r><w:rPr></w:rPr><w:tab/><w:t>Creada por decreto ministerio de Justicia 26 abril 1940, habilita al fiscal del tribunal supremo para instruir el Sumario Judicial “Causa General”, en la que se reunieran las pruebas y los hechos delictivos cometidos en todo el territorio nacional durante la dominación roja.</w:t></w:r></w:p></w:footnote><w:footnote w:id="23"><w:p><w:pPr><w:pStyle w:val="style28"/><w:jc w:val="both"/></w:pPr><w:r><w:rPr></w:rPr><w:tab/><w:t xml:space="preserve">4.184 miembros del clero secular, seminaritas incluidos. 2.365 miembros de órdenes religiosas y 283 monjas. Lo que supone 13% de los sacerdotes y 23% de los miembros de órdenes aunque la zona republicana no se extendía al counto del teritorio. Antonio Montero Moreno, </w:t></w:r><w:r><w:rPr><w:i/><w:iCs/></w:rPr><w:t>Historia de la persecución religiosa en España. 1936-1939</w:t></w:r><w:r><w:rPr></w:rPr><w:t xml:space="preserve">, Biblioteca de Autores Cristianos, Madrid, 2004 (1961), </w:t></w:r><w:r><w:rPr><w:i w:val="off"/><w:iCs w:val="off"/></w:rPr><w:t>p. 758 et s.</w:t></w:r></w:p></w:footnote><w:footnote w:id="24"><w:p><w:pPr><w:pStyle w:val="style28"/><w:jc w:val="both"/></w:pPr><w:r><w:rPr></w:rPr><w:tab/><w:t>Conferencia Espiscopal Española, Oficina para la Causa de los Santos,</w:t></w:r><w:r><w:rPr><w:i/><w:iCs/></w:rPr><w:t xml:space="preserve"> Beatificación de 489 mártires del sigle XX en España. Dossier Informativo,</w:t></w:r><w:r><w:rPr></w:rPr><w:t xml:space="preserve"> Roma, 28 de octubre de 2007, </w:t></w:r><w:hyperlink r:id="rId4"><w:r><w:rPr><w:rStyle w:val="style19"/></w:rPr><w:t>www.conferenciaepiscopal.es</w:t></w:r></w:hyperlink></w:p></w:footnote><w:footnote w:id="25"><w:p><w:pPr><w:pStyle w:val="style28"/><w:jc w:val="both"/></w:pPr><w:r><w:rPr></w:rPr><w:tab/><w:t xml:space="preserve">Art. 4 § 1, Congregación de las causas de los santos, </w:t></w:r><w:r><w:rPr><w:i/><w:iCs/></w:rPr><w:t>Sanctorum Mater. Instrucción sobre el procedimiento diocesano o eparquial en las causas de los santos</w:t></w:r><w:r><w:rPr></w:rPr><w:t xml:space="preserve">, Roma, 2007, </w:t></w:r><w:hyperlink r:id="rId5"><w:r><w:rPr><w:rStyle w:val="style19"/></w:rPr><w:t>www.vatican.va</w:t></w:r></w:hyperlink></w:p></w:footnote><w:footnote w:id="26"><w:p><w:pPr><w:pStyle w:val="style28"/><w:jc w:val="both"/></w:pPr><w:r><w:rPr><w:sz w:val="20"/><w:szCs w:val="20"/><w:lang w:val="es-ES"/></w:rPr><w:tab/><w:t>Juan Pablo II promulgó el 25 de enero de 1983 la Constitución Apostólica</w:t></w:r><w:r><w:rPr><w:sz w:val="20"/><w:i/><w:szCs w:val="20"/><w:iCs/><w:lang w:val="es-ES"/></w:rPr><w:t xml:space="preserve"> Divinus perfectionis Magister</w:t></w:r><w:r><w:rPr><w:sz w:val="20"/><w:szCs w:val="20"/><w:lang w:val="es-ES"/></w:rPr><w:t xml:space="preserve">, y  abrogó las normas establecidas en los cánones del Código de Derecho Canónico de 1917 acerca de las causas de beatificación y canonización. Acto seguido, el 7 de Febrero de 1983, el Pontífice aprobó las </w:t></w:r><w:r><w:rPr><w:sz w:val="20"/><w:i/><w:szCs w:val="20"/><w:iCs/><w:lang w:val="es-ES"/></w:rPr><w:t>Normae servandae in inquisitionibus ab Episcopis faciendis in Causis Sanctorum</w:t></w:r><w:r><w:rPr><w:sz w:val="20"/><w:szCs w:val="20"/><w:lang w:val="es-ES"/></w:rPr><w:t xml:space="preserve">, que contienen la normativa aplicable en la actualidad en los procedimientos instructorios diocesanos o eparquiales sobre las causas de beatificación y de canonización. </w:t></w:r><w:r><w:rPr><w:sz w:val="20"/><w:i/><w:szCs w:val="20"/><w:iCs/><w:lang w:val="es-ES"/></w:rPr><w:t>Ibid.</w:t></w:r></w:p></w:footnote><w:footnote w:id="27"><w:p><w:pPr><w:pStyle w:val="style28"/><w:jc w:val="both"/></w:pPr><w:r><w:rPr><w:lang w:val="fr-FR"/></w:rPr><w:tab/><w:t xml:space="preserve">Juan Pablo II, </w:t></w:r><w:r><w:rPr><w:i/><w:iCs/><w:lang w:val="fr-FR"/></w:rPr><w:t>Comemoración e</w:t></w:r><w:r><w:rPr><w:i/><w:iCs/></w:rPr><w:t xml:space="preserve">cuménica de los testigos de la fe del siglo XX. </w:t></w:r><w:r><w:rPr><w:i/><w:iCs/><w:lang w:val="fr-FR"/></w:rPr><w:t>Homilia del Santo Padre</w:t></w:r><w:r><w:rPr><w:lang w:val="fr-FR"/></w:rPr><w:t xml:space="preserve">, 7 de mayo 2000, </w:t></w:r><w:hyperlink r:id="rId6"><w:r><w:rPr><w:rStyle w:val="style19"/></w:rPr><w:t>www.vatican.va</w:t></w:r></w:hyperlink></w:p></w:footnote><w:footnote w:id="28"><w:p><w:pPr><w:pStyle w:val="style28"/><w:jc w:val="both"/></w:pPr><w:r><w:rPr></w:rPr><w:tab/><w:t>El Pontífice continua explicando que “yo mismo fui testigo en los años de mi juventud, de tanto dolor y de tantas pruebas. Mi sacerdocio, desde sus orígenes, &quot;ha estado inscrito en el gran sacrificio de tantos hombres y de tantas mujeres de mi generación&quot; (</w:t></w:r><w:r><w:rPr><w:i/><w:iCs/></w:rPr><w:t>Don y Misterio</w:t></w:r><w:r><w:rPr></w:rPr><w:t xml:space="preserve">, p. 47). La experiencia de la Segunda Guerra Mundial y de los años siguientes me ha movido a considerar con grata atención el ejemplo luminoso de cuantos, desde inicios del siglo XX hasta su fin, experimentaron la persecución, la violencia y la muerte, a causa de su fe y de su conducta inspirada en la verdad de Cristo.” </w:t></w:r><w:r><w:rPr><w:i/><w:iCs/></w:rPr><w:t>Ibidem</w:t></w:r><w:r><w:rPr></w:rPr><w:t xml:space="preserve">. </w:t></w:r></w:p></w:footnote><w:footnote w:id="29"><w:p><w:pPr><w:pStyle w:val="style28"/><w:jc w:val="both"/></w:pPr><w:r><w:rPr></w:rPr><w:tab/><w:t>Octavio y Rafael, López Melús,</w:t></w:r><w:r><w:rPr><w:i/><w:iCs/></w:rPr><w:t xml:space="preserve"> Mártires de ayer y de hoy. Héroes del amor a cristo</w:t></w:r><w:r><w:rPr></w:rPr><w:t>, Edibesa, Madrid, 2007.</w:t></w:r></w:p></w:footnote><w:footnote w:id="30"><w:p><w:pPr><w:pStyle w:val="style28"/><w:jc w:val="both"/></w:pPr><w:r><w:rPr></w:rPr><w:tab/><w:t>“</w:t></w:r><w:r><w:rPr></w:rPr><w:t>El Papa ensalza a los &apos;mártires&apos; de la guerra civil como &quot;los que han combatido la buena batalla&quot;. 20.000 personas asisten en Roma a la beatificación de 122 religiosos muertos en 1936-1939”, El País, 26/10/1992.</w:t></w:r></w:p></w:footnote><w:footnote w:id="31"><w:p><w:pPr><w:pStyle w:val="style28"/><w:jc w:val="both"/></w:pPr><w:r><w:rPr></w:rPr><w:tab/><w:t>“</w:t></w:r><w:r><w:rPr></w:rPr><w:t>Cinco santos para el siglo XXI. El Papa Juan Pablo II canonizará durante su visita a dos sacerdotes y tres religiosas españoles”, El País, 27/04/2003.</w:t></w:r></w:p></w:footnote><w:footnote w:id="32"><w:p><w:pPr><w:pStyle w:val="style28"/><w:jc w:val="both"/></w:pPr><w:r><w:rPr></w:rPr><w:tab/><w:t xml:space="preserve">Conferencia Espiscopal Española, Oficina para la Causa de los Santos, </w:t></w:r><w:r><w:rPr><w:i/><w:iCs/></w:rPr><w:t>Beatificación de 489 mártires del siglo XX en España, op. cit..</w:t></w:r><w:r><w:rPr></w:rPr><w:t xml:space="preserve"> </w:t></w:r><w:hyperlink r:id="rId7"><w:r><w:rPr><w:rStyle w:val="style19"/></w:rPr><w:t>www.conferenciaepiscopal.es</w:t></w:r></w:hyperlink></w:p></w:footnote><w:footnote w:id="33"><w:p><w:pPr><w:pStyle w:val="style28"/><w:jc w:val="both"/></w:pPr><w:r><w:rPr></w:rPr><w:tab/><w:t xml:space="preserve">Francisco Aznar Bastías, </w:t></w:r><w:r><w:rPr><w:i/><w:u w:val="none"/><w:iCs/></w:rPr><w:t>Quiénes son y de dónde vienen: 498 mártires del siglo XX en España</w:t></w:r><w:r><w:rPr></w:rPr><w:t>, Madrid, Editorial Edice, 2008.</w:t></w:r></w:p></w:footnote><w:footnote w:id="34"><w:p><w:pPr><w:pStyle w:val="style28"/><w:jc w:val="both"/></w:pPr><w:r><w:rPr></w:rPr><w:tab/><w:t xml:space="preserve">Conferencia Episcopal Española , LXXXIX Asamblea Plenaria, </w:t></w:r><w:r><w:rPr><w:i/><w:iCs/></w:rPr><w:t>Vosotros sois la luz del mundo (MT 5,14). Mensaje con motivo de la beatificación de 489 mártires del siglo XX en España</w:t></w:r><w:r><w:rPr></w:rPr><w:t xml:space="preserve">, Madrid, 27 de abril de 2007, </w:t></w:r><w:hyperlink r:id="rId8"><w:r><w:rPr><w:rStyle w:val="style20"/></w:rPr><w:t>www.conferenciaepiscopal.es</w:t></w:r></w:hyperlink></w:p></w:footnote><w:footnote w:id="35"><w:p><w:pPr><w:pStyle w:val="style28"/><w:jc w:val="both"/></w:pPr><w:r><w:rPr><w:i/><w:iCs/><w:lang w:val="es-ES"/></w:rPr><w:tab/><w:t>Homilía del Cardenal José Saraiva Martins</w:t></w:r><w:r><w:rPr><w:lang w:val="es-ES"/></w:rPr><w:t xml:space="preserve">, Plaza de San Pedro, Domingo 28 de octubre de 2007, </w:t></w:r><w:hyperlink r:id="rId9"><w:r><w:rPr><w:rStyle w:val="style19"/><w:lang w:val="es-ES"/></w:rPr><w:t>www.vatican.va</w:t></w:r></w:hyperlink></w:p></w:footnote><w:footnote w:id="36"><w:p><w:pPr><w:pStyle w:val="style28"/></w:pPr><w:r><w:rPr><w:i/><w:iCs/></w:rPr><w:tab/><w:t>Ibidem.</w:t></w:r></w:p></w:footnote><w:footnote w:id="37"><w:p><w:pPr><w:pStyle w:val="style28"/></w:pPr><w:r><w:rPr><w:i/><w:iCs/></w:rPr><w:tab/><w:t>Ibidem.</w:t></w:r></w:p></w:footnote><w:footnote w:id="38"><w:p><w:pPr><w:pStyle w:val="style28"/><w:jc w:val="both"/></w:pPr><w:r><w:rPr></w:rPr><w:tab/><w:t xml:space="preserve">Conferencia Espiscopal Española, Oficina para la Causa de los Santos, </w:t></w:r><w:r><w:rPr><w:i/><w:iCs/></w:rPr><w:t>Beatificación de 489 mártires del sigle XX en España, op. cit</w:t></w:r><w:r><w:rPr></w:rPr><w:t xml:space="preserve">.. </w:t></w:r></w:p></w:footnote><w:footnote w:id="39"><w:p><w:pPr><w:pStyle w:val="style28"/><w:jc w:val="both"/></w:pPr><w:r><w:rPr><w:lang w:val="es-ES"/></w:rPr><w:tab/><w:t xml:space="preserve">Conferencia Episcopal Española , LXXXIX Asamblea Plenaria, </w:t></w:r><w:r><w:rPr><w:i/><w:iCs/><w:lang w:val="es-ES"/></w:rPr><w:t xml:space="preserve">Vosotros sois la luz del mundo (MT 5,14), op. cit., </w:t></w:r><w:r><w:rPr><w:i w:val="off"/><w:iCs w:val="off"/><w:lang w:val="es-ES"/></w:rPr><w:t>subrayo en el texto.</w:t></w:r><w:r><w:rPr><w:i/><w:iCs/><w:lang w:val="es-ES"/></w:rPr><w:t xml:space="preserve"> </w:t></w:r><w:r><w:rPr><w:i w:val="off"/><w:iCs w:val="off"/><w:lang w:val="es-ES"/></w:rPr><w:t xml:space="preserve">Ver también: Conferencia Episcopal Española, </w:t></w:r><w:r><w:rPr><w:i/><w:iCs/><w:lang w:val="es-ES"/></w:rPr><w:t>Orientaciones morales ante la situación actual de España. Instrucción pastoral de la LXXXVIII Asamblea Plenaria de la CEE</w:t></w:r><w:r><w:rPr><w:lang w:val="es-ES"/></w:rPr><w:t xml:space="preserve">, </w:t></w:r><w:r><w:rPr><w:i w:val="off"/><w:iCs w:val="off"/><w:lang w:val="es-ES"/></w:rPr><w:t xml:space="preserve">Madrid, 23 de noviembre de 2006, </w:t></w:r><w:hyperlink r:id="rId10"><w:r><w:rPr><w:i w:val="off"/><w:iCs w:val="off"/><w:rStyle w:val="style19"/><w:lang w:val="es-ES"/></w:rPr><w:t>www.conferenciaepiscopal.es</w:t></w:r></w:hyperlink></w:p></w:footnote><w:footnote w:id="40"><w:p><w:pPr><w:pStyle w:val="style28"/><w:jc w:val="both"/></w:pPr><w:r><w:rPr></w:rPr><w:tab/><w:t xml:space="preserve">Juan E. Serrano-Moreno, “Les voies incertaines de la réconciliation espagnole. Conflits autour des politiques de la mémoire de la guerre civile”, comunicación </w:t></w:r><w:r><w:rPr><w:i/><w:iCs/></w:rPr><w:t>Congrès AFSP Strasbourg 2011</w:t></w:r><w:r><w:rPr></w:rPr><w:t xml:space="preserve">, Section thématique 50 “Les politiques symboliques existent-elles ?”, septiembre 2011, </w:t></w:r><w:hyperlink r:id="rId11" w:tgtFrame="_blank"><w:r><w:rPr><w:rStyle w:val="style19"/></w:rPr><w:t>http://www.congres-afsp.fr/sectionsthematiques/st50/st50serranomoreno.pdf</w:t></w:r></w:hyperlink></w:p></w:footnote><w:footnote w:id="41"><w:p><w:pPr><w:pStyle w:val="style28"/><w:jc w:val="both"/></w:pPr><w:r><w:rPr><w:i/><w:iCs/><w:lang w:val="es-ES"/></w:rPr><w:tab/><w:t>Homilía del cardenal Tarciso Bertone. Misa de acción de gracias por la beatificación de 489 mártires españoles,</w:t></w:r><w:r><w:rPr><w:lang w:val="es-ES"/></w:rPr><w:t xml:space="preserve"> Altar de la Confesión, Basílica de San Pedro, Lunes 29 de octubre de 2007, </w:t></w:r><w:hyperlink r:id="rId12"><w:r><w:rPr><w:rStyle w:val="style19"/><w:lang w:val="es-ES"/></w:rPr><w:t>www.vatican.va</w:t></w:r></w:hyperlink><w:r><w:rPr><w:lang w:val="es-ES"/></w:rPr><w:t xml:space="preserve"> . Ver también: </w:t></w:r><w:r><w:rPr></w:rPr><w:t>“El &apos;número dos&apos; del Vaticano dice que la beatificación de ayer no tiene motivación política &quot;No han sido propuestos al pueblo de Dios por luchar contra nadie&quot;”, El País, 29/10/2007.</w:t></w:r></w:p></w:footnote><w:footnote w:id="42"><w:p><w:pPr><w:pStyle w:val="style28"/><w:jc w:val="both"/></w:pPr><w:r><w:rPr><w:sz w:val="20"/><w:i w:val="off"/><w:b w:val="off"/><w:szCs w:val="20"/><w:iCs w:val="off"/><w:bCs w:val="off"/></w:rPr><w:tab/><w:t>Carmen González Martínez,</w:t></w:r><w:r><w:rPr><w:sz w:val="20"/><w:i/><w:b w:val="off"/><w:szCs w:val="20"/><w:iCs/><w:bCs w:val="off"/></w:rPr><w:t xml:space="preserve"> Guerra Civil en Murcia... op. cit</w:t></w:r><w:r><w:rPr><w:sz w:val="20"/><w:b w:val="off"/><w:szCs w:val="20"/><w:bCs w:val="off"/></w:rPr><w:t xml:space="preserve">. pp. 153-154.  </w:t></w:r><w:r><w:rPr><w:sz w:val="20"/><w:i w:val="off"/><w:b w:val="off"/><w:szCs w:val="20"/><w:iCs w:val="off"/><w:bCs w:val="off"/><w:lang w:val="es-ES"/></w:rPr><w:t xml:space="preserve">Asimismo la autora “sostiene también que « los comportamientos colectivos manifestados mediante la violencia y represión desencadenadas al estallas el conflicto bélico en los primeros meses de guerra, remiten más al complejo sistema de relaciones de clase y a la cultura política de los movimientos sociales y de las organizaciones políticas que a la capacidad del poder republicano jurídicamente institucionalizado.” </w:t></w:r><w:r><w:rPr><w:sz w:val="20"/><w:i/><w:b w:val="off"/><w:szCs w:val="20"/><w:iCs/><w:bCs w:val="off"/><w:lang w:val="es-ES"/></w:rPr><w:t>Ibid</w:t></w:r><w:r><w:rPr><w:sz w:val="20"/><w:i w:val="off"/><w:b w:val="off"/><w:szCs w:val="20"/><w:iCs w:val="off"/><w:bCs w:val="off"/><w:lang w:val="es-ES"/></w:rPr><w:t xml:space="preserve">. p. 274. </w:t></w:r></w:p></w:footnote><w:footnote w:id="43"><w:p><w:pPr><w:pStyle w:val="style28"/><w:jc w:val="both"/></w:pPr><w:r><w:rPr><w:i w:val="off"/><w:b w:val="off"/><w:iCs w:val="off"/><w:bCs w:val="off"/><w:lang w:val="es-ES"/></w:rPr><w:tab/><w:t>Entre las cuales encontramos 10% de sacerdotes, 43% de miembros de las fuerzas del órden y del ejército, 10% de profesiones liberales y altos funcionarios, 8% de grandes propietarios agrícolas y 7% de funcionarios.</w:t></w:r><w:r><w:rPr><w:i/><w:b w:val="off"/><w:iCs/><w:bCs w:val="off"/></w:rPr><w:t xml:space="preserve"> Ibid</w:t></w:r><w:r><w:rPr><w:b w:val="off"/><w:bCs w:val="off"/></w:rPr><w:t>. p. 160-161.</w:t></w:r></w:p></w:footnote><w:footnote w:id="44"><w:p><w:pPr><w:pStyle w:val="style28"/><w:jc w:val="both"/></w:pPr><w:r><w:rPr><w:rFonts w:cs="DejaVu Sans;Times New Roman" w:eastAsia="DejaVu Sans;Times New Roman"/><w:lang w:bidi="en-US" w:eastAsia="en-US"/></w:rPr><w:tab/><w:t xml:space="preserve">Ramón Salas Larrazábal, </w:t></w:r><w:r><w:rPr><w:i/><w:iCs/><w:rFonts w:cs="DejaVu Sans;Times New Roman" w:eastAsia="DejaVu Sans;Times New Roman"/><w:lang w:bidi="en-US" w:eastAsia="en-US"/></w:rPr><w:t xml:space="preserve">Pérdidas de guerra, </w:t></w:r><w:r><w:rPr><w:rFonts w:cs="DejaVu Sans;Times New Roman" w:eastAsia="DejaVu Sans;Times New Roman"/><w:lang w:bidi="en-US" w:eastAsia="en-US"/></w:rPr><w:t>Barcelona, Planeta, 1977.</w:t></w:r></w:p></w:footnote><w:footnote w:id="45"><w:p><w:pPr><w:pStyle w:val="style28"/><w:jc w:val="both"/></w:pPr><w:r><w:rPr></w:rPr><w:tab/><w:t xml:space="preserve">Francisco J. Leandro Sáchez-Ocaña, </w:t></w:r><w:r><w:rPr><w:i/><w:iCs/></w:rPr><w:t>Muertes gloriosas. Tributo de sangre del Clero Secular de a Diócesis de Cartagena en la persecución religiosa de 1936 a 1939</w:t></w:r><w:r><w:rPr></w:rPr><w:t>, Diócesis de Cartagena, Murcia, 2005, (1949).</w:t></w:r></w:p></w:footnote><w:footnote w:id="46"><w:p><w:pPr><w:pStyle w:val="style28"/><w:jc w:val="both"/></w:pPr><w:r><w:rPr></w:rPr><w:tab/><w:t xml:space="preserve">Antonio Montero Moreno, </w:t></w:r><w:r><w:rPr><w:i/><w:iCs/></w:rPr><w:t>Historia de la persecución religiosa en España. 1936-1939</w:t></w:r><w:r><w:rPr></w:rPr><w:t xml:space="preserve">, </w:t></w:r><w:r><w:rPr><w:i/><w:iCs/></w:rPr><w:t>op, cit.</w:t></w:r><w:r><w:rPr></w:rPr><w:t xml:space="preserve">, </w:t></w:r><w:r><w:rPr><w:i w:val="off"/><w:iCs w:val="off"/></w:rPr><w:t>p. 758 y s.</w:t></w:r></w:p></w:footnote><w:footnote w:id="47"><w:p><w:pPr><w:pStyle w:val="style28"/></w:pPr><w:r><w:rPr></w:rPr><w:tab/><w:t xml:space="preserve">Emilio Sanchez Baeza, </w:t></w:r><w:r><w:rPr><w:i/><w:iCs/></w:rPr><w:t xml:space="preserve">La persecución religiosa en la Diócesis de Cartagena-Murcia. 1931-1939, </w:t></w:r><w:r><w:rPr></w:rPr><w:t>Madrid, 1988, p. 290.</w:t></w:r></w:p></w:footnote><w:footnote w:id="48"><w:p><w:pPr><w:pStyle w:val="style28"/></w:pPr><w:r><w:rPr><w:lang w:val="es-ES"/></w:rPr><w:tab/><w:t>“</w:t></w:r><w:r><w:rPr><w:lang w:val="es-ES"/></w:rPr><w:t>Nos vemos en el Cielo”,</w:t></w:r><w:r><w:rPr><w:i/><w:iCs/><w:lang w:val="es-ES"/></w:rPr><w:t xml:space="preserve"> La Verdad</w:t></w:r><w:r><w:rPr><w:lang w:val="es-ES"/></w:rPr><w:t>, 05-07-2007.</w:t></w:r></w:p></w:footnote><w:footnote w:id="49"><w:p><w:pPr><w:pStyle w:val="style28"/></w:pPr><w:r><w:rPr></w:rPr><w:tab/><w:t xml:space="preserve">Entrevista realizada a Josefina en su domicilio en 2009. </w:t></w:r></w:p></w:footnote><w:footnote w:id="50"><w:p><w:pPr><w:pStyle w:val="style28"/></w:pPr><w:r><w:rPr><w:i/><w:iCs/></w:rPr><w:tab/><w:t>Ibidem.</w:t></w:r></w:p></w:footnote><w:footnote w:id="51"><w:p><w:pPr><w:pStyle w:val="style28"/><w:jc w:val="both"/></w:pPr><w:r><w:rPr><w:sz w:val="20"/><w:szCs w:val="20"/></w:rPr><w:tab/><w:t xml:space="preserve">Jacques Lagroye, Bastien François et Frédéric Sawicki, </w:t></w:r><w:r><w:rPr><w:sz w:val="20"/><w:i/><w:szCs w:val="20"/><w:iCs/></w:rPr><w:t>Sociologie politique</w:t></w:r><w:r><w:rPr><w:sz w:val="20"/><w:szCs w:val="20"/></w:rPr><w:t xml:space="preserve">, Paris, Presses de la FNSP, 2006 (1991), </w:t></w:r><w:r><w:rPr><w:sz w:val="20"/><w:szCs w:val="20"/><w:lang w:val="es-ES"/></w:rPr><w:t xml:space="preserve">p.141. Ver también </w:t></w:r><w:r><w:rPr><w:sz w:val="20"/><w:i w:val="off"/><w:b w:val="off"/><w:szCs w:val="20"/><w:iCs w:val="off"/><w:bCs w:val="off"/><w:lang w:val="es-ES"/></w:rPr><w:t>Jacques Lagroye,</w:t></w:r><w:r><w:rPr><w:sz w:val="20"/><w:i/><w:b w:val="off"/><w:szCs w:val="20"/><w:iCs/><w:bCs w:val="off"/><w:lang w:val="es-ES"/></w:rPr><w:t xml:space="preserve"> La vérité dans l&apos;Église catholique. Contestation et restauration d&apos;un régime d&apos;autorité</w:t></w:r><w:r><w:rPr><w:sz w:val="20"/><w:i w:val="off"/><w:b w:val="off"/><w:szCs w:val="20"/><w:iCs w:val="off"/><w:bCs w:val="off"/><w:lang w:val="es-ES"/></w:rPr><w:t>, Paris, Belin, 2006, y</w:t></w:r><w:r><w:rPr><w:sz w:val="20"/><w:i w:val="off"/><w:b w:val="off"/><w:szCs w:val="20"/><w:iCs w:val="off"/><w:bCs w:val="off"/><w:rFonts w:cs="TimesNewRomanPSMT" w:eastAsia="TimesNewRomanPSMT"/><w:lang w:val="es-ES"/></w:rPr><w:t xml:space="preserve"> </w:t></w:r><w:r><w:rPr><w:sz w:val="20"/><w:i/><w:b w:val="off"/><w:szCs w:val="20"/><w:iCs/><w:bCs w:val="off"/><w:rFonts w:cs="TimesNewRomanPSMT" w:eastAsia="TimesNewRomanPSMT"/><w:lang w:val="es-ES"/></w:rPr><w:t>Appartenir à une institution. Catholiques en France aujourd&apos;hui</w:t></w:r><w:r><w:rPr><w:sz w:val="20"/><w:i w:val="off"/><w:b w:val="off"/><w:szCs w:val="20"/><w:iCs w:val="off"/><w:bCs w:val="off"/><w:rFonts w:cs="TimesNewRomanPSMT" w:eastAsia="TimesNewRomanPSMT"/><w:lang w:val="es-ES"/></w:rPr><w:t xml:space="preserve">, Paris, Economica (coll. Études Politiques), 2009. </w:t></w:r></w:p></w:footnote></w:footnotes>
</file>

<file path=word/styles.xml><?xml version="1.0" encoding="utf-8"?>
<w:styles xmlns:w="http://schemas.openxmlformats.org/wordprocessingml/2006/main">
  <w:style w:styleId="style0" w:type="paragraph">
    <w:name w:val="Standard"/>
    <w:next w:val="style0"/>
    <w:pPr>
      <w:widowControl w:val="off"/>
      <w:tabs>
        <w:tab w:leader="none" w:pos="709" w:val="left"/>
      </w:tabs>
      <w:suppressAutoHyphens w:val="true"/>
      <w:autoSpaceDE w:val="true"/>
      <w:overflowPunct w:val="true"/>
      <w:kinsoku w:val="true"/>
      <w:spacing w:after="0" w:before="0" w:line="200" w:lineRule="atLeast"/>
    </w:pPr>
    <w:rPr>
      <w:color w:val="auto"/>
      <w:sz w:val="24"/>
      <w:szCs w:val="24"/>
      <w:rFonts w:ascii="Times New Roman" w:cs="Tahoma" w:eastAsia="Arial" w:hAnsi="Times New Roman"/>
      <w:lang w:bidi="fr-FR" w:eastAsia="fr-FR" w:val="fr-FR"/>
    </w:rPr>
  </w:style>
  <w:style w:styleId="style1" w:type="paragraph">
    <w:name w:val="Titre 1"/>
    <w:basedOn w:val="style23"/>
    <w:next w:val="style24"/>
    <w:pPr>
      <w:outlineLvl w:val="0"/>
    </w:pPr>
    <w:rPr>
      <w:sz w:val="48"/>
      <w:b/>
      <w:szCs w:val="48"/>
      <w:bCs/>
      <w:rFonts w:ascii="Times New Roman" w:cs="Tahoma" w:eastAsia="Arial" w:hAnsi="Times New Roman"/>
    </w:rPr>
  </w:style>
  <w:style w:styleId="style15" w:type="character">
    <w:name w:val="Caractères de note de bas de page"/>
    <w:next w:val="style15"/>
    <w:rPr/>
  </w:style>
  <w:style w:styleId="style16" w:type="character">
    <w:name w:val="Appel de note"/>
    <w:next w:val="style16"/>
    <w:rPr/>
  </w:style>
  <w:style w:styleId="style17" w:type="character">
    <w:name w:val="Marque note bas de page"/>
    <w:next w:val="style17"/>
    <w:rPr/>
  </w:style>
  <w:style w:styleId="style18" w:type="character">
    <w:name w:val="Ref. de nota al pie"/>
    <w:next w:val="style18"/>
    <w:rPr/>
  </w:style>
  <w:style w:styleId="style19" w:type="character">
    <w:name w:val="Lien Internet"/>
    <w:next w:val="style19"/>
    <w:rPr>
      <w:color w:val="000080"/>
      <w:u w:val="single"/>
      <w:lang w:bidi="fr-FR" w:eastAsia="fr-FR" w:val="fr-FR"/>
    </w:rPr>
  </w:style>
  <w:style w:styleId="style20" w:type="character">
    <w:name w:val="Lien Internet visité"/>
    <w:next w:val="style20"/>
    <w:rPr>
      <w:color w:val="800000"/>
      <w:u w:val="single"/>
      <w:lang w:bidi="fr-FR" w:eastAsia="fr-FR" w:val="fr-FR"/>
    </w:rPr>
  </w:style>
  <w:style w:styleId="style21" w:type="character">
    <w:name w:val="Appel de note de fin"/>
    <w:next w:val="style21"/>
    <w:rPr/>
  </w:style>
  <w:style w:styleId="style22" w:type="character">
    <w:name w:val="Caractères de note de fin"/>
    <w:next w:val="style22"/>
    <w:rPr/>
  </w:style>
  <w:style w:styleId="style23" w:type="paragraph">
    <w:name w:val="Titre"/>
    <w:basedOn w:val="style0"/>
    <w:next w:val="style24"/>
    <w:pPr>
      <w:keepNext/>
      <w:spacing w:after="120" w:before="240"/>
    </w:pPr>
    <w:rPr>
      <w:sz w:val="28"/>
      <w:szCs w:val="28"/>
      <w:rFonts w:ascii="Arial" w:cs="Tahoma" w:eastAsia="Arial" w:hAnsi="Arial"/>
    </w:rPr>
  </w:style>
  <w:style w:styleId="style24" w:type="paragraph">
    <w:name w:val="Corps de texte"/>
    <w:basedOn w:val="style0"/>
    <w:next w:val="style24"/>
    <w:pPr>
      <w:spacing w:after="120" w:before="0"/>
    </w:pPr>
    <w:rPr/>
  </w:style>
  <w:style w:styleId="style25" w:type="paragraph">
    <w:name w:val="Liste"/>
    <w:basedOn w:val="style24"/>
    <w:next w:val="style25"/>
    <w:pPr/>
    <w:rPr>
      <w:rFonts w:cs="Tahoma"/>
    </w:rPr>
  </w:style>
  <w:style w:styleId="style26" w:type="paragraph">
    <w:name w:val="Légende"/>
    <w:basedOn w:val="style0"/>
    <w:next w:val="style26"/>
    <w:pPr>
      <w:suppressLineNumbers/>
      <w:spacing w:after="120" w:before="120"/>
    </w:pPr>
    <w:rPr>
      <w:sz w:val="24"/>
      <w:i/>
      <w:szCs w:val="24"/>
      <w:iCs/>
      <w:rFonts w:cs="Tahoma"/>
    </w:rPr>
  </w:style>
  <w:style w:styleId="style27" w:type="paragraph">
    <w:name w:val="Index"/>
    <w:basedOn w:val="style0"/>
    <w:next w:val="style27"/>
    <w:pPr>
      <w:suppressLineNumbers/>
    </w:pPr>
    <w:rPr>
      <w:rFonts w:cs="Tahoma"/>
    </w:rPr>
  </w:style>
  <w:style w:styleId="style28" w:type="paragraph">
    <w:name w:val="Note de bas de page"/>
    <w:basedOn w:val="style0"/>
    <w:next w:val="style28"/>
    <w:pPr>
      <w:ind w:hanging="283" w:left="283" w:right="0"/>
      <w:suppressLineNumbers/>
    </w:pPr>
    <w:rPr>
      <w:sz w:val="20"/>
      <w:szCs w:val="20"/>
    </w:rPr>
  </w:style>
  <w:style w:styleId="style29" w:type="paragraph">
    <w:name w:val="Pied de page"/>
    <w:basedOn w:val="style0"/>
    <w:next w:val="style29"/>
    <w:pPr>
      <w:tabs>
        <w:tab w:leader="none" w:pos="4818" w:val="center"/>
        <w:tab w:leader="none" w:pos="9637" w:val="right"/>
      </w:tabs>
      <w:suppressLineNumbers/>
    </w:pPr>
    <w:rPr/>
  </w:style>
  <w:style w:styleId="style30" w:type="paragraph">
    <w:name w:val="Default"/>
    <w:basedOn w:val="style0"/>
    <w:next w:val="style30"/>
    <w:pPr>
      <w:jc w:val="left"/>
      <w:autoSpaceDE w:val="false"/>
    </w:pPr>
    <w:rPr>
      <w:color w:val="000000"/>
      <w:sz w:val="24"/>
      <w:szCs w:val="24"/>
      <w:rFonts w:ascii="Times New Roman;Times New Roman" w:cs="Times New Roman;Times New Roman" w:eastAsia="Times New Roman;Times New Roman" w:hAnsi="Times New Roman;Times New Roman"/>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notes" Target="footnotes.xml"/><Relationship Id="rId4" Type="http://schemas.openxmlformats.org/officeDocument/2006/relationships/hyperlink" Target="http://www.conferenciaepiscopal.es/" TargetMode="External"/><Relationship Id="rId5" Type="http://schemas.openxmlformats.org/officeDocument/2006/relationships/hyperlink" Target="http://www.vatican.va/" TargetMode="External"/><Relationship Id="rId6" Type="http://schemas.openxmlformats.org/officeDocument/2006/relationships/hyperlink" Target="http://www.vatican.va/" TargetMode="External"/><Relationship Id="rId7" Type="http://schemas.openxmlformats.org/officeDocument/2006/relationships/hyperlink" Target="http://www.conferenciaepiscopal.es/" TargetMode="External"/><Relationship Id="rId8" Type="http://schemas.openxmlformats.org/officeDocument/2006/relationships/hyperlink" Target="http://www.conferenciaepiscopal.es/" TargetMode="External"/><Relationship Id="rId9" Type="http://schemas.openxmlformats.org/officeDocument/2006/relationships/hyperlink" Target="http://www.vatican.va/" TargetMode="External"/><Relationship Id="rId10" Type="http://schemas.openxmlformats.org/officeDocument/2006/relationships/hyperlink" Target="http://www.conferenciaepiscopal.es/" TargetMode="External"/><Relationship Id="rId11" Type="http://schemas.openxmlformats.org/officeDocument/2006/relationships/hyperlink" Target="http://www.congres-afsp.fr/sectionsthematiques/st50/st50serranomoreno.pdf" TargetMode="External"/><Relationship Id="rId12" Type="http://schemas.openxmlformats.org/officeDocument/2006/relationships/hyperlink" Target="http://www.vatican.va/" TargetMode="External"/><Relationship Id="rId13" Type="http://schemas.openxmlformats.org/officeDocument/2006/relationships/fontTable" Target="fontTable.xml"/>
</Relationships>
</file>

<file path=docProps/app.xml><?xml version="1.0" encoding="utf-8"?>
<Properties xmlns="http://schemas.openxmlformats.org/officeDocument/2006/extended-properties" xmlns:vt="http://schemas.openxmlformats.org/officeDocument/2006/docPropsVTypes">
  <TotalTime>270426</TotalTime>
  <Application>NeoOffice/3.1.2$Unix OpenOffice.org_project/Patch 9</Applicat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erms:created xsi:type="dcterms:W3CDTF">2011-07-26T16:35:25.00Z</dcterms:created>
  <dcterms:modified xsi:type="dcterms:W3CDTF">2011-09-05T01:14:15.00Z</dcterms:modified>
  <cp:revision>24</cp:revision>
</cp:coreProperties>
</file>