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DDF" w:rsidRPr="00776F95" w:rsidRDefault="00B75DDF" w:rsidP="009E5859">
      <w:pPr>
        <w:spacing w:after="0" w:line="480" w:lineRule="auto"/>
        <w:ind w:firstLine="284"/>
        <w:jc w:val="center"/>
        <w:rPr>
          <w:rFonts w:ascii="Times New Roman" w:hAnsi="Times New Roman" w:cs="Times New Roman"/>
          <w:b/>
          <w:i/>
          <w:u w:val="single"/>
        </w:rPr>
      </w:pPr>
      <w:r w:rsidRPr="00776F95">
        <w:rPr>
          <w:rFonts w:ascii="Times New Roman" w:hAnsi="Times New Roman" w:cs="Times New Roman"/>
          <w:b/>
          <w:i/>
          <w:u w:val="single"/>
        </w:rPr>
        <w:t xml:space="preserve">X </w:t>
      </w:r>
      <w:r w:rsidR="007275BA">
        <w:rPr>
          <w:rFonts w:ascii="Times New Roman" w:hAnsi="Times New Roman" w:cs="Times New Roman"/>
          <w:b/>
          <w:i/>
          <w:u w:val="single"/>
        </w:rPr>
        <w:t>Congreso de AECPA</w:t>
      </w:r>
      <w:r w:rsidR="00893D6A" w:rsidRPr="00776F95">
        <w:rPr>
          <w:rFonts w:ascii="Times New Roman" w:hAnsi="Times New Roman" w:cs="Times New Roman"/>
          <w:b/>
          <w:i/>
          <w:u w:val="single"/>
        </w:rPr>
        <w:t>, 2011</w:t>
      </w:r>
    </w:p>
    <w:p w:rsidR="006A1E8F" w:rsidRPr="009E5859" w:rsidRDefault="006A1E8F" w:rsidP="009E5859">
      <w:pPr>
        <w:spacing w:after="0" w:line="480" w:lineRule="auto"/>
        <w:ind w:firstLine="284"/>
        <w:jc w:val="center"/>
        <w:rPr>
          <w:rFonts w:ascii="Times New Roman" w:hAnsi="Times New Roman" w:cs="Times New Roman"/>
          <w:b/>
          <w:sz w:val="24"/>
          <w:szCs w:val="24"/>
        </w:rPr>
      </w:pPr>
    </w:p>
    <w:p w:rsidR="0018410E" w:rsidRDefault="0018410E" w:rsidP="009E5859">
      <w:pPr>
        <w:spacing w:after="0" w:line="480" w:lineRule="auto"/>
        <w:ind w:firstLine="284"/>
        <w:jc w:val="center"/>
        <w:rPr>
          <w:rFonts w:ascii="Times New Roman" w:hAnsi="Times New Roman" w:cs="Times New Roman"/>
          <w:b/>
          <w:sz w:val="24"/>
          <w:szCs w:val="24"/>
        </w:rPr>
      </w:pPr>
    </w:p>
    <w:p w:rsidR="0005761E" w:rsidRPr="009E5859" w:rsidRDefault="0005761E" w:rsidP="009E5859">
      <w:pPr>
        <w:spacing w:after="0" w:line="480" w:lineRule="auto"/>
        <w:ind w:firstLine="284"/>
        <w:jc w:val="center"/>
        <w:rPr>
          <w:rFonts w:ascii="Times New Roman" w:hAnsi="Times New Roman" w:cs="Times New Roman"/>
          <w:b/>
          <w:sz w:val="24"/>
          <w:szCs w:val="24"/>
        </w:rPr>
      </w:pPr>
    </w:p>
    <w:p w:rsidR="0018410E" w:rsidRPr="009E5859" w:rsidRDefault="00EA7439" w:rsidP="009E5859">
      <w:pPr>
        <w:spacing w:after="0" w:line="480" w:lineRule="auto"/>
        <w:ind w:firstLine="284"/>
        <w:jc w:val="center"/>
        <w:rPr>
          <w:rFonts w:ascii="Times New Roman" w:hAnsi="Times New Roman" w:cs="Times New Roman"/>
          <w:b/>
          <w:sz w:val="24"/>
          <w:szCs w:val="24"/>
        </w:rPr>
      </w:pPr>
      <w:r>
        <w:rPr>
          <w:rFonts w:ascii="Times New Roman" w:hAnsi="Times New Roman" w:cs="Times New Roman"/>
          <w:b/>
          <w:sz w:val="24"/>
          <w:szCs w:val="24"/>
        </w:rPr>
        <w:t>CA</w:t>
      </w:r>
      <w:r w:rsidR="007D439D">
        <w:rPr>
          <w:rFonts w:ascii="Times New Roman" w:hAnsi="Times New Roman" w:cs="Times New Roman"/>
          <w:b/>
          <w:sz w:val="24"/>
          <w:szCs w:val="24"/>
        </w:rPr>
        <w:t>L</w:t>
      </w:r>
      <w:r>
        <w:rPr>
          <w:rFonts w:ascii="Times New Roman" w:hAnsi="Times New Roman" w:cs="Times New Roman"/>
          <w:b/>
          <w:sz w:val="24"/>
          <w:szCs w:val="24"/>
        </w:rPr>
        <w:t>IDAD</w:t>
      </w:r>
      <w:r w:rsidR="007D439D">
        <w:rPr>
          <w:rFonts w:ascii="Times New Roman" w:hAnsi="Times New Roman" w:cs="Times New Roman"/>
          <w:b/>
          <w:sz w:val="24"/>
          <w:szCs w:val="24"/>
        </w:rPr>
        <w:t xml:space="preserve"> </w:t>
      </w:r>
      <w:r w:rsidR="00B84226" w:rsidRPr="009E5859">
        <w:rPr>
          <w:rFonts w:ascii="Times New Roman" w:hAnsi="Times New Roman" w:cs="Times New Roman"/>
          <w:b/>
          <w:sz w:val="24"/>
          <w:szCs w:val="24"/>
        </w:rPr>
        <w:t>INSTITUCION</w:t>
      </w:r>
      <w:r w:rsidR="007D439D">
        <w:rPr>
          <w:rFonts w:ascii="Times New Roman" w:hAnsi="Times New Roman" w:cs="Times New Roman"/>
          <w:b/>
          <w:sz w:val="24"/>
          <w:szCs w:val="24"/>
        </w:rPr>
        <w:t xml:space="preserve">AL </w:t>
      </w:r>
      <w:r w:rsidR="00B84226" w:rsidRPr="009E5859">
        <w:rPr>
          <w:rFonts w:ascii="Times New Roman" w:hAnsi="Times New Roman" w:cs="Times New Roman"/>
          <w:b/>
          <w:sz w:val="24"/>
          <w:szCs w:val="24"/>
        </w:rPr>
        <w:t xml:space="preserve">Y GOBERNANZA: </w:t>
      </w:r>
    </w:p>
    <w:p w:rsidR="00B75DDF" w:rsidRPr="009E5859" w:rsidRDefault="00B84226" w:rsidP="009E5859">
      <w:pPr>
        <w:spacing w:after="0" w:line="480" w:lineRule="auto"/>
        <w:ind w:firstLine="284"/>
        <w:jc w:val="center"/>
        <w:rPr>
          <w:rFonts w:ascii="Times New Roman" w:hAnsi="Times New Roman" w:cs="Times New Roman"/>
          <w:b/>
          <w:sz w:val="24"/>
          <w:szCs w:val="24"/>
        </w:rPr>
      </w:pPr>
      <w:r w:rsidRPr="009E5859">
        <w:rPr>
          <w:rFonts w:ascii="Times New Roman" w:hAnsi="Times New Roman" w:cs="Times New Roman"/>
          <w:b/>
          <w:sz w:val="24"/>
          <w:szCs w:val="24"/>
        </w:rPr>
        <w:t xml:space="preserve">ENFOQUES </w:t>
      </w:r>
      <w:r w:rsidRPr="009E5859">
        <w:rPr>
          <w:rFonts w:ascii="Times New Roman" w:hAnsi="Times New Roman" w:cs="Times New Roman"/>
          <w:b/>
          <w:i/>
          <w:sz w:val="24"/>
          <w:szCs w:val="24"/>
        </w:rPr>
        <w:t>OSTROMIANOS</w:t>
      </w:r>
    </w:p>
    <w:p w:rsidR="00B84226" w:rsidRPr="009E5859" w:rsidRDefault="00B84226" w:rsidP="009E5859">
      <w:pPr>
        <w:spacing w:after="0" w:line="480" w:lineRule="auto"/>
        <w:ind w:firstLine="284"/>
        <w:jc w:val="center"/>
        <w:rPr>
          <w:rFonts w:ascii="Times New Roman" w:hAnsi="Times New Roman" w:cs="Times New Roman"/>
          <w:b/>
          <w:sz w:val="24"/>
          <w:szCs w:val="24"/>
        </w:rPr>
      </w:pPr>
    </w:p>
    <w:p w:rsidR="00B84226" w:rsidRPr="009E5859" w:rsidRDefault="00B75DDF" w:rsidP="009E5859">
      <w:pPr>
        <w:spacing w:after="0" w:line="480" w:lineRule="auto"/>
        <w:ind w:firstLine="284"/>
        <w:jc w:val="center"/>
        <w:rPr>
          <w:rFonts w:ascii="Times New Roman" w:hAnsi="Times New Roman" w:cs="Times New Roman"/>
          <w:b/>
          <w:sz w:val="24"/>
          <w:szCs w:val="24"/>
        </w:rPr>
      </w:pPr>
      <w:r w:rsidRPr="009E5859">
        <w:rPr>
          <w:rFonts w:ascii="Times New Roman" w:hAnsi="Times New Roman" w:cs="Times New Roman"/>
          <w:b/>
          <w:sz w:val="24"/>
          <w:szCs w:val="24"/>
        </w:rPr>
        <w:t xml:space="preserve">Gonzalo Caballero </w:t>
      </w:r>
    </w:p>
    <w:p w:rsidR="00B75DDF" w:rsidRPr="009E5859" w:rsidRDefault="00B75DDF" w:rsidP="009E5859">
      <w:pPr>
        <w:spacing w:after="0" w:line="480" w:lineRule="auto"/>
        <w:ind w:firstLine="284"/>
        <w:jc w:val="center"/>
        <w:rPr>
          <w:rFonts w:ascii="Times New Roman" w:hAnsi="Times New Roman" w:cs="Times New Roman"/>
          <w:b/>
          <w:sz w:val="24"/>
          <w:szCs w:val="24"/>
        </w:rPr>
      </w:pPr>
      <w:r w:rsidRPr="009E5859">
        <w:rPr>
          <w:rFonts w:ascii="Times New Roman" w:hAnsi="Times New Roman" w:cs="Times New Roman"/>
          <w:b/>
          <w:sz w:val="24"/>
          <w:szCs w:val="24"/>
        </w:rPr>
        <w:t>(Universidad de Vigo)</w:t>
      </w:r>
    </w:p>
    <w:p w:rsidR="00B75DDF" w:rsidRDefault="00B75DDF" w:rsidP="009E5859">
      <w:pPr>
        <w:spacing w:after="0" w:line="480" w:lineRule="auto"/>
        <w:ind w:firstLine="284"/>
        <w:rPr>
          <w:rFonts w:ascii="Times New Roman" w:hAnsi="Times New Roman" w:cs="Times New Roman"/>
          <w:b/>
          <w:sz w:val="24"/>
          <w:szCs w:val="24"/>
        </w:rPr>
      </w:pPr>
    </w:p>
    <w:p w:rsidR="006A1E8F" w:rsidRDefault="006A1E8F" w:rsidP="003E5BA1">
      <w:pPr>
        <w:spacing w:after="0" w:line="480" w:lineRule="auto"/>
        <w:ind w:firstLine="284"/>
        <w:jc w:val="center"/>
        <w:rPr>
          <w:rFonts w:ascii="Times New Roman" w:hAnsi="Times New Roman" w:cs="Times New Roman"/>
          <w:sz w:val="24"/>
          <w:szCs w:val="24"/>
        </w:rPr>
      </w:pPr>
    </w:p>
    <w:p w:rsidR="0005761E" w:rsidRPr="003E5BA1" w:rsidRDefault="0005761E" w:rsidP="003E5BA1">
      <w:pPr>
        <w:spacing w:after="0" w:line="480" w:lineRule="auto"/>
        <w:ind w:firstLine="284"/>
        <w:jc w:val="center"/>
        <w:rPr>
          <w:rFonts w:ascii="Times New Roman" w:hAnsi="Times New Roman" w:cs="Times New Roman"/>
          <w:sz w:val="24"/>
          <w:szCs w:val="24"/>
        </w:rPr>
      </w:pPr>
    </w:p>
    <w:p w:rsidR="00C3171D" w:rsidRPr="006D0BCA" w:rsidRDefault="00B75DDF" w:rsidP="008D27DE">
      <w:pPr>
        <w:spacing w:after="0" w:line="240" w:lineRule="auto"/>
        <w:jc w:val="both"/>
        <w:rPr>
          <w:rFonts w:ascii="Times New Roman" w:hAnsi="Times New Roman" w:cs="Times New Roman"/>
        </w:rPr>
      </w:pPr>
      <w:r w:rsidRPr="006D0BCA">
        <w:rPr>
          <w:rFonts w:ascii="Times New Roman" w:hAnsi="Times New Roman" w:cs="Times New Roman"/>
          <w:b/>
        </w:rPr>
        <w:t>Resumen:</w:t>
      </w:r>
      <w:r w:rsidR="0018410E" w:rsidRPr="006D0BCA">
        <w:rPr>
          <w:rFonts w:ascii="Times New Roman" w:hAnsi="Times New Roman" w:cs="Times New Roman"/>
          <w:b/>
        </w:rPr>
        <w:t xml:space="preserve"> </w:t>
      </w:r>
      <w:r w:rsidR="006D0BCA" w:rsidRPr="006D0BCA">
        <w:rPr>
          <w:rFonts w:ascii="Times New Roman" w:hAnsi="Times New Roman" w:cs="Times New Roman"/>
        </w:rPr>
        <w:t>En años recientes, las instituciones han retornado a la agenda de investigación principal de las distintas ciencias sociales sobre fundamentos teóricos renovados, promoviendo unas nuevas ciencias sociales institucionales. La concesión en 2009 del premio Nobel de Economía al economista Oliver Williamson y a la politóloga Elinor Ostrom por sus aportaciones sobre la gobernanza ha impulsado el reconocimiento del análisis institucional contemporáneo. Este artículo realiza una aproximación actualizada e integral a las relaciones entre calidad institucional y gobernanza a partir</w:t>
      </w:r>
      <w:r w:rsidR="006D0BCA">
        <w:rPr>
          <w:rFonts w:ascii="Times New Roman" w:hAnsi="Times New Roman" w:cs="Times New Roman"/>
        </w:rPr>
        <w:t xml:space="preserve"> de</w:t>
      </w:r>
      <w:r w:rsidR="006D0BCA" w:rsidRPr="006D0BCA">
        <w:rPr>
          <w:rFonts w:ascii="Times New Roman" w:hAnsi="Times New Roman" w:cs="Times New Roman"/>
        </w:rPr>
        <w:t xml:space="preserve"> los enfoques ostromianos sobre instituciones, gobernanza, capital social y sistemas socio-ecológicos. Frente a las propuestas institucionales unidireccionales de solución pública o solución privada de mercado, las normas sociales aparecen como un factor clave para la gobernanza, mientras la visión ostromiana del capital social complementa la comprensión de esas normas. En un escenario de complejidad e incertidumbre, la propuesta multi-nivel de sistemas socio-ecológicos constituye actualmente la frontera de investigación ostromiana. Este artículo desarrolla estos fundamentos teóricos para construir un marco conceptual que permita profundizar en el análisis del papel de las instituciones para la democracia y el buen gobierno.</w:t>
      </w:r>
    </w:p>
    <w:p w:rsidR="003E5BA1" w:rsidRPr="006D0BCA" w:rsidRDefault="003E5BA1" w:rsidP="00776F95">
      <w:pPr>
        <w:spacing w:after="0" w:line="240" w:lineRule="auto"/>
        <w:ind w:firstLine="284"/>
        <w:rPr>
          <w:rFonts w:ascii="Times New Roman" w:hAnsi="Times New Roman" w:cs="Times New Roman"/>
          <w:b/>
        </w:rPr>
      </w:pPr>
    </w:p>
    <w:p w:rsidR="00B84226" w:rsidRPr="009E5859" w:rsidRDefault="00B84226" w:rsidP="00776F95">
      <w:pPr>
        <w:spacing w:after="0" w:line="240" w:lineRule="auto"/>
        <w:ind w:firstLine="284"/>
        <w:rPr>
          <w:rFonts w:ascii="Times New Roman" w:hAnsi="Times New Roman" w:cs="Times New Roman"/>
          <w:sz w:val="24"/>
          <w:szCs w:val="24"/>
        </w:rPr>
      </w:pPr>
    </w:p>
    <w:p w:rsidR="0018410E" w:rsidRPr="009E5859" w:rsidRDefault="0018410E" w:rsidP="00776F95">
      <w:pPr>
        <w:spacing w:after="0" w:line="240" w:lineRule="auto"/>
        <w:ind w:firstLine="284"/>
        <w:rPr>
          <w:rFonts w:ascii="Times New Roman" w:hAnsi="Times New Roman" w:cs="Times New Roman"/>
          <w:b/>
          <w:sz w:val="24"/>
          <w:szCs w:val="24"/>
        </w:rPr>
      </w:pPr>
    </w:p>
    <w:p w:rsidR="006A1E8F" w:rsidRDefault="006A1E8F" w:rsidP="00776F95">
      <w:pPr>
        <w:spacing w:after="0" w:line="240" w:lineRule="auto"/>
        <w:ind w:firstLine="284"/>
        <w:rPr>
          <w:rFonts w:ascii="Times New Roman" w:hAnsi="Times New Roman" w:cs="Times New Roman"/>
          <w:sz w:val="24"/>
          <w:szCs w:val="24"/>
        </w:rPr>
      </w:pPr>
      <w:r w:rsidRPr="009E5859">
        <w:rPr>
          <w:rFonts w:ascii="Times New Roman" w:hAnsi="Times New Roman" w:cs="Times New Roman"/>
          <w:b/>
          <w:sz w:val="24"/>
          <w:szCs w:val="24"/>
        </w:rPr>
        <w:t xml:space="preserve">Palabras Clave: </w:t>
      </w:r>
      <w:r w:rsidRPr="009E5859">
        <w:rPr>
          <w:rFonts w:ascii="Times New Roman" w:hAnsi="Times New Roman" w:cs="Times New Roman"/>
          <w:sz w:val="24"/>
          <w:szCs w:val="24"/>
        </w:rPr>
        <w:t xml:space="preserve">Instituciones, </w:t>
      </w:r>
      <w:r w:rsidR="00B84226" w:rsidRPr="009E5859">
        <w:rPr>
          <w:rFonts w:ascii="Times New Roman" w:hAnsi="Times New Roman" w:cs="Times New Roman"/>
          <w:sz w:val="24"/>
          <w:szCs w:val="24"/>
        </w:rPr>
        <w:t>Gobernanza, C</w:t>
      </w:r>
      <w:r w:rsidRPr="009E5859">
        <w:rPr>
          <w:rFonts w:ascii="Times New Roman" w:hAnsi="Times New Roman" w:cs="Times New Roman"/>
          <w:sz w:val="24"/>
          <w:szCs w:val="24"/>
        </w:rPr>
        <w:t xml:space="preserve">apital </w:t>
      </w:r>
      <w:r w:rsidR="00B84226" w:rsidRPr="009E5859">
        <w:rPr>
          <w:rFonts w:ascii="Times New Roman" w:hAnsi="Times New Roman" w:cs="Times New Roman"/>
          <w:sz w:val="24"/>
          <w:szCs w:val="24"/>
        </w:rPr>
        <w:t>S</w:t>
      </w:r>
      <w:r w:rsidRPr="009E5859">
        <w:rPr>
          <w:rFonts w:ascii="Times New Roman" w:hAnsi="Times New Roman" w:cs="Times New Roman"/>
          <w:sz w:val="24"/>
          <w:szCs w:val="24"/>
        </w:rPr>
        <w:t xml:space="preserve">ocial, </w:t>
      </w:r>
      <w:r w:rsidR="00B84226" w:rsidRPr="009E5859">
        <w:rPr>
          <w:rFonts w:ascii="Times New Roman" w:hAnsi="Times New Roman" w:cs="Times New Roman"/>
          <w:sz w:val="24"/>
          <w:szCs w:val="24"/>
        </w:rPr>
        <w:t>S</w:t>
      </w:r>
      <w:r w:rsidRPr="009E5859">
        <w:rPr>
          <w:rFonts w:ascii="Times New Roman" w:hAnsi="Times New Roman" w:cs="Times New Roman"/>
          <w:sz w:val="24"/>
          <w:szCs w:val="24"/>
        </w:rPr>
        <w:t xml:space="preserve">istemas </w:t>
      </w:r>
      <w:r w:rsidR="00B84226" w:rsidRPr="009E5859">
        <w:rPr>
          <w:rFonts w:ascii="Times New Roman" w:hAnsi="Times New Roman" w:cs="Times New Roman"/>
          <w:sz w:val="24"/>
          <w:szCs w:val="24"/>
        </w:rPr>
        <w:t>S</w:t>
      </w:r>
      <w:r w:rsidRPr="009E5859">
        <w:rPr>
          <w:rFonts w:ascii="Times New Roman" w:hAnsi="Times New Roman" w:cs="Times New Roman"/>
          <w:sz w:val="24"/>
          <w:szCs w:val="24"/>
        </w:rPr>
        <w:t>ocio-ecológicos</w:t>
      </w:r>
      <w:r w:rsidR="007600C9">
        <w:rPr>
          <w:rFonts w:ascii="Times New Roman" w:hAnsi="Times New Roman" w:cs="Times New Roman"/>
          <w:sz w:val="24"/>
          <w:szCs w:val="24"/>
        </w:rPr>
        <w:t>, Elinor Ostrom</w:t>
      </w:r>
      <w:r w:rsidRPr="009E5859">
        <w:rPr>
          <w:rFonts w:ascii="Times New Roman" w:hAnsi="Times New Roman" w:cs="Times New Roman"/>
          <w:sz w:val="24"/>
          <w:szCs w:val="24"/>
        </w:rPr>
        <w:t>.</w:t>
      </w:r>
    </w:p>
    <w:p w:rsidR="006D0BCA" w:rsidRPr="006D0BCA" w:rsidRDefault="006D0BCA" w:rsidP="00776F95">
      <w:pPr>
        <w:spacing w:after="0" w:line="240" w:lineRule="auto"/>
        <w:ind w:firstLine="284"/>
        <w:rPr>
          <w:rFonts w:ascii="Times New Roman" w:hAnsi="Times New Roman" w:cs="Times New Roman"/>
          <w:b/>
          <w:sz w:val="24"/>
          <w:szCs w:val="24"/>
        </w:rPr>
      </w:pPr>
    </w:p>
    <w:p w:rsidR="007600C9" w:rsidRPr="007600C9" w:rsidRDefault="007600C9" w:rsidP="00776F95">
      <w:pPr>
        <w:spacing w:after="0" w:line="240" w:lineRule="auto"/>
        <w:ind w:firstLine="284"/>
        <w:rPr>
          <w:rFonts w:ascii="Times New Roman" w:hAnsi="Times New Roman" w:cs="Times New Roman"/>
          <w:sz w:val="24"/>
          <w:szCs w:val="24"/>
          <w:lang w:val="en-US"/>
        </w:rPr>
      </w:pPr>
      <w:r w:rsidRPr="007600C9">
        <w:rPr>
          <w:rFonts w:ascii="Times New Roman" w:hAnsi="Times New Roman" w:cs="Times New Roman"/>
          <w:b/>
          <w:sz w:val="24"/>
          <w:szCs w:val="24"/>
          <w:lang w:val="en-US"/>
        </w:rPr>
        <w:t>Keywords:</w:t>
      </w:r>
      <w:r w:rsidRPr="007600C9">
        <w:rPr>
          <w:rFonts w:ascii="Times New Roman" w:hAnsi="Times New Roman" w:cs="Times New Roman"/>
          <w:sz w:val="24"/>
          <w:szCs w:val="24"/>
          <w:lang w:val="en-US"/>
        </w:rPr>
        <w:t xml:space="preserve"> Institutions, Governance, Social Capital, Socio-Ecological Systems, Elinor Ostrom.</w:t>
      </w:r>
    </w:p>
    <w:p w:rsidR="002D462A" w:rsidRPr="007600C9" w:rsidRDefault="002D462A" w:rsidP="009E5859">
      <w:pPr>
        <w:spacing w:after="0" w:line="480" w:lineRule="auto"/>
        <w:ind w:firstLine="284"/>
        <w:rPr>
          <w:rFonts w:ascii="Times New Roman" w:hAnsi="Times New Roman" w:cs="Times New Roman"/>
          <w:sz w:val="24"/>
          <w:szCs w:val="24"/>
          <w:lang w:val="en-US"/>
        </w:rPr>
      </w:pPr>
    </w:p>
    <w:p w:rsidR="00776F95" w:rsidRPr="009E5859" w:rsidRDefault="00776F95" w:rsidP="007600C9">
      <w:pPr>
        <w:spacing w:after="0" w:line="360" w:lineRule="auto"/>
        <w:jc w:val="both"/>
        <w:rPr>
          <w:rFonts w:ascii="Times New Roman" w:hAnsi="Times New Roman" w:cs="Times New Roman"/>
          <w:b/>
          <w:sz w:val="24"/>
          <w:szCs w:val="24"/>
        </w:rPr>
      </w:pPr>
      <w:r w:rsidRPr="009E5859">
        <w:rPr>
          <w:rFonts w:ascii="Times New Roman" w:hAnsi="Times New Roman" w:cs="Times New Roman"/>
          <w:b/>
          <w:sz w:val="24"/>
          <w:szCs w:val="24"/>
        </w:rPr>
        <w:lastRenderedPageBreak/>
        <w:t xml:space="preserve">INSTITUCIONES, ECONOMÍA POLÍTICA Y GOBERNANZA: ENFOQUES </w:t>
      </w:r>
      <w:r w:rsidRPr="009E5859">
        <w:rPr>
          <w:rFonts w:ascii="Times New Roman" w:hAnsi="Times New Roman" w:cs="Times New Roman"/>
          <w:b/>
          <w:i/>
          <w:sz w:val="24"/>
          <w:szCs w:val="24"/>
        </w:rPr>
        <w:t>OSTROMIANOS</w:t>
      </w:r>
      <w:r w:rsidR="007846AA">
        <w:rPr>
          <w:rStyle w:val="Refdenotaalpie"/>
          <w:rFonts w:ascii="Times New Roman" w:hAnsi="Times New Roman" w:cs="Times New Roman"/>
          <w:b/>
          <w:i/>
          <w:sz w:val="24"/>
          <w:szCs w:val="24"/>
        </w:rPr>
        <w:footnoteReference w:id="1"/>
      </w:r>
    </w:p>
    <w:p w:rsidR="00776F95" w:rsidRPr="009E5859" w:rsidRDefault="00776F95" w:rsidP="007600C9">
      <w:pPr>
        <w:spacing w:after="0" w:line="360" w:lineRule="auto"/>
        <w:ind w:firstLine="284"/>
        <w:rPr>
          <w:rFonts w:ascii="Times New Roman" w:hAnsi="Times New Roman" w:cs="Times New Roman"/>
          <w:sz w:val="24"/>
          <w:szCs w:val="24"/>
        </w:rPr>
      </w:pPr>
    </w:p>
    <w:p w:rsidR="002D462A" w:rsidRPr="00776F95" w:rsidRDefault="002D462A" w:rsidP="007600C9">
      <w:pPr>
        <w:pStyle w:val="Prrafodelista"/>
        <w:numPr>
          <w:ilvl w:val="0"/>
          <w:numId w:val="1"/>
        </w:numPr>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Introducción</w:t>
      </w:r>
    </w:p>
    <w:p w:rsidR="00893D6A" w:rsidRDefault="00893D6A" w:rsidP="007600C9">
      <w:pPr>
        <w:pStyle w:val="Prrafodelista"/>
        <w:spacing w:after="0" w:line="360" w:lineRule="auto"/>
        <w:ind w:left="0" w:firstLine="284"/>
        <w:jc w:val="both"/>
        <w:rPr>
          <w:rFonts w:ascii="Times New Roman" w:hAnsi="Times New Roman" w:cs="Times New Roman"/>
          <w:sz w:val="24"/>
          <w:szCs w:val="24"/>
        </w:rPr>
      </w:pP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tab/>
      </w:r>
      <w:r w:rsidRPr="0089797B">
        <w:rPr>
          <w:rFonts w:ascii="Times New Roman" w:hAnsi="Times New Roman" w:cs="Times New Roman"/>
          <w:sz w:val="24"/>
          <w:szCs w:val="24"/>
        </w:rPr>
        <w:t>La concesión del premio Nobel de Economía a Oliver Williamson y Elinor Ostrom en 2009 ha supuesto un nuevo reconocimiento para el programa de investigación de la Nueva Economía Institucional (NEI), que impulsó “el retorno de la instituciones” a la agenda de investigación principal de la ciencia económica en los últimos años</w:t>
      </w:r>
      <w:r w:rsidRPr="0089797B">
        <w:rPr>
          <w:rStyle w:val="Refdenotaalpie"/>
          <w:rFonts w:ascii="Times New Roman" w:hAnsi="Times New Roman" w:cs="Times New Roman"/>
          <w:sz w:val="24"/>
          <w:szCs w:val="24"/>
        </w:rPr>
        <w:footnoteReference w:id="2"/>
      </w:r>
      <w:r w:rsidRPr="0089797B">
        <w:rPr>
          <w:rFonts w:ascii="Times New Roman" w:hAnsi="Times New Roman" w:cs="Times New Roman"/>
          <w:sz w:val="24"/>
          <w:szCs w:val="24"/>
        </w:rPr>
        <w:t>. Durante la mayor parte del siglo XX, la corriente principal de la ciencia económica se había desarrollado en base a unos fundamentos teóricos neoclásicos que no incorporaban el papel de las instituciones en la economía. Hubo que esperar hasta las últimas décadas del siglo XX para que la capacidad analítica de la NEI, en su esfuerzo de investigación sobre las instituciones, fuese alcanzando el reconocimiento académico necesario para que la corriente principal en economía asumiese que “las instituciones importan y son susceptibles de ser analizadas” (Williamson, 2000). Las aportaciones de Coase, North, Williamson y Ostrom permiten una aproximación al nuevo institucionalismo económico. Ronald Coase expuso que realizar transacciones económicas conlleva costes y que, cuando los costes de transacción son superiores a las ganancias derivadas del intercambio, este intercambio dejará de realizarse. Douglass North definió las instituciones como las reglas formales, normas informales y mecanismos de cumplimiento, y explicó cómo esas “reglas de juego” determinan el volumen de los costes de transacción existentes y por tanto el nivel de eficiencia alcanzable en la economía. El premio Nobel a Coase en 1991 y a North en 1993 ayudó a impulsar la NEI</w:t>
      </w:r>
      <w:r w:rsidRPr="0089797B">
        <w:rPr>
          <w:rStyle w:val="Refdenotaalpie"/>
          <w:rFonts w:ascii="Times New Roman" w:hAnsi="Times New Roman" w:cs="Times New Roman"/>
          <w:sz w:val="24"/>
          <w:szCs w:val="24"/>
        </w:rPr>
        <w:footnoteReference w:id="3"/>
      </w:r>
      <w:r w:rsidRPr="0089797B">
        <w:rPr>
          <w:rFonts w:ascii="Times New Roman" w:hAnsi="Times New Roman" w:cs="Times New Roman"/>
          <w:sz w:val="24"/>
          <w:szCs w:val="24"/>
        </w:rPr>
        <w:t xml:space="preserve">, y desde entonces, el análisis institucional ha logrado avances teóricos y aplicados de forma creciente (Furubotn y Richter, 1998; Acemoglu, Johnson y Robinson, 2000; Williamson, 2000; Aoki, 2001; </w:t>
      </w:r>
      <w:r w:rsidR="00D05322">
        <w:rPr>
          <w:rFonts w:ascii="Times New Roman" w:hAnsi="Times New Roman" w:cs="Times New Roman"/>
          <w:sz w:val="24"/>
          <w:szCs w:val="24"/>
        </w:rPr>
        <w:t xml:space="preserve">Caballero, 2001, 2002, 2011; </w:t>
      </w:r>
      <w:r w:rsidRPr="0089797B">
        <w:rPr>
          <w:rFonts w:ascii="Times New Roman" w:hAnsi="Times New Roman" w:cs="Times New Roman"/>
          <w:sz w:val="24"/>
          <w:szCs w:val="24"/>
        </w:rPr>
        <w:t>Ménard y Shirley, 2005; Ostrom; 2005; Greif, 2006; Brousseau y Glachant, 2008).</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lastRenderedPageBreak/>
        <w:tab/>
        <w:t xml:space="preserve">El nuevo institucionalismo permite un mejor conocimiento e interpretación de multitud de fenómenos políticos, sociales y económicos, enriqueciendo el estado de situación de diversos programas de investigación. Este ha sido el caso, entre otros, de programas como la organización empresarial (Williamson, </w:t>
      </w:r>
      <w:r w:rsidR="00D05322">
        <w:rPr>
          <w:rFonts w:ascii="Times New Roman" w:hAnsi="Times New Roman" w:cs="Times New Roman"/>
          <w:sz w:val="24"/>
          <w:szCs w:val="24"/>
        </w:rPr>
        <w:t xml:space="preserve">1974, </w:t>
      </w:r>
      <w:r w:rsidRPr="0089797B">
        <w:rPr>
          <w:rFonts w:ascii="Times New Roman" w:hAnsi="Times New Roman" w:cs="Times New Roman"/>
          <w:sz w:val="24"/>
          <w:szCs w:val="24"/>
        </w:rPr>
        <w:t xml:space="preserve">1985; Ménard, 2005), el crecimiento y el desarrollo económico (Rodrik </w:t>
      </w:r>
      <w:r w:rsidRPr="0089797B">
        <w:rPr>
          <w:rFonts w:ascii="Times New Roman" w:hAnsi="Times New Roman" w:cs="Times New Roman"/>
          <w:i/>
          <w:iCs/>
          <w:sz w:val="24"/>
          <w:szCs w:val="24"/>
        </w:rPr>
        <w:t>et al</w:t>
      </w:r>
      <w:r w:rsidRPr="0089797B">
        <w:rPr>
          <w:rFonts w:ascii="Times New Roman" w:hAnsi="Times New Roman" w:cs="Times New Roman"/>
          <w:sz w:val="24"/>
          <w:szCs w:val="24"/>
        </w:rPr>
        <w:t>, 2004; Shirley, 2005</w:t>
      </w:r>
      <w:r w:rsidR="00D05322">
        <w:rPr>
          <w:rFonts w:ascii="Times New Roman" w:hAnsi="Times New Roman" w:cs="Times New Roman"/>
          <w:sz w:val="24"/>
          <w:szCs w:val="24"/>
        </w:rPr>
        <w:t>; Caballero, 2008</w:t>
      </w:r>
      <w:r w:rsidRPr="0089797B">
        <w:rPr>
          <w:rFonts w:ascii="Times New Roman" w:hAnsi="Times New Roman" w:cs="Times New Roman"/>
          <w:sz w:val="24"/>
          <w:szCs w:val="24"/>
        </w:rPr>
        <w:t xml:space="preserve">), la historia económica (North, 1989; </w:t>
      </w:r>
      <w:r w:rsidR="00D05322">
        <w:rPr>
          <w:rFonts w:ascii="Times New Roman" w:hAnsi="Times New Roman" w:cs="Times New Roman"/>
          <w:sz w:val="24"/>
          <w:szCs w:val="24"/>
        </w:rPr>
        <w:t xml:space="preserve">Caballero, 2004; </w:t>
      </w:r>
      <w:r w:rsidRPr="0089797B">
        <w:rPr>
          <w:rFonts w:ascii="Times New Roman" w:hAnsi="Times New Roman" w:cs="Times New Roman"/>
          <w:sz w:val="24"/>
          <w:szCs w:val="24"/>
        </w:rPr>
        <w:t>Greif, 2006), el análisis económico del derecho (Garoupa y Stephen, 2004; Hadfield, 2005), el análisis de los procesos legislativos (Weingast y</w:t>
      </w:r>
      <w:r w:rsidR="00013B8B">
        <w:rPr>
          <w:rFonts w:ascii="Times New Roman" w:hAnsi="Times New Roman" w:cs="Times New Roman"/>
          <w:sz w:val="24"/>
          <w:szCs w:val="24"/>
        </w:rPr>
        <w:t xml:space="preserve"> Marshall, 1988; Caballero, 2006</w:t>
      </w:r>
      <w:r w:rsidRPr="0089797B">
        <w:rPr>
          <w:rFonts w:ascii="Times New Roman" w:hAnsi="Times New Roman" w:cs="Times New Roman"/>
          <w:sz w:val="24"/>
          <w:szCs w:val="24"/>
        </w:rPr>
        <w:t xml:space="preserve">), el federalismo (Weingast, 1995; Caballero, 2005), el capital social (Knack y Keefer, 1997; Caballero y Kingston, 2005a), la economía de los recursos naturales (Libecap, 2007; Ostrom; 2008; Caballero, </w:t>
      </w:r>
      <w:r w:rsidRPr="0089797B">
        <w:rPr>
          <w:rFonts w:ascii="Times New Roman" w:hAnsi="Times New Roman" w:cs="Times New Roman"/>
          <w:i/>
          <w:sz w:val="24"/>
          <w:szCs w:val="24"/>
        </w:rPr>
        <w:t>et al</w:t>
      </w:r>
      <w:r w:rsidR="00013B8B">
        <w:rPr>
          <w:rFonts w:ascii="Times New Roman" w:hAnsi="Times New Roman" w:cs="Times New Roman"/>
          <w:sz w:val="24"/>
          <w:szCs w:val="24"/>
        </w:rPr>
        <w:t>. 2008</w:t>
      </w:r>
      <w:r w:rsidR="00D05322">
        <w:rPr>
          <w:rFonts w:ascii="Times New Roman" w:hAnsi="Times New Roman" w:cs="Times New Roman"/>
          <w:sz w:val="24"/>
          <w:szCs w:val="24"/>
        </w:rPr>
        <w:t>),</w:t>
      </w:r>
      <w:r w:rsidRPr="0089797B">
        <w:rPr>
          <w:rFonts w:ascii="Times New Roman" w:hAnsi="Times New Roman" w:cs="Times New Roman"/>
          <w:sz w:val="24"/>
          <w:szCs w:val="24"/>
        </w:rPr>
        <w:t xml:space="preserve"> las políticas de regulación (Joskow, 2002; Spiller and Tommasi 2005)</w:t>
      </w:r>
      <w:r w:rsidR="00D05322">
        <w:rPr>
          <w:rFonts w:ascii="Times New Roman" w:hAnsi="Times New Roman" w:cs="Times New Roman"/>
          <w:sz w:val="24"/>
          <w:szCs w:val="24"/>
        </w:rPr>
        <w:t xml:space="preserve"> o la economía política (Schofield and Caballero, 2011)</w:t>
      </w:r>
      <w:r w:rsidRPr="0089797B">
        <w:rPr>
          <w:rFonts w:ascii="Times New Roman" w:hAnsi="Times New Roman" w:cs="Times New Roman"/>
          <w:sz w:val="24"/>
          <w:szCs w:val="24"/>
        </w:rPr>
        <w:t>.</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tab/>
      </w:r>
      <w:r w:rsidR="00887EA3">
        <w:rPr>
          <w:rFonts w:ascii="Times New Roman" w:hAnsi="Times New Roman" w:cs="Times New Roman"/>
          <w:sz w:val="24"/>
          <w:szCs w:val="24"/>
        </w:rPr>
        <w:t>C</w:t>
      </w:r>
      <w:r w:rsidRPr="0089797B">
        <w:rPr>
          <w:rFonts w:ascii="Times New Roman" w:hAnsi="Times New Roman" w:cs="Times New Roman"/>
          <w:sz w:val="24"/>
          <w:szCs w:val="24"/>
        </w:rPr>
        <w:t xml:space="preserve">uando la “importancia de las instituciones” empieza a ser un punto de consenso no sólo en la ciencia económica y en las ciencias sociales, sino también en los organismos públicos y en la agenda de los </w:t>
      </w:r>
      <w:r w:rsidRPr="0089797B">
        <w:rPr>
          <w:rFonts w:ascii="Times New Roman" w:hAnsi="Times New Roman" w:cs="Times New Roman"/>
          <w:i/>
          <w:sz w:val="24"/>
          <w:szCs w:val="24"/>
        </w:rPr>
        <w:t>policy-makers</w:t>
      </w:r>
      <w:r w:rsidRPr="0089797B">
        <w:rPr>
          <w:rStyle w:val="Refdenotaalpie"/>
          <w:rFonts w:ascii="Times New Roman" w:hAnsi="Times New Roman" w:cs="Times New Roman"/>
          <w:i/>
          <w:sz w:val="24"/>
          <w:szCs w:val="24"/>
        </w:rPr>
        <w:footnoteReference w:id="4"/>
      </w:r>
      <w:r w:rsidRPr="0089797B">
        <w:rPr>
          <w:rFonts w:ascii="Times New Roman" w:hAnsi="Times New Roman" w:cs="Times New Roman"/>
          <w:sz w:val="24"/>
          <w:szCs w:val="24"/>
        </w:rPr>
        <w:t>, el premio Nobel de Economía del 2009 distingue acertadamente a dos de los máximos representantes del análisis institucional moderno.</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tab/>
        <w:t xml:space="preserve">La concesión del Nobel a Oliver Williamson “por su análisis de la gobernanza económica, especialmente sobre los límites de la empresa,” no ha sorprendido a los estudiosos de las instituciones. Además, posiblemente existiese un amplio consenso en la NEI sobre que a él le debía corresponder esta distinción tras Coase y North. Sus obras seminales </w:t>
      </w:r>
      <w:r w:rsidRPr="0089797B">
        <w:rPr>
          <w:rFonts w:ascii="Times New Roman" w:hAnsi="Times New Roman" w:cs="Times New Roman"/>
          <w:i/>
          <w:sz w:val="24"/>
          <w:szCs w:val="24"/>
        </w:rPr>
        <w:t>Las instituciones del capitalismo</w:t>
      </w:r>
      <w:r w:rsidRPr="0089797B">
        <w:rPr>
          <w:rFonts w:ascii="Times New Roman" w:hAnsi="Times New Roman" w:cs="Times New Roman"/>
          <w:sz w:val="24"/>
          <w:szCs w:val="24"/>
        </w:rPr>
        <w:t xml:space="preserve"> (Williamson, 1975) y </w:t>
      </w:r>
      <w:r w:rsidRPr="0089797B">
        <w:rPr>
          <w:rFonts w:ascii="Times New Roman" w:hAnsi="Times New Roman" w:cs="Times New Roman"/>
          <w:i/>
          <w:sz w:val="24"/>
          <w:szCs w:val="24"/>
        </w:rPr>
        <w:t>Mercados y Jerarquías</w:t>
      </w:r>
      <w:r w:rsidRPr="0089797B">
        <w:rPr>
          <w:rFonts w:ascii="Times New Roman" w:hAnsi="Times New Roman" w:cs="Times New Roman"/>
          <w:sz w:val="24"/>
          <w:szCs w:val="24"/>
        </w:rPr>
        <w:t xml:space="preserve"> (Williamson, 1985) han configurado todo un marco teórico para el análisis transaccional de la gobernanza y las organizaciones, hasta el punto de constituir el desarrollo fundamental del enfoque </w:t>
      </w:r>
      <w:r w:rsidRPr="0089797B">
        <w:rPr>
          <w:rFonts w:ascii="Times New Roman" w:hAnsi="Times New Roman" w:cs="Times New Roman"/>
          <w:i/>
          <w:sz w:val="24"/>
          <w:szCs w:val="24"/>
        </w:rPr>
        <w:t>coaseano</w:t>
      </w:r>
      <w:r w:rsidRPr="0089797B">
        <w:rPr>
          <w:rFonts w:ascii="Times New Roman" w:hAnsi="Times New Roman" w:cs="Times New Roman"/>
          <w:sz w:val="24"/>
          <w:szCs w:val="24"/>
        </w:rPr>
        <w:t xml:space="preserve"> sobre “La naturaleza de la empresa” desde hace casi cuatro décadas.</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tab/>
        <w:t xml:space="preserve">A Elinor Ostrom se le ha concedido el Nobel “por su análisis de la gobernanza, especialmente sobre los comunes”. En ella ha encontrado la academia a un buen “ticket” para el premio a la NEI. Cualquier especialista en análisis institucional conoce la contribución de Ostrom (1990) centrada en </w:t>
      </w:r>
      <w:r w:rsidRPr="0089797B">
        <w:rPr>
          <w:rFonts w:ascii="Times New Roman" w:hAnsi="Times New Roman" w:cs="Times New Roman"/>
          <w:i/>
          <w:sz w:val="24"/>
          <w:szCs w:val="24"/>
        </w:rPr>
        <w:t>El gobierno de los comunes</w:t>
      </w:r>
      <w:r w:rsidRPr="0089797B">
        <w:rPr>
          <w:rFonts w:ascii="Times New Roman" w:hAnsi="Times New Roman" w:cs="Times New Roman"/>
          <w:sz w:val="24"/>
          <w:szCs w:val="24"/>
        </w:rPr>
        <w:t xml:space="preserve">. Dos rasgos son </w:t>
      </w:r>
      <w:r w:rsidRPr="0089797B">
        <w:rPr>
          <w:rFonts w:ascii="Times New Roman" w:hAnsi="Times New Roman" w:cs="Times New Roman"/>
          <w:sz w:val="24"/>
          <w:szCs w:val="24"/>
        </w:rPr>
        <w:lastRenderedPageBreak/>
        <w:t>novedosos en la laureada. Por una parte, es la primera mujer en la historia que recibe el premio Nobel de Economía. Por otra, la premiada no desarrolló su trabajo en un Departamento de Economía, sino que lo hace en la ciencia política, habiendo sido Presidenta de la Asociación Americana de Ciencia Política</w:t>
      </w:r>
      <w:r w:rsidRPr="0089797B">
        <w:rPr>
          <w:rStyle w:val="Refdenotaalpie"/>
          <w:rFonts w:ascii="Times New Roman" w:hAnsi="Times New Roman" w:cs="Times New Roman"/>
          <w:sz w:val="24"/>
          <w:szCs w:val="24"/>
        </w:rPr>
        <w:footnoteReference w:id="5"/>
      </w:r>
      <w:r w:rsidRPr="0089797B">
        <w:rPr>
          <w:rFonts w:ascii="Times New Roman" w:hAnsi="Times New Roman" w:cs="Times New Roman"/>
          <w:sz w:val="24"/>
          <w:szCs w:val="24"/>
        </w:rPr>
        <w:t>.</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tab/>
        <w:t>El Nobel del 2009 distingue el programa de investigación institucional sobre la gobernanza, cuestión clave para la gestión y la organización política y económica. Dixit (2009) define la gobernanza económica como “la estructura y el funcionamiento de las instituciones legales y sociales que soportan la actividad económica y las transacciones económicas a través de la protección de derechos de propiedad, el cumplimiento de contratos y la realización de la acción colectiva para proveer infraestructura organizativa y física”</w:t>
      </w:r>
      <w:r w:rsidRPr="0089797B">
        <w:rPr>
          <w:rStyle w:val="Refdenotaalpie"/>
          <w:rFonts w:ascii="Times New Roman" w:hAnsi="Times New Roman" w:cs="Times New Roman"/>
          <w:sz w:val="24"/>
          <w:szCs w:val="24"/>
        </w:rPr>
        <w:footnoteReference w:id="6"/>
      </w:r>
      <w:r w:rsidRPr="0089797B">
        <w:rPr>
          <w:rFonts w:ascii="Times New Roman" w:hAnsi="Times New Roman" w:cs="Times New Roman"/>
          <w:sz w:val="24"/>
          <w:szCs w:val="24"/>
        </w:rPr>
        <w:t xml:space="preserve">. Una buena gobernanza económica requiere derechos de propiedad seguros, cumplimiento de contratos y la solución a la acción colectiva evitando el problema del </w:t>
      </w:r>
      <w:r w:rsidRPr="0089797B">
        <w:rPr>
          <w:rFonts w:ascii="Times New Roman" w:hAnsi="Times New Roman" w:cs="Times New Roman"/>
          <w:i/>
          <w:sz w:val="24"/>
          <w:szCs w:val="24"/>
        </w:rPr>
        <w:t>free-riding</w:t>
      </w:r>
      <w:r w:rsidRPr="0089797B">
        <w:rPr>
          <w:rFonts w:ascii="Times New Roman" w:hAnsi="Times New Roman" w:cs="Times New Roman"/>
          <w:sz w:val="24"/>
          <w:szCs w:val="24"/>
        </w:rPr>
        <w:t>. En tres décadas la palabra gobernanza ha pasado de la práctica inexistencia a su valoración como un asunto central en economía</w:t>
      </w:r>
      <w:r w:rsidRPr="0089797B">
        <w:rPr>
          <w:rStyle w:val="Refdenotaalpie"/>
          <w:rFonts w:ascii="Times New Roman" w:hAnsi="Times New Roman" w:cs="Times New Roman"/>
          <w:sz w:val="24"/>
          <w:szCs w:val="24"/>
        </w:rPr>
        <w:footnoteReference w:id="7"/>
      </w:r>
      <w:r w:rsidRPr="0089797B">
        <w:rPr>
          <w:rFonts w:ascii="Times New Roman" w:hAnsi="Times New Roman" w:cs="Times New Roman"/>
          <w:sz w:val="24"/>
          <w:szCs w:val="24"/>
        </w:rPr>
        <w:t>.</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tab/>
        <w:t xml:space="preserve">Estudios de caso en derecho, ciencia política, economía, sociología y antropología han ayudado a mejorar nuestro conocimiento sobre las instituciones de la gobernanza y este programa de investigación puede facilitar el reencuentro de la ciencias sociales después de su separación hace un siglo (Dixit, 2009). En este sentido, la combinación de perfiles de </w:t>
      </w:r>
      <w:r w:rsidR="0089797B" w:rsidRPr="0089797B">
        <w:rPr>
          <w:rFonts w:ascii="Times New Roman" w:hAnsi="Times New Roman" w:cs="Times New Roman"/>
          <w:sz w:val="24"/>
          <w:szCs w:val="24"/>
        </w:rPr>
        <w:t>Williamson y Ostrom</w:t>
      </w:r>
      <w:r w:rsidRPr="0089797B">
        <w:rPr>
          <w:rFonts w:ascii="Times New Roman" w:hAnsi="Times New Roman" w:cs="Times New Roman"/>
          <w:sz w:val="24"/>
          <w:szCs w:val="24"/>
        </w:rPr>
        <w:t>, un economista y una politóloga, no resulta extraño porque el análisis institucional requiere la inter-relación entre las ciencias sociales, y la propia Nueva Economía Institucional asume un claro enfoque multidisciplinar (Caballero, 2001). De hecho, el propio North ha planteado la hipótesis de un matrimonio entre la teoría económica y política (North, 1999), y paralelamente al avance de la NEI se han ido desarrollando sendos enfoques institucionales en la ciencia política (Hall y Taylor, 1996; Peters, 2001) y la sociología (Brinton y Nee, 1998). El “retorno de las instituciones” ha sido común en las ciencias sociales sobre fundamentos teóricos renovados</w:t>
      </w:r>
      <w:r w:rsidR="008D27DE">
        <w:rPr>
          <w:rFonts w:ascii="Times New Roman" w:hAnsi="Times New Roman" w:cs="Times New Roman"/>
          <w:sz w:val="24"/>
          <w:szCs w:val="24"/>
        </w:rPr>
        <w:t xml:space="preserve"> (Caballero, 2011)</w:t>
      </w:r>
      <w:r w:rsidRPr="0089797B">
        <w:rPr>
          <w:rFonts w:ascii="Times New Roman" w:hAnsi="Times New Roman" w:cs="Times New Roman"/>
          <w:sz w:val="24"/>
          <w:szCs w:val="24"/>
        </w:rPr>
        <w:t>.</w:t>
      </w:r>
    </w:p>
    <w:p w:rsidR="008A5C58" w:rsidRPr="0089797B" w:rsidRDefault="008A5C58" w:rsidP="007600C9">
      <w:pPr>
        <w:tabs>
          <w:tab w:val="num" w:pos="0"/>
        </w:tabs>
        <w:spacing w:after="0" w:line="360" w:lineRule="auto"/>
        <w:jc w:val="both"/>
        <w:rPr>
          <w:rFonts w:ascii="Times New Roman" w:hAnsi="Times New Roman" w:cs="Times New Roman"/>
          <w:sz w:val="24"/>
          <w:szCs w:val="24"/>
        </w:rPr>
      </w:pPr>
      <w:r w:rsidRPr="0089797B">
        <w:rPr>
          <w:rFonts w:ascii="Times New Roman" w:hAnsi="Times New Roman" w:cs="Times New Roman"/>
          <w:sz w:val="24"/>
          <w:szCs w:val="24"/>
        </w:rPr>
        <w:lastRenderedPageBreak/>
        <w:tab/>
        <w:t>Est</w:t>
      </w:r>
      <w:r w:rsidR="0089797B" w:rsidRPr="0089797B">
        <w:rPr>
          <w:rFonts w:ascii="Times New Roman" w:hAnsi="Times New Roman" w:cs="Times New Roman"/>
          <w:sz w:val="24"/>
          <w:szCs w:val="24"/>
        </w:rPr>
        <w:t xml:space="preserve">a comunicación realiza una aproximación a la economía política de la gobernanza desde el enfoque de la Nueva Economía Institucional, y particularmente se adentra en la extensa obra de Elinor Ostrom para presentar los distintos enfoques teóricos que pueden delimitarse en sus aportaciones. Particularmente, esta comunicación distingue un enfoque de normas sociales, uno del capital social y uno de los sistemas socio-ecológicos en las aportaciones </w:t>
      </w:r>
      <w:r w:rsidR="0089797B" w:rsidRPr="0089797B">
        <w:rPr>
          <w:rFonts w:ascii="Times New Roman" w:hAnsi="Times New Roman" w:cs="Times New Roman"/>
          <w:i/>
          <w:sz w:val="24"/>
          <w:szCs w:val="24"/>
        </w:rPr>
        <w:t>ostromianas</w:t>
      </w:r>
      <w:r w:rsidR="0089797B" w:rsidRPr="0089797B">
        <w:rPr>
          <w:rFonts w:ascii="Times New Roman" w:hAnsi="Times New Roman" w:cs="Times New Roman"/>
          <w:sz w:val="24"/>
          <w:szCs w:val="24"/>
        </w:rPr>
        <w:t xml:space="preserve"> que pretenden soluciones institucionales y de gobernanza ante la tragedia de los comunes. El apartado 2 realiza una presentación de la Nueva Economía Institucional. El apartado 3 revisa el problema de la tragedia de los comunes que motiva las aportaciones </w:t>
      </w:r>
      <w:r w:rsidR="0089797B" w:rsidRPr="0089797B">
        <w:rPr>
          <w:rFonts w:ascii="Times New Roman" w:hAnsi="Times New Roman" w:cs="Times New Roman"/>
          <w:i/>
          <w:sz w:val="24"/>
          <w:szCs w:val="24"/>
        </w:rPr>
        <w:t>ostromianas</w:t>
      </w:r>
      <w:r w:rsidR="0089797B" w:rsidRPr="0089797B">
        <w:rPr>
          <w:rFonts w:ascii="Times New Roman" w:hAnsi="Times New Roman" w:cs="Times New Roman"/>
          <w:sz w:val="24"/>
          <w:szCs w:val="24"/>
        </w:rPr>
        <w:t>. El apartado 4 analiza los distintos enfoques y aportaciones sobre la gobernanza de la obra de Elinor Ostrom. Las conclusiones cierran la comunicación.</w:t>
      </w:r>
    </w:p>
    <w:p w:rsidR="00776F95" w:rsidRPr="009E5859" w:rsidRDefault="00776F95" w:rsidP="007600C9">
      <w:pPr>
        <w:pStyle w:val="Prrafodelista"/>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numPr>
          <w:ilvl w:val="0"/>
          <w:numId w:val="1"/>
        </w:numPr>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La Nueva Economía Institucional</w:t>
      </w:r>
      <w:r w:rsidR="00894A32">
        <w:rPr>
          <w:rFonts w:ascii="Times New Roman" w:hAnsi="Times New Roman" w:cs="Times New Roman"/>
          <w:b/>
          <w:sz w:val="24"/>
          <w:szCs w:val="24"/>
        </w:rPr>
        <w:t>: una aproximación</w:t>
      </w:r>
    </w:p>
    <w:p w:rsidR="00FC499D" w:rsidRDefault="00FC499D" w:rsidP="007600C9">
      <w:pPr>
        <w:spacing w:after="0" w:line="360" w:lineRule="auto"/>
        <w:ind w:right="44" w:firstLine="284"/>
        <w:jc w:val="both"/>
        <w:rPr>
          <w:rFonts w:ascii="Times New Roman" w:hAnsi="Times New Roman" w:cs="Times New Roman"/>
          <w:sz w:val="24"/>
          <w:szCs w:val="24"/>
        </w:rPr>
      </w:pPr>
    </w:p>
    <w:p w:rsidR="009E5859" w:rsidRPr="009E5859" w:rsidRDefault="00C75D36" w:rsidP="007600C9">
      <w:pPr>
        <w:spacing w:after="0" w:line="360" w:lineRule="auto"/>
        <w:ind w:right="44" w:firstLine="284"/>
        <w:jc w:val="both"/>
        <w:rPr>
          <w:rFonts w:ascii="Times New Roman" w:eastAsia="Calibri" w:hAnsi="Times New Roman" w:cs="Times New Roman"/>
          <w:sz w:val="24"/>
          <w:szCs w:val="24"/>
        </w:rPr>
      </w:pPr>
      <w:r w:rsidRPr="009E5859">
        <w:rPr>
          <w:rFonts w:ascii="Times New Roman" w:hAnsi="Times New Roman" w:cs="Times New Roman"/>
          <w:sz w:val="24"/>
          <w:szCs w:val="24"/>
        </w:rPr>
        <w:tab/>
      </w:r>
      <w:r w:rsidR="009E5859" w:rsidRPr="009E5859">
        <w:rPr>
          <w:rFonts w:ascii="Times New Roman" w:hAnsi="Times New Roman" w:cs="Times New Roman"/>
          <w:sz w:val="24"/>
          <w:szCs w:val="24"/>
        </w:rPr>
        <w:t xml:space="preserve">Las dos nociones clave del marco teórico de la Nueva Economía Institucional son los costes de transacción y las instituciones. </w:t>
      </w:r>
      <w:r w:rsidR="009E5859" w:rsidRPr="009E5859">
        <w:rPr>
          <w:rFonts w:ascii="Times New Roman" w:eastAsia="Calibri" w:hAnsi="Times New Roman" w:cs="Times New Roman"/>
          <w:sz w:val="24"/>
          <w:szCs w:val="24"/>
        </w:rPr>
        <w:t xml:space="preserve">Pero frente </w:t>
      </w:r>
      <w:r w:rsidR="009E5859" w:rsidRPr="009E5859">
        <w:rPr>
          <w:rFonts w:ascii="Times New Roman" w:hAnsi="Times New Roman" w:cs="Times New Roman"/>
          <w:sz w:val="24"/>
          <w:szCs w:val="24"/>
        </w:rPr>
        <w:t>al</w:t>
      </w:r>
      <w:r w:rsidR="009E5859" w:rsidRPr="009E5859">
        <w:rPr>
          <w:rFonts w:ascii="Times New Roman" w:eastAsia="Calibri" w:hAnsi="Times New Roman" w:cs="Times New Roman"/>
          <w:sz w:val="24"/>
          <w:szCs w:val="24"/>
        </w:rPr>
        <w:t xml:space="preserve"> mundo hipotético </w:t>
      </w:r>
      <w:r w:rsidR="009E5859" w:rsidRPr="009E5859">
        <w:rPr>
          <w:rFonts w:ascii="Times New Roman" w:hAnsi="Times New Roman" w:cs="Times New Roman"/>
          <w:sz w:val="24"/>
          <w:szCs w:val="24"/>
        </w:rPr>
        <w:t xml:space="preserve">de la economía neoclásica pre-coaseana </w:t>
      </w:r>
      <w:r w:rsidR="009E5859" w:rsidRPr="009E5859">
        <w:rPr>
          <w:rFonts w:ascii="Times New Roman" w:eastAsia="Calibri" w:hAnsi="Times New Roman" w:cs="Times New Roman"/>
          <w:sz w:val="24"/>
          <w:szCs w:val="24"/>
        </w:rPr>
        <w:t>en el que negociar no es costoso, en la realidad económica los mercados perfectos con costes de transacción nulos no existen. Los mercados económicos se caracterizan por la presencia de costes de transacción positivos, y cuando estos costes superan a los beneficios esperados de la transacción, esta dejará de llevarse a cabo. La reacomodación de derechos sólo se acometerá cuando el aumento en el valor de la producción fruto de esa transacción sea mayor que los costes implicados en alcanzarla. Por el contrario, cuando sea menor se interrumpirá una actividad que sí se efectuaría si las transacciones de mercado tuviesen costes menores (Coase, 1960). De este modo, cuanto mayor sean los costes de transacción, más se encarece la contratación y, por tanto, más se dificulta la cooperación</w:t>
      </w:r>
      <w:r w:rsidR="009E5859" w:rsidRPr="009E5859">
        <w:rPr>
          <w:rStyle w:val="Refdenotaalpie"/>
          <w:rFonts w:ascii="Times New Roman" w:eastAsia="Calibri" w:hAnsi="Times New Roman" w:cs="Times New Roman"/>
          <w:sz w:val="24"/>
          <w:szCs w:val="24"/>
        </w:rPr>
        <w:footnoteReference w:id="8"/>
      </w:r>
      <w:r w:rsidR="009E5859" w:rsidRPr="009E5859">
        <w:rPr>
          <w:rFonts w:ascii="Times New Roman" w:eastAsia="Calibri" w:hAnsi="Times New Roman" w:cs="Times New Roman"/>
          <w:sz w:val="24"/>
          <w:szCs w:val="24"/>
        </w:rPr>
        <w:t>.</w:t>
      </w:r>
    </w:p>
    <w:p w:rsidR="009E5859" w:rsidRPr="009E5859" w:rsidRDefault="009E5859" w:rsidP="007600C9">
      <w:pPr>
        <w:spacing w:after="0" w:line="360" w:lineRule="auto"/>
        <w:ind w:right="44"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 xml:space="preserve">El nivel de los costes de transacción va a depender de los rasgos característicos de cada transacción concreta, pero también de las características del entorno institucional en que esa transacción se lleve a cabo. En este sentido, en cada sociedad habrá unas “reglas de juego” (North 1990a) que determinen el coste de realizar las transacciones. </w:t>
      </w:r>
      <w:r w:rsidRPr="009E5859">
        <w:rPr>
          <w:rFonts w:ascii="Times New Roman" w:eastAsia="Calibri" w:hAnsi="Times New Roman" w:cs="Times New Roman"/>
          <w:sz w:val="24"/>
          <w:szCs w:val="24"/>
        </w:rPr>
        <w:lastRenderedPageBreak/>
        <w:t>Esas reglas que facilitarán o dificultarán las transacciones, no son relevantes cuando suponemos costes de transacción nulos, pero adquieren la mayor importancia en una realidad económica donde negociar es costoso. Esas reglas de juego, entendidas como las limitaciones ideadas o asimiladas por el hombre para dar forma a la interacción humana, son las instituciones (North, 1990a).</w:t>
      </w:r>
    </w:p>
    <w:p w:rsidR="009E5859" w:rsidRPr="009E5859" w:rsidRDefault="009E5859" w:rsidP="007600C9">
      <w:pPr>
        <w:pStyle w:val="Textonotapie"/>
        <w:spacing w:line="360" w:lineRule="auto"/>
        <w:ind w:right="44" w:firstLine="284"/>
        <w:jc w:val="both"/>
        <w:rPr>
          <w:sz w:val="24"/>
          <w:szCs w:val="24"/>
        </w:rPr>
      </w:pPr>
      <w:r w:rsidRPr="009E5859">
        <w:rPr>
          <w:sz w:val="24"/>
          <w:szCs w:val="24"/>
        </w:rPr>
        <w:tab/>
        <w:t>Una institución es una regularidad de comportamiento, o una regla que es generalmente aceptada por miembros de un grupo social, que concreta comportamientos en situaciones específicas, y que puede ser autoimpuesta o mantenida por una autoridad externa (Rutherford, 1994). Las instituciones son las reglas formales e informales que moldean el comportamiento de los individuos y de las organizaciones, así como los mecanismos de cumplimiento de esas reglas (North, 1990a). Las instituciones formales son explícitas (constituciones, leyes, contratos,..) frente a las informales (códigos de conducta, valores sociales, cultura cívica, cuestiones éticas o religiosas,...). El sistema de derechos de propiedad es parte de la matriz institucional formada por el conjunto de instituciones de una sociedad.</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De acuerdo a este marco analítico que entiende las instituciones como reglas, las organizaciones son grupos de individuos que tienen objetivos comunes y que configuran una estructura jerárquica para conseguir esos objetivos (Coase, 1937; North, 1990</w:t>
      </w:r>
      <w:r w:rsidR="00354D41">
        <w:rPr>
          <w:rFonts w:ascii="Times New Roman" w:hAnsi="Times New Roman" w:cs="Times New Roman"/>
          <w:sz w:val="24"/>
          <w:szCs w:val="24"/>
        </w:rPr>
        <w:t>a</w:t>
      </w:r>
      <w:r w:rsidRPr="009E5859">
        <w:rPr>
          <w:rFonts w:ascii="Times New Roman" w:eastAsia="Calibri" w:hAnsi="Times New Roman" w:cs="Times New Roman"/>
          <w:sz w:val="24"/>
          <w:szCs w:val="24"/>
        </w:rPr>
        <w:t>, Williamson, 1985). De este modo, las organizaciones son jugadores mientras las instituciones son las reglas del juego, aunque en muchas ocasiones esta diferenciación no es demasiado clara en la práctica</w:t>
      </w:r>
      <w:r w:rsidRPr="009E5859">
        <w:rPr>
          <w:rStyle w:val="Refdenotaalpie"/>
          <w:rFonts w:ascii="Times New Roman" w:eastAsia="Calibri" w:hAnsi="Times New Roman" w:cs="Times New Roman"/>
          <w:sz w:val="24"/>
          <w:szCs w:val="24"/>
        </w:rPr>
        <w:footnoteReference w:id="9"/>
      </w:r>
      <w:r w:rsidRPr="009E5859">
        <w:rPr>
          <w:rFonts w:ascii="Times New Roman" w:eastAsia="Calibri" w:hAnsi="Times New Roman" w:cs="Times New Roman"/>
          <w:sz w:val="24"/>
          <w:szCs w:val="24"/>
        </w:rPr>
        <w:t>.</w:t>
      </w:r>
    </w:p>
    <w:p w:rsidR="00C75D36" w:rsidRPr="009E5859" w:rsidRDefault="009E5859" w:rsidP="007600C9">
      <w:pPr>
        <w:pStyle w:val="Textoindependiente"/>
        <w:tabs>
          <w:tab w:val="num" w:pos="0"/>
        </w:tabs>
        <w:spacing w:after="0" w:line="360" w:lineRule="auto"/>
        <w:ind w:right="44" w:firstLine="284"/>
        <w:jc w:val="both"/>
      </w:pPr>
      <w:r w:rsidRPr="009E5859">
        <w:tab/>
        <w:t>E</w:t>
      </w:r>
      <w:r w:rsidR="00C75D36" w:rsidRPr="009E5859">
        <w:t>l programa de la NEI no intenta sustituir la teoría de precios, sino situarla en un marco más fructífero, incorporando las cuestiones institucionales (Coase, 1999). La teoría de precios permite responder a algunos interrogantes económicos, pero no a otros que requieren un cuerpo teórico más enriquecido. Como señaló Arrow (1987), es preciso responder a nuevos interrogantes tradicionalmente no planteados por la corriente principal.</w:t>
      </w:r>
    </w:p>
    <w:p w:rsidR="009E5859" w:rsidRPr="009E5859" w:rsidRDefault="00C75D36" w:rsidP="007600C9">
      <w:pPr>
        <w:suppressAutoHyphens/>
        <w:spacing w:after="0" w:line="360" w:lineRule="auto"/>
        <w:ind w:right="44" w:firstLine="284"/>
        <w:jc w:val="both"/>
        <w:rPr>
          <w:rFonts w:ascii="Times New Roman" w:hAnsi="Times New Roman" w:cs="Times New Roman"/>
          <w:sz w:val="24"/>
          <w:szCs w:val="24"/>
        </w:rPr>
      </w:pPr>
      <w:r w:rsidRPr="009E5859">
        <w:rPr>
          <w:rFonts w:ascii="Times New Roman" w:eastAsia="Calibri" w:hAnsi="Times New Roman" w:cs="Times New Roman"/>
          <w:sz w:val="24"/>
          <w:szCs w:val="24"/>
        </w:rPr>
        <w:t xml:space="preserve">En el mundo neoclásico </w:t>
      </w:r>
      <w:r w:rsidRPr="009E5859">
        <w:rPr>
          <w:rFonts w:ascii="Times New Roman" w:eastAsia="Calibri" w:hAnsi="Times New Roman" w:cs="Times New Roman"/>
          <w:i/>
          <w:sz w:val="24"/>
          <w:szCs w:val="24"/>
        </w:rPr>
        <w:t>pre-coaseano</w:t>
      </w:r>
      <w:r w:rsidRPr="009E5859">
        <w:rPr>
          <w:rFonts w:ascii="Times New Roman" w:eastAsia="Calibri" w:hAnsi="Times New Roman" w:cs="Times New Roman"/>
          <w:sz w:val="24"/>
          <w:szCs w:val="24"/>
        </w:rPr>
        <w:t xml:space="preserve"> de costes de transacción nulos y racionalidad instrumental, las instituciones no eran necesarias, las ideas e ideologías no importaban y los mercados eficientes caracterizaban las economías (North, 1993). Frente a ese </w:t>
      </w:r>
      <w:r w:rsidRPr="009E5859">
        <w:rPr>
          <w:rFonts w:ascii="Times New Roman" w:eastAsia="Calibri" w:hAnsi="Times New Roman" w:cs="Times New Roman"/>
          <w:sz w:val="24"/>
          <w:szCs w:val="24"/>
        </w:rPr>
        <w:lastRenderedPageBreak/>
        <w:t>escenario, los fundamentos de la NEI implican una modificación de la teoría neoclásica, que conserva los supuestos básicos de escasez y competencia, así como los instrumentos analíticos de la teoría microeconómica, pero que rectifican el supuesto de la racionalidad y añaden la dimensión del tiempo (North, 1994). De este modo, la NEI incorpora el papel de las instituciones y su marco teórico justifica que las creencias, la historia y la política importan en el análisis económico</w:t>
      </w:r>
      <w:r w:rsidRPr="009E5859">
        <w:rPr>
          <w:rStyle w:val="Refdenotaalpie"/>
          <w:rFonts w:ascii="Times New Roman" w:eastAsia="Calibri" w:hAnsi="Times New Roman" w:cs="Times New Roman"/>
          <w:sz w:val="24"/>
          <w:szCs w:val="24"/>
        </w:rPr>
        <w:footnoteReference w:id="10"/>
      </w:r>
      <w:r w:rsidRPr="009E5859">
        <w:rPr>
          <w:rFonts w:ascii="Times New Roman" w:eastAsia="Calibri" w:hAnsi="Times New Roman" w:cs="Times New Roman"/>
          <w:sz w:val="24"/>
          <w:szCs w:val="24"/>
        </w:rPr>
        <w:t>. Paralelamente, ha habido importantes desarrollos en el trabajo empírico y aplicado sobre las instituciones</w:t>
      </w:r>
      <w:r w:rsidRPr="009E5859">
        <w:rPr>
          <w:rStyle w:val="Refdenotaalpie"/>
          <w:rFonts w:ascii="Times New Roman" w:eastAsia="Calibri" w:hAnsi="Times New Roman" w:cs="Times New Roman"/>
          <w:sz w:val="24"/>
          <w:szCs w:val="24"/>
        </w:rPr>
        <w:footnoteReference w:id="11"/>
      </w:r>
      <w:r w:rsidRPr="009E5859">
        <w:rPr>
          <w:rFonts w:ascii="Times New Roman" w:eastAsia="Calibri" w:hAnsi="Times New Roman" w:cs="Times New Roman"/>
          <w:sz w:val="24"/>
          <w:szCs w:val="24"/>
        </w:rPr>
        <w:t>.</w:t>
      </w:r>
    </w:p>
    <w:p w:rsidR="00C75D36" w:rsidRPr="009E5859" w:rsidRDefault="00C75D36" w:rsidP="007600C9">
      <w:pPr>
        <w:suppressAutoHyphens/>
        <w:spacing w:after="0" w:line="360" w:lineRule="auto"/>
        <w:ind w:right="44"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 xml:space="preserve">La NEI ha conseguido que la corriente principal de la ciencia económica se re-encontrase con las instituciones. Ya a finales del siglo XIX y principios del siglo XX, el institucionalismo económico de autores como </w:t>
      </w:r>
      <w:r w:rsidRPr="009E5859">
        <w:rPr>
          <w:rFonts w:ascii="Times New Roman" w:eastAsia="Calibri" w:hAnsi="Times New Roman" w:cs="Times New Roman"/>
          <w:snapToGrid w:val="0"/>
          <w:spacing w:val="-3"/>
          <w:sz w:val="24"/>
          <w:szCs w:val="24"/>
          <w:lang w:val="es-ES_tradnl"/>
        </w:rPr>
        <w:t xml:space="preserve">Thorstein Veblen, Clarence Ayres y John Commons </w:t>
      </w:r>
      <w:r w:rsidRPr="009E5859">
        <w:rPr>
          <w:rFonts w:ascii="Times New Roman" w:eastAsia="Calibri" w:hAnsi="Times New Roman" w:cs="Times New Roman"/>
          <w:sz w:val="24"/>
          <w:szCs w:val="24"/>
        </w:rPr>
        <w:t>constituía parte del paradigma dominante en la academia norteamericana</w:t>
      </w:r>
      <w:r w:rsidRPr="009E5859">
        <w:rPr>
          <w:rFonts w:ascii="Times New Roman" w:eastAsia="Calibri" w:hAnsi="Times New Roman" w:cs="Times New Roman"/>
          <w:snapToGrid w:val="0"/>
          <w:spacing w:val="-3"/>
          <w:sz w:val="24"/>
          <w:szCs w:val="24"/>
          <w:lang w:val="es-ES_tradnl"/>
        </w:rPr>
        <w:t xml:space="preserve">. Esta tradición </w:t>
      </w:r>
      <w:r w:rsidRPr="009E5859">
        <w:rPr>
          <w:rFonts w:ascii="Times New Roman" w:eastAsia="Calibri" w:hAnsi="Times New Roman" w:cs="Times New Roman"/>
          <w:sz w:val="24"/>
          <w:szCs w:val="24"/>
        </w:rPr>
        <w:t>no circunscribía el comportamiento humano al homo-economicus y asumía el enfoque holista o sistémico para la ciencia económica. De este modo, se concebía la economía como un sistema abierto y dinámico en el que el énfasis no estaba en el equilibrio sino en el proceso, en el que los hábitos, las instituciones y las relaciones de poder se</w:t>
      </w:r>
      <w:r w:rsidR="00887EA3">
        <w:rPr>
          <w:rFonts w:ascii="Times New Roman" w:eastAsia="Calibri" w:hAnsi="Times New Roman" w:cs="Times New Roman"/>
          <w:sz w:val="24"/>
          <w:szCs w:val="24"/>
        </w:rPr>
        <w:t xml:space="preserve"> </w:t>
      </w:r>
      <w:r w:rsidRPr="009E5859">
        <w:rPr>
          <w:rFonts w:ascii="Times New Roman" w:eastAsia="Calibri" w:hAnsi="Times New Roman" w:cs="Times New Roman"/>
          <w:sz w:val="24"/>
          <w:szCs w:val="24"/>
        </w:rPr>
        <w:t>consideraban determinantes de la evolución económica. Este institucionalismo asumía una perspectiva conductista, colectivista y lejana al formalismo, rechazando el criterio del bienestar individual; se centraba en las consecuencias distributivas de unas u otras estructuras institucionales y en los conflictos institucionales que subyacen en todo proceso de cambio institucional; y elaboró sus teorías asumiendo la relevancia del poder (Toboso, 1997; Caballero, 2004).</w:t>
      </w:r>
    </w:p>
    <w:p w:rsidR="00C75D36" w:rsidRPr="009E5859" w:rsidRDefault="00C75D36" w:rsidP="007600C9">
      <w:pPr>
        <w:suppressAutoHyphens/>
        <w:spacing w:after="0" w:line="360" w:lineRule="auto"/>
        <w:ind w:right="44"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Frente a ello, el “nuevo institucionalismo económico” que emerge en las últimas décadas del siglo XX asume inicialmente el individualismo metodológico, se centra en el estudio sobre cómo marcos institucionales alternativos afectan a la eficiencia, y elabora sus teorías y análisis a partir de la conceptualización del intercambio voluntario</w:t>
      </w:r>
      <w:r w:rsidRPr="009E5859">
        <w:rPr>
          <w:rStyle w:val="Refdenotaalpie"/>
          <w:rFonts w:ascii="Times New Roman" w:eastAsia="Calibri" w:hAnsi="Times New Roman" w:cs="Times New Roman"/>
          <w:sz w:val="24"/>
          <w:szCs w:val="24"/>
        </w:rPr>
        <w:footnoteReference w:id="12"/>
      </w:r>
      <w:r w:rsidRPr="009E5859">
        <w:rPr>
          <w:rFonts w:ascii="Times New Roman" w:eastAsia="Calibri" w:hAnsi="Times New Roman" w:cs="Times New Roman"/>
          <w:sz w:val="24"/>
          <w:szCs w:val="24"/>
        </w:rPr>
        <w:t xml:space="preserve"> (Toboso, 1997). A grandes rasgos, individualismo metodológico, enfoque </w:t>
      </w:r>
      <w:r w:rsidRPr="009E5859">
        <w:rPr>
          <w:rFonts w:ascii="Times New Roman" w:eastAsia="Calibri" w:hAnsi="Times New Roman" w:cs="Times New Roman"/>
          <w:sz w:val="24"/>
          <w:szCs w:val="24"/>
        </w:rPr>
        <w:lastRenderedPageBreak/>
        <w:t>de la eficiencia e intercambio voluntario caracterizan el punto de partida de la NEI, que aparece como más formalista, individualista y reduccionista; se orienta hacia la elección racional y hacia los modelos de economización, y generalmente manifiesta un carácter no tan intervencionista como el denominado viejo institucionalismo (Rutherford, 1994).</w:t>
      </w:r>
    </w:p>
    <w:p w:rsidR="00C75D36" w:rsidRPr="009E5859" w:rsidRDefault="00C75D36" w:rsidP="007600C9">
      <w:pPr>
        <w:suppressAutoHyphens/>
        <w:spacing w:after="0" w:line="360" w:lineRule="auto"/>
        <w:ind w:right="44"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Realmente, la NEI no emerge desde el viejo institucionalismo económico, sino que se configura a través del enriquecimiento institucional que busca corregir fallos de la economía neoclásica. De hecho, la NEI consideró al viejo institucionalismo como un ejercicio de descripción de las instituciones en el que estas no eran sometidas a análisis riguroso, y aceptó como reto propio el proceder a tales análisis a través del trabajo aplicado (Coase, 1999; Wiliamson, 2000). El propio Coase (1984) afirmó que el trabajo de los viejos institucionalistas americanos no condujo a nada y que “si los institucionalistas modernos tienen algún antecedente no hay que buscarlo en sus inmediatos predecesores”. Sin embargo, también hay que reconocer que más recientemente, y a medida que la NEI ha ido desarrollando un perfil más nítidamente institucionalista, se han producido ciertos puentes de comunicación y diálogo entre la NEI y aquellos autores que continúan la tradición de análisis del viejo institucionalismo (Groeneweger, 1995; Hodgson, 1998).</w:t>
      </w:r>
    </w:p>
    <w:p w:rsidR="00C75D36" w:rsidRPr="009E5859" w:rsidRDefault="00C75D36" w:rsidP="007600C9">
      <w:pPr>
        <w:spacing w:after="0" w:line="360" w:lineRule="auto"/>
        <w:ind w:firstLine="284"/>
        <w:jc w:val="both"/>
        <w:rPr>
          <w:rFonts w:ascii="Times New Roman" w:eastAsia="Calibri" w:hAnsi="Times New Roman" w:cs="Times New Roman"/>
          <w:spacing w:val="-3"/>
          <w:sz w:val="24"/>
          <w:szCs w:val="24"/>
          <w:lang w:val="es-ES_tradnl"/>
        </w:rPr>
      </w:pPr>
      <w:r w:rsidRPr="009E5859">
        <w:rPr>
          <w:rFonts w:ascii="Times New Roman" w:eastAsia="Calibri" w:hAnsi="Times New Roman" w:cs="Times New Roman"/>
          <w:sz w:val="24"/>
          <w:szCs w:val="24"/>
        </w:rPr>
        <w:tab/>
        <w:t xml:space="preserve">La NEI asume un carácter multidisciplinar, por lo que tampoco es extraño que entre en contacto con otros institucionalismos. </w:t>
      </w:r>
      <w:r w:rsidRPr="009E5859">
        <w:rPr>
          <w:rFonts w:ascii="Times New Roman" w:eastAsia="Calibri" w:hAnsi="Times New Roman" w:cs="Times New Roman"/>
          <w:spacing w:val="-3"/>
          <w:sz w:val="24"/>
          <w:szCs w:val="24"/>
          <w:lang w:val="es-ES_tradnl"/>
        </w:rPr>
        <w:t>En este sentido, Coase (1999b) defiende la conveniencia de vincular la ciencia económica con otras materias para conseguir convertirla en una ciencia dura: “Tenemos que tener en cuenta los efectos del sistema legal, del sistema político, etc. Y si mi impresión es correcta, sus teorías a menudo tienen una base empírica más fuerte de lo que es habitual en economía”. Asimismo, Coase (1999b) destaca cómo las ciencias híbridas son “sorprendentemente fértiles” frente a las puras, siendo la Nueva Economía Institucional un prototipo de híbrido</w:t>
      </w:r>
      <w:r w:rsidRPr="009E5859">
        <w:rPr>
          <w:rStyle w:val="Refdenotaalpie"/>
          <w:rFonts w:ascii="Times New Roman" w:eastAsia="Calibri" w:hAnsi="Times New Roman" w:cs="Times New Roman"/>
          <w:spacing w:val="-3"/>
          <w:sz w:val="24"/>
          <w:szCs w:val="24"/>
          <w:lang w:val="es-ES_tradnl"/>
        </w:rPr>
        <w:footnoteReference w:id="13"/>
      </w:r>
      <w:r w:rsidRPr="009E5859">
        <w:rPr>
          <w:rFonts w:ascii="Times New Roman" w:eastAsia="Calibri" w:hAnsi="Times New Roman" w:cs="Times New Roman"/>
          <w:spacing w:val="-3"/>
          <w:sz w:val="24"/>
          <w:szCs w:val="24"/>
          <w:lang w:val="es-ES_tradnl"/>
        </w:rPr>
        <w:t>.</w:t>
      </w:r>
    </w:p>
    <w:p w:rsidR="00C75D36" w:rsidRPr="009E5859" w:rsidRDefault="00C75D36" w:rsidP="007600C9">
      <w:pPr>
        <w:tabs>
          <w:tab w:val="num" w:pos="0"/>
        </w:tabs>
        <w:spacing w:after="0" w:line="360" w:lineRule="auto"/>
        <w:ind w:firstLine="284"/>
        <w:jc w:val="both"/>
        <w:rPr>
          <w:rFonts w:ascii="Times New Roman" w:eastAsia="Calibri" w:hAnsi="Times New Roman" w:cs="Times New Roman"/>
          <w:spacing w:val="-3"/>
          <w:sz w:val="24"/>
          <w:szCs w:val="24"/>
          <w:lang w:val="es-ES_tradnl"/>
        </w:rPr>
      </w:pPr>
      <w:r w:rsidRPr="009E5859">
        <w:rPr>
          <w:rFonts w:ascii="Times New Roman" w:eastAsia="Calibri" w:hAnsi="Times New Roman" w:cs="Times New Roman"/>
          <w:sz w:val="24"/>
          <w:szCs w:val="24"/>
        </w:rPr>
        <w:tab/>
        <w:t xml:space="preserve">La NEI no pretende </w:t>
      </w:r>
      <w:r w:rsidRPr="009E5859">
        <w:rPr>
          <w:rFonts w:ascii="Times New Roman" w:eastAsia="Calibri" w:hAnsi="Times New Roman" w:cs="Times New Roman"/>
          <w:spacing w:val="-3"/>
          <w:sz w:val="24"/>
          <w:szCs w:val="24"/>
          <w:lang w:val="es-ES_tradnl"/>
        </w:rPr>
        <w:t xml:space="preserve">la universalidad de las conclusiones de la ciencia económica, ni en el plano positivo ni en el normativo. En esta dirección han argumentado Coase, North, Williamon y Ostrom. Las economías con sendas institucionales, capital social o modelos  mentales distintos, tienen comportamientos peculiares y distinguibles, de forma </w:t>
      </w:r>
      <w:r w:rsidRPr="009E5859">
        <w:rPr>
          <w:rFonts w:ascii="Times New Roman" w:eastAsia="Calibri" w:hAnsi="Times New Roman" w:cs="Times New Roman"/>
          <w:spacing w:val="-3"/>
          <w:sz w:val="24"/>
          <w:szCs w:val="24"/>
          <w:lang w:val="es-ES_tradnl"/>
        </w:rPr>
        <w:lastRenderedPageBreak/>
        <w:t>que las conclusiones del análisis económico positivo obtenidas para una economía no son directamente exportables a otra: “hay diferentes respuestas para cada país y cada situación histórica”</w:t>
      </w:r>
      <w:r w:rsidRPr="009E5859">
        <w:rPr>
          <w:rStyle w:val="Refdenotaalpie"/>
          <w:rFonts w:ascii="Times New Roman" w:eastAsia="Calibri" w:hAnsi="Times New Roman" w:cs="Times New Roman"/>
          <w:spacing w:val="-3"/>
          <w:sz w:val="24"/>
          <w:szCs w:val="24"/>
          <w:lang w:val="es-ES_tradnl"/>
        </w:rPr>
        <w:footnoteReference w:id="14"/>
      </w:r>
      <w:r w:rsidRPr="009E5859">
        <w:rPr>
          <w:rFonts w:ascii="Times New Roman" w:eastAsia="Calibri" w:hAnsi="Times New Roman" w:cs="Times New Roman"/>
          <w:spacing w:val="-3"/>
          <w:sz w:val="24"/>
          <w:szCs w:val="24"/>
          <w:lang w:val="es-ES_tradnl"/>
        </w:rPr>
        <w:t xml:space="preserve"> (Coase, 1999a). Además, las prescripciones normativas elaboradas para conseguir ciertos objetivos en una economía no tienen por qué ser adecuadas para otras: “no existe un único camino para mejorar el sistema económico porque todo depende de la sociedad en la que se esté” (Coase, 1999a). En este sentido, Dixit (2009) señala que no hay institución o sistema que resulte perfecto o ideal bajo todas las circunstancias, por lo que lejos de alcanzar una solución óptima, la realidad económica sólo nos permite alcanzar un “second-best” sujeto a numerosas restricciones de información, incentivos, compromisos y reglas del juego político. Ostrom (2008) señala que los economistas institucionales deben reconocer que “derivar un simple y bonito modelo matemático no es el único objetivo de nuestro análisis”, y que “podemos causar daño aplicando a todos los casos una única prescripción institucional basada en modelos excesivamente simplificados”. La “diversidad institucional” es característica de nuestro entorno humano (Becker y Ostrom, 1995; Ostrom, 2005), y las propuestas institucionales deben ir más allá de aquellas “panaceas” que recomiendan un único sistema de gobernanza para todos los problemas (Ostrom, Janssen y Anderies, 2007).</w:t>
      </w:r>
    </w:p>
    <w:p w:rsidR="00C75D36" w:rsidRPr="009E5859" w:rsidRDefault="00C75D36" w:rsidP="007600C9">
      <w:pPr>
        <w:tabs>
          <w:tab w:val="num" w:pos="0"/>
        </w:tabs>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pacing w:val="-3"/>
          <w:sz w:val="24"/>
          <w:szCs w:val="24"/>
          <w:lang w:val="es-ES_tradnl"/>
        </w:rPr>
        <w:tab/>
        <w:t>En esta dirección, Eggertsson (2005) advierte de los riesgos de promover “transplantes institucionales” de unas sociedades a otras: a veces los países intentan importar “tecnologías sociales” a través de este tipo de trasplantes, pero tales intentos normalmente fracasan debido al conocimiento imperfecto sobre las propiedades de los paquetes institucionales. De hecho, la aplicación de instituciones formales sobre normas informales que no encajan constituye la vía para el fracaso económico (North, 2000). Además también hay que tener en cuenta la efectividad de las instituciones</w:t>
      </w:r>
      <w:r w:rsidRPr="009E5859">
        <w:rPr>
          <w:rFonts w:ascii="Times New Roman" w:eastAsia="Calibri" w:hAnsi="Times New Roman" w:cs="Times New Roman"/>
          <w:sz w:val="24"/>
          <w:szCs w:val="24"/>
        </w:rPr>
        <w:t xml:space="preserve"> porque “la simple aprobación de una ley no equivale a crear una institución efectiva” y “las reglas que no se hacen cumplir son mera palabrería” (Ostrom, 2004).</w:t>
      </w:r>
    </w:p>
    <w:p w:rsidR="00C75D36" w:rsidRPr="009E5859" w:rsidRDefault="00C75D36" w:rsidP="007600C9">
      <w:pPr>
        <w:tabs>
          <w:tab w:val="num" w:pos="0"/>
        </w:tabs>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 xml:space="preserve">Al estudiar la gobernanza, la NEI supera la vieja confrontación “mercado-Estado” al entender que instituciones privadas y gubernamentales coexisten incluso en las economías modernas de mercado (Dixit, 2009). En esta línea argumental, se puede señalar a efectos expositivos una distinción relevante entre las instituciones formales del Estado y las instituciones sociales informales, pero la comprensión de la gobernanza </w:t>
      </w:r>
      <w:r w:rsidRPr="009E5859">
        <w:rPr>
          <w:rFonts w:ascii="Times New Roman" w:eastAsia="Calibri" w:hAnsi="Times New Roman" w:cs="Times New Roman"/>
          <w:sz w:val="24"/>
          <w:szCs w:val="24"/>
        </w:rPr>
        <w:lastRenderedPageBreak/>
        <w:t>debe afrontarse desde una perspectiva que incorpore la interacción entre ambas categorías de instituciones. Por una parte, las instituciones formales del Estado incluyen la Constitución, las leyes y el propio sistema judicial, que dan forma al monopolio del poder coercitivo legitimado socialmente. Por otra, la gobernanza privada de los contratos puede llevarse a cabo en sistemas de una parte (cuando el propio sistema interno de valores del agente le impide engañar o hacer trampas por honorabilidad, sentimiento de culpabilidad u otro motivo), en sistemas de dos partes (cuando se intenta resolver el dilema del prisionero por repetición bien sea en un juego bilateral o multilateral) o en sistemas con una tercera parte (en los que una parte que es ajena a la transacción genera la estructura de gobernanza) (Dixit, 2009).</w:t>
      </w:r>
    </w:p>
    <w:p w:rsidR="008370B1" w:rsidRPr="009E5859" w:rsidRDefault="008370B1" w:rsidP="007600C9">
      <w:pPr>
        <w:pStyle w:val="Prrafodelista"/>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numPr>
          <w:ilvl w:val="0"/>
          <w:numId w:val="1"/>
        </w:numPr>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La Tragedia de los Comunes y los derechos de propiedad</w:t>
      </w:r>
    </w:p>
    <w:p w:rsidR="008370B1" w:rsidRDefault="008370B1" w:rsidP="007600C9">
      <w:pPr>
        <w:spacing w:after="0" w:line="360" w:lineRule="auto"/>
        <w:ind w:firstLine="284"/>
        <w:jc w:val="both"/>
        <w:rPr>
          <w:rFonts w:ascii="Times New Roman" w:eastAsia="Calibri" w:hAnsi="Times New Roman" w:cs="Times New Roman"/>
          <w:sz w:val="24"/>
          <w:szCs w:val="24"/>
        </w:rPr>
      </w:pP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 xml:space="preserve">A lo largo del siglo XX, la ciencia económica ha aportado un grupo de artículos seminales sobre el problema de gestión de lo común, y que incluye aportaciones de autores como Frank Knight, Scott Gordon, Anthony Scott, Steven Cheung, Ellinor Ostrom y Gary Libecap. También en el célebre artículo publicado en </w:t>
      </w:r>
      <w:r w:rsidRPr="009E5859">
        <w:rPr>
          <w:rFonts w:ascii="Times New Roman" w:eastAsia="Calibri" w:hAnsi="Times New Roman" w:cs="Times New Roman"/>
          <w:i/>
          <w:sz w:val="24"/>
          <w:szCs w:val="24"/>
        </w:rPr>
        <w:t>Science</w:t>
      </w:r>
      <w:r w:rsidRPr="009E5859">
        <w:rPr>
          <w:rFonts w:ascii="Times New Roman" w:eastAsia="Calibri" w:hAnsi="Times New Roman" w:cs="Times New Roman"/>
          <w:sz w:val="24"/>
          <w:szCs w:val="24"/>
        </w:rPr>
        <w:t>, Garrett Hardin (1968) mostraba como “la lógica inherente a los recursos comunes genera inmisericordemente una tragedia”. La tragedia de los comunes hace referencia a la situación de degradación del entorno que es esperable cuando muchos individuos usan un recurso en común</w:t>
      </w:r>
      <w:r w:rsidRPr="009E5859">
        <w:rPr>
          <w:rStyle w:val="Refdenotaalpie"/>
          <w:rFonts w:ascii="Times New Roman" w:eastAsia="Calibri" w:hAnsi="Times New Roman" w:cs="Times New Roman"/>
          <w:sz w:val="24"/>
          <w:szCs w:val="24"/>
        </w:rPr>
        <w:footnoteReference w:id="15"/>
      </w:r>
      <w:r w:rsidRPr="009E5859">
        <w:rPr>
          <w:rFonts w:ascii="Times New Roman" w:eastAsia="Calibri" w:hAnsi="Times New Roman" w:cs="Times New Roman"/>
          <w:sz w:val="24"/>
          <w:szCs w:val="24"/>
        </w:rPr>
        <w:t xml:space="preserve">. Becker y Ostrom (1995) sostienen que un recurso común se caracteriza por la dificultad de excluir a los beneficiarios y por la rivalidad de su uso (si lo consumo o uso yo, no lo puede hacer otro usuario). Usar los recursos comunes como un pozo sin fondo no daña a la población en general en el caso de recursos poco </w:t>
      </w:r>
      <w:r w:rsidRPr="009E5859">
        <w:rPr>
          <w:rFonts w:ascii="Times New Roman" w:eastAsia="Calibri" w:hAnsi="Times New Roman" w:cs="Times New Roman"/>
          <w:sz w:val="24"/>
          <w:szCs w:val="24"/>
        </w:rPr>
        <w:lastRenderedPageBreak/>
        <w:t>explotados, pero a medida que aumenta la población y el propio uso de los recursos, la tragedia de los comunes aparece como una posibilidad cierta. En este sentido, el alto crecimiento de la población mundial en los últimos siglos evidenciaría la importancia de la tragedia de los comunes para unos recursos naturales en continua y creciente explotación (Hardin, 1968).</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En esta misma línea, Gordon (1954) estudia el problema de la gestión común para el caso de la pesquería de libre acceso, y en base a su análisis concluye cierta coherencia con la idea de que “la propiedad de todos es la propiedad de nadie”. En su análisis, los peces en el océano son poco valorados por los pescadores, porque no tienen la seguridad de que ellos los pueda capturar mañana si los dejan crecer y reproducirse hoy.</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El problema de la tragedia de los comunes se produce especialmente en el caso de recursos en acceso libre, entendidos como aquellos recursos agotables (y fugitivos) caracterizados por la rivalidad en la explotación, de manera que están sujetos al uso y posesión de cualquier persona que tenga la capacidad y el deseo de recolectarlos o extraerlos, sin que haya definición de derechos de propiedad ex-ante</w:t>
      </w:r>
      <w:r w:rsidRPr="009E5859">
        <w:rPr>
          <w:rStyle w:val="Refdenotaalpie"/>
          <w:rFonts w:ascii="Times New Roman" w:eastAsia="Calibri" w:hAnsi="Times New Roman" w:cs="Times New Roman"/>
          <w:sz w:val="24"/>
          <w:szCs w:val="24"/>
        </w:rPr>
        <w:footnoteReference w:id="16"/>
      </w:r>
      <w:r w:rsidRPr="009E5859">
        <w:rPr>
          <w:rFonts w:ascii="Times New Roman" w:eastAsia="Calibri" w:hAnsi="Times New Roman" w:cs="Times New Roman"/>
          <w:sz w:val="24"/>
          <w:szCs w:val="24"/>
        </w:rPr>
        <w:t>. En este escenario, se producen externalidades negativas que pueden ser simétricas o asimétricas (Stevenson, 1991).</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 xml:space="preserve">La tragedia de los comunes ha sido usada para representar una amplia gama de problemas sociales y económicos, y entre ellos está presente la gestión de los recursos naturales ejemplificada en casos como el pastoreo, la lluvia ácida o la gestión de las pesquerías (Ostrom, 1990). Por ello, la tragedia de los comunes constituye un adecuado punto de partida para incorporar el papel de las instituciones </w:t>
      </w:r>
      <w:r w:rsidR="00354D41">
        <w:rPr>
          <w:rFonts w:ascii="Times New Roman" w:hAnsi="Times New Roman" w:cs="Times New Roman"/>
          <w:sz w:val="24"/>
          <w:szCs w:val="24"/>
        </w:rPr>
        <w:t xml:space="preserve">y de la gobernanza partiendo </w:t>
      </w:r>
      <w:r w:rsidRPr="009E5859">
        <w:rPr>
          <w:rFonts w:ascii="Times New Roman" w:eastAsia="Calibri" w:hAnsi="Times New Roman" w:cs="Times New Roman"/>
          <w:sz w:val="24"/>
          <w:szCs w:val="24"/>
        </w:rPr>
        <w:t>de un enfoque económico neoclásico</w:t>
      </w:r>
      <w:r w:rsidR="00354D41">
        <w:rPr>
          <w:rFonts w:ascii="Times New Roman" w:hAnsi="Times New Roman" w:cs="Times New Roman"/>
          <w:sz w:val="24"/>
          <w:szCs w:val="24"/>
        </w:rPr>
        <w:t xml:space="preserve"> pre-coaseano</w:t>
      </w:r>
      <w:r w:rsidRPr="009E5859">
        <w:rPr>
          <w:rFonts w:ascii="Times New Roman" w:eastAsia="Calibri" w:hAnsi="Times New Roman" w:cs="Times New Roman"/>
          <w:sz w:val="24"/>
          <w:szCs w:val="24"/>
        </w:rPr>
        <w:t>. Un primer paso es considerar una institución fundamental: los derechos de propiedad. Revisemos a continuación algunos de los principales argumentos.</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 xml:space="preserve">El problema de los comunes implica la necesidad de alguna solución institucional que evite la tragedia. Garrett Hardin (1968) apunta la existencia de varias </w:t>
      </w:r>
      <w:r w:rsidRPr="009E5859">
        <w:rPr>
          <w:rFonts w:ascii="Times New Roman" w:eastAsia="Calibri" w:hAnsi="Times New Roman" w:cs="Times New Roman"/>
          <w:sz w:val="24"/>
          <w:szCs w:val="24"/>
        </w:rPr>
        <w:lastRenderedPageBreak/>
        <w:t>opciones como la propiedad privada o la propiedad pública, especificando posteriormente en este caso el mecanismo de asignación (que puede incluir un sistema de sorteo, de méritos o de colas). Lo cierto es que en la actualidad los derechos de propiedad son vistos como instituciones mucho más complejas de lo que se les había considerado tradicionalmente (Libecap, 2002).</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En toda sociedad tiene que haber mecanismos que restrinjan el acceso libre al capital humano y no humano y a los recursos naturales. Estos mecanismos implican una determinada distribución de derechos de propiedad, entendidos como las capacidades que tienen los individuos para ejercitar la elección sobre los recursos. El ejercicio de los derechos de propiedad implica que se excluya a otros personas del uso de recursos escasos (Eggertsson, 1990). En este sentido, los derechos de propiedad sirven para controlar el acceso y uso de los recursos valorados cuando se quieren evitar las pérdidas derivadas de la tragedia de los comunes.</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Los derechos de propiedad hacen referencia al conjunto de relaciones de comportamiento sancionado entre agentes económicos en el uso de recursos valorados. Incluyen desde la definición del acceso y uso de recursos naturales hasta la definición de la naturaleza del intercambio de mercado o las relaciones laborales dentro de las empresas. Los derechos de propiedad definen normas de comportamiento para la asignación y uso de recursos, por lo que afectan a la gestión de los recursos naturales (Libecap, 2002).</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Si entendemos la propiedad de los recursos como el conjunto de derechos y obligaciones ejercitables sobre ellos a lo largo del tiempo, podemos desgranar ese conjunto a través de las siguientes características significativas (Surís y Varela, 1993): A) Grado de exclusividad, es decir, quienes pueden poseer y usar el recurso, y quienes son excluidos. B) Nivel de capacidad (cuanto y cuando) para hacer cumplir el derecho a uso exclusivo. C) Derecho a la transferibilidad, incluyendo la divisibilidad. D) Duración del derecho (delimitación en el tiempo). E) Área afectada (delimitación en el espacio).</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De acuerdo a Libecap (2002), la propiedad de un activo consiste en tres elementos: el derecho a usar el activo (</w:t>
      </w:r>
      <w:r w:rsidRPr="009E5859">
        <w:rPr>
          <w:rFonts w:ascii="Times New Roman" w:eastAsia="Calibri" w:hAnsi="Times New Roman" w:cs="Times New Roman"/>
          <w:i/>
          <w:sz w:val="24"/>
          <w:szCs w:val="24"/>
        </w:rPr>
        <w:t>usus</w:t>
      </w:r>
      <w:r w:rsidRPr="009E5859">
        <w:rPr>
          <w:rFonts w:ascii="Times New Roman" w:eastAsia="Calibri" w:hAnsi="Times New Roman" w:cs="Times New Roman"/>
          <w:sz w:val="24"/>
          <w:szCs w:val="24"/>
        </w:rPr>
        <w:t>), el derecho a apropiarse los rendimientos del activo (</w:t>
      </w:r>
      <w:r w:rsidRPr="009E5859">
        <w:rPr>
          <w:rFonts w:ascii="Times New Roman" w:eastAsia="Calibri" w:hAnsi="Times New Roman" w:cs="Times New Roman"/>
          <w:i/>
          <w:sz w:val="24"/>
          <w:szCs w:val="24"/>
        </w:rPr>
        <w:t>usus fructus</w:t>
      </w:r>
      <w:r w:rsidRPr="009E5859">
        <w:rPr>
          <w:rFonts w:ascii="Times New Roman" w:eastAsia="Calibri" w:hAnsi="Times New Roman" w:cs="Times New Roman"/>
          <w:sz w:val="24"/>
          <w:szCs w:val="24"/>
        </w:rPr>
        <w:t>) y el derecho a cambiar su forma, sustancia y situación (</w:t>
      </w:r>
      <w:r w:rsidRPr="009E5859">
        <w:rPr>
          <w:rFonts w:ascii="Times New Roman" w:eastAsia="Calibri" w:hAnsi="Times New Roman" w:cs="Times New Roman"/>
          <w:i/>
          <w:sz w:val="24"/>
          <w:szCs w:val="24"/>
        </w:rPr>
        <w:t>abusus</w:t>
      </w:r>
      <w:r w:rsidRPr="009E5859">
        <w:rPr>
          <w:rFonts w:ascii="Times New Roman" w:eastAsia="Calibri" w:hAnsi="Times New Roman" w:cs="Times New Roman"/>
          <w:sz w:val="24"/>
          <w:szCs w:val="24"/>
        </w:rPr>
        <w:t>).</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ab/>
        <w:t xml:space="preserve">Como señala Harold Demsetz (1967), “está claro entonces que los derechos de propiedad especifican de qué modo las personas pueden beneficiarse o perjudicarse y, por tal razón, quién debe pagar a quién para modificar acciones llevas a cabo por </w:t>
      </w:r>
      <w:r w:rsidRPr="009E5859">
        <w:rPr>
          <w:rFonts w:ascii="Times New Roman" w:eastAsia="Calibri" w:hAnsi="Times New Roman" w:cs="Times New Roman"/>
          <w:sz w:val="24"/>
          <w:szCs w:val="24"/>
        </w:rPr>
        <w:lastRenderedPageBreak/>
        <w:t>personas. El reconocimiento de esto permite entender fácilmente la estrecha relación que existe entre derechos de propiedad y externalidades”. En el límite, si los derechos de propiedad están tan perfectamente definidos que los beneficios netos privados y sociales se igualan, estaremos en un escenario sin externalidades.</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Los derechos de propiedad pueden ser privados, públicos o incluso emerger de mecanismos de control de la comunidad social relacionada con los comunes (Ostrom, 2008). En este sentido, las predicciones de Gordon (1954) sobre la tragedia comunal habría que matizarlas si los participantes no son anónimos y pueden comunicarse: en este caso, la comunidad puede establecer normas e incluso su propio sistema de sanción. De hecho, han existido sistemas locales de gobernanza que han evitado la tragedia de los comunes de muchos recursos, pero también existen otros problemas críticos que exceden el carácter local, como el cambio climático o la deforestación en el trópico (Dietz et al, 2003). Por ello, la solución de la comunidad local no es suficiente y necesitamos construir un enfoque institucionalmente integrado que incorpore una visión más amplia y profunda de las instituciones, no limitada a los derechos de propiedad en sentido clásico.</w:t>
      </w:r>
    </w:p>
    <w:p w:rsidR="009E5859" w:rsidRPr="009E5859" w:rsidRDefault="009E5859" w:rsidP="007600C9">
      <w:pPr>
        <w:spacing w:after="0" w:line="360" w:lineRule="auto"/>
        <w:ind w:firstLine="284"/>
        <w:jc w:val="both"/>
        <w:rPr>
          <w:rFonts w:ascii="Times New Roman" w:eastAsia="Calibri" w:hAnsi="Times New Roman" w:cs="Times New Roman"/>
          <w:sz w:val="24"/>
          <w:szCs w:val="24"/>
        </w:rPr>
      </w:pPr>
      <w:r w:rsidRPr="009E5859">
        <w:rPr>
          <w:rFonts w:ascii="Times New Roman" w:eastAsia="Calibri" w:hAnsi="Times New Roman" w:cs="Times New Roman"/>
          <w:sz w:val="24"/>
          <w:szCs w:val="24"/>
        </w:rPr>
        <w:t>La gestión de muchos recursos naturales no ha conseguido superar la tragedia de los comunes a pesar de la ineficiencia y pérdidas que esta tragedia implica. Esto ha sido así porque los costes de transacción pueden ser tan elevados, que la definición de un marco institucional eficiente sea más costosa que las pérdidas que implican los comunes (Libecap, 2005). Las condiciones de libre acceso aparecen normalmente cuando los costes de definir y forzar limitaciones restrictivas son altos en relación a los beneficios potenciales, como en el caso de recursos naturales móviles, de recursos que involucran a un gran número de partes heterogéneas o de recursos con grandes problemas de información. Una adecuada comprensión de esta problemática requiere fundamentar las nociones de costes de transacción e instituciones.</w:t>
      </w:r>
    </w:p>
    <w:p w:rsidR="00893D6A" w:rsidRPr="009E5859" w:rsidRDefault="00893D6A" w:rsidP="007600C9">
      <w:pPr>
        <w:pStyle w:val="Prrafodelista"/>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numPr>
          <w:ilvl w:val="0"/>
          <w:numId w:val="1"/>
        </w:numPr>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 xml:space="preserve">La </w:t>
      </w:r>
      <w:r w:rsidR="00887EA3">
        <w:rPr>
          <w:rFonts w:ascii="Times New Roman" w:hAnsi="Times New Roman" w:cs="Times New Roman"/>
          <w:b/>
          <w:sz w:val="24"/>
          <w:szCs w:val="24"/>
        </w:rPr>
        <w:t>Economía Política</w:t>
      </w:r>
      <w:r w:rsidRPr="00776F95">
        <w:rPr>
          <w:rFonts w:ascii="Times New Roman" w:hAnsi="Times New Roman" w:cs="Times New Roman"/>
          <w:b/>
          <w:sz w:val="24"/>
          <w:szCs w:val="24"/>
        </w:rPr>
        <w:t xml:space="preserve"> de la</w:t>
      </w:r>
      <w:r w:rsidR="00887EA3">
        <w:rPr>
          <w:rFonts w:ascii="Times New Roman" w:hAnsi="Times New Roman" w:cs="Times New Roman"/>
          <w:b/>
          <w:sz w:val="24"/>
          <w:szCs w:val="24"/>
        </w:rPr>
        <w:t>s Instituciones y la</w:t>
      </w:r>
      <w:r w:rsidRPr="00776F95">
        <w:rPr>
          <w:rFonts w:ascii="Times New Roman" w:hAnsi="Times New Roman" w:cs="Times New Roman"/>
          <w:b/>
          <w:sz w:val="24"/>
          <w:szCs w:val="24"/>
        </w:rPr>
        <w:t xml:space="preserve"> G</w:t>
      </w:r>
      <w:r w:rsidR="00887EA3">
        <w:rPr>
          <w:rFonts w:ascii="Times New Roman" w:hAnsi="Times New Roman" w:cs="Times New Roman"/>
          <w:b/>
          <w:sz w:val="24"/>
          <w:szCs w:val="24"/>
        </w:rPr>
        <w:t xml:space="preserve">obernanza: Enfoques </w:t>
      </w:r>
      <w:r w:rsidR="00887EA3" w:rsidRPr="008370B1">
        <w:rPr>
          <w:rFonts w:ascii="Times New Roman" w:hAnsi="Times New Roman" w:cs="Times New Roman"/>
          <w:b/>
          <w:i/>
          <w:sz w:val="24"/>
          <w:szCs w:val="24"/>
        </w:rPr>
        <w:t>ostromianos</w:t>
      </w:r>
    </w:p>
    <w:p w:rsidR="00776F95" w:rsidRPr="009E5859" w:rsidRDefault="00776F95" w:rsidP="007600C9">
      <w:pPr>
        <w:pStyle w:val="Prrafodelista"/>
        <w:spacing w:after="0" w:line="360" w:lineRule="auto"/>
        <w:ind w:left="284"/>
        <w:jc w:val="both"/>
        <w:rPr>
          <w:rFonts w:ascii="Times New Roman" w:hAnsi="Times New Roman" w:cs="Times New Roman"/>
          <w:sz w:val="24"/>
          <w:szCs w:val="24"/>
        </w:rPr>
      </w:pPr>
    </w:p>
    <w:p w:rsid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ab/>
        <w:t>Si la tragedia de los comunes hace referencia a la situación de degradación del entorno que es esperable cuando muchos individuos usan un recurso en común, las contribuciones seminales de Elinor Ostrom sobre “el gobierno de los comunes” han sido claves para entender el papel de las instituciones</w:t>
      </w:r>
      <w:r w:rsidR="00C6388D">
        <w:rPr>
          <w:rFonts w:ascii="Times New Roman" w:hAnsi="Times New Roman" w:cs="Times New Roman"/>
          <w:sz w:val="24"/>
          <w:szCs w:val="24"/>
        </w:rPr>
        <w:t xml:space="preserve"> y de la gobernanza</w:t>
      </w:r>
      <w:r w:rsidRPr="009E5859">
        <w:rPr>
          <w:rFonts w:ascii="Times New Roman" w:hAnsi="Times New Roman" w:cs="Times New Roman"/>
          <w:sz w:val="24"/>
          <w:szCs w:val="24"/>
        </w:rPr>
        <w:t>.</w:t>
      </w:r>
      <w:r w:rsidR="00C6388D">
        <w:rPr>
          <w:rFonts w:ascii="Times New Roman" w:hAnsi="Times New Roman" w:cs="Times New Roman"/>
          <w:sz w:val="24"/>
          <w:szCs w:val="24"/>
        </w:rPr>
        <w:t xml:space="preserve"> Sin embargo, las </w:t>
      </w:r>
      <w:r w:rsidR="00C6388D">
        <w:rPr>
          <w:rFonts w:ascii="Times New Roman" w:hAnsi="Times New Roman" w:cs="Times New Roman"/>
          <w:sz w:val="24"/>
          <w:szCs w:val="24"/>
        </w:rPr>
        <w:lastRenderedPageBreak/>
        <w:t xml:space="preserve">aportaciones de Ostrom han ido evolucionando a lo largo del tiempo, por lo que en su obra podemos distinguir distintos enfoques para el análisis de la gobernanza. </w:t>
      </w:r>
      <w:r w:rsidR="00FC499D">
        <w:rPr>
          <w:rFonts w:ascii="Times New Roman" w:hAnsi="Times New Roman" w:cs="Times New Roman"/>
          <w:sz w:val="24"/>
          <w:szCs w:val="24"/>
        </w:rPr>
        <w:t>Estos distintos enfoques caracterizan la evolución del pensamiento de Ostrom, pero también aportan diversas claves para fundamentar teóricamente la economía política de la gobernanza.</w:t>
      </w:r>
    </w:p>
    <w:p w:rsidR="00FC499D" w:rsidRPr="009E5859" w:rsidRDefault="00FC499D" w:rsidP="007600C9">
      <w:pPr>
        <w:tabs>
          <w:tab w:val="num" w:pos="0"/>
        </w:tabs>
        <w:spacing w:after="0" w:line="360" w:lineRule="auto"/>
        <w:ind w:firstLine="284"/>
        <w:jc w:val="both"/>
        <w:rPr>
          <w:rFonts w:ascii="Times New Roman" w:hAnsi="Times New Roman" w:cs="Times New Roman"/>
          <w:sz w:val="24"/>
          <w:szCs w:val="24"/>
        </w:rPr>
      </w:pPr>
    </w:p>
    <w:p w:rsidR="002D462A" w:rsidRPr="00776F95" w:rsidRDefault="002D462A" w:rsidP="007600C9">
      <w:pPr>
        <w:pStyle w:val="Prrafodelista"/>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4.1- Comunes, instituciones y normas sociales</w:t>
      </w:r>
    </w:p>
    <w:p w:rsidR="0005761E" w:rsidRDefault="0005761E" w:rsidP="007600C9">
      <w:pPr>
        <w:tabs>
          <w:tab w:val="num" w:pos="0"/>
        </w:tabs>
        <w:spacing w:after="0" w:line="360" w:lineRule="auto"/>
        <w:ind w:firstLine="284"/>
        <w:jc w:val="both"/>
        <w:rPr>
          <w:rFonts w:ascii="Times New Roman" w:hAnsi="Times New Roman" w:cs="Times New Roman"/>
          <w:sz w:val="24"/>
          <w:szCs w:val="24"/>
        </w:rPr>
      </w:pPr>
    </w:p>
    <w:p w:rsidR="009E5859" w:rsidRPr="009E5859" w:rsidRDefault="00C6388D" w:rsidP="007600C9">
      <w:pPr>
        <w:tabs>
          <w:tab w:val="num" w:pos="0"/>
        </w:tabs>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La obra seminal de Elinor Ostrom sobre el “gobierno de los comunes” caracteriza un primer enfoque </w:t>
      </w:r>
      <w:r w:rsidRPr="00C6388D">
        <w:rPr>
          <w:rFonts w:ascii="Times New Roman" w:hAnsi="Times New Roman" w:cs="Times New Roman"/>
          <w:i/>
          <w:sz w:val="24"/>
          <w:szCs w:val="24"/>
        </w:rPr>
        <w:t>ostromiano</w:t>
      </w:r>
      <w:r>
        <w:rPr>
          <w:rFonts w:ascii="Times New Roman" w:hAnsi="Times New Roman" w:cs="Times New Roman"/>
          <w:sz w:val="24"/>
          <w:szCs w:val="24"/>
        </w:rPr>
        <w:t xml:space="preserve"> sobre la gobernanza de los recursos comunes. Ostrom (1990</w:t>
      </w:r>
      <w:r w:rsidR="009E5859" w:rsidRPr="009E5859">
        <w:rPr>
          <w:rFonts w:ascii="Times New Roman" w:hAnsi="Times New Roman" w:cs="Times New Roman"/>
          <w:sz w:val="24"/>
          <w:szCs w:val="24"/>
        </w:rPr>
        <w:t>) sostiene que un recurso común se caracteriza por la dificultad de excluir a los beneficiarios y por la rivalidad de su uso (si lo consumo o uso yo, no lo puede hacer otro usuario), compartiendo la primera característica con los bienes públicos y la segunda con los bienes privados. La tragedia de los comunes ha sido usada para representar una amplia gama de problemas sociales y económicos, y entre ellos está presente la gestión de los recursos naturales ejemplificada en casos como el pastoreo, los sistemas de agua o la gestión de bosques y de las pesquerías (Ostrom, 1990).</w:t>
      </w:r>
    </w:p>
    <w:p w:rsidR="009E5859" w:rsidRP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ab/>
        <w:t>Los derechos de propiedad sirven para controlar el acceso y uso de los recursos valorados cuando se quieren evitar las pérdidas derivadas de la tragedia de los comunes. Los derechos de propiedad hacen referencia al conjunto de relaciones de comportamiento sancionado entre agentes económicos en el uso de recursos valorados. Al analizar el vector de derechos de propiedad, Schlager y Ostrom (1992) distinguen cinco tipos de derechos: A) El derecho de acceso, es decir, el derecho de entrar en una determinada propiedad física. B) El derecho de extracción, es decir, el derecho de obtener los productos de un recurso. C) El derecho de gestión, es decir, el derecho a regular normas internas de uso y transformar el recurso haciendo mejoras. D) El derecho de exclusión, es decir, el derecho a determinar quien tendrá derecho al acceso y como ese derecho puede ser transformado. E) El derecho de alienación o transferibilidad, es decir, el derecho a vender o alquilar cada uno los dos anteriores derechos.</w:t>
      </w:r>
    </w:p>
    <w:p w:rsidR="009E5859" w:rsidRPr="009E5859" w:rsidRDefault="009E5859" w:rsidP="007600C9">
      <w:pPr>
        <w:pStyle w:val="Textoindependiente"/>
        <w:tabs>
          <w:tab w:val="num" w:pos="0"/>
        </w:tabs>
        <w:spacing w:after="0" w:line="360" w:lineRule="auto"/>
        <w:ind w:right="44" w:firstLine="284"/>
        <w:jc w:val="both"/>
      </w:pPr>
      <w:r w:rsidRPr="009E5859">
        <w:tab/>
        <w:t xml:space="preserve">Los derechos de propiedad pueden ser privados, públicos o incluso emerger como mecanismos de control de la comunidad social relacionada con los comunes (Ostrom, 2008). Mientras la propiedad privada o la estatal han sido presentadas como las alternativas de solución óptima, los análisis de caso abordados por Ostrom muestran </w:t>
      </w:r>
      <w:r w:rsidRPr="009E5859">
        <w:lastRenderedPageBreak/>
        <w:t>posibilidades de buena gobernanza de los bienes comunes a través de normas sociales. Para evitar la “tragedia de los comunes” en la gestión de los recursos naturales, la comunidad puede auto-organizarse y pueden surgir normas sociales o acuerdos entre los actores participantes para mitigar el grado de ineficiencia (Ostrom, 1990, 2008). En este sentido, las predicciones de Gordon (1954) sobre la tragedia comunal habría que matizarlas si los participantes no son anónimos y pueden comunicarse, porque en este caso la comunidad puede establecer normas e incluso su propio sistema de sanción</w:t>
      </w:r>
      <w:r w:rsidRPr="009E5859">
        <w:rPr>
          <w:rStyle w:val="Refdenotaalpie"/>
        </w:rPr>
        <w:footnoteReference w:id="17"/>
      </w:r>
      <w:r w:rsidRPr="009E5859">
        <w:t>. De hecho, han existido sistemas locales de gobernanza que han evitado la tragedia de los comunes de muchos recursos, pero también existen otros problemas críticos que exceden el carácter local, como el cambio climático o la deforestación en el trópico (Dietz et al, 2003). Para estos casos, la solución de la comunidad local no es suficiente.</w:t>
      </w:r>
    </w:p>
    <w:p w:rsidR="009E5859" w:rsidRPr="009E5859" w:rsidRDefault="009E5859" w:rsidP="007600C9">
      <w:pPr>
        <w:pStyle w:val="Textoindependiente"/>
        <w:tabs>
          <w:tab w:val="num" w:pos="0"/>
        </w:tabs>
        <w:spacing w:after="0" w:line="360" w:lineRule="auto"/>
        <w:ind w:right="45" w:firstLine="284"/>
        <w:jc w:val="both"/>
      </w:pPr>
      <w:r w:rsidRPr="009E5859">
        <w:tab/>
        <w:t xml:space="preserve">Desde una perspectiva aplicada sobre la gobernanza, Ostrom (2008) señala que al estudiar experiencias concretas de propiedad privada, de propiedad estatal y de propiedad comunal, se encuentran tanto casos con resultados satisfactorios como otros insatisfactorias. Por ello, “en vez de presumir que cada uno diseña un sistema óptimo avanzado y lo hace funcionar, debemos estudiar la estructura de los recursos comunes y como estos cambian a lo largo del tiempo, y adoptar un enfoque experimental y multi-nivel más que un enfoque de arriba abajo para el diseño de instituciones efectivas”. </w:t>
      </w:r>
    </w:p>
    <w:p w:rsidR="009E5859" w:rsidRDefault="009E5859" w:rsidP="007600C9">
      <w:pPr>
        <w:pStyle w:val="Prrafodelista"/>
        <w:tabs>
          <w:tab w:val="num" w:pos="0"/>
        </w:tabs>
        <w:spacing w:after="0" w:line="360" w:lineRule="auto"/>
        <w:ind w:left="0" w:firstLine="284"/>
        <w:jc w:val="both"/>
        <w:rPr>
          <w:rFonts w:ascii="Times New Roman" w:hAnsi="Times New Roman" w:cs="Times New Roman"/>
          <w:sz w:val="24"/>
          <w:szCs w:val="24"/>
        </w:rPr>
      </w:pPr>
    </w:p>
    <w:p w:rsidR="008370B1" w:rsidRPr="009E5859" w:rsidRDefault="008370B1" w:rsidP="007600C9">
      <w:pPr>
        <w:pStyle w:val="Prrafodelista"/>
        <w:tabs>
          <w:tab w:val="num" w:pos="0"/>
        </w:tabs>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 xml:space="preserve">4.2- El enfoque </w:t>
      </w:r>
      <w:r w:rsidR="00C6388D" w:rsidRPr="00C6388D">
        <w:rPr>
          <w:rFonts w:ascii="Times New Roman" w:hAnsi="Times New Roman" w:cs="Times New Roman"/>
          <w:b/>
          <w:i/>
          <w:sz w:val="24"/>
          <w:szCs w:val="24"/>
        </w:rPr>
        <w:t>ostromiano</w:t>
      </w:r>
      <w:r w:rsidR="00C6388D">
        <w:rPr>
          <w:rFonts w:ascii="Times New Roman" w:hAnsi="Times New Roman" w:cs="Times New Roman"/>
          <w:b/>
          <w:sz w:val="24"/>
          <w:szCs w:val="24"/>
        </w:rPr>
        <w:t xml:space="preserve"> </w:t>
      </w:r>
      <w:r w:rsidRPr="00776F95">
        <w:rPr>
          <w:rFonts w:ascii="Times New Roman" w:hAnsi="Times New Roman" w:cs="Times New Roman"/>
          <w:b/>
          <w:sz w:val="24"/>
          <w:szCs w:val="24"/>
        </w:rPr>
        <w:t>del capital social</w:t>
      </w:r>
    </w:p>
    <w:p w:rsidR="0005761E" w:rsidRDefault="0005761E" w:rsidP="007600C9">
      <w:pPr>
        <w:tabs>
          <w:tab w:val="num" w:pos="0"/>
        </w:tabs>
        <w:spacing w:after="0" w:line="360" w:lineRule="auto"/>
        <w:ind w:firstLine="284"/>
        <w:jc w:val="both"/>
        <w:rPr>
          <w:rFonts w:ascii="Times New Roman" w:hAnsi="Times New Roman" w:cs="Times New Roman"/>
          <w:sz w:val="24"/>
          <w:szCs w:val="24"/>
        </w:rPr>
      </w:pPr>
    </w:p>
    <w:p w:rsidR="009E5859" w:rsidRP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 xml:space="preserve">Si Ostrom (1990) estudiaba el problema del gobierno de los comunes, pronto incorpora en su agenda de investigación la cuestión del capital social. </w:t>
      </w:r>
      <w:r w:rsidR="00C6388D">
        <w:rPr>
          <w:rFonts w:ascii="Times New Roman" w:hAnsi="Times New Roman" w:cs="Times New Roman"/>
          <w:sz w:val="24"/>
          <w:szCs w:val="24"/>
        </w:rPr>
        <w:t xml:space="preserve">En este sentido, las aportaciones de Elinor Ostrom vinculadas al capital social constituyen un segundo enfoque </w:t>
      </w:r>
      <w:r w:rsidR="00C6388D" w:rsidRPr="00C6388D">
        <w:rPr>
          <w:rFonts w:ascii="Times New Roman" w:hAnsi="Times New Roman" w:cs="Times New Roman"/>
          <w:i/>
          <w:sz w:val="24"/>
          <w:szCs w:val="24"/>
        </w:rPr>
        <w:t>ostromiano</w:t>
      </w:r>
      <w:r w:rsidR="00C6388D">
        <w:rPr>
          <w:rFonts w:ascii="Times New Roman" w:hAnsi="Times New Roman" w:cs="Times New Roman"/>
          <w:sz w:val="24"/>
          <w:szCs w:val="24"/>
        </w:rPr>
        <w:t xml:space="preserve"> sobre la gobernanza. </w:t>
      </w:r>
      <w:r w:rsidRPr="009E5859">
        <w:rPr>
          <w:rFonts w:ascii="Times New Roman" w:hAnsi="Times New Roman" w:cs="Times New Roman"/>
          <w:sz w:val="24"/>
          <w:szCs w:val="24"/>
        </w:rPr>
        <w:t>Ostrom (1994</w:t>
      </w:r>
      <w:r w:rsidR="00C6388D">
        <w:rPr>
          <w:rFonts w:ascii="Times New Roman" w:hAnsi="Times New Roman" w:cs="Times New Roman"/>
          <w:sz w:val="24"/>
          <w:szCs w:val="24"/>
        </w:rPr>
        <w:t>, 1995) se centra en analizar có</w:t>
      </w:r>
      <w:r w:rsidRPr="009E5859">
        <w:rPr>
          <w:rFonts w:ascii="Times New Roman" w:hAnsi="Times New Roman" w:cs="Times New Roman"/>
          <w:sz w:val="24"/>
          <w:szCs w:val="24"/>
        </w:rPr>
        <w:t xml:space="preserve">mo bajo ciertas circunstancias, en comunidades locales, el cambio de capital físico no conlleva una mejora productiva porque se ignora el efecto de este cambio sobre el capital social y sobre el equilibrio de intereses previamente existente. A partir de un estudio sobre sistemas de regadío en Nepal, argumenta que cuando los participantes se caracterizan por heterogeneidades sustanciales de capacidades e intereses, las reglas </w:t>
      </w:r>
      <w:r w:rsidRPr="009E5859">
        <w:rPr>
          <w:rFonts w:ascii="Times New Roman" w:hAnsi="Times New Roman" w:cs="Times New Roman"/>
          <w:sz w:val="24"/>
          <w:szCs w:val="24"/>
        </w:rPr>
        <w:lastRenderedPageBreak/>
        <w:t>adoptadas tienen un efecto sustancial sobre la distribución de resultados, y esto afecta a un delicado equilibrio de intereses incrustado en la estructura del capital social.</w:t>
      </w:r>
    </w:p>
    <w:p w:rsidR="009E5859" w:rsidRP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ab/>
        <w:t xml:space="preserve">Las referencias de Ostrom al capital social coinciden con el desarrollo del programa de investigación impulsado con la publicación de </w:t>
      </w:r>
      <w:r w:rsidRPr="009E5859">
        <w:rPr>
          <w:rFonts w:ascii="Times New Roman" w:hAnsi="Times New Roman" w:cs="Times New Roman"/>
          <w:i/>
          <w:sz w:val="24"/>
          <w:szCs w:val="24"/>
        </w:rPr>
        <w:t>Making Democracy Work</w:t>
      </w:r>
      <w:r w:rsidRPr="009E5859">
        <w:rPr>
          <w:rFonts w:ascii="Times New Roman" w:hAnsi="Times New Roman" w:cs="Times New Roman"/>
          <w:sz w:val="24"/>
          <w:szCs w:val="24"/>
        </w:rPr>
        <w:t xml:space="preserve"> (Putnam </w:t>
      </w:r>
      <w:r w:rsidRPr="009E5859">
        <w:rPr>
          <w:rFonts w:ascii="Times New Roman" w:hAnsi="Times New Roman" w:cs="Times New Roman"/>
          <w:i/>
          <w:sz w:val="24"/>
          <w:szCs w:val="24"/>
        </w:rPr>
        <w:t>et al,</w:t>
      </w:r>
      <w:r w:rsidRPr="009E5859">
        <w:rPr>
          <w:rFonts w:ascii="Times New Roman" w:hAnsi="Times New Roman" w:cs="Times New Roman"/>
          <w:sz w:val="24"/>
          <w:szCs w:val="24"/>
        </w:rPr>
        <w:t xml:space="preserve"> 1993). Este programa entendía el capital social como un conjunto de redes sociales, normas informales y vida asociativa. El capital social hace referencia al conjunto de redes de confianza interpersonal en las sociedades humanas, redes que pueden ser impulsadas por normas de reciprocidad y de ayuda mutua y que tienen una fuerte relación con las redes sociales y la participación en las asociaciones de la comunidad. La presencia de estas redes de confianza implica una solución a los problemas de cooperación en la interacción humana y hace que los individuos cooperen más de lo que las asunciones habituales de racionalidad individual implicarían. El capital social favorece el compartir información, la coordinación de actividades y la adopción de elecciones colectivas. Realmente, en la literatura existen tres posibles enfoques de definición del capital social: el capital social como confianza, el capital social como facilidad para la cooperación y el capital social como conjunto de redes. Evidentemente estas tres concepciones tienen conexiones, especialmente las de la confianza y la cooperación, mientras el enfoque de redes está más relacionado con el análisis sociológico de las relaciones sociales entre individuos (Caballero y Kingston, 2005a).</w:t>
      </w:r>
    </w:p>
    <w:p w:rsidR="009E5859" w:rsidRP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ab/>
        <w:t xml:space="preserve">Pues bien, Ostrom (1999) se adentra en la teoría del capital social y analiza las especificidades del capital social respecto al capital físico: A) El capital social no se desgasta con el uso, sino más bien con el desuso; B) El capital social no es fácil de ver ni de medir; C) El capital social es difícil de construir a través de intervenciones externas; D) Las instituciones gubernamentales afectan mucho el nivel y tipo de capital social del que los individuos disponen en la búsqueda de sus objetivos de desarrollo a largo plazo. Posteriormente, Ahn y Ostrom (2002) argumentan que el concepto de capital social debería situarse en el marco de una segunda generación de teorías de la acción colectiva, y consideran tres formas básicas de capital social: confiabilidad, redes e instituciones. De este modo, Brondizio, Ostrom y Young (2009) entienden el capital social como “el valor de la confianza generada por redes sociales para facilitar la cooperación individual y de grupo sobre intereses compartidos y la organización de instituciones sociales a escalas diferentes”. Realmente, las aportaciones </w:t>
      </w:r>
      <w:r w:rsidRPr="009E5859">
        <w:rPr>
          <w:rFonts w:ascii="Times New Roman" w:hAnsi="Times New Roman" w:cs="Times New Roman"/>
          <w:i/>
          <w:sz w:val="24"/>
          <w:szCs w:val="24"/>
        </w:rPr>
        <w:t>olsoninas</w:t>
      </w:r>
      <w:r w:rsidRPr="009E5859">
        <w:rPr>
          <w:rFonts w:ascii="Times New Roman" w:hAnsi="Times New Roman" w:cs="Times New Roman"/>
          <w:sz w:val="24"/>
          <w:szCs w:val="24"/>
        </w:rPr>
        <w:t xml:space="preserve"> sobre capital social y gestión de los recursos naturales han sido variadas. Por ejemplo, Gibson, </w:t>
      </w:r>
      <w:r w:rsidRPr="009E5859">
        <w:rPr>
          <w:rFonts w:ascii="Times New Roman" w:hAnsi="Times New Roman" w:cs="Times New Roman"/>
          <w:sz w:val="24"/>
          <w:szCs w:val="24"/>
        </w:rPr>
        <w:lastRenderedPageBreak/>
        <w:t>MaKean y Ostrom (2000) exponen las complejas interacciones entre las comunidades locales y sus bosques, analizando un conjunto de experiencias de gestión forestal.</w:t>
      </w:r>
    </w:p>
    <w:p w:rsidR="009E5859" w:rsidRPr="009E5859" w:rsidRDefault="009E5859" w:rsidP="007600C9">
      <w:pPr>
        <w:pStyle w:val="Prrafodelista"/>
        <w:tabs>
          <w:tab w:val="num" w:pos="0"/>
        </w:tabs>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tabs>
          <w:tab w:val="num" w:pos="0"/>
        </w:tabs>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4.3- Los Sistemas Socio-Ecológicos</w:t>
      </w:r>
    </w:p>
    <w:p w:rsidR="0005761E" w:rsidRDefault="0005761E" w:rsidP="007600C9">
      <w:pPr>
        <w:tabs>
          <w:tab w:val="num" w:pos="0"/>
        </w:tabs>
        <w:spacing w:after="0" w:line="360" w:lineRule="auto"/>
        <w:ind w:firstLine="284"/>
        <w:jc w:val="both"/>
        <w:rPr>
          <w:rFonts w:ascii="Times New Roman" w:hAnsi="Times New Roman" w:cs="Times New Roman"/>
          <w:sz w:val="24"/>
          <w:szCs w:val="24"/>
        </w:rPr>
      </w:pPr>
    </w:p>
    <w:p w:rsidR="009E5859" w:rsidRPr="009E5859" w:rsidRDefault="00C6388D" w:rsidP="007600C9">
      <w:pPr>
        <w:tabs>
          <w:tab w:val="num" w:pos="0"/>
        </w:tabs>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En los últimos años, un tercer enfoque </w:t>
      </w:r>
      <w:r w:rsidRPr="00C6388D">
        <w:rPr>
          <w:rFonts w:ascii="Times New Roman" w:hAnsi="Times New Roman" w:cs="Times New Roman"/>
          <w:i/>
          <w:sz w:val="24"/>
          <w:szCs w:val="24"/>
        </w:rPr>
        <w:t>ostromiano</w:t>
      </w:r>
      <w:r>
        <w:rPr>
          <w:rFonts w:ascii="Times New Roman" w:hAnsi="Times New Roman" w:cs="Times New Roman"/>
          <w:sz w:val="24"/>
          <w:szCs w:val="24"/>
        </w:rPr>
        <w:t xml:space="preserve"> sobre la gobernanza puede ser caracterizado, y la propia intervención de Ostrom en la recepción del premio Nobel presenta este tercer enfoque. De hecho, l</w:t>
      </w:r>
      <w:r w:rsidR="009E5859" w:rsidRPr="009E5859">
        <w:rPr>
          <w:rFonts w:ascii="Times New Roman" w:hAnsi="Times New Roman" w:cs="Times New Roman"/>
          <w:sz w:val="24"/>
          <w:szCs w:val="24"/>
        </w:rPr>
        <w:t>as recientes contribuciones de Elinor Ostrom van más allá del tradicional enfoque del capital social para dedicar tiempo y esfuerzo a la comprensión de las cuestiones de complejidad, incertidumbre e instituciones (Laerhoven y Ostrom, 2007; Ostrom, 2009b). La complejidad es una característica de los sistemas ecológicos, pero también de los sistemas sociales y de la interacción entre ambos tipos de sistemas. La incertidumbre hace referencia a la imposibilidad de predecir los resultados de las interacciones complejas entre sistemas sociales y ecológicos, especialmente cuando los entramados institucionales dejan abiertas muchas posibilidades de elección y de sendas institucionales. El estudio de las instituciones y la gobernanza de los recursos naturales en entornos complejos e inciertos, en los que existe una conexión creciente entre sistemas de usos de recursos y de la interdependencia entre los sistemas sociales y ecológicos, motiva a la profesora Ostrom a desarrollar en los últimos años un nuevo programa de investigación sobre la gobernanza ambiental en torno a la noción de sistemas socio-ecológicos (SSE) (Anderies, Janssen y Ostrom, 2004; Ostrom, 2007, 2009). Un SSE es un sistema ecológico intrincadamente afectado y relacionado con uno o más sistemas sociales, por lo que nunca está totalmente diseñado ni controlado, y Ostrom (2007, 2009) presenta un marco para el diagnóstico sistemático de la estructura y resultados de SSE complejos y de múltiples niveles, llegando a proponer un conjunto de variables relevantes para el análisis de la gobernanza. De acuerdo a este marco, los subsistemas claves de un SSE son el sistema del recurso, las unidades del recurso generadas por el sistema, los usuarios y el sistema de gobernanza. Cada uno de ellos, y sus características propias, afectan y son afectados por las interacciones y resultados que se producen en un momento y lugar concreto, y a la vez se produce una interacción con sistemas políticos, socioeconómicos y ecológicos más amplios, y con otros más pequeños.</w:t>
      </w:r>
    </w:p>
    <w:p w:rsidR="009E5859" w:rsidRPr="009E5859" w:rsidRDefault="009E5859" w:rsidP="007600C9">
      <w:pPr>
        <w:tabs>
          <w:tab w:val="num" w:pos="0"/>
        </w:tabs>
        <w:spacing w:after="0" w:line="360" w:lineRule="auto"/>
        <w:ind w:firstLine="284"/>
        <w:jc w:val="both"/>
        <w:rPr>
          <w:rFonts w:ascii="Times New Roman" w:hAnsi="Times New Roman" w:cs="Times New Roman"/>
          <w:sz w:val="24"/>
          <w:szCs w:val="24"/>
        </w:rPr>
      </w:pPr>
      <w:r w:rsidRPr="009E5859">
        <w:rPr>
          <w:rFonts w:ascii="Times New Roman" w:hAnsi="Times New Roman" w:cs="Times New Roman"/>
          <w:sz w:val="24"/>
          <w:szCs w:val="24"/>
        </w:rPr>
        <w:tab/>
        <w:t xml:space="preserve">La propuesta de Elinor Ostrom sobre sistemas socio-ecológicos constituye una extensión de la NEI hacia cuestiones sociales y ecológicas, y constituye un nuevo reto </w:t>
      </w:r>
      <w:r w:rsidRPr="009E5859">
        <w:rPr>
          <w:rFonts w:ascii="Times New Roman" w:hAnsi="Times New Roman" w:cs="Times New Roman"/>
          <w:sz w:val="24"/>
          <w:szCs w:val="24"/>
        </w:rPr>
        <w:lastRenderedPageBreak/>
        <w:t>del análisis institucional para la gestión de los recursos naturales: “Los teóricos institucionales debemos reconocer lo que los ecologistas reconocieron hace tiempo: la complejidad de lo que estudiamos y la necesidad de reconocer los aspectos dinámicos, auto-organizativos y no-lineales, así como los objetivos múltiples y las escalas temporales y espaciales relacionadas” (Ostrom, 2008). De este modo, se proponen sistemas policéntricos para hacer frente a la complejidad (Ostrom, 2009b). En todo caso, la propia Ostrom et al. (2007, 2009) reconoce que el estudio de los SSE no es todavía una ciencia aplicada madura y que requiere de muchos esfuerzos inter-disciplinares que incluyen las cuestiones institucionales. Como destacan Brondizio, Ostrom y Young (2009), “el papel de las instituciones a la hora de facilitar la gobernanza ambiental en diferentes niveles constituye una forma de capital social que es esencial para la protección a largo plazo de los ecosistemas y el bienestar de diferentes poblaciones”.</w:t>
      </w:r>
    </w:p>
    <w:p w:rsidR="009E5859" w:rsidRPr="009E5859" w:rsidRDefault="009E5859" w:rsidP="007600C9">
      <w:pPr>
        <w:pStyle w:val="Prrafodelista"/>
        <w:tabs>
          <w:tab w:val="num" w:pos="0"/>
        </w:tabs>
        <w:spacing w:after="0" w:line="360" w:lineRule="auto"/>
        <w:ind w:left="0" w:firstLine="284"/>
        <w:jc w:val="both"/>
        <w:rPr>
          <w:rFonts w:ascii="Times New Roman" w:hAnsi="Times New Roman" w:cs="Times New Roman"/>
          <w:sz w:val="24"/>
          <w:szCs w:val="24"/>
        </w:rPr>
      </w:pPr>
    </w:p>
    <w:p w:rsidR="002D462A" w:rsidRPr="00776F95" w:rsidRDefault="002D462A" w:rsidP="007600C9">
      <w:pPr>
        <w:pStyle w:val="Prrafodelista"/>
        <w:numPr>
          <w:ilvl w:val="0"/>
          <w:numId w:val="1"/>
        </w:numPr>
        <w:spacing w:after="0" w:line="360" w:lineRule="auto"/>
        <w:ind w:left="0" w:firstLine="284"/>
        <w:jc w:val="both"/>
        <w:rPr>
          <w:rFonts w:ascii="Times New Roman" w:hAnsi="Times New Roman" w:cs="Times New Roman"/>
          <w:b/>
          <w:sz w:val="24"/>
          <w:szCs w:val="24"/>
        </w:rPr>
      </w:pPr>
      <w:r w:rsidRPr="00776F95">
        <w:rPr>
          <w:rFonts w:ascii="Times New Roman" w:hAnsi="Times New Roman" w:cs="Times New Roman"/>
          <w:b/>
          <w:sz w:val="24"/>
          <w:szCs w:val="24"/>
        </w:rPr>
        <w:t>Conclusiones</w:t>
      </w:r>
    </w:p>
    <w:p w:rsidR="002D462A" w:rsidRDefault="001D76B6"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ab/>
      </w:r>
    </w:p>
    <w:p w:rsidR="00BC4917" w:rsidRDefault="001D76B6"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El término gobernanza se ha convertido en un concepto de referencia no sólo en la ciencia económica, sino también en el conjunto de las ciencias sociales e incluso </w:t>
      </w:r>
      <w:r w:rsidR="005C3D81">
        <w:rPr>
          <w:rFonts w:ascii="Times New Roman" w:hAnsi="Times New Roman" w:cs="Times New Roman"/>
          <w:sz w:val="24"/>
          <w:szCs w:val="24"/>
        </w:rPr>
        <w:t xml:space="preserve">en el </w:t>
      </w:r>
      <w:r w:rsidR="005C3D81" w:rsidRPr="005C3D81">
        <w:rPr>
          <w:rFonts w:ascii="Times New Roman" w:hAnsi="Times New Roman" w:cs="Times New Roman"/>
          <w:i/>
          <w:sz w:val="24"/>
          <w:szCs w:val="24"/>
        </w:rPr>
        <w:t>policy-making</w:t>
      </w:r>
      <w:r w:rsidR="005C3D81">
        <w:rPr>
          <w:rFonts w:ascii="Times New Roman" w:hAnsi="Times New Roman" w:cs="Times New Roman"/>
          <w:sz w:val="24"/>
          <w:szCs w:val="24"/>
        </w:rPr>
        <w:t xml:space="preserve">. Sin embargo, este uso extendido del término no ha implicado ni una noción clara y compartida del término ni una adecuada fundamentación de dicho concepto. La agenda de investigación de la gobernanza todavía presenta muchos interrogantes abiertos, y el concepto es usado desde distintos enfoques con variedad de contenido. Por ello, resulta necesario seguir avanzando en los enfoques que permiten una aproximación rigurosa a la cuestión de la gobernanza y clarifican las relaciones entre la gobernanza, las instituciones y la economía política. </w:t>
      </w:r>
      <w:r w:rsidR="00064FC6">
        <w:rPr>
          <w:rFonts w:ascii="Times New Roman" w:hAnsi="Times New Roman" w:cs="Times New Roman"/>
          <w:sz w:val="24"/>
          <w:szCs w:val="24"/>
        </w:rPr>
        <w:t>En este sentido</w:t>
      </w:r>
      <w:r w:rsidR="005C3D81">
        <w:rPr>
          <w:rFonts w:ascii="Times New Roman" w:hAnsi="Times New Roman" w:cs="Times New Roman"/>
          <w:sz w:val="24"/>
          <w:szCs w:val="24"/>
        </w:rPr>
        <w:t xml:space="preserve">, la Nueva Economía Institucional </w:t>
      </w:r>
      <w:r w:rsidR="00064FC6">
        <w:rPr>
          <w:rFonts w:ascii="Times New Roman" w:hAnsi="Times New Roman" w:cs="Times New Roman"/>
          <w:sz w:val="24"/>
          <w:szCs w:val="24"/>
        </w:rPr>
        <w:t>ha constituido la frontera de la investigación sobre la gobernanza en la ciencia económica, y ha impulsado el re-encuentro de las distintas ciencias sociales en base a conceptos como los de instituciones y gobernanza.</w:t>
      </w:r>
      <w:r w:rsidR="00BC4917" w:rsidRPr="00BC4917">
        <w:rPr>
          <w:rFonts w:ascii="Times New Roman" w:hAnsi="Times New Roman" w:cs="Times New Roman"/>
          <w:sz w:val="24"/>
          <w:szCs w:val="24"/>
        </w:rPr>
        <w:t xml:space="preserve"> </w:t>
      </w:r>
      <w:r w:rsidR="00BC4917">
        <w:rPr>
          <w:rFonts w:ascii="Times New Roman" w:hAnsi="Times New Roman" w:cs="Times New Roman"/>
          <w:sz w:val="24"/>
          <w:szCs w:val="24"/>
        </w:rPr>
        <w:t>Específicamente, las aportaciones de Elinor Ostrom, que todavía suenan distantes para la academia española a pesar de su reconocimiento con el Nobel de Economía de 2009, constituyen un eje de referencia de la moderna economía política de las instituciones y la gobernanza.</w:t>
      </w:r>
    </w:p>
    <w:p w:rsidR="00BC4917" w:rsidRPr="00BC4917" w:rsidRDefault="00BC4917"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Esta comunicación ha delimitado tres enfoques en la obra </w:t>
      </w:r>
      <w:r w:rsidRPr="00B84708">
        <w:rPr>
          <w:rFonts w:ascii="Times New Roman" w:hAnsi="Times New Roman" w:cs="Times New Roman"/>
          <w:i/>
          <w:sz w:val="24"/>
          <w:szCs w:val="24"/>
        </w:rPr>
        <w:t>ostromiana</w:t>
      </w:r>
      <w:r>
        <w:rPr>
          <w:rFonts w:ascii="Times New Roman" w:hAnsi="Times New Roman" w:cs="Times New Roman"/>
          <w:sz w:val="24"/>
          <w:szCs w:val="24"/>
        </w:rPr>
        <w:t xml:space="preserve"> para el análisis de la gobernanza: las normas sociales, el capital social y los sistemas socio-ecológicos. </w:t>
      </w:r>
      <w:r>
        <w:rPr>
          <w:rFonts w:ascii="Times New Roman" w:hAnsi="Times New Roman" w:cs="Times New Roman"/>
          <w:sz w:val="24"/>
          <w:szCs w:val="24"/>
        </w:rPr>
        <w:lastRenderedPageBreak/>
        <w:t xml:space="preserve">El punto de partida de Elinor Ostrom se centra en el estudio de los recursos comunes (uso rival pero no excluyente), pero en realidad este caso constituye una referencia adecuada para una teoría de las instituciones y de la gobernanza, en la medida en que buena parte de los recursos fueron en algún momento recursos comunes (como la pesca o incluso la caza), y que a medida que los recursos fueron escasos y más valorados se idearon fórmulas institucionales –los derechos de propiedad privada, quizás sean el ejemplo más ilustrativo- para poder excluir del consumo a unos u otros ciudadanos. Por ello, el problema de la tragedia de los comunes resulta de gran interés: por una parte, es un caso de análisis de referencia para una fundamentación teórica general sobre las instituciones y la gobernanza; por otra, todavía resulta válido para abordar importantes problemas actuales como la emisión de gases, la explotación de recursos </w:t>
      </w:r>
      <w:r w:rsidRPr="00BC4917">
        <w:rPr>
          <w:rFonts w:ascii="Times New Roman" w:hAnsi="Times New Roman" w:cs="Times New Roman"/>
          <w:sz w:val="24"/>
          <w:szCs w:val="24"/>
        </w:rPr>
        <w:t>pesqueros o el uso de recursos petrolíferos</w:t>
      </w:r>
      <w:r>
        <w:rPr>
          <w:rFonts w:ascii="Times New Roman" w:hAnsi="Times New Roman" w:cs="Times New Roman"/>
          <w:sz w:val="24"/>
          <w:szCs w:val="24"/>
        </w:rPr>
        <w:t xml:space="preserve"> (Caballero, 2011)</w:t>
      </w:r>
      <w:r w:rsidRPr="00BC4917">
        <w:rPr>
          <w:rFonts w:ascii="Times New Roman" w:hAnsi="Times New Roman" w:cs="Times New Roman"/>
          <w:sz w:val="24"/>
          <w:szCs w:val="24"/>
        </w:rPr>
        <w:t xml:space="preserve">. </w:t>
      </w:r>
    </w:p>
    <w:p w:rsidR="00BC4917" w:rsidRDefault="003353CB"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Finalmente, a modo de complementar el análisis realizado de la gobernanza</w:t>
      </w:r>
      <w:r w:rsidR="008D27DE">
        <w:rPr>
          <w:rFonts w:ascii="Times New Roman" w:hAnsi="Times New Roman" w:cs="Times New Roman"/>
          <w:sz w:val="24"/>
          <w:szCs w:val="24"/>
        </w:rPr>
        <w:t xml:space="preserve"> en estas conclusiones</w:t>
      </w:r>
      <w:r>
        <w:rPr>
          <w:rFonts w:ascii="Times New Roman" w:hAnsi="Times New Roman" w:cs="Times New Roman"/>
          <w:sz w:val="24"/>
          <w:szCs w:val="24"/>
        </w:rPr>
        <w:t xml:space="preserve">, parece oportuno analizar dos cuestiones centrales que el </w:t>
      </w:r>
      <w:r w:rsidR="00BC4917">
        <w:rPr>
          <w:rFonts w:ascii="Times New Roman" w:hAnsi="Times New Roman" w:cs="Times New Roman"/>
          <w:sz w:val="24"/>
          <w:szCs w:val="24"/>
        </w:rPr>
        <w:t xml:space="preserve">nuevo institucionalismo </w:t>
      </w:r>
      <w:r>
        <w:rPr>
          <w:rFonts w:ascii="Times New Roman" w:hAnsi="Times New Roman" w:cs="Times New Roman"/>
          <w:sz w:val="24"/>
          <w:szCs w:val="24"/>
        </w:rPr>
        <w:t xml:space="preserve">ha sostenido </w:t>
      </w:r>
      <w:r w:rsidR="00BC4917">
        <w:rPr>
          <w:rFonts w:ascii="Times New Roman" w:hAnsi="Times New Roman" w:cs="Times New Roman"/>
          <w:sz w:val="24"/>
          <w:szCs w:val="24"/>
        </w:rPr>
        <w:t>sobre la gobernanza</w:t>
      </w:r>
      <w:r>
        <w:rPr>
          <w:rFonts w:ascii="Times New Roman" w:hAnsi="Times New Roman" w:cs="Times New Roman"/>
          <w:sz w:val="24"/>
          <w:szCs w:val="24"/>
        </w:rPr>
        <w:t xml:space="preserve"> en tiempos recientes</w:t>
      </w:r>
      <w:r w:rsidR="00BC4917">
        <w:rPr>
          <w:rFonts w:ascii="Times New Roman" w:hAnsi="Times New Roman" w:cs="Times New Roman"/>
          <w:sz w:val="24"/>
          <w:szCs w:val="24"/>
        </w:rPr>
        <w:t>.</w:t>
      </w:r>
    </w:p>
    <w:p w:rsidR="00BC4917" w:rsidRDefault="00BC4917"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En primer lugar, al abordar la cuestión de la gobernanza, l</w:t>
      </w:r>
      <w:r w:rsidRPr="00BC4917">
        <w:rPr>
          <w:rFonts w:ascii="Times New Roman" w:hAnsi="Times New Roman" w:cs="Times New Roman"/>
          <w:sz w:val="24"/>
          <w:szCs w:val="24"/>
        </w:rPr>
        <w:t>a NEI ha señalado que un adecuado marco institucional favorece el funcionamiento económico</w:t>
      </w:r>
      <w:r w:rsidR="003353CB">
        <w:rPr>
          <w:rFonts w:ascii="Times New Roman" w:hAnsi="Times New Roman" w:cs="Times New Roman"/>
          <w:sz w:val="24"/>
          <w:szCs w:val="24"/>
        </w:rPr>
        <w:t xml:space="preserve"> pero que el policy-making debe centrarse en un “second-best”.</w:t>
      </w:r>
      <w:r w:rsidRPr="00BC4917">
        <w:rPr>
          <w:rFonts w:ascii="Times New Roman" w:hAnsi="Times New Roman" w:cs="Times New Roman"/>
          <w:sz w:val="24"/>
          <w:szCs w:val="24"/>
        </w:rPr>
        <w:t xml:space="preserve"> </w:t>
      </w:r>
      <w:r w:rsidR="003353CB" w:rsidRPr="00BC4917">
        <w:rPr>
          <w:rFonts w:ascii="Times New Roman" w:hAnsi="Times New Roman" w:cs="Times New Roman"/>
          <w:sz w:val="24"/>
          <w:szCs w:val="24"/>
        </w:rPr>
        <w:t xml:space="preserve">La influencia de la NEI sobre la corriente principal en economía ha cambiado el centro de atención en los países en vías de desarrollo desde reformas centradas en buscar precios correctos a reformas centradas en definir instituciones </w:t>
      </w:r>
      <w:r w:rsidR="003353CB">
        <w:rPr>
          <w:rFonts w:ascii="Times New Roman" w:hAnsi="Times New Roman" w:cs="Times New Roman"/>
          <w:sz w:val="24"/>
          <w:szCs w:val="24"/>
        </w:rPr>
        <w:t xml:space="preserve">y gobernanzas </w:t>
      </w:r>
      <w:r w:rsidR="003353CB" w:rsidRPr="00BC4917">
        <w:rPr>
          <w:rFonts w:ascii="Times New Roman" w:hAnsi="Times New Roman" w:cs="Times New Roman"/>
          <w:sz w:val="24"/>
          <w:szCs w:val="24"/>
        </w:rPr>
        <w:t xml:space="preserve">correctas (Rodrik, 2008). Los mercados son construcciones institucionales que no están garantizadas en los países en vías de desarrollo, y por tanto previamente a la búsqueda de precios hay que atender el diseño institucional. </w:t>
      </w:r>
      <w:r w:rsidRPr="00BC4917">
        <w:rPr>
          <w:rFonts w:ascii="Times New Roman" w:hAnsi="Times New Roman" w:cs="Times New Roman"/>
          <w:sz w:val="24"/>
          <w:szCs w:val="24"/>
        </w:rPr>
        <w:t>“</w:t>
      </w:r>
      <w:r w:rsidR="003353CB">
        <w:rPr>
          <w:rFonts w:ascii="Times New Roman" w:hAnsi="Times New Roman" w:cs="Times New Roman"/>
          <w:sz w:val="24"/>
          <w:szCs w:val="24"/>
        </w:rPr>
        <w:t>L</w:t>
      </w:r>
      <w:r w:rsidRPr="00BC4917">
        <w:rPr>
          <w:rFonts w:ascii="Times New Roman" w:hAnsi="Times New Roman" w:cs="Times New Roman"/>
          <w:sz w:val="24"/>
          <w:szCs w:val="24"/>
        </w:rPr>
        <w:t>os inversores confían en derechos de propiedad seguros, facilitan la inversión en capital humano y físico, el poder del gobierno está limitado y restringido por un sistema judicial independiente, los contratos se ejecutan efectivamente, respaldando las transacciones económicas privadas” (Henry y Miller, 2009, p. 261). A la hora de buscar soluciones institucionales</w:t>
      </w:r>
      <w:r>
        <w:rPr>
          <w:rFonts w:ascii="Times New Roman" w:hAnsi="Times New Roman" w:cs="Times New Roman"/>
          <w:sz w:val="24"/>
          <w:szCs w:val="24"/>
        </w:rPr>
        <w:t xml:space="preserve"> y de gobernanza</w:t>
      </w:r>
      <w:r w:rsidRPr="00BC4917">
        <w:rPr>
          <w:rFonts w:ascii="Times New Roman" w:hAnsi="Times New Roman" w:cs="Times New Roman"/>
          <w:sz w:val="24"/>
          <w:szCs w:val="24"/>
        </w:rPr>
        <w:t xml:space="preserve">, la NEI asume que las políticas públicas deben plantearse como objetivo un “second best” dadas las restricciones informacionales, transaccionales, culturales e históricas que impiden alcanzar la solución de primer óptimo. Dependiendo de las condiciones iniciales de cada sociedad concreta, y ante la imposibilidad de alcanzar soluciones institucionales perfectas, debemos plantearnos las soluciones “de segundo óptimo” como objetivo, en áreas como la ejecución de contratos, la creación de empresas, la apertura comercial o la </w:t>
      </w:r>
      <w:r w:rsidRPr="00BC4917">
        <w:rPr>
          <w:rFonts w:ascii="Times New Roman" w:hAnsi="Times New Roman" w:cs="Times New Roman"/>
          <w:sz w:val="24"/>
          <w:szCs w:val="24"/>
        </w:rPr>
        <w:lastRenderedPageBreak/>
        <w:t>estabilidad macroeconómica (Rodrik, 2008). Desde esta perspectiva, debemos tener en cuenta como las soluciones institucionales propuestas implican múltiples distorsiones, y esto nos aleja del escenario óptimo.</w:t>
      </w:r>
      <w:r>
        <w:rPr>
          <w:rFonts w:ascii="Times New Roman" w:hAnsi="Times New Roman" w:cs="Times New Roman"/>
          <w:sz w:val="24"/>
          <w:szCs w:val="24"/>
        </w:rPr>
        <w:t xml:space="preserve"> Las</w:t>
      </w:r>
      <w:r w:rsidRPr="00BC4917">
        <w:rPr>
          <w:rFonts w:ascii="Times New Roman" w:hAnsi="Times New Roman" w:cs="Times New Roman"/>
          <w:sz w:val="24"/>
          <w:szCs w:val="24"/>
        </w:rPr>
        <w:t xml:space="preserve"> “Second-Best Institutions” </w:t>
      </w:r>
      <w:r>
        <w:rPr>
          <w:rFonts w:ascii="Times New Roman" w:hAnsi="Times New Roman" w:cs="Times New Roman"/>
          <w:sz w:val="24"/>
          <w:szCs w:val="24"/>
        </w:rPr>
        <w:t xml:space="preserve">para la gobernanza </w:t>
      </w:r>
      <w:r w:rsidRPr="00BC4917">
        <w:rPr>
          <w:rFonts w:ascii="Times New Roman" w:hAnsi="Times New Roman" w:cs="Times New Roman"/>
          <w:sz w:val="24"/>
          <w:szCs w:val="24"/>
        </w:rPr>
        <w:t xml:space="preserve">tienen que tener en cuenta las restricciones institucionales, y también las posibilidades de cambio de las distintas instituciones existentes. </w:t>
      </w:r>
    </w:p>
    <w:p w:rsidR="00BC4917" w:rsidRPr="00BC4917" w:rsidRDefault="00BC4917" w:rsidP="007600C9">
      <w:pPr>
        <w:pStyle w:val="Prrafodelista"/>
        <w:spacing w:after="0"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En segundo lugar, r</w:t>
      </w:r>
      <w:r w:rsidRPr="00BC4917">
        <w:rPr>
          <w:rFonts w:ascii="Times New Roman" w:hAnsi="Times New Roman" w:cs="Times New Roman"/>
          <w:sz w:val="24"/>
          <w:szCs w:val="24"/>
        </w:rPr>
        <w:t>ecientemente se ha destacado la importancia de los efectos a largo plazo de las instituciones</w:t>
      </w:r>
      <w:r>
        <w:rPr>
          <w:rFonts w:ascii="Times New Roman" w:hAnsi="Times New Roman" w:cs="Times New Roman"/>
          <w:sz w:val="24"/>
          <w:szCs w:val="24"/>
        </w:rPr>
        <w:t xml:space="preserve"> de gobernanza</w:t>
      </w:r>
      <w:r w:rsidRPr="00BC4917">
        <w:rPr>
          <w:rFonts w:ascii="Times New Roman" w:hAnsi="Times New Roman" w:cs="Times New Roman"/>
          <w:sz w:val="24"/>
          <w:szCs w:val="24"/>
        </w:rPr>
        <w:t xml:space="preserve">. En este sentido, el artículo seminal de Acemoglu </w:t>
      </w:r>
      <w:r w:rsidRPr="00BC4917">
        <w:rPr>
          <w:rFonts w:ascii="Times New Roman" w:hAnsi="Times New Roman" w:cs="Times New Roman"/>
          <w:i/>
          <w:sz w:val="24"/>
          <w:szCs w:val="24"/>
        </w:rPr>
        <w:t>et al</w:t>
      </w:r>
      <w:r w:rsidRPr="00BC4917">
        <w:rPr>
          <w:rFonts w:ascii="Times New Roman" w:hAnsi="Times New Roman" w:cs="Times New Roman"/>
          <w:sz w:val="24"/>
          <w:szCs w:val="24"/>
        </w:rPr>
        <w:t xml:space="preserve"> (2001) ha impulsado una línea de investigación que destaca que las instituciones de la etapa colonial americana pueden constituir los fundamentos para entender el desarrollo económico en el continente, tanto en el Norte como en el Sur (North, Summerhill and Weingast, 2000). De este modo, las instituciones poseen una influencia causal sobre en el desarrollo en el largo plazo, pero la importancia de las políticas públicas, particularmente de las macroeconómicas, tampoco debe ser minimizado para entender la trayectoria de una economía: “los países no tienen control sobre su localización geográfica, herencia colonial u origen legal, pero ellos tienen una relación de agencia sobre las políticas que implementan” (Henry y Miller, 2009, p. 266). En este sentido, experiencias de análisis de casos como las dos Coreas o Barbados versus Jamaica apuntan como junto al efecto institucional de largo plazo, las políticas públicas pueden determinar la evolución de una economía, y en buena medida, evidencian la importancia de combinar un adecuado diseño de instituciones y políticas. El enfoque institucional no puede relegar la importancia de las políticas ni el hecho de que existan grados de libertad para determinar la política económica (Dixit, 1996). Desde un enfoque de elección racional se concluiría un escenario de cero grados de libertad para la reforma institucional cuando el sistema social es un equilibrio (“Paradoja de Bhagwati”), pero con conocimiento limitado y modelos incompletos de política -como los que asume el análisis político de costes de transacción- se encuentran fundamentos para la reforma de las políticas (Eggertsson, 2005).</w:t>
      </w:r>
    </w:p>
    <w:p w:rsidR="00BC4917" w:rsidRPr="00BC4917" w:rsidRDefault="00BC4917" w:rsidP="007600C9">
      <w:pPr>
        <w:spacing w:after="0" w:line="360" w:lineRule="auto"/>
        <w:jc w:val="both"/>
        <w:rPr>
          <w:rFonts w:ascii="Times New Roman" w:hAnsi="Times New Roman" w:cs="Times New Roman"/>
          <w:sz w:val="24"/>
          <w:szCs w:val="24"/>
        </w:rPr>
      </w:pPr>
      <w:r w:rsidRPr="00BC4917">
        <w:rPr>
          <w:rFonts w:ascii="Times New Roman" w:hAnsi="Times New Roman" w:cs="Times New Roman"/>
          <w:sz w:val="24"/>
          <w:szCs w:val="24"/>
        </w:rPr>
        <w:tab/>
        <w:t xml:space="preserve">Entre los últimos avances del análisis institucional, González de Lara, Greif y Jha (2008) desbordan la visión de las reglas constitucionales como soluciones focales que coordinan a los individuos, para pasar a considerar a las Constituciones como equilibrios con reguladores restringidos por aquellos administradores que implementan la política. El énfasis en los administradores refleja la situación común en la que los decisores tienen una capacidad limitada de implementar las políticas: el imperio de la ley puede ser un equilibrio con administradores suficientemente poderosos para </w:t>
      </w:r>
      <w:r w:rsidRPr="00BC4917">
        <w:rPr>
          <w:rFonts w:ascii="Times New Roman" w:hAnsi="Times New Roman" w:cs="Times New Roman"/>
          <w:sz w:val="24"/>
          <w:szCs w:val="24"/>
        </w:rPr>
        <w:lastRenderedPageBreak/>
        <w:t xml:space="preserve">restringir a los reguladores políticos. Este enfoque constitucional basado en la distribución del poder administrativo, sustituye a la visión constitucional de Barry Weingast basada en la coordinación de los individuos. El nuevo enfoque permite entender qué reglas constitucionales son </w:t>
      </w:r>
      <w:r w:rsidRPr="00BC4917">
        <w:rPr>
          <w:rFonts w:ascii="Times New Roman" w:hAnsi="Times New Roman" w:cs="Times New Roman"/>
          <w:i/>
          <w:sz w:val="24"/>
          <w:szCs w:val="24"/>
        </w:rPr>
        <w:t>self-enforcing</w:t>
      </w:r>
      <w:r w:rsidRPr="00BC4917">
        <w:rPr>
          <w:rFonts w:ascii="Times New Roman" w:hAnsi="Times New Roman" w:cs="Times New Roman"/>
          <w:sz w:val="24"/>
          <w:szCs w:val="24"/>
        </w:rPr>
        <w:t xml:space="preserve"> y qué derechos son un resultado de equilibrio. De este modo se avanza en la apertura de la “caja negra” del Estado. En el ámbito de la economía pública actual, existe una amplia diversidad de arreglos institucionales desde lo local a lo nacional y a lo global, intentando diseñar sistema complejos en los que instituciones y políticas constit</w:t>
      </w:r>
      <w:r>
        <w:rPr>
          <w:rFonts w:ascii="Times New Roman" w:hAnsi="Times New Roman" w:cs="Times New Roman"/>
          <w:sz w:val="24"/>
          <w:szCs w:val="24"/>
        </w:rPr>
        <w:t>u</w:t>
      </w:r>
      <w:r w:rsidRPr="00BC4917">
        <w:rPr>
          <w:rFonts w:ascii="Times New Roman" w:hAnsi="Times New Roman" w:cs="Times New Roman"/>
          <w:sz w:val="24"/>
          <w:szCs w:val="24"/>
        </w:rPr>
        <w:t>yen un entramado organizativo (Ostrom, 2007).</w:t>
      </w:r>
    </w:p>
    <w:p w:rsidR="009E5859" w:rsidRDefault="009E5859" w:rsidP="009E5859">
      <w:pPr>
        <w:pStyle w:val="Prrafodelista"/>
        <w:spacing w:after="0" w:line="480" w:lineRule="auto"/>
        <w:ind w:left="0" w:firstLine="284"/>
        <w:jc w:val="both"/>
        <w:rPr>
          <w:rFonts w:ascii="Times New Roman" w:hAnsi="Times New Roman" w:cs="Times New Roman"/>
          <w:sz w:val="24"/>
          <w:szCs w:val="24"/>
        </w:rPr>
      </w:pPr>
    </w:p>
    <w:p w:rsidR="0005761E" w:rsidRPr="009E5859" w:rsidRDefault="0005761E" w:rsidP="009E5859">
      <w:pPr>
        <w:pStyle w:val="Prrafodelista"/>
        <w:spacing w:after="0" w:line="480" w:lineRule="auto"/>
        <w:ind w:left="0" w:firstLine="284"/>
        <w:jc w:val="both"/>
        <w:rPr>
          <w:rFonts w:ascii="Times New Roman" w:hAnsi="Times New Roman" w:cs="Times New Roman"/>
          <w:sz w:val="24"/>
          <w:szCs w:val="24"/>
        </w:rPr>
      </w:pPr>
    </w:p>
    <w:p w:rsidR="002D462A" w:rsidRPr="008406E2" w:rsidRDefault="009E5859" w:rsidP="009E5859">
      <w:pPr>
        <w:pStyle w:val="Prrafodelista"/>
        <w:spacing w:after="0" w:line="480" w:lineRule="auto"/>
        <w:ind w:left="0" w:firstLine="284"/>
        <w:jc w:val="both"/>
        <w:rPr>
          <w:rFonts w:ascii="Times New Roman" w:hAnsi="Times New Roman" w:cs="Times New Roman"/>
          <w:b/>
          <w:sz w:val="24"/>
          <w:szCs w:val="24"/>
          <w:lang w:val="en-US"/>
        </w:rPr>
      </w:pPr>
      <w:r w:rsidRPr="008406E2">
        <w:rPr>
          <w:rFonts w:ascii="Times New Roman" w:hAnsi="Times New Roman" w:cs="Times New Roman"/>
          <w:b/>
          <w:sz w:val="24"/>
          <w:szCs w:val="24"/>
          <w:lang w:val="en-US"/>
        </w:rPr>
        <w:t>BIBLIOGRAFÍA</w:t>
      </w:r>
    </w:p>
    <w:p w:rsidR="0005761E" w:rsidRDefault="0005761E" w:rsidP="007600C9">
      <w:pPr>
        <w:spacing w:after="120" w:line="240" w:lineRule="auto"/>
        <w:ind w:left="180" w:right="-262" w:hanging="360"/>
        <w:jc w:val="both"/>
        <w:rPr>
          <w:lang w:val="en-US"/>
        </w:rPr>
      </w:pPr>
    </w:p>
    <w:p w:rsidR="003353CB" w:rsidRPr="00AF6064" w:rsidRDefault="003353CB" w:rsidP="007600C9">
      <w:pPr>
        <w:spacing w:after="120" w:line="240" w:lineRule="auto"/>
        <w:ind w:left="180" w:right="-262" w:hanging="360"/>
        <w:jc w:val="both"/>
        <w:rPr>
          <w:lang w:val="en-US"/>
        </w:rPr>
      </w:pPr>
      <w:r w:rsidRPr="00AF6064">
        <w:rPr>
          <w:lang w:val="en-US"/>
        </w:rPr>
        <w:t>Acemoglu, D</w:t>
      </w:r>
      <w:r>
        <w:rPr>
          <w:lang w:val="en-US"/>
        </w:rPr>
        <w:t>.</w:t>
      </w:r>
      <w:r w:rsidRPr="00AF6064">
        <w:rPr>
          <w:lang w:val="en-US"/>
        </w:rPr>
        <w:t>, S</w:t>
      </w:r>
      <w:r>
        <w:rPr>
          <w:lang w:val="en-US"/>
        </w:rPr>
        <w:t>.</w:t>
      </w:r>
      <w:r w:rsidRPr="00AF6064">
        <w:rPr>
          <w:lang w:val="en-US"/>
        </w:rPr>
        <w:t xml:space="preserve"> Johnson, and J</w:t>
      </w:r>
      <w:r>
        <w:rPr>
          <w:lang w:val="en-US"/>
        </w:rPr>
        <w:t>.</w:t>
      </w:r>
      <w:r w:rsidRPr="00AF6064">
        <w:rPr>
          <w:lang w:val="en-US"/>
        </w:rPr>
        <w:t xml:space="preserve"> A. Robinson </w:t>
      </w:r>
      <w:r>
        <w:rPr>
          <w:lang w:val="en-US"/>
        </w:rPr>
        <w:t>(</w:t>
      </w:r>
      <w:r w:rsidRPr="00AF6064">
        <w:rPr>
          <w:lang w:val="en-US"/>
        </w:rPr>
        <w:t>2001</w:t>
      </w:r>
      <w:r>
        <w:rPr>
          <w:lang w:val="en-US"/>
        </w:rPr>
        <w:t>):</w:t>
      </w:r>
      <w:r w:rsidRPr="00AF6064">
        <w:rPr>
          <w:lang w:val="en-US"/>
        </w:rPr>
        <w:t xml:space="preserve"> “The Colonial Origins of Comparative Development: An Empirical Investigation.” </w:t>
      </w:r>
      <w:r w:rsidRPr="00AF6064">
        <w:rPr>
          <w:i/>
          <w:iCs/>
          <w:lang w:val="en-US"/>
        </w:rPr>
        <w:t xml:space="preserve">A.E.R. </w:t>
      </w:r>
      <w:r w:rsidRPr="00AF6064">
        <w:rPr>
          <w:lang w:val="en-US"/>
        </w:rPr>
        <w:t>91 (December): 1369–1401.</w:t>
      </w:r>
    </w:p>
    <w:p w:rsidR="007C6A1F" w:rsidRPr="003E4012" w:rsidRDefault="007C6A1F" w:rsidP="007600C9">
      <w:pPr>
        <w:spacing w:after="120" w:line="240" w:lineRule="auto"/>
        <w:ind w:left="180" w:right="-262" w:hanging="360"/>
        <w:jc w:val="both"/>
      </w:pPr>
      <w:r w:rsidRPr="003E4012">
        <w:t xml:space="preserve">Ahn, T. K. y E. Ostrom (2002). </w:t>
      </w:r>
      <w:r w:rsidRPr="003E4012">
        <w:rPr>
          <w:lang w:val="en-GB"/>
        </w:rPr>
        <w:t xml:space="preserve">“Social capital and the second generation theories of collective action: An analytical approach to the forms of social capital”, Annual Meeting of the American Political Science Assocoation, Boston, Massachusetts, August 29. </w:t>
      </w:r>
      <w:r w:rsidRPr="003E4012">
        <w:t>September 1, USA.</w:t>
      </w:r>
    </w:p>
    <w:p w:rsidR="007C6A1F" w:rsidRDefault="007C6A1F" w:rsidP="007600C9">
      <w:pPr>
        <w:spacing w:after="120" w:line="240" w:lineRule="auto"/>
        <w:ind w:left="180" w:right="-262" w:hanging="360"/>
        <w:jc w:val="both"/>
        <w:rPr>
          <w:lang w:val="en-GB"/>
        </w:rPr>
      </w:pPr>
      <w:r w:rsidRPr="003E4012">
        <w:rPr>
          <w:lang w:val="en-GB"/>
        </w:rPr>
        <w:t xml:space="preserve">Anderies, J. M., Janssen, M. A. y E. Ostrom (2004). “A framework to analyze the robustness of social-ecological systems from an institutional perspective”, </w:t>
      </w:r>
      <w:r w:rsidRPr="003E4012">
        <w:rPr>
          <w:i/>
          <w:lang w:val="en-GB"/>
        </w:rPr>
        <w:t>Ecology and Society</w:t>
      </w:r>
      <w:r w:rsidRPr="003E4012">
        <w:rPr>
          <w:lang w:val="en-GB"/>
        </w:rPr>
        <w:t>, 9 (1), art. 18.</w:t>
      </w:r>
    </w:p>
    <w:p w:rsidR="007C6A1F" w:rsidRDefault="007C6A1F" w:rsidP="007600C9">
      <w:pPr>
        <w:spacing w:after="120" w:line="240" w:lineRule="auto"/>
        <w:ind w:left="180" w:right="-262" w:hanging="360"/>
        <w:jc w:val="both"/>
        <w:rPr>
          <w:bCs/>
        </w:rPr>
      </w:pPr>
      <w:r w:rsidRPr="003E4012">
        <w:rPr>
          <w:bCs/>
          <w:lang w:val="fr-FR"/>
        </w:rPr>
        <w:t xml:space="preserve">Aoki, M. et al. (2001). </w:t>
      </w:r>
      <w:r w:rsidRPr="003E4012">
        <w:rPr>
          <w:bCs/>
          <w:i/>
          <w:lang w:val="fr-FR"/>
        </w:rPr>
        <w:t>Comparative Institutional Analysis</w:t>
      </w:r>
      <w:r w:rsidRPr="003E4012">
        <w:rPr>
          <w:bCs/>
          <w:lang w:val="fr-FR"/>
        </w:rPr>
        <w:t xml:space="preserve">. </w:t>
      </w:r>
      <w:r w:rsidRPr="003E4012">
        <w:rPr>
          <w:bCs/>
        </w:rPr>
        <w:t>The MIT Press. Cambridge.</w:t>
      </w:r>
      <w:r>
        <w:rPr>
          <w:bCs/>
        </w:rPr>
        <w:tab/>
      </w:r>
    </w:p>
    <w:p w:rsidR="007C6A1F" w:rsidRDefault="007C6A1F" w:rsidP="007600C9">
      <w:pPr>
        <w:spacing w:after="120" w:line="240" w:lineRule="auto"/>
        <w:ind w:left="180" w:right="-262" w:hanging="360"/>
        <w:jc w:val="both"/>
        <w:rPr>
          <w:bCs/>
        </w:rPr>
      </w:pPr>
      <w:r w:rsidRPr="003E4012">
        <w:rPr>
          <w:bCs/>
        </w:rPr>
        <w:t xml:space="preserve">Arias, X. C. y G. Caballero (2003). “Instituciones, Costes de Transacción y Políticas Públicas: un panorama”, </w:t>
      </w:r>
      <w:r w:rsidRPr="003E4012">
        <w:rPr>
          <w:bCs/>
          <w:i/>
        </w:rPr>
        <w:t>Revista de Economía Institucional</w:t>
      </w:r>
      <w:r w:rsidRPr="003E4012">
        <w:rPr>
          <w:bCs/>
        </w:rPr>
        <w:t>, N. 8, pp. 117-146.</w:t>
      </w:r>
    </w:p>
    <w:p w:rsidR="007C6A1F" w:rsidRDefault="007C6A1F" w:rsidP="007600C9">
      <w:pPr>
        <w:spacing w:after="120" w:line="240" w:lineRule="auto"/>
        <w:ind w:left="180" w:right="-262" w:hanging="360"/>
        <w:jc w:val="both"/>
        <w:rPr>
          <w:lang w:val="en-GB"/>
        </w:rPr>
      </w:pPr>
      <w:r w:rsidRPr="003E4012">
        <w:rPr>
          <w:bCs/>
          <w:lang w:val="en-GB"/>
        </w:rPr>
        <w:t xml:space="preserve">Arrow, K. J. (1969): “The organization of economic activity: Issues pertinent to the choice of market versus nonmarket allocation”, 91st Congress The Analysis and Evaluation of Public Expenditure: The PPB System, Vol. 1, pp. 59-73. Government Printing Office. </w:t>
      </w:r>
      <w:smartTag w:uri="urn:schemas-microsoft-com:office:smarttags" w:element="place">
        <w:smartTag w:uri="urn:schemas-microsoft-com:office:smarttags" w:element="City">
          <w:r w:rsidRPr="003E4012">
            <w:rPr>
              <w:bCs/>
              <w:lang w:val="en-GB"/>
            </w:rPr>
            <w:t>Washington</w:t>
          </w:r>
        </w:smartTag>
        <w:r w:rsidRPr="003E4012">
          <w:rPr>
            <w:bCs/>
            <w:lang w:val="en-GB"/>
          </w:rPr>
          <w:t xml:space="preserve"> </w:t>
        </w:r>
        <w:smartTag w:uri="urn:schemas-microsoft-com:office:smarttags" w:element="State">
          <w:r w:rsidRPr="003E4012">
            <w:rPr>
              <w:bCs/>
              <w:lang w:val="en-GB"/>
            </w:rPr>
            <w:t>DC</w:t>
          </w:r>
        </w:smartTag>
      </w:smartTag>
      <w:r w:rsidRPr="003E4012">
        <w:rPr>
          <w:bCs/>
          <w:lang w:val="en-GB"/>
        </w:rPr>
        <w:t xml:space="preserve">. </w:t>
      </w:r>
    </w:p>
    <w:p w:rsidR="007C6A1F" w:rsidRPr="007C6A1F" w:rsidRDefault="007C6A1F" w:rsidP="007600C9">
      <w:pPr>
        <w:spacing w:after="120" w:line="240" w:lineRule="auto"/>
        <w:ind w:left="180" w:right="-262" w:hanging="360"/>
        <w:jc w:val="both"/>
        <w:rPr>
          <w:lang w:val="en-GB"/>
        </w:rPr>
      </w:pPr>
      <w:r w:rsidRPr="003E4012">
        <w:rPr>
          <w:bCs/>
          <w:lang w:val="en-GB"/>
        </w:rPr>
        <w:t xml:space="preserve">Arrow, K. J. (1987). “Reflections on the Essays”, pp. 727- 734, en FEIWEL, G.: </w:t>
      </w:r>
      <w:r w:rsidRPr="003E4012">
        <w:rPr>
          <w:bCs/>
          <w:i/>
          <w:lang w:val="en-GB"/>
        </w:rPr>
        <w:t>Arrow and the Foundations of the Theory of Economic Policy</w:t>
      </w:r>
      <w:r w:rsidRPr="003E4012">
        <w:rPr>
          <w:bCs/>
          <w:lang w:val="en-GB"/>
        </w:rPr>
        <w:t>. New York University Press. Nueva York.</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Becker, C. D. y E. Ostrom (1995). “Human ecology and resource sustainability”, </w:t>
      </w:r>
      <w:r w:rsidRPr="003E4012">
        <w:rPr>
          <w:bCs/>
          <w:i/>
          <w:lang w:val="en-GB"/>
        </w:rPr>
        <w:t>Ann. Rev. Ecol. Syst.</w:t>
      </w:r>
      <w:r w:rsidRPr="003E4012">
        <w:rPr>
          <w:bCs/>
          <w:lang w:val="en-GB"/>
        </w:rPr>
        <w:t>, 26, pp. 113-133.</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Brinton, M. C. y V. Nee (eds) (1998). </w:t>
      </w:r>
      <w:r w:rsidRPr="003E4012">
        <w:rPr>
          <w:bCs/>
          <w:i/>
          <w:iCs/>
          <w:lang w:val="en-GB"/>
        </w:rPr>
        <w:t>The New Institutionalism in Sociology</w:t>
      </w:r>
      <w:r w:rsidRPr="003E4012">
        <w:rPr>
          <w:bCs/>
          <w:lang w:val="en-GB"/>
        </w:rPr>
        <w:t>. Russell Sage Foundation. Nueva York.</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Brondizio, E. S., Ostrom, E. y O. R. Young (2009): “Connectivity and the Governance of Multilevel Social-Ecological Systems: The role of social capital”, </w:t>
      </w:r>
      <w:r w:rsidRPr="003E4012">
        <w:rPr>
          <w:bCs/>
          <w:i/>
          <w:lang w:val="en-GB"/>
        </w:rPr>
        <w:t>Annual Review of Environment and Resources</w:t>
      </w:r>
      <w:r w:rsidRPr="003E4012">
        <w:rPr>
          <w:bCs/>
          <w:lang w:val="en-GB"/>
        </w:rPr>
        <w:t xml:space="preserve">, 34, pp. 253-278. </w:t>
      </w:r>
    </w:p>
    <w:p w:rsidR="007C6A1F" w:rsidRPr="003E4012" w:rsidRDefault="007C6A1F" w:rsidP="007600C9">
      <w:pPr>
        <w:spacing w:after="120" w:line="240" w:lineRule="auto"/>
        <w:ind w:left="180" w:right="-262" w:hanging="360"/>
        <w:jc w:val="both"/>
        <w:rPr>
          <w:bCs/>
        </w:rPr>
      </w:pPr>
      <w:r w:rsidRPr="003E4012">
        <w:rPr>
          <w:bCs/>
        </w:rPr>
        <w:t xml:space="preserve">Caballero, G. (2001). “La Nueva Economía Institucional”, </w:t>
      </w:r>
      <w:r w:rsidRPr="003E4012">
        <w:rPr>
          <w:bCs/>
          <w:i/>
        </w:rPr>
        <w:t>Sistema</w:t>
      </w:r>
      <w:r w:rsidRPr="003E4012">
        <w:rPr>
          <w:bCs/>
        </w:rPr>
        <w:t>, N. 156, pp. 59-86.</w:t>
      </w:r>
    </w:p>
    <w:p w:rsidR="007C6A1F" w:rsidRPr="003E4012" w:rsidRDefault="007C6A1F" w:rsidP="007600C9">
      <w:pPr>
        <w:spacing w:after="120" w:line="240" w:lineRule="auto"/>
        <w:ind w:left="180" w:right="-262" w:hanging="360"/>
        <w:jc w:val="both"/>
        <w:rPr>
          <w:bCs/>
        </w:rPr>
      </w:pPr>
      <w:r w:rsidRPr="003E4012">
        <w:rPr>
          <w:bCs/>
        </w:rPr>
        <w:t xml:space="preserve">Caballero, G. (2002). “El programa de la nueva economía institucional: lo macro, lo micro y lo político”, </w:t>
      </w:r>
      <w:r w:rsidRPr="003E4012">
        <w:rPr>
          <w:bCs/>
          <w:i/>
        </w:rPr>
        <w:t>Ekonomiaz</w:t>
      </w:r>
      <w:r w:rsidRPr="003E4012">
        <w:rPr>
          <w:bCs/>
        </w:rPr>
        <w:t>, N. 50, pp. 230-261.</w:t>
      </w:r>
    </w:p>
    <w:p w:rsidR="007C6A1F" w:rsidRDefault="007C6A1F" w:rsidP="007600C9">
      <w:pPr>
        <w:spacing w:after="120" w:line="240" w:lineRule="auto"/>
        <w:ind w:left="180" w:right="-262" w:hanging="360"/>
        <w:jc w:val="both"/>
        <w:rPr>
          <w:bCs/>
        </w:rPr>
      </w:pPr>
      <w:r w:rsidRPr="003E4012">
        <w:rPr>
          <w:bCs/>
        </w:rPr>
        <w:lastRenderedPageBreak/>
        <w:t xml:space="preserve">Caballero, G. (2004). “Instituciones e Historia Económica: enfoques y teorías institucionales”, </w:t>
      </w:r>
      <w:r w:rsidRPr="003E4012">
        <w:rPr>
          <w:bCs/>
          <w:i/>
        </w:rPr>
        <w:t>Revista de Economía Institucional</w:t>
      </w:r>
      <w:r w:rsidRPr="003E4012">
        <w:rPr>
          <w:bCs/>
        </w:rPr>
        <w:t>, N. 10, pp. 137-157.</w:t>
      </w:r>
    </w:p>
    <w:p w:rsidR="007C6A1F" w:rsidRDefault="007C6A1F" w:rsidP="007600C9">
      <w:pPr>
        <w:spacing w:after="120" w:line="240" w:lineRule="auto"/>
        <w:ind w:left="180" w:right="-262" w:hanging="360"/>
        <w:jc w:val="both"/>
      </w:pPr>
      <w:r w:rsidRPr="00F24B9F">
        <w:t xml:space="preserve">Caballero, G. (2005). “Instituciones, federalismo defensor de mercados y Estado de las Autonomías. Un análisis de segunda generación”, </w:t>
      </w:r>
      <w:r w:rsidRPr="00F24B9F">
        <w:rPr>
          <w:i/>
        </w:rPr>
        <w:t>El Trimestre Económico</w:t>
      </w:r>
      <w:r w:rsidRPr="00F24B9F">
        <w:t>, N. 286, pp. 283-327.</w:t>
      </w:r>
    </w:p>
    <w:p w:rsidR="007C6A1F" w:rsidRDefault="007C6A1F" w:rsidP="007600C9">
      <w:pPr>
        <w:spacing w:after="120" w:line="240" w:lineRule="auto"/>
        <w:ind w:left="180" w:right="-262" w:hanging="360"/>
        <w:jc w:val="both"/>
      </w:pPr>
      <w:r w:rsidRPr="00F24B9F">
        <w:t xml:space="preserve">Caballero, G. (2006): “La economía política de la organización industrial del Congreso de los Diputados en España: Derechos de propiedad, transacciones y jerarquías”, </w:t>
      </w:r>
      <w:r w:rsidRPr="00F24B9F">
        <w:rPr>
          <w:i/>
        </w:rPr>
        <w:t>El Trimestre Económico</w:t>
      </w:r>
      <w:r w:rsidRPr="00F24B9F">
        <w:t>, Vol. LXXIII, N. 291,</w:t>
      </w:r>
      <w:r>
        <w:t xml:space="preserve"> pp. 637-666.</w:t>
      </w:r>
    </w:p>
    <w:p w:rsidR="007C6A1F" w:rsidRDefault="007C6A1F" w:rsidP="007600C9">
      <w:pPr>
        <w:spacing w:after="120" w:line="240" w:lineRule="auto"/>
        <w:ind w:left="180" w:right="-262" w:hanging="360"/>
        <w:jc w:val="both"/>
      </w:pPr>
      <w:r w:rsidRPr="00F24B9F">
        <w:t xml:space="preserve">Caballero, G. (2008): “El cambio institucional de la economía española del franquismo a la democracia: un análisis histórico institucional”, </w:t>
      </w:r>
      <w:r w:rsidRPr="00F24B9F">
        <w:rPr>
          <w:i/>
        </w:rPr>
        <w:t>Política y Gobierno</w:t>
      </w:r>
      <w:r w:rsidRPr="00F24B9F">
        <w:t>, V. XV, Núm. 2</w:t>
      </w:r>
      <w:r>
        <w:t>, pp. 353-402.</w:t>
      </w:r>
    </w:p>
    <w:p w:rsidR="00B564A2" w:rsidRPr="007C6A1F" w:rsidRDefault="00B564A2" w:rsidP="007600C9">
      <w:pPr>
        <w:spacing w:after="120" w:line="240" w:lineRule="auto"/>
        <w:ind w:left="180" w:right="-262" w:hanging="360"/>
        <w:jc w:val="both"/>
        <w:rPr>
          <w:bCs/>
        </w:rPr>
      </w:pPr>
      <w:r>
        <w:t>Caballero, G. (2011): “Economía de las Instituciones: De Coase y North a Williamson y Ostrom”, Ekonomiaz, 77.</w:t>
      </w:r>
    </w:p>
    <w:p w:rsidR="00013B8B" w:rsidRDefault="007C6A1F" w:rsidP="007600C9">
      <w:pPr>
        <w:spacing w:after="120" w:line="240" w:lineRule="auto"/>
        <w:ind w:left="180" w:right="-262" w:hanging="360"/>
        <w:jc w:val="both"/>
        <w:rPr>
          <w:bCs/>
        </w:rPr>
      </w:pPr>
      <w:r w:rsidRPr="00F24B9F">
        <w:rPr>
          <w:bCs/>
        </w:rPr>
        <w:t xml:space="preserve">Caballero, G. y X. C. Arias (2003): “Una reorientación teórica de la economía política: el análisis político de costes de transacción”, </w:t>
      </w:r>
      <w:r w:rsidRPr="00F24B9F">
        <w:rPr>
          <w:bCs/>
          <w:i/>
          <w:iCs/>
        </w:rPr>
        <w:t>Revista Española de Ciencia Política</w:t>
      </w:r>
      <w:r w:rsidRPr="00F24B9F">
        <w:rPr>
          <w:bCs/>
        </w:rPr>
        <w:t>.</w:t>
      </w:r>
    </w:p>
    <w:p w:rsidR="00013B8B" w:rsidRPr="007275BA" w:rsidRDefault="00013B8B" w:rsidP="007600C9">
      <w:pPr>
        <w:spacing w:after="120" w:line="240" w:lineRule="auto"/>
        <w:ind w:left="180" w:right="-262" w:hanging="360"/>
        <w:jc w:val="both"/>
        <w:rPr>
          <w:bCs/>
        </w:rPr>
      </w:pPr>
      <w:r w:rsidRPr="00013B8B">
        <w:rPr>
          <w:lang w:val="en-US"/>
        </w:rPr>
        <w:t xml:space="preserve">Caballero, G.; Garza, M.D. y M. Varela (2008): </w:t>
      </w:r>
      <w:r w:rsidRPr="0075626C">
        <w:rPr>
          <w:lang w:val="en-US"/>
        </w:rPr>
        <w:t>“Institutions and Management of Fishing Resources: The governance of the Galic</w:t>
      </w:r>
      <w:r w:rsidRPr="0075626C">
        <w:rPr>
          <w:lang w:val="en-GB"/>
        </w:rPr>
        <w:t xml:space="preserve">ian model”. </w:t>
      </w:r>
      <w:r w:rsidRPr="007275BA">
        <w:rPr>
          <w:i/>
        </w:rPr>
        <w:t>Ocean &amp; Coastal Management</w:t>
      </w:r>
      <w:r w:rsidRPr="007275BA">
        <w:t>, 51(8-9):pp. 625-631.</w:t>
      </w:r>
    </w:p>
    <w:p w:rsidR="007C6A1F" w:rsidRDefault="007C6A1F" w:rsidP="007600C9">
      <w:pPr>
        <w:spacing w:after="120" w:line="240" w:lineRule="auto"/>
        <w:ind w:left="180" w:right="-262" w:hanging="360"/>
        <w:jc w:val="both"/>
        <w:rPr>
          <w:bCs/>
        </w:rPr>
      </w:pPr>
      <w:r w:rsidRPr="007275BA">
        <w:rPr>
          <w:bCs/>
        </w:rPr>
        <w:t xml:space="preserve">Caballero, G. y C. Kingston (2005a). </w:t>
      </w:r>
      <w:r w:rsidRPr="00F24B9F">
        <w:rPr>
          <w:bCs/>
        </w:rPr>
        <w:t xml:space="preserve">“Capital social e instituciones en el proceso de cambio económico”, </w:t>
      </w:r>
      <w:r w:rsidRPr="00F24B9F">
        <w:rPr>
          <w:bCs/>
          <w:i/>
        </w:rPr>
        <w:t>Ekonomiaz</w:t>
      </w:r>
      <w:r w:rsidRPr="00F24B9F">
        <w:rPr>
          <w:bCs/>
        </w:rPr>
        <w:t>, N. 59, pp. 72-93.</w:t>
      </w:r>
    </w:p>
    <w:p w:rsidR="007C6A1F" w:rsidRDefault="007C6A1F" w:rsidP="007600C9">
      <w:pPr>
        <w:spacing w:after="120" w:line="240" w:lineRule="auto"/>
        <w:ind w:left="180" w:right="-262" w:hanging="360"/>
        <w:jc w:val="both"/>
      </w:pPr>
      <w:r w:rsidRPr="00F24B9F">
        <w:t xml:space="preserve">Caballero, G. y C. Kingston (2005b): “Cambio cultural, dinámica institucional y ciencia cognitiva: hacia una comprensión multidisciplinaria del desarrollo económico”, </w:t>
      </w:r>
      <w:r w:rsidRPr="00F24B9F">
        <w:rPr>
          <w:i/>
        </w:rPr>
        <w:t>Revista de Economía Institucional</w:t>
      </w:r>
      <w:r w:rsidRPr="00F24B9F">
        <w:t>, Vol. 7, N. 13, pp. 327-336.</w:t>
      </w:r>
    </w:p>
    <w:p w:rsidR="007C6A1F" w:rsidRDefault="007C6A1F" w:rsidP="007600C9">
      <w:pPr>
        <w:spacing w:after="120" w:line="240" w:lineRule="auto"/>
        <w:ind w:left="180" w:right="-262" w:hanging="360"/>
        <w:jc w:val="both"/>
        <w:rPr>
          <w:bCs/>
          <w:lang w:val="en-GB"/>
        </w:rPr>
      </w:pPr>
      <w:r w:rsidRPr="00F475E9">
        <w:rPr>
          <w:bCs/>
          <w:lang w:val="en-US"/>
        </w:rPr>
        <w:t xml:space="preserve">Coase, R. H. (1937). </w:t>
      </w:r>
      <w:r w:rsidRPr="00F24B9F">
        <w:rPr>
          <w:bCs/>
          <w:lang w:val="en-GB"/>
        </w:rPr>
        <w:t xml:space="preserve">“The Nature of the Firm”, </w:t>
      </w:r>
      <w:r w:rsidRPr="00F24B9F">
        <w:rPr>
          <w:bCs/>
          <w:i/>
          <w:lang w:val="en-GB"/>
        </w:rPr>
        <w:t>Economica</w:t>
      </w:r>
      <w:r w:rsidRPr="00F24B9F">
        <w:rPr>
          <w:bCs/>
          <w:lang w:val="en-GB"/>
        </w:rPr>
        <w:t>, N. 4, pp. 386-405.</w:t>
      </w:r>
    </w:p>
    <w:p w:rsidR="007C6A1F" w:rsidRDefault="007C6A1F" w:rsidP="007600C9">
      <w:pPr>
        <w:spacing w:after="120" w:line="240" w:lineRule="auto"/>
        <w:ind w:left="180" w:right="-262" w:hanging="360"/>
        <w:jc w:val="both"/>
        <w:rPr>
          <w:bCs/>
          <w:lang w:val="en-GB"/>
        </w:rPr>
      </w:pPr>
      <w:r w:rsidRPr="00F24B9F">
        <w:rPr>
          <w:bCs/>
          <w:lang w:val="en-GB"/>
        </w:rPr>
        <w:t>Coase, R. H. (1960</w:t>
      </w:r>
      <w:r w:rsidRPr="003E4012">
        <w:rPr>
          <w:bCs/>
          <w:lang w:val="en-GB"/>
        </w:rPr>
        <w:t xml:space="preserve">). “The Problem of Social Cost”, </w:t>
      </w:r>
      <w:r w:rsidRPr="003E4012">
        <w:rPr>
          <w:bCs/>
          <w:i/>
          <w:lang w:val="en-GB"/>
        </w:rPr>
        <w:t>Journal of Law and Economics</w:t>
      </w:r>
      <w:r w:rsidRPr="003E4012">
        <w:rPr>
          <w:bCs/>
          <w:iCs/>
          <w:lang w:val="en-GB"/>
        </w:rPr>
        <w:t xml:space="preserve">, V. </w:t>
      </w:r>
      <w:r w:rsidRPr="003E4012">
        <w:rPr>
          <w:bCs/>
          <w:lang w:val="en-GB"/>
        </w:rPr>
        <w:t>3, N. 1, pp. 1-44.</w:t>
      </w:r>
    </w:p>
    <w:p w:rsidR="007C6A1F" w:rsidRDefault="007C6A1F" w:rsidP="007600C9">
      <w:pPr>
        <w:spacing w:after="120" w:line="240" w:lineRule="auto"/>
        <w:ind w:left="180" w:right="-262" w:hanging="360"/>
        <w:jc w:val="both"/>
        <w:rPr>
          <w:bCs/>
          <w:lang w:val="en-GB"/>
        </w:rPr>
      </w:pPr>
      <w:r w:rsidRPr="003E4012">
        <w:rPr>
          <w:bCs/>
          <w:lang w:val="en-GB"/>
        </w:rPr>
        <w:t xml:space="preserve">Coase, R. H. (1999a). “An Interview with Ronald Coase”, </w:t>
      </w:r>
      <w:r w:rsidRPr="003E4012">
        <w:rPr>
          <w:bCs/>
          <w:i/>
          <w:lang w:val="en-GB"/>
        </w:rPr>
        <w:t>ISNIE Newsletter</w:t>
      </w:r>
      <w:r w:rsidRPr="003E4012">
        <w:rPr>
          <w:bCs/>
          <w:lang w:val="en-GB"/>
        </w:rPr>
        <w:t>, Vol. 2, N. 1, pp. 3-10.</w:t>
      </w:r>
    </w:p>
    <w:p w:rsidR="007C6A1F" w:rsidRPr="007C6A1F" w:rsidRDefault="007C6A1F" w:rsidP="007600C9">
      <w:pPr>
        <w:spacing w:after="120" w:line="240" w:lineRule="auto"/>
        <w:ind w:left="180" w:right="-262" w:hanging="360"/>
        <w:jc w:val="both"/>
        <w:rPr>
          <w:bCs/>
          <w:lang w:val="en-US"/>
        </w:rPr>
      </w:pPr>
      <w:r w:rsidRPr="003E4012">
        <w:rPr>
          <w:bCs/>
          <w:lang w:val="en-GB"/>
        </w:rPr>
        <w:t xml:space="preserve">Coase, R. H. (1999b): “The task of the Society”, </w:t>
      </w:r>
      <w:r w:rsidRPr="003E4012">
        <w:rPr>
          <w:bCs/>
          <w:i/>
          <w:lang w:val="en-GB"/>
        </w:rPr>
        <w:t>ISNIE Newsletter</w:t>
      </w:r>
      <w:r w:rsidRPr="003E4012">
        <w:rPr>
          <w:bCs/>
          <w:lang w:val="en-GB"/>
        </w:rPr>
        <w:t>, Vol. 2, N. 2, pp. 1-6.</w:t>
      </w:r>
    </w:p>
    <w:p w:rsidR="007C6A1F" w:rsidRPr="007C6A1F" w:rsidRDefault="007C6A1F" w:rsidP="007600C9">
      <w:pPr>
        <w:spacing w:after="120" w:line="240" w:lineRule="auto"/>
        <w:ind w:left="180" w:right="-262" w:hanging="360"/>
        <w:jc w:val="both"/>
        <w:rPr>
          <w:bCs/>
          <w:lang w:val="en-GB"/>
        </w:rPr>
      </w:pPr>
      <w:r w:rsidRPr="003E4012">
        <w:rPr>
          <w:lang w:val="en-GB"/>
        </w:rPr>
        <w:t xml:space="preserve">Dietz, T., Ostrom, E. y P. C. Stern (2003). “The struggle to govern the commons”, </w:t>
      </w:r>
      <w:r w:rsidRPr="003E4012">
        <w:rPr>
          <w:i/>
          <w:lang w:val="en-GB"/>
        </w:rPr>
        <w:t>Science</w:t>
      </w:r>
      <w:r w:rsidRPr="003E4012">
        <w:rPr>
          <w:lang w:val="en-GB"/>
        </w:rPr>
        <w:t>, Vol. 302, pp. 1907-1912.</w:t>
      </w:r>
    </w:p>
    <w:p w:rsidR="007C6A1F" w:rsidRDefault="007C6A1F" w:rsidP="007600C9">
      <w:pPr>
        <w:spacing w:after="120" w:line="240" w:lineRule="auto"/>
        <w:ind w:left="180" w:right="-262" w:hanging="360"/>
        <w:jc w:val="both"/>
        <w:rPr>
          <w:bCs/>
          <w:lang w:val="en-GB"/>
        </w:rPr>
      </w:pPr>
      <w:r w:rsidRPr="003E4012">
        <w:rPr>
          <w:bCs/>
          <w:lang w:val="en-GB"/>
        </w:rPr>
        <w:t xml:space="preserve">Dixit, A. (1996). </w:t>
      </w:r>
      <w:r w:rsidRPr="003E4012">
        <w:rPr>
          <w:bCs/>
          <w:i/>
          <w:lang w:val="en-GB"/>
        </w:rPr>
        <w:t>The making of Economic Policy: A Transaction-Cost Politics Perspective</w:t>
      </w:r>
      <w:r w:rsidRPr="003E4012">
        <w:rPr>
          <w:bCs/>
          <w:lang w:val="en-GB"/>
        </w:rPr>
        <w:t>. The MIT Press. Cambridge.</w:t>
      </w:r>
    </w:p>
    <w:p w:rsidR="007C6A1F" w:rsidRDefault="007C6A1F" w:rsidP="007600C9">
      <w:pPr>
        <w:spacing w:after="120" w:line="240" w:lineRule="auto"/>
        <w:ind w:left="180" w:right="-262" w:hanging="360"/>
        <w:jc w:val="both"/>
        <w:rPr>
          <w:bCs/>
          <w:lang w:val="en-GB"/>
        </w:rPr>
      </w:pPr>
      <w:r w:rsidRPr="003E4012">
        <w:rPr>
          <w:bCs/>
          <w:lang w:val="en-GB"/>
        </w:rPr>
        <w:t xml:space="preserve">Eggertsson, T. (1990). </w:t>
      </w:r>
      <w:r w:rsidRPr="003E4012">
        <w:rPr>
          <w:bCs/>
          <w:i/>
          <w:lang w:val="en-GB"/>
        </w:rPr>
        <w:t>Economic Behaviour and Institutions</w:t>
      </w:r>
      <w:r w:rsidRPr="003E4012">
        <w:rPr>
          <w:bCs/>
          <w:lang w:val="en-GB"/>
        </w:rPr>
        <w:t>. Cambridge University Press. Cambridge.</w:t>
      </w:r>
    </w:p>
    <w:p w:rsidR="007C6A1F" w:rsidRDefault="007C6A1F" w:rsidP="007600C9">
      <w:pPr>
        <w:spacing w:after="120" w:line="240" w:lineRule="auto"/>
        <w:ind w:left="180" w:right="-262" w:hanging="360"/>
        <w:jc w:val="both"/>
        <w:rPr>
          <w:bCs/>
          <w:lang w:val="en-GB"/>
        </w:rPr>
      </w:pPr>
      <w:r w:rsidRPr="003E4012">
        <w:rPr>
          <w:bCs/>
          <w:lang w:val="en-GB"/>
        </w:rPr>
        <w:t xml:space="preserve">Eggertsson, T. (2005): </w:t>
      </w:r>
      <w:r w:rsidRPr="003E4012">
        <w:rPr>
          <w:bCs/>
          <w:i/>
          <w:lang w:val="en-GB"/>
        </w:rPr>
        <w:t>Imperfect Institutions</w:t>
      </w:r>
      <w:r w:rsidRPr="003E4012">
        <w:rPr>
          <w:bCs/>
          <w:lang w:val="en-GB"/>
        </w:rPr>
        <w:t>. Ann Arbor: The University of Michigan Press.</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Furubotn, E. G. y R. Richter (1998). </w:t>
      </w:r>
      <w:r w:rsidRPr="003E4012">
        <w:rPr>
          <w:bCs/>
          <w:i/>
          <w:iCs/>
          <w:lang w:val="en-GB"/>
        </w:rPr>
        <w:t>Institutions and Economic Theory. The Contribution of the New Institutional Economics</w:t>
      </w:r>
      <w:r w:rsidRPr="003E4012">
        <w:rPr>
          <w:bCs/>
          <w:lang w:val="en-GB"/>
        </w:rPr>
        <w:t xml:space="preserve">. The University of Michigan Press. </w:t>
      </w:r>
      <w:smartTag w:uri="urn:schemas-microsoft-com:office:smarttags" w:element="State">
        <w:smartTag w:uri="urn:schemas-microsoft-com:office:smarttags" w:element="place">
          <w:r w:rsidRPr="003E4012">
            <w:rPr>
              <w:bCs/>
              <w:lang w:val="en-GB"/>
            </w:rPr>
            <w:t>Michigan</w:t>
          </w:r>
        </w:smartTag>
      </w:smartTag>
      <w:r w:rsidRPr="003E4012">
        <w:rPr>
          <w:bCs/>
          <w:lang w:val="en-GB"/>
        </w:rPr>
        <w:t>.</w:t>
      </w:r>
    </w:p>
    <w:p w:rsidR="007C6A1F" w:rsidRDefault="007C6A1F" w:rsidP="007600C9">
      <w:pPr>
        <w:spacing w:after="120" w:line="240" w:lineRule="auto"/>
        <w:ind w:left="180" w:right="-262" w:hanging="360"/>
        <w:jc w:val="both"/>
        <w:rPr>
          <w:bCs/>
          <w:lang w:val="en-GB"/>
        </w:rPr>
      </w:pPr>
      <w:smartTag w:uri="urn:schemas-microsoft-com:office:smarttags" w:element="City">
        <w:smartTag w:uri="urn:schemas-microsoft-com:office:smarttags" w:element="place">
          <w:r w:rsidRPr="003E4012">
            <w:rPr>
              <w:bCs/>
              <w:lang w:val="en-GB"/>
            </w:rPr>
            <w:t>Gardner</w:t>
          </w:r>
        </w:smartTag>
      </w:smartTag>
      <w:r w:rsidRPr="003E4012">
        <w:rPr>
          <w:bCs/>
          <w:lang w:val="en-GB"/>
        </w:rPr>
        <w:t xml:space="preserve">, R. y </w:t>
      </w:r>
      <w:smartTag w:uri="urn:schemas-microsoft-com:office:smarttags" w:element="place">
        <w:r w:rsidRPr="003E4012">
          <w:rPr>
            <w:bCs/>
            <w:lang w:val="en-GB"/>
          </w:rPr>
          <w:t>E. Ostrom</w:t>
        </w:r>
      </w:smartTag>
      <w:r w:rsidRPr="003E4012">
        <w:rPr>
          <w:bCs/>
          <w:lang w:val="en-GB"/>
        </w:rPr>
        <w:t xml:space="preserve"> (1991): “Rules and Games”, </w:t>
      </w:r>
      <w:r w:rsidRPr="003E4012">
        <w:rPr>
          <w:bCs/>
          <w:i/>
          <w:lang w:val="en-GB"/>
        </w:rPr>
        <w:t>Public Choice</w:t>
      </w:r>
      <w:r w:rsidRPr="003E4012">
        <w:rPr>
          <w:bCs/>
          <w:lang w:val="en-GB"/>
        </w:rPr>
        <w:t>, N. 70, pp. 121-149.</w:t>
      </w:r>
    </w:p>
    <w:p w:rsidR="007C6A1F" w:rsidRPr="008406E2" w:rsidRDefault="007C6A1F" w:rsidP="007600C9">
      <w:pPr>
        <w:spacing w:after="120" w:line="240" w:lineRule="auto"/>
        <w:ind w:left="180" w:right="-262" w:hanging="360"/>
        <w:jc w:val="both"/>
        <w:rPr>
          <w:bCs/>
          <w:lang w:val="en-US"/>
        </w:rPr>
      </w:pPr>
      <w:r>
        <w:rPr>
          <w:bCs/>
          <w:lang w:val="en-GB"/>
        </w:rPr>
        <w:t>Garoupa</w:t>
      </w:r>
      <w:r w:rsidRPr="008406E2">
        <w:rPr>
          <w:bCs/>
          <w:lang w:val="en-US"/>
        </w:rPr>
        <w:t xml:space="preserve">, N. y F. Stephen (2004). "Optimal Law Enforcement with Legal Aid", </w:t>
      </w:r>
      <w:r w:rsidRPr="008406E2">
        <w:rPr>
          <w:rStyle w:val="nfasis"/>
          <w:bCs/>
          <w:lang w:val="en-US"/>
        </w:rPr>
        <w:t>Economica</w:t>
      </w:r>
      <w:r w:rsidRPr="008406E2">
        <w:rPr>
          <w:bCs/>
          <w:lang w:val="en-US"/>
        </w:rPr>
        <w:t>, vol. 71, pp 493-500.</w:t>
      </w:r>
    </w:p>
    <w:p w:rsidR="007C6A1F" w:rsidRDefault="007C6A1F" w:rsidP="007600C9">
      <w:pPr>
        <w:spacing w:after="120" w:line="240" w:lineRule="auto"/>
        <w:ind w:left="180" w:right="-262" w:hanging="360"/>
        <w:jc w:val="both"/>
        <w:rPr>
          <w:lang w:val="en-GB"/>
        </w:rPr>
      </w:pPr>
      <w:r w:rsidRPr="003E4012">
        <w:t xml:space="preserve">Gibson, C. C., McKean, M. A. y E. Ostrom (2000). </w:t>
      </w:r>
      <w:r w:rsidRPr="003E4012">
        <w:rPr>
          <w:i/>
          <w:lang w:val="en-GB"/>
        </w:rPr>
        <w:t>People and Forests</w:t>
      </w:r>
      <w:r w:rsidRPr="003E4012">
        <w:rPr>
          <w:lang w:val="en-GB"/>
        </w:rPr>
        <w:t>. The MIT Press.</w:t>
      </w:r>
    </w:p>
    <w:p w:rsidR="007C6A1F" w:rsidRDefault="007C6A1F" w:rsidP="007600C9">
      <w:pPr>
        <w:spacing w:after="120" w:line="240" w:lineRule="auto"/>
        <w:ind w:left="180" w:right="-262" w:hanging="360"/>
        <w:jc w:val="both"/>
        <w:rPr>
          <w:lang w:val="en-GB"/>
        </w:rPr>
      </w:pPr>
      <w:r w:rsidRPr="003E4012">
        <w:rPr>
          <w:lang w:val="en-GB"/>
        </w:rPr>
        <w:t xml:space="preserve">Gordon, H. S. (1954). “The economic theory of a common property resource: the fishery”, </w:t>
      </w:r>
      <w:r w:rsidRPr="003E4012">
        <w:rPr>
          <w:i/>
          <w:lang w:val="en-GB"/>
        </w:rPr>
        <w:t>Journal of Political Economy</w:t>
      </w:r>
      <w:r w:rsidRPr="003E4012">
        <w:rPr>
          <w:lang w:val="en-GB"/>
        </w:rPr>
        <w:t>, 62, 124-142.</w:t>
      </w:r>
    </w:p>
    <w:p w:rsidR="007C6A1F" w:rsidRPr="007C6A1F" w:rsidRDefault="007C6A1F" w:rsidP="007600C9">
      <w:pPr>
        <w:spacing w:after="120" w:line="240" w:lineRule="auto"/>
        <w:ind w:left="180" w:right="-262" w:hanging="360"/>
        <w:jc w:val="both"/>
        <w:rPr>
          <w:bCs/>
          <w:lang w:val="en-GB"/>
        </w:rPr>
      </w:pPr>
      <w:r w:rsidRPr="003E4012">
        <w:rPr>
          <w:lang w:val="en-GB"/>
        </w:rPr>
        <w:t xml:space="preserve">Greif, A. (2006). </w:t>
      </w:r>
      <w:r w:rsidRPr="003E4012">
        <w:rPr>
          <w:i/>
          <w:lang w:val="en-GB"/>
        </w:rPr>
        <w:t>Institutions and the path to modern economy</w:t>
      </w:r>
      <w:r w:rsidRPr="003E4012">
        <w:rPr>
          <w:lang w:val="en-GB"/>
        </w:rPr>
        <w:t>, Cambridge University Press.</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Hadfield, G. K. (2005). “The many legal institutions that support contractual commitments”, pp. 175-204, en Menard, C. y M. Shirley (ed): </w:t>
      </w:r>
      <w:r w:rsidRPr="003E4012">
        <w:rPr>
          <w:bCs/>
          <w:i/>
          <w:iCs/>
          <w:lang w:val="en-GB"/>
        </w:rPr>
        <w:t>Handbook of New Institutional Economics</w:t>
      </w:r>
      <w:r w:rsidRPr="003E4012">
        <w:rPr>
          <w:bCs/>
          <w:lang w:val="en-GB"/>
        </w:rPr>
        <w:t>. Springer.</w:t>
      </w:r>
    </w:p>
    <w:p w:rsidR="007C6A1F" w:rsidRDefault="007C6A1F" w:rsidP="007600C9">
      <w:pPr>
        <w:spacing w:after="120" w:line="240" w:lineRule="auto"/>
        <w:ind w:left="180" w:right="-262" w:hanging="360"/>
        <w:jc w:val="both"/>
        <w:rPr>
          <w:bCs/>
          <w:lang w:val="en-GB"/>
        </w:rPr>
      </w:pPr>
      <w:r w:rsidRPr="003E4012">
        <w:rPr>
          <w:bCs/>
          <w:lang w:val="en-GB"/>
        </w:rPr>
        <w:lastRenderedPageBreak/>
        <w:t xml:space="preserve">Hall, P. y R. Taylor (1996). “Political Science and the Three New Institutionalisms”, </w:t>
      </w:r>
      <w:r w:rsidRPr="003E4012">
        <w:rPr>
          <w:bCs/>
          <w:i/>
          <w:iCs/>
          <w:lang w:val="en-GB"/>
        </w:rPr>
        <w:t>Political Studies</w:t>
      </w:r>
      <w:r w:rsidRPr="003E4012">
        <w:rPr>
          <w:bCs/>
          <w:lang w:val="en-GB"/>
        </w:rPr>
        <w:t>, 44, pp. 936-957.</w:t>
      </w:r>
    </w:p>
    <w:p w:rsidR="007C6A1F" w:rsidRDefault="007C6A1F" w:rsidP="007600C9">
      <w:pPr>
        <w:spacing w:after="120" w:line="240" w:lineRule="auto"/>
        <w:ind w:left="180" w:right="-262" w:hanging="360"/>
        <w:jc w:val="both"/>
        <w:rPr>
          <w:bCs/>
          <w:lang w:val="en-GB"/>
        </w:rPr>
      </w:pPr>
      <w:r w:rsidRPr="003E4012">
        <w:rPr>
          <w:lang w:val="en-GB"/>
        </w:rPr>
        <w:t xml:space="preserve">Hardin, G. (1968). “The Tragedy of the Commons”, </w:t>
      </w:r>
      <w:r w:rsidRPr="003E4012">
        <w:rPr>
          <w:i/>
          <w:lang w:val="en-GB"/>
        </w:rPr>
        <w:t>Science</w:t>
      </w:r>
      <w:r w:rsidRPr="003E4012">
        <w:rPr>
          <w:lang w:val="en-GB"/>
        </w:rPr>
        <w:t>, V. 162, pp. 1243-48.</w:t>
      </w:r>
    </w:p>
    <w:p w:rsidR="00D439F7" w:rsidRDefault="00D439F7" w:rsidP="007600C9">
      <w:pPr>
        <w:spacing w:after="120" w:line="240" w:lineRule="auto"/>
        <w:ind w:left="180" w:right="-262" w:hanging="360"/>
        <w:jc w:val="both"/>
        <w:rPr>
          <w:rFonts w:ascii="Calibri" w:eastAsia="Calibri" w:hAnsi="Calibri" w:cs="Times New Roman"/>
          <w:bCs/>
          <w:lang w:val="en-GB"/>
        </w:rPr>
      </w:pPr>
      <w:r>
        <w:rPr>
          <w:rFonts w:ascii="Calibri" w:eastAsia="Calibri" w:hAnsi="Calibri" w:cs="Times New Roman"/>
          <w:bCs/>
          <w:lang w:val="en-GB"/>
        </w:rPr>
        <w:t xml:space="preserve">Henry, P. B. y C. Miller (2009): “Institutions versus Policies: A Tale of </w:t>
      </w:r>
      <w:smartTag w:uri="urn:schemas-microsoft-com:office:smarttags" w:element="place">
        <w:smartTag w:uri="urn:schemas-microsoft-com:office:smarttags" w:element="PlaceName">
          <w:r>
            <w:rPr>
              <w:rFonts w:ascii="Calibri" w:eastAsia="Calibri" w:hAnsi="Calibri" w:cs="Times New Roman"/>
              <w:bCs/>
              <w:lang w:val="en-GB"/>
            </w:rPr>
            <w:t>Two</w:t>
          </w:r>
        </w:smartTag>
        <w:r>
          <w:rPr>
            <w:rFonts w:ascii="Calibri" w:eastAsia="Calibri" w:hAnsi="Calibri" w:cs="Times New Roman"/>
            <w:bCs/>
            <w:lang w:val="en-GB"/>
          </w:rPr>
          <w:t xml:space="preserve"> </w:t>
        </w:r>
        <w:smartTag w:uri="urn:schemas-microsoft-com:office:smarttags" w:element="PlaceType">
          <w:r>
            <w:rPr>
              <w:rFonts w:ascii="Calibri" w:eastAsia="Calibri" w:hAnsi="Calibri" w:cs="Times New Roman"/>
              <w:bCs/>
              <w:lang w:val="en-GB"/>
            </w:rPr>
            <w:t>Islands</w:t>
          </w:r>
        </w:smartTag>
      </w:smartTag>
      <w:r>
        <w:rPr>
          <w:rFonts w:ascii="Calibri" w:eastAsia="Calibri" w:hAnsi="Calibri" w:cs="Times New Roman"/>
          <w:bCs/>
          <w:lang w:val="en-GB"/>
        </w:rPr>
        <w:t xml:space="preserve">”, </w:t>
      </w:r>
      <w:r w:rsidRPr="00D33297">
        <w:rPr>
          <w:rFonts w:ascii="Calibri" w:eastAsia="Calibri" w:hAnsi="Calibri" w:cs="Times New Roman"/>
          <w:bCs/>
          <w:i/>
          <w:lang w:val="en-GB"/>
        </w:rPr>
        <w:t>American Economic Review: Papers &amp; Proceedings</w:t>
      </w:r>
      <w:r>
        <w:rPr>
          <w:rFonts w:ascii="Calibri" w:eastAsia="Calibri" w:hAnsi="Calibri" w:cs="Times New Roman"/>
          <w:bCs/>
          <w:lang w:val="en-GB"/>
        </w:rPr>
        <w:t>, 99 (2), pp. 261-267.</w:t>
      </w:r>
    </w:p>
    <w:p w:rsidR="007C6A1F" w:rsidRDefault="007C6A1F" w:rsidP="007600C9">
      <w:pPr>
        <w:spacing w:after="120" w:line="240" w:lineRule="auto"/>
        <w:ind w:left="180" w:right="-262" w:hanging="360"/>
        <w:jc w:val="both"/>
        <w:rPr>
          <w:bCs/>
          <w:lang w:val="en-GB"/>
        </w:rPr>
      </w:pPr>
      <w:r w:rsidRPr="003E4012">
        <w:rPr>
          <w:bCs/>
          <w:lang w:val="en-GB"/>
        </w:rPr>
        <w:t xml:space="preserve">Hodgson, G. M. (1998): “The Approach of Institutional Economics”, </w:t>
      </w:r>
      <w:r w:rsidRPr="003E4012">
        <w:rPr>
          <w:bCs/>
          <w:i/>
          <w:lang w:val="en-GB"/>
        </w:rPr>
        <w:t>Journal of Economic Literature</w:t>
      </w:r>
      <w:r w:rsidRPr="003E4012">
        <w:rPr>
          <w:bCs/>
          <w:lang w:val="en-GB"/>
        </w:rPr>
        <w:t>, XXXVI, pp. 166-192.</w:t>
      </w:r>
    </w:p>
    <w:p w:rsidR="00BC4917" w:rsidRDefault="007C6A1F" w:rsidP="007600C9">
      <w:pPr>
        <w:spacing w:after="120" w:line="240" w:lineRule="auto"/>
        <w:ind w:left="180" w:hanging="360"/>
        <w:jc w:val="both"/>
        <w:rPr>
          <w:bCs/>
          <w:lang w:val="en-GB"/>
        </w:rPr>
      </w:pPr>
      <w:r w:rsidRPr="003E4012">
        <w:rPr>
          <w:bCs/>
          <w:lang w:val="en-GB"/>
        </w:rPr>
        <w:t xml:space="preserve">Joskow, P. (1991): “The Role of Transaction Cost Economics in Antitrust and Public Utility Regulatory policies”, </w:t>
      </w:r>
      <w:r w:rsidRPr="003E4012">
        <w:rPr>
          <w:bCs/>
          <w:i/>
          <w:lang w:val="en-GB"/>
        </w:rPr>
        <w:t>Journal of Law, Economics and Organization</w:t>
      </w:r>
      <w:r w:rsidRPr="003E4012">
        <w:rPr>
          <w:bCs/>
          <w:lang w:val="en-GB"/>
        </w:rPr>
        <w:t>, N. 7, pp. 53-83.</w:t>
      </w:r>
    </w:p>
    <w:p w:rsidR="007C6A1F" w:rsidRPr="00BC4917" w:rsidRDefault="007C6A1F" w:rsidP="007600C9">
      <w:pPr>
        <w:spacing w:after="120" w:line="240" w:lineRule="auto"/>
        <w:ind w:left="180" w:hanging="360"/>
        <w:jc w:val="both"/>
        <w:rPr>
          <w:bCs/>
          <w:lang w:val="en-GB"/>
        </w:rPr>
      </w:pPr>
      <w:r w:rsidRPr="003E4012">
        <w:rPr>
          <w:lang w:val="en-GB"/>
        </w:rPr>
        <w:t xml:space="preserve">Kingston, C. y G. Caballero (2009). “Comparing theories of institutional change”, </w:t>
      </w:r>
      <w:r w:rsidRPr="003E4012">
        <w:rPr>
          <w:i/>
          <w:lang w:val="en-GB"/>
        </w:rPr>
        <w:t>Journal of Institutional Economics</w:t>
      </w:r>
      <w:r w:rsidRPr="003E4012">
        <w:rPr>
          <w:lang w:val="en-GB"/>
        </w:rPr>
        <w:t>, 5(2), pp. 151-180.</w:t>
      </w:r>
    </w:p>
    <w:p w:rsidR="007C6A1F" w:rsidRPr="003E4012" w:rsidRDefault="007C6A1F" w:rsidP="007600C9">
      <w:pPr>
        <w:spacing w:after="120" w:line="240" w:lineRule="auto"/>
        <w:ind w:left="180" w:hanging="360"/>
        <w:jc w:val="both"/>
        <w:rPr>
          <w:bCs/>
          <w:lang w:val="en-GB"/>
        </w:rPr>
      </w:pPr>
      <w:r w:rsidRPr="003E4012">
        <w:rPr>
          <w:bCs/>
          <w:lang w:val="en-GB"/>
        </w:rPr>
        <w:t xml:space="preserve">Knack, S. y P. Keefer (1997): “Does Social Capital Have an Economic Payoff?. A Cross-Country Investigation”, </w:t>
      </w:r>
      <w:r w:rsidRPr="003E4012">
        <w:rPr>
          <w:bCs/>
          <w:i/>
          <w:lang w:val="en-GB"/>
        </w:rPr>
        <w:t>Quaterly Journal of Economics</w:t>
      </w:r>
      <w:r w:rsidRPr="003E4012">
        <w:rPr>
          <w:bCs/>
          <w:lang w:val="en-GB"/>
        </w:rPr>
        <w:t>, Vol. 112, N. 4, pp. 1251-1288.</w:t>
      </w:r>
    </w:p>
    <w:p w:rsidR="007C6A1F" w:rsidRDefault="007C6A1F" w:rsidP="007600C9">
      <w:pPr>
        <w:spacing w:after="120" w:line="240" w:lineRule="auto"/>
        <w:ind w:left="180" w:right="-262" w:hanging="360"/>
        <w:jc w:val="both"/>
        <w:rPr>
          <w:bCs/>
          <w:lang w:val="en-GB"/>
        </w:rPr>
      </w:pPr>
      <w:r w:rsidRPr="003E4012">
        <w:rPr>
          <w:bCs/>
        </w:rPr>
        <w:t xml:space="preserve">Laerhoven, F. v. y E. Ostrom (2007). </w:t>
      </w:r>
      <w:r w:rsidRPr="003E4012">
        <w:rPr>
          <w:bCs/>
          <w:lang w:val="en-GB"/>
        </w:rPr>
        <w:t>“Traditions and Trends in the Study of the Commons”, International Journal of the Commons, Vol 1 (1), pp. 3-28.</w:t>
      </w:r>
    </w:p>
    <w:p w:rsidR="008370B1" w:rsidRPr="008370B1" w:rsidRDefault="007C6A1F" w:rsidP="007600C9">
      <w:pPr>
        <w:spacing w:after="120" w:line="240" w:lineRule="auto"/>
        <w:ind w:left="180" w:right="-262" w:hanging="360"/>
        <w:jc w:val="both"/>
        <w:rPr>
          <w:rFonts w:cs="Times New Roman"/>
          <w:lang w:val="en-GB"/>
        </w:rPr>
      </w:pPr>
      <w:r w:rsidRPr="008370B1">
        <w:rPr>
          <w:lang w:val="en-GB"/>
        </w:rPr>
        <w:t xml:space="preserve">Libecap, G. (1999). “Contracting for property rights”, en Ferry Anderson y Fred S. McChesney, </w:t>
      </w:r>
      <w:r w:rsidRPr="008370B1">
        <w:rPr>
          <w:i/>
          <w:lang w:val="en-GB"/>
        </w:rPr>
        <w:t xml:space="preserve">The </w:t>
      </w:r>
      <w:r w:rsidRPr="008370B1">
        <w:rPr>
          <w:rFonts w:cs="Times New Roman"/>
          <w:i/>
          <w:lang w:val="en-GB"/>
        </w:rPr>
        <w:t>Law and Economics of Property Rights</w:t>
      </w:r>
      <w:r w:rsidRPr="008370B1">
        <w:rPr>
          <w:rFonts w:cs="Times New Roman"/>
          <w:lang w:val="en-GB"/>
        </w:rPr>
        <w:t>.</w:t>
      </w:r>
    </w:p>
    <w:p w:rsidR="008370B1" w:rsidRPr="008370B1" w:rsidRDefault="008370B1" w:rsidP="007600C9">
      <w:pPr>
        <w:spacing w:after="120" w:line="240" w:lineRule="auto"/>
        <w:ind w:left="180" w:right="-262" w:hanging="360"/>
        <w:jc w:val="both"/>
        <w:rPr>
          <w:rFonts w:cs="Times New Roman"/>
          <w:lang w:val="en-GB"/>
        </w:rPr>
      </w:pPr>
      <w:r w:rsidRPr="008370B1">
        <w:rPr>
          <w:rFonts w:cs="Times New Roman"/>
          <w:lang w:val="en-US"/>
        </w:rPr>
        <w:t>Libecap, G. (2005). “State Regulation of Open Access, Common Pool-Resources”. En Ménard,</w:t>
      </w:r>
      <w:r w:rsidRPr="008370B1">
        <w:rPr>
          <w:rFonts w:cs="Times New Roman"/>
          <w:lang w:val="en-GB"/>
        </w:rPr>
        <w:t xml:space="preserve"> </w:t>
      </w:r>
      <w:r w:rsidRPr="008370B1">
        <w:rPr>
          <w:rFonts w:cs="Times New Roman"/>
          <w:lang w:val="en-US"/>
        </w:rPr>
        <w:t xml:space="preserve">C. y M. Shirley (Eds.): </w:t>
      </w:r>
      <w:r w:rsidRPr="008370B1">
        <w:rPr>
          <w:rFonts w:cs="Times New Roman"/>
          <w:i/>
          <w:iCs/>
          <w:lang w:val="en-US"/>
        </w:rPr>
        <w:t>Handbook of New Institutional Economics</w:t>
      </w:r>
      <w:r w:rsidRPr="008370B1">
        <w:rPr>
          <w:rFonts w:cs="Times New Roman"/>
          <w:lang w:val="en-US"/>
        </w:rPr>
        <w:t>, Springer: 545- 573.</w:t>
      </w:r>
    </w:p>
    <w:p w:rsidR="007C6A1F" w:rsidRPr="008370B1" w:rsidRDefault="007C6A1F" w:rsidP="007600C9">
      <w:pPr>
        <w:spacing w:after="120" w:line="240" w:lineRule="auto"/>
        <w:ind w:left="180" w:right="-262" w:hanging="360"/>
        <w:jc w:val="both"/>
        <w:rPr>
          <w:bCs/>
          <w:lang w:val="en-GB"/>
        </w:rPr>
      </w:pPr>
      <w:r w:rsidRPr="008370B1">
        <w:rPr>
          <w:rFonts w:cs="Times New Roman"/>
          <w:lang w:val="en-GB"/>
        </w:rPr>
        <w:t xml:space="preserve">Libecap, G. (2007). “The assignment of property rights on the Western Frontier: Lessons for contemporary environmental and resource policy”, </w:t>
      </w:r>
      <w:r w:rsidRPr="008370B1">
        <w:rPr>
          <w:rFonts w:cs="Times New Roman"/>
          <w:i/>
          <w:lang w:val="en-GB"/>
        </w:rPr>
        <w:t>The Journal of Economic History</w:t>
      </w:r>
      <w:r w:rsidRPr="008370B1">
        <w:rPr>
          <w:rFonts w:cs="Times New Roman"/>
          <w:lang w:val="en-GB"/>
        </w:rPr>
        <w:t>, 67(2), pp. 257</w:t>
      </w:r>
      <w:r w:rsidRPr="008370B1">
        <w:rPr>
          <w:lang w:val="en-GB"/>
        </w:rPr>
        <w:t>-291.</w:t>
      </w:r>
    </w:p>
    <w:p w:rsidR="007C6A1F" w:rsidRPr="008370B1" w:rsidRDefault="007C6A1F" w:rsidP="007600C9">
      <w:pPr>
        <w:spacing w:after="120" w:line="240" w:lineRule="auto"/>
        <w:ind w:left="180" w:right="-262" w:hanging="360"/>
        <w:jc w:val="both"/>
        <w:rPr>
          <w:bCs/>
          <w:lang w:val="en-GB"/>
        </w:rPr>
      </w:pPr>
      <w:r w:rsidRPr="008370B1">
        <w:rPr>
          <w:bCs/>
        </w:rPr>
        <w:t xml:space="preserve">Menard, C. y M. Shirley (ed) (2005). </w:t>
      </w:r>
      <w:r w:rsidRPr="008370B1">
        <w:rPr>
          <w:bCs/>
          <w:i/>
          <w:iCs/>
          <w:lang w:val="en-GB"/>
        </w:rPr>
        <w:t>Handbook of New Institutional Economics</w:t>
      </w:r>
      <w:r w:rsidRPr="008370B1">
        <w:rPr>
          <w:bCs/>
          <w:lang w:val="en-GB"/>
        </w:rPr>
        <w:t>. Springer.</w:t>
      </w:r>
    </w:p>
    <w:p w:rsidR="007C6A1F" w:rsidRPr="008370B1" w:rsidRDefault="007C6A1F" w:rsidP="007600C9">
      <w:pPr>
        <w:spacing w:after="120" w:line="240" w:lineRule="auto"/>
        <w:ind w:left="180" w:right="-262" w:hanging="360"/>
        <w:jc w:val="both"/>
        <w:rPr>
          <w:bCs/>
          <w:lang w:val="en-GB"/>
        </w:rPr>
      </w:pPr>
      <w:r w:rsidRPr="008370B1">
        <w:rPr>
          <w:bCs/>
          <w:lang w:val="en-GB"/>
        </w:rPr>
        <w:t xml:space="preserve">Menard, C. (2005). “A new institutional approach to organization”, pp. 281-319, en Menard, C. y M. Shirley (ed): </w:t>
      </w:r>
      <w:r w:rsidRPr="008370B1">
        <w:rPr>
          <w:bCs/>
          <w:i/>
          <w:iCs/>
          <w:lang w:val="en-GB"/>
        </w:rPr>
        <w:t>Handbook of New Institutional Economics</w:t>
      </w:r>
      <w:r w:rsidRPr="008370B1">
        <w:rPr>
          <w:bCs/>
          <w:lang w:val="en-GB"/>
        </w:rPr>
        <w:t>. Springer.</w:t>
      </w:r>
    </w:p>
    <w:p w:rsidR="007C6A1F" w:rsidRPr="008370B1" w:rsidRDefault="007C6A1F" w:rsidP="007600C9">
      <w:pPr>
        <w:spacing w:after="120" w:line="240" w:lineRule="auto"/>
        <w:ind w:left="180" w:hanging="360"/>
        <w:jc w:val="both"/>
        <w:rPr>
          <w:bCs/>
          <w:lang w:val="en-GB"/>
        </w:rPr>
      </w:pPr>
      <w:r w:rsidRPr="008370B1">
        <w:rPr>
          <w:bCs/>
          <w:lang w:val="en-GB"/>
        </w:rPr>
        <w:t xml:space="preserve">North, D. C. (1989): “A Transaction Cost Approach to the Historical Development of Polities and Economies”, </w:t>
      </w:r>
      <w:r w:rsidRPr="008370B1">
        <w:rPr>
          <w:bCs/>
          <w:i/>
          <w:lang w:val="en-GB"/>
        </w:rPr>
        <w:t xml:space="preserve">Journal of Institutional and Theoretical Economics, </w:t>
      </w:r>
      <w:r w:rsidRPr="008370B1">
        <w:rPr>
          <w:bCs/>
          <w:iCs/>
          <w:lang w:val="en-GB"/>
        </w:rPr>
        <w:t xml:space="preserve">N. </w:t>
      </w:r>
      <w:r w:rsidRPr="008370B1">
        <w:rPr>
          <w:bCs/>
          <w:lang w:val="en-GB"/>
        </w:rPr>
        <w:t>145, pp. 661-668.</w:t>
      </w:r>
    </w:p>
    <w:p w:rsidR="007C6A1F" w:rsidRPr="003E4012" w:rsidRDefault="007C6A1F" w:rsidP="007600C9">
      <w:pPr>
        <w:spacing w:after="120" w:line="240" w:lineRule="auto"/>
        <w:ind w:left="180" w:hanging="360"/>
        <w:jc w:val="both"/>
        <w:rPr>
          <w:bCs/>
          <w:lang w:val="en-GB"/>
        </w:rPr>
      </w:pPr>
      <w:r w:rsidRPr="008370B1">
        <w:rPr>
          <w:bCs/>
          <w:lang w:val="en-GB"/>
        </w:rPr>
        <w:t>North, D. C. (</w:t>
      </w:r>
      <w:r w:rsidRPr="003E4012">
        <w:rPr>
          <w:bCs/>
          <w:lang w:val="en-GB"/>
        </w:rPr>
        <w:t xml:space="preserve">1990a): </w:t>
      </w:r>
      <w:r w:rsidRPr="003E4012">
        <w:rPr>
          <w:bCs/>
          <w:i/>
          <w:lang w:val="en-GB"/>
        </w:rPr>
        <w:t>Institutions, Institutional Change and Economic Performance</w:t>
      </w:r>
      <w:r w:rsidRPr="003E4012">
        <w:rPr>
          <w:bCs/>
          <w:lang w:val="en-GB"/>
        </w:rPr>
        <w:t xml:space="preserve">. Cambridge University Press. </w:t>
      </w:r>
      <w:smartTag w:uri="urn:schemas-microsoft-com:office:smarttags" w:element="City">
        <w:smartTag w:uri="urn:schemas-microsoft-com:office:smarttags" w:element="place">
          <w:r w:rsidRPr="003E4012">
            <w:rPr>
              <w:bCs/>
              <w:lang w:val="en-GB"/>
            </w:rPr>
            <w:t>Cambridge</w:t>
          </w:r>
        </w:smartTag>
      </w:smartTag>
    </w:p>
    <w:p w:rsidR="007C6A1F" w:rsidRPr="003E4012" w:rsidRDefault="007C6A1F" w:rsidP="007600C9">
      <w:pPr>
        <w:spacing w:after="120" w:line="240" w:lineRule="auto"/>
        <w:ind w:left="180" w:hanging="360"/>
        <w:jc w:val="both"/>
        <w:rPr>
          <w:bCs/>
          <w:lang w:val="en-GB"/>
        </w:rPr>
      </w:pPr>
      <w:r w:rsidRPr="003E4012">
        <w:rPr>
          <w:bCs/>
          <w:lang w:val="en-GB"/>
        </w:rPr>
        <w:t xml:space="preserve">North, D. C.  (1990b): “A Transaction Cost Theory of Politics”. </w:t>
      </w:r>
      <w:r w:rsidRPr="003E4012">
        <w:rPr>
          <w:bCs/>
          <w:i/>
          <w:lang w:val="en-GB"/>
        </w:rPr>
        <w:t>Journal of Theoretical Politics,</w:t>
      </w:r>
      <w:r w:rsidRPr="003E4012">
        <w:rPr>
          <w:bCs/>
          <w:lang w:val="en-GB"/>
        </w:rPr>
        <w:t xml:space="preserve"> Vol. 2, N. 4, pp. 355-367.</w:t>
      </w:r>
    </w:p>
    <w:p w:rsidR="007C6A1F" w:rsidRPr="003E4012" w:rsidRDefault="007C6A1F" w:rsidP="007600C9">
      <w:pPr>
        <w:spacing w:after="120" w:line="240" w:lineRule="auto"/>
        <w:ind w:left="180" w:hanging="360"/>
        <w:jc w:val="both"/>
        <w:rPr>
          <w:bCs/>
          <w:lang w:val="en-GB"/>
        </w:rPr>
      </w:pPr>
      <w:r w:rsidRPr="003E4012">
        <w:rPr>
          <w:bCs/>
          <w:lang w:val="en-GB"/>
        </w:rPr>
        <w:t xml:space="preserve">North, D. C. (1993): “Institutions and Credible Commitment”, </w:t>
      </w:r>
      <w:r w:rsidRPr="003E4012">
        <w:rPr>
          <w:bCs/>
          <w:i/>
          <w:lang w:val="en-GB"/>
        </w:rPr>
        <w:t>Journal of Institutional and Theoretical Economics</w:t>
      </w:r>
      <w:r w:rsidRPr="003E4012">
        <w:rPr>
          <w:bCs/>
          <w:lang w:val="en-GB"/>
        </w:rPr>
        <w:t>, Vol. 149, N. 1, pp.11-23.</w:t>
      </w:r>
    </w:p>
    <w:p w:rsidR="007C6A1F" w:rsidRPr="003E4012" w:rsidRDefault="007C6A1F" w:rsidP="007600C9">
      <w:pPr>
        <w:spacing w:after="120" w:line="240" w:lineRule="auto"/>
        <w:ind w:left="180" w:hanging="360"/>
        <w:jc w:val="both"/>
        <w:rPr>
          <w:bCs/>
          <w:lang w:val="en-GB"/>
        </w:rPr>
      </w:pPr>
      <w:r w:rsidRPr="003E4012">
        <w:rPr>
          <w:bCs/>
          <w:lang w:val="en-GB"/>
        </w:rPr>
        <w:t xml:space="preserve">North, D. C. (1994): “Economic Performance through Time”, </w:t>
      </w:r>
      <w:r w:rsidRPr="003E4012">
        <w:rPr>
          <w:bCs/>
          <w:i/>
          <w:lang w:val="en-GB"/>
        </w:rPr>
        <w:t>The American Economic Review</w:t>
      </w:r>
      <w:r w:rsidRPr="003E4012">
        <w:rPr>
          <w:bCs/>
          <w:lang w:val="en-GB"/>
        </w:rPr>
        <w:t>, Vol. 84, N. 3, pp. 359-368.</w:t>
      </w:r>
    </w:p>
    <w:p w:rsidR="007C6A1F" w:rsidRPr="003E4012" w:rsidRDefault="007C6A1F" w:rsidP="007600C9">
      <w:pPr>
        <w:spacing w:after="120" w:line="240" w:lineRule="auto"/>
        <w:ind w:left="180" w:hanging="360"/>
        <w:jc w:val="both"/>
        <w:rPr>
          <w:bCs/>
        </w:rPr>
      </w:pPr>
      <w:r w:rsidRPr="003E4012">
        <w:rPr>
          <w:bCs/>
          <w:lang w:val="en-GB"/>
        </w:rPr>
        <w:t>North, D. C. (1999): “In Anticipation of the Marriage of Political and Economic Theory”, pp. 314-317, en A</w:t>
      </w:r>
      <w:r>
        <w:rPr>
          <w:bCs/>
          <w:lang w:val="en-GB"/>
        </w:rPr>
        <w:t>lt</w:t>
      </w:r>
      <w:r w:rsidRPr="003E4012">
        <w:rPr>
          <w:bCs/>
          <w:lang w:val="en-GB"/>
        </w:rPr>
        <w:t>, J., L</w:t>
      </w:r>
      <w:r>
        <w:rPr>
          <w:bCs/>
          <w:lang w:val="en-GB"/>
        </w:rPr>
        <w:t>evi</w:t>
      </w:r>
      <w:r w:rsidRPr="003E4012">
        <w:rPr>
          <w:bCs/>
          <w:lang w:val="en-GB"/>
        </w:rPr>
        <w:t xml:space="preserve">, M. y </w:t>
      </w:r>
      <w:smartTag w:uri="urn:schemas-microsoft-com:office:smarttags" w:element="place">
        <w:r w:rsidRPr="003E4012">
          <w:rPr>
            <w:bCs/>
            <w:lang w:val="en-GB"/>
          </w:rPr>
          <w:t>E. O</w:t>
        </w:r>
        <w:r>
          <w:rPr>
            <w:bCs/>
            <w:lang w:val="en-GB"/>
          </w:rPr>
          <w:t>strom</w:t>
        </w:r>
      </w:smartTag>
      <w:r w:rsidRPr="003E4012">
        <w:rPr>
          <w:bCs/>
          <w:lang w:val="en-GB"/>
        </w:rPr>
        <w:t xml:space="preserve">: </w:t>
      </w:r>
      <w:r w:rsidRPr="003E4012">
        <w:rPr>
          <w:bCs/>
          <w:i/>
          <w:lang w:val="en-GB"/>
        </w:rPr>
        <w:t>Competition and Cooperation. Conversations with Nobelists about Economics and Political Science</w:t>
      </w:r>
      <w:r w:rsidRPr="003E4012">
        <w:rPr>
          <w:bCs/>
          <w:lang w:val="en-GB"/>
        </w:rPr>
        <w:t xml:space="preserve">. Russell Sage Foundation. </w:t>
      </w:r>
      <w:r w:rsidRPr="003E4012">
        <w:rPr>
          <w:bCs/>
        </w:rPr>
        <w:t>Nueva York.</w:t>
      </w:r>
    </w:p>
    <w:p w:rsidR="007C6A1F" w:rsidRPr="003E4012" w:rsidRDefault="007C6A1F" w:rsidP="007600C9">
      <w:pPr>
        <w:spacing w:after="120" w:line="240" w:lineRule="auto"/>
        <w:ind w:left="180" w:hanging="360"/>
        <w:jc w:val="both"/>
        <w:rPr>
          <w:bCs/>
        </w:rPr>
      </w:pPr>
      <w:r w:rsidRPr="003E4012">
        <w:rPr>
          <w:bCs/>
        </w:rPr>
        <w:t xml:space="preserve">North, D. C.  (2000): “La evolución histórica de las formas de gobierno”, </w:t>
      </w:r>
      <w:r w:rsidRPr="003E4012">
        <w:rPr>
          <w:bCs/>
          <w:i/>
        </w:rPr>
        <w:t>Revista de Economía Institucional</w:t>
      </w:r>
      <w:r w:rsidRPr="003E4012">
        <w:rPr>
          <w:bCs/>
        </w:rPr>
        <w:t>, N. 2, pp. 133- 148.</w:t>
      </w:r>
    </w:p>
    <w:p w:rsidR="00BC4917" w:rsidRDefault="007C6A1F" w:rsidP="007600C9">
      <w:pPr>
        <w:spacing w:after="120" w:line="240" w:lineRule="auto"/>
        <w:ind w:left="180" w:right="-262" w:hanging="360"/>
        <w:jc w:val="both"/>
        <w:rPr>
          <w:bCs/>
          <w:lang w:val="en-GB"/>
        </w:rPr>
      </w:pPr>
      <w:r w:rsidRPr="003E4012">
        <w:rPr>
          <w:bCs/>
          <w:lang w:val="en-GB"/>
        </w:rPr>
        <w:t>North, D. C. (2005)</w:t>
      </w:r>
      <w:r>
        <w:rPr>
          <w:bCs/>
          <w:lang w:val="en-GB"/>
        </w:rPr>
        <w:t>:</w:t>
      </w:r>
      <w:r w:rsidRPr="003E4012">
        <w:rPr>
          <w:bCs/>
          <w:lang w:val="en-GB"/>
        </w:rPr>
        <w:t xml:space="preserve"> </w:t>
      </w:r>
      <w:r w:rsidRPr="003E4012">
        <w:rPr>
          <w:bCs/>
          <w:i/>
          <w:lang w:val="en-GB"/>
        </w:rPr>
        <w:t>Understanding the Process of Economic Change</w:t>
      </w:r>
      <w:r w:rsidRPr="003E4012">
        <w:rPr>
          <w:bCs/>
          <w:lang w:val="en-GB"/>
        </w:rPr>
        <w:t>. Princeton University Press. Princeton.</w:t>
      </w:r>
    </w:p>
    <w:p w:rsidR="003353CB" w:rsidRPr="00B27742" w:rsidRDefault="003353CB" w:rsidP="007600C9">
      <w:pPr>
        <w:spacing w:after="120" w:line="240" w:lineRule="auto"/>
        <w:ind w:left="180" w:right="-262" w:hanging="360"/>
        <w:jc w:val="both"/>
        <w:rPr>
          <w:bCs/>
          <w:lang w:val="en-GB"/>
        </w:rPr>
      </w:pPr>
      <w:r w:rsidRPr="00B27742">
        <w:rPr>
          <w:lang w:val="en-GB"/>
        </w:rPr>
        <w:lastRenderedPageBreak/>
        <w:t xml:space="preserve">North, D. C., Summerhill y B. R. Weingast (2000): “Order, Disorder and Economic Change: Latin America versus North American “, en B. Bueno de Mesquita and H. Rot (eds): </w:t>
      </w:r>
      <w:r w:rsidRPr="00B27742">
        <w:rPr>
          <w:i/>
          <w:iCs/>
          <w:lang w:val="en-GB"/>
        </w:rPr>
        <w:t>Governing for prosperity</w:t>
      </w:r>
      <w:r w:rsidRPr="00B27742">
        <w:rPr>
          <w:lang w:val="en-GB"/>
        </w:rPr>
        <w:t>, Yale Universisity Press.</w:t>
      </w:r>
    </w:p>
    <w:p w:rsidR="007C6A1F" w:rsidRPr="00BC4917" w:rsidRDefault="007C6A1F" w:rsidP="007600C9">
      <w:pPr>
        <w:spacing w:after="120" w:line="240" w:lineRule="auto"/>
        <w:ind w:left="180" w:right="-262" w:hanging="360"/>
        <w:jc w:val="both"/>
        <w:rPr>
          <w:bCs/>
          <w:lang w:val="en-GB"/>
        </w:rPr>
      </w:pPr>
      <w:r w:rsidRPr="003E4012">
        <w:rPr>
          <w:lang w:val="en-GB"/>
        </w:rPr>
        <w:t xml:space="preserve">Ostrom, E. (1990). </w:t>
      </w:r>
      <w:r w:rsidRPr="003E4012">
        <w:rPr>
          <w:i/>
          <w:lang w:val="en-GB"/>
        </w:rPr>
        <w:t>Governing the commons</w:t>
      </w:r>
      <w:r w:rsidRPr="003E4012">
        <w:rPr>
          <w:lang w:val="en-GB"/>
        </w:rPr>
        <w:t>, Cam</w:t>
      </w:r>
      <w:r>
        <w:rPr>
          <w:lang w:val="en-GB"/>
        </w:rPr>
        <w:t>b</w:t>
      </w:r>
      <w:r w:rsidRPr="003E4012">
        <w:rPr>
          <w:lang w:val="en-GB"/>
        </w:rPr>
        <w:t>ridge University Press, Cambridge.</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Ostrom, E. (1994). “Constituting Social Capital and Collective Action”, </w:t>
      </w:r>
      <w:r w:rsidRPr="003E4012">
        <w:rPr>
          <w:bCs/>
          <w:i/>
          <w:lang w:val="en-GB"/>
        </w:rPr>
        <w:t>Journal of Theoretical Politics</w:t>
      </w:r>
      <w:r w:rsidRPr="003E4012">
        <w:rPr>
          <w:bCs/>
          <w:lang w:val="en-GB"/>
        </w:rPr>
        <w:t>, V. 6, N. 4, pp. 527-562.</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Ostrom, E. (1995). “Self-organization and Social Capital”, </w:t>
      </w:r>
      <w:r w:rsidRPr="003E4012">
        <w:rPr>
          <w:bCs/>
          <w:i/>
          <w:lang w:val="en-GB"/>
        </w:rPr>
        <w:t>Industrial and Corporate Change</w:t>
      </w:r>
      <w:r w:rsidRPr="003E4012">
        <w:rPr>
          <w:bCs/>
          <w:lang w:val="en-GB"/>
        </w:rPr>
        <w:t>, Vol. 4, N. 1, pp. 131-159.</w:t>
      </w:r>
    </w:p>
    <w:p w:rsidR="007C6A1F" w:rsidRPr="003E4012" w:rsidRDefault="007C6A1F" w:rsidP="007600C9">
      <w:pPr>
        <w:spacing w:after="120" w:line="240" w:lineRule="auto"/>
        <w:ind w:left="180" w:right="-262" w:hanging="360"/>
        <w:jc w:val="both"/>
        <w:rPr>
          <w:lang w:val="en-GB"/>
        </w:rPr>
      </w:pPr>
      <w:r w:rsidRPr="003E4012">
        <w:rPr>
          <w:bCs/>
          <w:lang w:val="en-GB"/>
        </w:rPr>
        <w:t xml:space="preserve">Ostrom, E. (1999). “Social capital: A fad or a fundamental concept”, pp. 172-214, </w:t>
      </w:r>
      <w:r w:rsidRPr="003E4012">
        <w:rPr>
          <w:lang w:val="en-GB"/>
        </w:rPr>
        <w:t xml:space="preserve">en Dasgupta, P. e I. Serageldin: </w:t>
      </w:r>
      <w:r w:rsidRPr="003E4012">
        <w:rPr>
          <w:i/>
          <w:lang w:val="en-GB"/>
        </w:rPr>
        <w:t>Social capital: a multifaceted perspective</w:t>
      </w:r>
      <w:r w:rsidRPr="003E4012">
        <w:rPr>
          <w:lang w:val="en-GB"/>
        </w:rPr>
        <w:t xml:space="preserve">. World Bank. </w:t>
      </w:r>
      <w:smartTag w:uri="urn:schemas-microsoft-com:office:smarttags" w:element="place">
        <w:smartTag w:uri="urn:schemas-microsoft-com:office:smarttags" w:element="City">
          <w:r w:rsidRPr="003E4012">
            <w:rPr>
              <w:lang w:val="en-GB"/>
            </w:rPr>
            <w:t>Washington</w:t>
          </w:r>
        </w:smartTag>
        <w:r w:rsidRPr="003E4012">
          <w:rPr>
            <w:lang w:val="en-GB"/>
          </w:rPr>
          <w:t xml:space="preserve"> </w:t>
        </w:r>
        <w:smartTag w:uri="urn:schemas-microsoft-com:office:smarttags" w:element="State">
          <w:r w:rsidRPr="003E4012">
            <w:rPr>
              <w:lang w:val="en-GB"/>
            </w:rPr>
            <w:t>D.C.</w:t>
          </w:r>
        </w:smartTag>
      </w:smartTag>
    </w:p>
    <w:p w:rsidR="007C6A1F" w:rsidRPr="003E4012" w:rsidRDefault="007C6A1F" w:rsidP="007600C9">
      <w:pPr>
        <w:spacing w:after="120" w:line="240" w:lineRule="auto"/>
        <w:ind w:left="180" w:right="-262" w:hanging="360"/>
        <w:jc w:val="both"/>
        <w:rPr>
          <w:lang w:val="en-GB"/>
        </w:rPr>
      </w:pPr>
      <w:r w:rsidRPr="003E4012">
        <w:rPr>
          <w:lang w:val="en-GB"/>
        </w:rPr>
        <w:t xml:space="preserve">Ostrom, E. (2004). “Rules without enforcement are but words on paper”, </w:t>
      </w:r>
      <w:r w:rsidRPr="003E4012">
        <w:rPr>
          <w:i/>
          <w:lang w:val="en-GB"/>
        </w:rPr>
        <w:t>IHDP</w:t>
      </w:r>
      <w:r w:rsidRPr="003E4012">
        <w:rPr>
          <w:lang w:val="en-GB"/>
        </w:rPr>
        <w:t xml:space="preserve">, N. 2, pp. 8-12. </w:t>
      </w:r>
    </w:p>
    <w:p w:rsidR="007C6A1F" w:rsidRPr="003E4012" w:rsidRDefault="007C6A1F" w:rsidP="007600C9">
      <w:pPr>
        <w:spacing w:after="120" w:line="240" w:lineRule="auto"/>
        <w:ind w:left="180" w:right="-262" w:hanging="360"/>
        <w:jc w:val="both"/>
        <w:rPr>
          <w:lang w:val="en-GB"/>
        </w:rPr>
      </w:pPr>
      <w:r w:rsidRPr="003E4012">
        <w:rPr>
          <w:lang w:val="en-GB"/>
        </w:rPr>
        <w:t xml:space="preserve">Ostrom, E. (2005): </w:t>
      </w:r>
      <w:r w:rsidRPr="003E4012">
        <w:rPr>
          <w:i/>
          <w:lang w:val="en-GB"/>
        </w:rPr>
        <w:t>Understanding Institutional Diversity</w:t>
      </w:r>
      <w:r w:rsidRPr="003E4012">
        <w:rPr>
          <w:lang w:val="en-GB"/>
        </w:rPr>
        <w:t>. Princeton University Press.</w:t>
      </w:r>
    </w:p>
    <w:p w:rsidR="007C6A1F" w:rsidRPr="003E4012" w:rsidRDefault="007C6A1F" w:rsidP="007600C9">
      <w:pPr>
        <w:spacing w:after="120" w:line="240" w:lineRule="auto"/>
        <w:ind w:left="180" w:right="-262" w:hanging="360"/>
        <w:jc w:val="both"/>
        <w:rPr>
          <w:lang w:val="en-GB"/>
        </w:rPr>
      </w:pPr>
      <w:r w:rsidRPr="003E4012">
        <w:rPr>
          <w:lang w:val="en-GB"/>
        </w:rPr>
        <w:t xml:space="preserve">Ostrom, E. (2007). “A diagnostic approach for going beyond panaceas”, </w:t>
      </w:r>
      <w:r w:rsidRPr="003E4012">
        <w:rPr>
          <w:i/>
          <w:lang w:val="en-GB"/>
        </w:rPr>
        <w:t>Proceedings of the National Academy of Sciences</w:t>
      </w:r>
      <w:r w:rsidRPr="003E4012">
        <w:rPr>
          <w:lang w:val="en-GB"/>
        </w:rPr>
        <w:t>, Vol. 104, N. 39, 15181-15187.</w:t>
      </w:r>
    </w:p>
    <w:p w:rsidR="007C6A1F" w:rsidRPr="003E4012" w:rsidRDefault="007C6A1F" w:rsidP="007600C9">
      <w:pPr>
        <w:spacing w:after="120" w:line="240" w:lineRule="auto"/>
        <w:ind w:left="180" w:right="-262" w:hanging="360"/>
        <w:jc w:val="both"/>
        <w:rPr>
          <w:lang w:val="en-GB"/>
        </w:rPr>
      </w:pPr>
      <w:r w:rsidRPr="003E4012">
        <w:rPr>
          <w:lang w:val="en-GB"/>
        </w:rPr>
        <w:t xml:space="preserve">Ostrom, E., M. A. Janssen y J. M. Anderies (2007). “Going beyond panaceas”, </w:t>
      </w:r>
      <w:r w:rsidRPr="003E4012">
        <w:rPr>
          <w:i/>
          <w:lang w:val="en-GB"/>
        </w:rPr>
        <w:t>Proceedings of the National Academy of Sciences</w:t>
      </w:r>
      <w:r w:rsidRPr="003E4012">
        <w:rPr>
          <w:lang w:val="en-GB"/>
        </w:rPr>
        <w:t>, Vol. 104, N. 39, 15176-15178.</w:t>
      </w:r>
    </w:p>
    <w:p w:rsidR="007C6A1F" w:rsidRPr="003E4012" w:rsidRDefault="007C6A1F" w:rsidP="007600C9">
      <w:pPr>
        <w:spacing w:after="120" w:line="240" w:lineRule="auto"/>
        <w:ind w:left="180" w:right="-262" w:hanging="360"/>
        <w:jc w:val="both"/>
        <w:rPr>
          <w:lang w:val="en-GB"/>
        </w:rPr>
      </w:pPr>
      <w:r w:rsidRPr="003E4012">
        <w:rPr>
          <w:lang w:val="en-GB"/>
        </w:rPr>
        <w:t xml:space="preserve">Ostrom, E. (2008). “Institutions and the environment”, </w:t>
      </w:r>
      <w:r w:rsidRPr="003E4012">
        <w:rPr>
          <w:i/>
          <w:lang w:val="en-GB"/>
        </w:rPr>
        <w:t>Economic Affairs</w:t>
      </w:r>
      <w:r w:rsidRPr="003E4012">
        <w:rPr>
          <w:lang w:val="en-GB"/>
        </w:rPr>
        <w:t>, Vol. 28 (3), pp. 24-31.</w:t>
      </w:r>
    </w:p>
    <w:p w:rsidR="007C6A1F" w:rsidRPr="003E4012" w:rsidRDefault="007C6A1F" w:rsidP="007600C9">
      <w:pPr>
        <w:spacing w:after="120" w:line="240" w:lineRule="auto"/>
        <w:ind w:left="180" w:right="-262" w:hanging="360"/>
        <w:jc w:val="both"/>
        <w:rPr>
          <w:lang w:val="en-GB"/>
        </w:rPr>
      </w:pPr>
      <w:r w:rsidRPr="003E4012">
        <w:rPr>
          <w:lang w:val="en-GB"/>
        </w:rPr>
        <w:t xml:space="preserve">Ostrom, E. (2009a). “A general framework for analyzing sustainability of Social-Ecological Systems”, </w:t>
      </w:r>
      <w:r w:rsidRPr="003E4012">
        <w:rPr>
          <w:i/>
          <w:lang w:val="en-GB"/>
        </w:rPr>
        <w:t>Science</w:t>
      </w:r>
      <w:r w:rsidRPr="003E4012">
        <w:rPr>
          <w:lang w:val="en-GB"/>
        </w:rPr>
        <w:t xml:space="preserve">, 325, pp. 419-422. </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Ostrom, E. (2009b). “Beyond Markets and States: Polycentric Governance of Complex Economic Systems”. </w:t>
      </w:r>
      <w:r>
        <w:rPr>
          <w:bCs/>
          <w:lang w:val="en-GB"/>
        </w:rPr>
        <w:t xml:space="preserve">Nobel </w:t>
      </w:r>
      <w:r w:rsidRPr="003E4012">
        <w:rPr>
          <w:bCs/>
          <w:lang w:val="en-GB"/>
        </w:rPr>
        <w:t>Prize Lecture. December 8. Estocolmo.</w:t>
      </w:r>
      <w:r w:rsidR="007600C9">
        <w:rPr>
          <w:bCs/>
          <w:lang w:val="en-GB"/>
        </w:rPr>
        <w:t xml:space="preserve"> (publicado en 2010 en </w:t>
      </w:r>
      <w:r w:rsidR="007600C9" w:rsidRPr="007600C9">
        <w:rPr>
          <w:bCs/>
          <w:i/>
          <w:lang w:val="en-GB"/>
        </w:rPr>
        <w:t>American Economic Review</w:t>
      </w:r>
      <w:r w:rsidR="007600C9">
        <w:rPr>
          <w:bCs/>
          <w:lang w:val="en-GB"/>
        </w:rPr>
        <w:t>).</w:t>
      </w:r>
    </w:p>
    <w:p w:rsidR="007C6A1F" w:rsidRDefault="007C6A1F" w:rsidP="007600C9">
      <w:pPr>
        <w:spacing w:after="120" w:line="240" w:lineRule="auto"/>
        <w:ind w:left="180" w:right="-262" w:hanging="360"/>
        <w:jc w:val="both"/>
        <w:rPr>
          <w:bCs/>
          <w:lang w:val="en-GB"/>
        </w:rPr>
      </w:pPr>
      <w:r w:rsidRPr="003E4012">
        <w:rPr>
          <w:bCs/>
          <w:lang w:val="en-GB"/>
        </w:rPr>
        <w:t xml:space="preserve">Peters, B. G. (1999). </w:t>
      </w:r>
      <w:r w:rsidRPr="003E4012">
        <w:rPr>
          <w:bCs/>
          <w:i/>
          <w:iCs/>
          <w:lang w:val="en-GB"/>
        </w:rPr>
        <w:t>Institutional theory in political science</w:t>
      </w:r>
      <w:r w:rsidRPr="003E4012">
        <w:rPr>
          <w:bCs/>
          <w:i/>
          <w:lang w:val="en-GB"/>
        </w:rPr>
        <w:t>. The new institutionalism</w:t>
      </w:r>
      <w:r w:rsidRPr="003E4012">
        <w:rPr>
          <w:bCs/>
          <w:lang w:val="en-GB"/>
        </w:rPr>
        <w:t>. Continuum. London.</w:t>
      </w:r>
    </w:p>
    <w:p w:rsidR="00B02594" w:rsidRDefault="007C6A1F" w:rsidP="007600C9">
      <w:pPr>
        <w:spacing w:after="120" w:line="240" w:lineRule="auto"/>
        <w:ind w:left="180" w:right="-262" w:hanging="360"/>
        <w:jc w:val="both"/>
        <w:rPr>
          <w:bCs/>
          <w:lang w:val="en-GB"/>
        </w:rPr>
      </w:pPr>
      <w:r w:rsidRPr="00172BA5">
        <w:rPr>
          <w:bCs/>
          <w:lang w:val="fr-FR"/>
        </w:rPr>
        <w:t xml:space="preserve">Putnam, R. D. </w:t>
      </w:r>
      <w:r w:rsidRPr="00172BA5">
        <w:rPr>
          <w:bCs/>
          <w:i/>
          <w:lang w:val="fr-FR"/>
        </w:rPr>
        <w:t>et al.</w:t>
      </w:r>
      <w:r w:rsidRPr="00172BA5">
        <w:rPr>
          <w:bCs/>
          <w:lang w:val="fr-FR"/>
        </w:rPr>
        <w:t xml:space="preserve"> </w:t>
      </w:r>
      <w:r>
        <w:rPr>
          <w:bCs/>
          <w:lang w:val="en-GB"/>
        </w:rPr>
        <w:t xml:space="preserve">(1993). </w:t>
      </w:r>
      <w:r>
        <w:rPr>
          <w:bCs/>
          <w:i/>
          <w:lang w:val="en-GB"/>
        </w:rPr>
        <w:t xml:space="preserve">Making Democracy Work: Civic Traditions in Modern </w:t>
      </w:r>
      <w:smartTag w:uri="urn:schemas-microsoft-com:office:smarttags" w:element="country-region">
        <w:smartTag w:uri="urn:schemas-microsoft-com:office:smarttags" w:element="place">
          <w:r>
            <w:rPr>
              <w:bCs/>
              <w:i/>
              <w:lang w:val="en-GB"/>
            </w:rPr>
            <w:t>Italy</w:t>
          </w:r>
        </w:smartTag>
      </w:smartTag>
      <w:r>
        <w:rPr>
          <w:bCs/>
          <w:lang w:val="en-GB"/>
        </w:rPr>
        <w:t>. Princeton University Press. Princenton.</w:t>
      </w:r>
    </w:p>
    <w:p w:rsidR="00D439F7" w:rsidRDefault="00B02594" w:rsidP="007600C9">
      <w:pPr>
        <w:spacing w:after="120" w:line="240" w:lineRule="auto"/>
        <w:ind w:left="180" w:right="-262" w:hanging="360"/>
        <w:jc w:val="both"/>
        <w:rPr>
          <w:rFonts w:ascii="Calibri" w:eastAsia="Calibri" w:hAnsi="Calibri" w:cs="Times New Roman"/>
          <w:bCs/>
          <w:lang w:val="en-GB"/>
        </w:rPr>
      </w:pPr>
      <w:r>
        <w:rPr>
          <w:rFonts w:ascii="Calibri" w:eastAsia="Calibri" w:hAnsi="Calibri" w:cs="Times New Roman"/>
          <w:bCs/>
          <w:lang w:val="en-GB"/>
        </w:rPr>
        <w:t xml:space="preserve">Rhodes, R. A. W. (1996): “The New Governance: Governing without Government”, </w:t>
      </w:r>
      <w:r w:rsidRPr="00D16782">
        <w:rPr>
          <w:rFonts w:ascii="Calibri" w:eastAsia="Calibri" w:hAnsi="Calibri" w:cs="Times New Roman"/>
          <w:bCs/>
          <w:i/>
          <w:lang w:val="en-GB"/>
        </w:rPr>
        <w:t>Political Studies</w:t>
      </w:r>
      <w:r>
        <w:rPr>
          <w:rFonts w:ascii="Calibri" w:eastAsia="Calibri" w:hAnsi="Calibri" w:cs="Times New Roman"/>
          <w:bCs/>
          <w:lang w:val="en-GB"/>
        </w:rPr>
        <w:t>, XLIV, pp. 652-667.</w:t>
      </w:r>
    </w:p>
    <w:p w:rsidR="00D439F7" w:rsidRPr="00D439F7" w:rsidRDefault="00D439F7" w:rsidP="007600C9">
      <w:pPr>
        <w:spacing w:after="120" w:line="240" w:lineRule="auto"/>
        <w:ind w:left="180" w:right="-262" w:hanging="360"/>
        <w:jc w:val="both"/>
        <w:rPr>
          <w:rFonts w:ascii="Calibri" w:eastAsia="Calibri" w:hAnsi="Calibri" w:cs="Times New Roman"/>
          <w:bCs/>
          <w:lang w:val="en-GB"/>
        </w:rPr>
      </w:pPr>
      <w:r w:rsidRPr="00D16782">
        <w:rPr>
          <w:rFonts w:ascii="Calibri" w:eastAsia="Calibri" w:hAnsi="Calibri" w:cs="Times New Roman"/>
          <w:bCs/>
          <w:lang w:val="en-GB"/>
        </w:rPr>
        <w:t xml:space="preserve">Rodrik, D. (2008): “Second-Best Institutions”, </w:t>
      </w:r>
      <w:r w:rsidRPr="00D16782">
        <w:rPr>
          <w:rFonts w:ascii="Calibri" w:eastAsia="Calibri" w:hAnsi="Calibri" w:cs="Times New Roman"/>
          <w:bCs/>
          <w:i/>
          <w:lang w:val="en-GB"/>
        </w:rPr>
        <w:t>American Economic Review: Papers &amp; Proceedings</w:t>
      </w:r>
      <w:r w:rsidRPr="00D16782">
        <w:rPr>
          <w:rFonts w:ascii="Calibri" w:eastAsia="Calibri" w:hAnsi="Calibri" w:cs="Times New Roman"/>
          <w:bCs/>
          <w:lang w:val="en-GB"/>
        </w:rPr>
        <w:t xml:space="preserve">, 98 (2), pp. </w:t>
      </w:r>
      <w:r>
        <w:rPr>
          <w:rFonts w:ascii="Calibri" w:eastAsia="Calibri" w:hAnsi="Calibri" w:cs="Times New Roman"/>
          <w:bCs/>
          <w:lang w:val="en-GB"/>
        </w:rPr>
        <w:t>100-104.</w:t>
      </w:r>
    </w:p>
    <w:p w:rsidR="007C6A1F" w:rsidRDefault="007C6A1F" w:rsidP="007600C9">
      <w:pPr>
        <w:spacing w:after="120" w:line="240" w:lineRule="auto"/>
        <w:ind w:left="180" w:right="-262" w:hanging="360"/>
        <w:jc w:val="both"/>
        <w:rPr>
          <w:bCs/>
          <w:lang w:val="en-US"/>
        </w:rPr>
      </w:pPr>
      <w:r w:rsidRPr="00B02594">
        <w:rPr>
          <w:bCs/>
        </w:rPr>
        <w:t xml:space="preserve">Rodrik, D., A. Subramanian y F. Trebbi (2004). </w:t>
      </w:r>
      <w:r w:rsidRPr="003E4012">
        <w:rPr>
          <w:bCs/>
          <w:lang w:val="en-US"/>
        </w:rPr>
        <w:t xml:space="preserve">“Institutions Rule: The primacy of institutions over geography and integration in economic development”, </w:t>
      </w:r>
      <w:r w:rsidRPr="003E4012">
        <w:rPr>
          <w:bCs/>
          <w:i/>
          <w:iCs/>
          <w:lang w:val="en-US"/>
        </w:rPr>
        <w:t>Journal of Economic Growth</w:t>
      </w:r>
      <w:r w:rsidRPr="003E4012">
        <w:rPr>
          <w:bCs/>
          <w:lang w:val="en-US"/>
        </w:rPr>
        <w:t>, 9, 2, pp. 131-165.</w:t>
      </w:r>
    </w:p>
    <w:p w:rsidR="007C6A1F" w:rsidRDefault="007C6A1F" w:rsidP="007600C9">
      <w:pPr>
        <w:spacing w:after="120" w:line="240" w:lineRule="auto"/>
        <w:ind w:left="180" w:right="-262" w:hanging="360"/>
        <w:jc w:val="both"/>
        <w:rPr>
          <w:bCs/>
          <w:lang w:val="en-GB"/>
        </w:rPr>
      </w:pPr>
      <w:r w:rsidRPr="00A562D8">
        <w:t xml:space="preserve">Schlager E. y E. Ostrom, (1992). </w:t>
      </w:r>
      <w:r w:rsidRPr="003E4012">
        <w:rPr>
          <w:lang w:val="en-GB"/>
        </w:rPr>
        <w:t xml:space="preserve">“Property Rights Regimes and Natural Resources. A conceptual analysis”, </w:t>
      </w:r>
      <w:r w:rsidRPr="003E4012">
        <w:rPr>
          <w:i/>
          <w:lang w:val="en-GB"/>
        </w:rPr>
        <w:t>Land Economics</w:t>
      </w:r>
      <w:r w:rsidRPr="003E4012">
        <w:rPr>
          <w:lang w:val="en-GB"/>
        </w:rPr>
        <w:t>, 68(3), pp. 249-262.</w:t>
      </w:r>
    </w:p>
    <w:p w:rsidR="00D05322" w:rsidRDefault="00D05322" w:rsidP="007600C9">
      <w:pPr>
        <w:spacing w:after="120" w:line="240" w:lineRule="auto"/>
        <w:ind w:left="180" w:right="-262" w:hanging="360"/>
        <w:jc w:val="both"/>
        <w:rPr>
          <w:bCs/>
          <w:lang w:val="en-GB"/>
        </w:rPr>
      </w:pPr>
      <w:r>
        <w:rPr>
          <w:bCs/>
          <w:lang w:val="en-GB"/>
        </w:rPr>
        <w:t xml:space="preserve">Schofield, N. y G. Caballero (eds) (2011): </w:t>
      </w:r>
      <w:r w:rsidRPr="00D05322">
        <w:rPr>
          <w:bCs/>
          <w:i/>
          <w:lang w:val="en-GB"/>
        </w:rPr>
        <w:t>Political Economy of Institutions, Democracy and Voting</w:t>
      </w:r>
      <w:r>
        <w:rPr>
          <w:bCs/>
          <w:lang w:val="en-GB"/>
        </w:rPr>
        <w:t>. Springer.</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Shirley, M. (2005). “Institutions and Development”, pp. 611-638, Menard, C. y M. Shirley (ed): </w:t>
      </w:r>
      <w:r w:rsidRPr="003E4012">
        <w:rPr>
          <w:bCs/>
          <w:i/>
          <w:iCs/>
          <w:lang w:val="en-GB"/>
        </w:rPr>
        <w:t>Handbook of New Institutional Economics</w:t>
      </w:r>
      <w:r w:rsidRPr="003E4012">
        <w:rPr>
          <w:bCs/>
          <w:lang w:val="en-GB"/>
        </w:rPr>
        <w:t>. Springer.</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Spiller, P. y M. Tommasi (2005): “The Institutions of Regulations”, in C. Menard and M. Shirley: </w:t>
      </w:r>
      <w:r w:rsidRPr="003E4012">
        <w:rPr>
          <w:bCs/>
          <w:i/>
          <w:lang w:val="en-GB"/>
        </w:rPr>
        <w:t>Handbook of New Institutional Economics</w:t>
      </w:r>
      <w:r w:rsidRPr="003E4012">
        <w:rPr>
          <w:bCs/>
          <w:lang w:val="en-GB"/>
        </w:rPr>
        <w:t xml:space="preserve">. Springer.  </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Spiller, P. y M. Tommasi (2007). </w:t>
      </w:r>
      <w:r w:rsidRPr="003E4012">
        <w:rPr>
          <w:bCs/>
          <w:i/>
          <w:lang w:val="en-GB"/>
        </w:rPr>
        <w:t>The institutional foundations of public policy in Argentina</w:t>
      </w:r>
      <w:r w:rsidRPr="003E4012">
        <w:rPr>
          <w:bCs/>
          <w:lang w:val="en-GB"/>
        </w:rPr>
        <w:t>. CUP.</w:t>
      </w:r>
    </w:p>
    <w:p w:rsidR="007C6A1F" w:rsidRPr="003E4012" w:rsidRDefault="007C6A1F" w:rsidP="007600C9">
      <w:pPr>
        <w:spacing w:after="120" w:line="240" w:lineRule="auto"/>
        <w:ind w:left="180" w:right="-262" w:hanging="360"/>
        <w:jc w:val="both"/>
        <w:rPr>
          <w:bCs/>
          <w:lang w:val="en-GB"/>
        </w:rPr>
      </w:pPr>
      <w:r w:rsidRPr="003E4012">
        <w:rPr>
          <w:bCs/>
          <w:lang w:val="en-GB"/>
        </w:rPr>
        <w:lastRenderedPageBreak/>
        <w:t xml:space="preserve">Toboso, F. (2001). “Institutional individualism and institutional change: the search for a middle way mode of explanation”, </w:t>
      </w:r>
      <w:r w:rsidRPr="003E4012">
        <w:rPr>
          <w:bCs/>
          <w:i/>
          <w:lang w:val="en-GB"/>
        </w:rPr>
        <w:t>Cambridge Journal of Economics</w:t>
      </w:r>
      <w:r w:rsidRPr="003E4012">
        <w:rPr>
          <w:bCs/>
          <w:lang w:val="en-GB"/>
        </w:rPr>
        <w:t>, Vol. 25, pp. 765-783.</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Weingast, B. R. (1995). “The Economic Role of Political Institutions: Market-Preserving Federalism and Economic Development”, </w:t>
      </w:r>
      <w:r w:rsidRPr="003E4012">
        <w:rPr>
          <w:bCs/>
          <w:i/>
          <w:lang w:val="en-GB"/>
        </w:rPr>
        <w:t>Journal of Law, Economics and Organization</w:t>
      </w:r>
      <w:r w:rsidRPr="003E4012">
        <w:rPr>
          <w:bCs/>
          <w:lang w:val="en-GB"/>
        </w:rPr>
        <w:t>, Vol. 11, N. 1, pp. 1-31.</w:t>
      </w:r>
    </w:p>
    <w:p w:rsidR="007C6A1F" w:rsidRPr="003E4012" w:rsidRDefault="007C6A1F" w:rsidP="007600C9">
      <w:pPr>
        <w:spacing w:after="120" w:line="240" w:lineRule="auto"/>
        <w:ind w:left="180" w:right="-262" w:hanging="360"/>
        <w:jc w:val="both"/>
        <w:rPr>
          <w:bCs/>
          <w:lang w:val="en-GB"/>
        </w:rPr>
      </w:pPr>
      <w:r w:rsidRPr="003E4012">
        <w:rPr>
          <w:bCs/>
          <w:lang w:val="en-GB"/>
        </w:rPr>
        <w:t xml:space="preserve">Weingast, B. R. y W. J. Marshall (1988). “The Industrial Organization of Congress; or, Why Legislatures, Like Firms, Are Not Organized as Markets”, </w:t>
      </w:r>
      <w:r w:rsidRPr="003E4012">
        <w:rPr>
          <w:bCs/>
          <w:i/>
          <w:lang w:val="en-GB"/>
        </w:rPr>
        <w:t>Journal of Political Economy</w:t>
      </w:r>
      <w:r w:rsidRPr="003E4012">
        <w:rPr>
          <w:bCs/>
          <w:lang w:val="en-GB"/>
        </w:rPr>
        <w:t>, Vol. 96, 1, pp. 132-163.</w:t>
      </w:r>
    </w:p>
    <w:p w:rsidR="007C6A1F" w:rsidRDefault="007C6A1F" w:rsidP="007600C9">
      <w:pPr>
        <w:spacing w:after="120" w:line="240" w:lineRule="auto"/>
        <w:ind w:left="180" w:right="49" w:hanging="360"/>
        <w:jc w:val="both"/>
        <w:rPr>
          <w:bCs/>
          <w:lang w:val="en-GB"/>
        </w:rPr>
      </w:pPr>
      <w:r w:rsidRPr="00B409A7">
        <w:rPr>
          <w:bCs/>
          <w:lang w:val="en-GB"/>
        </w:rPr>
        <w:t xml:space="preserve">Williamson, O. E. (1974): </w:t>
      </w:r>
      <w:r w:rsidRPr="00B409A7">
        <w:rPr>
          <w:bCs/>
          <w:i/>
          <w:lang w:val="en-GB"/>
        </w:rPr>
        <w:t>Markets and Hierarchies</w:t>
      </w:r>
      <w:r w:rsidRPr="00B409A7">
        <w:rPr>
          <w:bCs/>
          <w:lang w:val="en-GB"/>
        </w:rPr>
        <w:t>. The Free Press. Nueva York.</w:t>
      </w:r>
    </w:p>
    <w:p w:rsidR="007C6A1F" w:rsidRDefault="007C6A1F" w:rsidP="007600C9">
      <w:pPr>
        <w:spacing w:after="120" w:line="240" w:lineRule="auto"/>
        <w:ind w:left="180" w:right="-262" w:hanging="360"/>
        <w:jc w:val="both"/>
        <w:rPr>
          <w:lang w:val="en-GB"/>
        </w:rPr>
      </w:pPr>
      <w:r w:rsidRPr="00B409A7">
        <w:rPr>
          <w:lang w:val="en-GB"/>
        </w:rPr>
        <w:t xml:space="preserve">Williamson, O. E. (1985). </w:t>
      </w:r>
      <w:r w:rsidRPr="00B409A7">
        <w:rPr>
          <w:i/>
          <w:lang w:val="en-GB"/>
        </w:rPr>
        <w:t>The Economics Institutions of Capitalism: Firms, Markets, Relational Contracting</w:t>
      </w:r>
      <w:r w:rsidRPr="00B409A7">
        <w:rPr>
          <w:lang w:val="en-GB"/>
        </w:rPr>
        <w:t>. The Free Press. Nueva York.</w:t>
      </w:r>
    </w:p>
    <w:p w:rsidR="007C6A1F" w:rsidRPr="00B409A7" w:rsidRDefault="007C6A1F" w:rsidP="007600C9">
      <w:pPr>
        <w:spacing w:after="120" w:line="240" w:lineRule="auto"/>
        <w:ind w:left="180" w:right="-262" w:hanging="360"/>
        <w:jc w:val="both"/>
        <w:rPr>
          <w:lang w:val="en-GB"/>
        </w:rPr>
      </w:pPr>
      <w:r>
        <w:rPr>
          <w:lang w:val="en-GB"/>
        </w:rPr>
        <w:t xml:space="preserve">Williamson, O. E. (1986): </w:t>
      </w:r>
      <w:r w:rsidRPr="003560C7">
        <w:rPr>
          <w:i/>
          <w:lang w:val="en-GB"/>
        </w:rPr>
        <w:t>Economic Organizations: firms, market and policy control</w:t>
      </w:r>
      <w:r>
        <w:rPr>
          <w:lang w:val="en-GB"/>
        </w:rPr>
        <w:t xml:space="preserve">. Harvester. </w:t>
      </w:r>
      <w:smartTag w:uri="urn:schemas-microsoft-com:office:smarttags" w:element="State">
        <w:smartTag w:uri="urn:schemas-microsoft-com:office:smarttags" w:element="place">
          <w:r>
            <w:rPr>
              <w:lang w:val="en-GB"/>
            </w:rPr>
            <w:t>New York</w:t>
          </w:r>
        </w:smartTag>
      </w:smartTag>
      <w:r>
        <w:rPr>
          <w:lang w:val="en-GB"/>
        </w:rPr>
        <w:t>.</w:t>
      </w:r>
    </w:p>
    <w:p w:rsidR="007C6A1F" w:rsidRPr="00172BA5" w:rsidRDefault="007C6A1F" w:rsidP="007600C9">
      <w:pPr>
        <w:suppressAutoHyphens/>
        <w:spacing w:after="120" w:line="240" w:lineRule="auto"/>
        <w:ind w:left="180" w:right="-262" w:hanging="360"/>
        <w:jc w:val="both"/>
        <w:rPr>
          <w:lang w:val="en-GB"/>
        </w:rPr>
      </w:pPr>
      <w:r w:rsidRPr="00B409A7">
        <w:rPr>
          <w:lang w:val="en-GB"/>
        </w:rPr>
        <w:t>Williamson,</w:t>
      </w:r>
      <w:r w:rsidRPr="003E4012">
        <w:rPr>
          <w:lang w:val="en-GB"/>
        </w:rPr>
        <w:t xml:space="preserve"> O. E. (2000). “The New Institutional Economics: Taking Stock, Looking Ahead”, </w:t>
      </w:r>
      <w:r w:rsidRPr="003E4012">
        <w:rPr>
          <w:i/>
          <w:lang w:val="en-GB"/>
        </w:rPr>
        <w:t xml:space="preserve">Journal of </w:t>
      </w:r>
      <w:r w:rsidRPr="00172BA5">
        <w:rPr>
          <w:i/>
          <w:lang w:val="en-GB"/>
        </w:rPr>
        <w:t>Economic Literature</w:t>
      </w:r>
      <w:r w:rsidRPr="00172BA5">
        <w:rPr>
          <w:lang w:val="en-GB"/>
        </w:rPr>
        <w:t>, Vol.38, pp. 595-613.</w:t>
      </w:r>
    </w:p>
    <w:p w:rsidR="007C6A1F" w:rsidRPr="00172BA5" w:rsidRDefault="007C6A1F" w:rsidP="007600C9">
      <w:pPr>
        <w:suppressAutoHyphens/>
        <w:spacing w:after="120" w:line="240" w:lineRule="auto"/>
        <w:ind w:left="180" w:right="-262" w:hanging="360"/>
        <w:jc w:val="both"/>
        <w:rPr>
          <w:lang w:val="en-GB"/>
        </w:rPr>
      </w:pPr>
      <w:r w:rsidRPr="00172BA5">
        <w:rPr>
          <w:lang w:val="en-GB"/>
        </w:rPr>
        <w:t>Williamson, O. E. (2009): “Transaction Cost Economics: The Natural Progression”. 2009 Nobel Prize Lecture.</w:t>
      </w:r>
    </w:p>
    <w:p w:rsidR="006A1E8F" w:rsidRPr="007C6A1F" w:rsidRDefault="006A1E8F" w:rsidP="007600C9">
      <w:pPr>
        <w:tabs>
          <w:tab w:val="num" w:pos="0"/>
        </w:tabs>
        <w:spacing w:after="120" w:line="240" w:lineRule="auto"/>
        <w:jc w:val="both"/>
        <w:rPr>
          <w:lang w:val="en-US"/>
        </w:rPr>
      </w:pPr>
    </w:p>
    <w:sectPr w:rsidR="006A1E8F" w:rsidRPr="007C6A1F" w:rsidSect="00C3171D">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AB7" w:rsidRDefault="00287AB7" w:rsidP="002D462A">
      <w:pPr>
        <w:spacing w:after="0" w:line="240" w:lineRule="auto"/>
      </w:pPr>
      <w:r>
        <w:separator/>
      </w:r>
    </w:p>
  </w:endnote>
  <w:endnote w:type="continuationSeparator" w:id="0">
    <w:p w:rsidR="00287AB7" w:rsidRDefault="00287AB7" w:rsidP="002D46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89032"/>
      <w:docPartObj>
        <w:docPartGallery w:val="Page Numbers (Bottom of Page)"/>
        <w:docPartUnique/>
      </w:docPartObj>
    </w:sdtPr>
    <w:sdtContent>
      <w:p w:rsidR="0005761E" w:rsidRDefault="00C02068">
        <w:pPr>
          <w:pStyle w:val="Piedepgina"/>
          <w:jc w:val="center"/>
        </w:pPr>
        <w:fldSimple w:instr=" PAGE   \* MERGEFORMAT ">
          <w:r w:rsidR="00EA7439">
            <w:rPr>
              <w:noProof/>
            </w:rPr>
            <w:t>1</w:t>
          </w:r>
        </w:fldSimple>
      </w:p>
    </w:sdtContent>
  </w:sdt>
  <w:p w:rsidR="0005761E" w:rsidRDefault="0005761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AB7" w:rsidRDefault="00287AB7" w:rsidP="002D462A">
      <w:pPr>
        <w:spacing w:after="0" w:line="240" w:lineRule="auto"/>
      </w:pPr>
      <w:r>
        <w:separator/>
      </w:r>
    </w:p>
  </w:footnote>
  <w:footnote w:type="continuationSeparator" w:id="0">
    <w:p w:rsidR="00287AB7" w:rsidRDefault="00287AB7" w:rsidP="002D462A">
      <w:pPr>
        <w:spacing w:after="0" w:line="240" w:lineRule="auto"/>
      </w:pPr>
      <w:r>
        <w:continuationSeparator/>
      </w:r>
    </w:p>
  </w:footnote>
  <w:footnote w:id="1">
    <w:p w:rsidR="007846AA" w:rsidRDefault="007846AA" w:rsidP="007846AA">
      <w:pPr>
        <w:pStyle w:val="Textonotapie"/>
        <w:jc w:val="both"/>
      </w:pPr>
      <w:r w:rsidRPr="008370B1">
        <w:rPr>
          <w:rStyle w:val="Refdenotaalpie"/>
        </w:rPr>
        <w:footnoteRef/>
      </w:r>
      <w:r w:rsidRPr="008370B1">
        <w:t xml:space="preserve"> Esta comunicación es una versión preliminar de un trabajo actualmente en curso sobre “The Political Economy of Elinor Ostrom: Governance and Institutions”. Las ideas fundamentales de esta comunicación fueron desarrollad</w:t>
      </w:r>
      <w:r w:rsidR="007E145D">
        <w:t xml:space="preserve">as durante una estancia </w:t>
      </w:r>
      <w:r>
        <w:t>del autor en la Universidad de California en Berkeley.</w:t>
      </w:r>
    </w:p>
  </w:footnote>
  <w:footnote w:id="2">
    <w:p w:rsidR="008A5C58" w:rsidRPr="002467BF" w:rsidRDefault="008A5C58" w:rsidP="008A5C58">
      <w:pPr>
        <w:pStyle w:val="Textonotapie"/>
        <w:jc w:val="both"/>
      </w:pPr>
      <w:r w:rsidRPr="002467BF">
        <w:rPr>
          <w:rStyle w:val="Refdenotaalpie"/>
        </w:rPr>
        <w:footnoteRef/>
      </w:r>
      <w:r w:rsidRPr="002467BF">
        <w:t xml:space="preserve"> En este sentido, cuando se anuncia la concesión del Nobel de 2009, Paul Krugman señala en su blog que </w:t>
      </w:r>
      <w:r>
        <w:t>“la forma de pensar sobre este premio es que se trata de una distinción a la economía institucional, o más específicamente a la Nueva Ec</w:t>
      </w:r>
      <w:r w:rsidRPr="002467BF">
        <w:t>onomía Institucional</w:t>
      </w:r>
      <w:r>
        <w:t>”</w:t>
      </w:r>
      <w:r w:rsidRPr="002467BF">
        <w:t xml:space="preserve"> (</w:t>
      </w:r>
      <w:hyperlink r:id="rId1" w:history="1">
        <w:r w:rsidRPr="00CE5342">
          <w:rPr>
            <w:rStyle w:val="Hipervnculo"/>
          </w:rPr>
          <w:t>http://krugman.blogs.nytimes.com</w:t>
        </w:r>
      </w:hyperlink>
      <w:r>
        <w:t>, 12 de Octubre, 2009</w:t>
      </w:r>
      <w:r w:rsidRPr="002467BF">
        <w:t>).</w:t>
      </w:r>
    </w:p>
  </w:footnote>
  <w:footnote w:id="3">
    <w:p w:rsidR="008A5C58" w:rsidRPr="002467BF" w:rsidRDefault="008A5C58" w:rsidP="008A5C58">
      <w:pPr>
        <w:pStyle w:val="Textonotapie"/>
        <w:jc w:val="both"/>
      </w:pPr>
      <w:r w:rsidRPr="002467BF">
        <w:rPr>
          <w:rStyle w:val="Refdenotaalpie"/>
        </w:rPr>
        <w:footnoteRef/>
      </w:r>
      <w:r w:rsidRPr="002467BF">
        <w:t xml:space="preserve"> En 199</w:t>
      </w:r>
      <w:r>
        <w:t>6</w:t>
      </w:r>
      <w:r w:rsidRPr="002467BF">
        <w:t xml:space="preserve"> se creó la International Society for New Institutional Economics, cuyos primeros presidentes fueron consecutivamente Ronald Coase, Douglass North y Oliver Williamson.</w:t>
      </w:r>
    </w:p>
  </w:footnote>
  <w:footnote w:id="4">
    <w:p w:rsidR="008A5C58" w:rsidRPr="002467BF" w:rsidRDefault="008A5C58" w:rsidP="008A5C58">
      <w:pPr>
        <w:pStyle w:val="Textonotapie"/>
        <w:jc w:val="both"/>
      </w:pPr>
      <w:r w:rsidRPr="002467BF">
        <w:rPr>
          <w:rStyle w:val="Refdenotaalpie"/>
        </w:rPr>
        <w:footnoteRef/>
      </w:r>
      <w:r w:rsidRPr="002467BF">
        <w:t xml:space="preserve"> Pensemos en que la investigación sobre las instituciones ha ido ocupando espacio prioritario en las agendas de trabajo de universidades como Harvard, M.I.T., Stanford o Berkeley, que el Banco Mundial ha realizado diversos informes desde el enfoque institucional (sustituyendo incluso el Consenso de Washington por una perspectiva institucional para Latinoamérica) o que pocas </w:t>
      </w:r>
      <w:r>
        <w:t>con</w:t>
      </w:r>
      <w:r w:rsidRPr="002467BF">
        <w:t>clusiones han sido tan repetidas como “la importancia de las instituciones” ante la Gran Recesión de la economía mundial en 2008-2009.</w:t>
      </w:r>
    </w:p>
  </w:footnote>
  <w:footnote w:id="5">
    <w:p w:rsidR="008A5C58" w:rsidRPr="002467BF" w:rsidRDefault="008A5C58" w:rsidP="008A5C58">
      <w:pPr>
        <w:pStyle w:val="Textonotapie"/>
        <w:jc w:val="both"/>
      </w:pPr>
      <w:r w:rsidRPr="002467BF">
        <w:rPr>
          <w:rStyle w:val="Refdenotaalpie"/>
        </w:rPr>
        <w:footnoteRef/>
      </w:r>
      <w:r w:rsidRPr="002467BF">
        <w:t xml:space="preserve"> A la propia Elinor Ostrom le gusta definirse como una economista política. Su trabajo en la Indiana University se ha desarrollado en el marco del Center for </w:t>
      </w:r>
      <w:r>
        <w:t>the Study of Institutions, Population and Environmental Change.</w:t>
      </w:r>
    </w:p>
  </w:footnote>
  <w:footnote w:id="6">
    <w:p w:rsidR="008A5C58" w:rsidRDefault="008A5C58" w:rsidP="008A5C58">
      <w:pPr>
        <w:pStyle w:val="Textonotapie"/>
      </w:pPr>
      <w:r>
        <w:rPr>
          <w:rStyle w:val="Refdenotaalpie"/>
        </w:rPr>
        <w:footnoteRef/>
      </w:r>
      <w:r>
        <w:t xml:space="preserve"> A lo largo de los últimos veinte años, el término “gobernanza” ha sido utilizado con al menos seis acepciones: Estado mínimo, gobernanza corporativa, nueva gestión pública, buena gobernanza, sistema socio-cibernético y redes auto-organizativas (Rhodes, 1996).</w:t>
      </w:r>
    </w:p>
  </w:footnote>
  <w:footnote w:id="7">
    <w:p w:rsidR="008A5C58" w:rsidRDefault="008A5C58" w:rsidP="008A5C58">
      <w:pPr>
        <w:pStyle w:val="Textonotapie"/>
      </w:pPr>
      <w:r>
        <w:rPr>
          <w:rStyle w:val="Refdenotaalpie"/>
        </w:rPr>
        <w:footnoteRef/>
      </w:r>
      <w:r>
        <w:t xml:space="preserve"> En este sentido, Dixit (2009) apunta el uso creciente del término “governance” en inglés, y lo cierto es que en castellano la palabra “gobernanza”  no fue reconocida por la Real Academia de la lengua hasta principios del siglo XXI.</w:t>
      </w:r>
    </w:p>
  </w:footnote>
  <w:footnote w:id="8">
    <w:p w:rsidR="009E5859" w:rsidRPr="00552629" w:rsidRDefault="009E5859" w:rsidP="007846AA">
      <w:pPr>
        <w:ind w:right="44"/>
        <w:jc w:val="both"/>
        <w:rPr>
          <w:rFonts w:ascii="Calibri" w:eastAsia="Calibri" w:hAnsi="Calibri" w:cs="Times New Roman"/>
          <w:sz w:val="20"/>
          <w:szCs w:val="20"/>
        </w:rPr>
      </w:pPr>
      <w:r w:rsidRPr="00552629">
        <w:rPr>
          <w:rStyle w:val="Refdenotaalpie"/>
          <w:rFonts w:ascii="Calibri" w:eastAsia="Calibri" w:hAnsi="Calibri" w:cs="Times New Roman"/>
          <w:sz w:val="20"/>
          <w:szCs w:val="20"/>
        </w:rPr>
        <w:footnoteRef/>
      </w:r>
      <w:r w:rsidRPr="00552629">
        <w:rPr>
          <w:rFonts w:ascii="Calibri" w:eastAsia="Calibri" w:hAnsi="Calibri" w:cs="Times New Roman"/>
          <w:sz w:val="20"/>
          <w:szCs w:val="20"/>
        </w:rPr>
        <w:t xml:space="preserve"> Si los costes de transacción son bajos, la asignación inicial de derechos puede modificarse con facilidad a través de transacciones. Pero esto no es lo característico de la mayoría de condiciones de unos mercados que están caracterizados por altos costes de transacción. </w:t>
      </w:r>
    </w:p>
  </w:footnote>
  <w:footnote w:id="9">
    <w:p w:rsidR="009E5859" w:rsidRPr="00552629" w:rsidRDefault="009E5859" w:rsidP="009E5859">
      <w:pPr>
        <w:jc w:val="both"/>
        <w:rPr>
          <w:rFonts w:ascii="Calibri" w:eastAsia="Calibri" w:hAnsi="Calibri" w:cs="Times New Roman"/>
          <w:sz w:val="20"/>
          <w:szCs w:val="20"/>
        </w:rPr>
      </w:pPr>
      <w:r w:rsidRPr="00552629">
        <w:rPr>
          <w:rStyle w:val="Refdenotaalpie"/>
          <w:rFonts w:ascii="Calibri" w:eastAsia="Calibri" w:hAnsi="Calibri" w:cs="Times New Roman"/>
          <w:sz w:val="20"/>
          <w:szCs w:val="20"/>
        </w:rPr>
        <w:footnoteRef/>
      </w:r>
      <w:r w:rsidRPr="00552629">
        <w:rPr>
          <w:rFonts w:ascii="Calibri" w:eastAsia="Calibri" w:hAnsi="Calibri" w:cs="Times New Roman"/>
          <w:sz w:val="20"/>
          <w:szCs w:val="20"/>
        </w:rPr>
        <w:t xml:space="preserve"> Los recientes desarrollos en Análisis Institucional Histórico y Comparativo consideran a las instituciones como sistemas de reglas, creencias, normas y organizaciones, las cuales son creadas por el hombre y constituyen un factor social no-físico (Aoki, 2001; Greif, 2006). Esta definición engloba muchas de las múltiples definiciones del término instituciones usadas en economía, sociología y ciencia política.</w:t>
      </w:r>
    </w:p>
  </w:footnote>
  <w:footnote w:id="10">
    <w:p w:rsidR="00C75D36" w:rsidRDefault="00C75D36" w:rsidP="00C75D36">
      <w:pPr>
        <w:pStyle w:val="Textonotapie"/>
      </w:pPr>
      <w:r>
        <w:rPr>
          <w:rStyle w:val="Refdenotaalpie"/>
        </w:rPr>
        <w:footnoteRef/>
      </w:r>
      <w:r>
        <w:t xml:space="preserve"> En un trabajo reciente, Alstom et al. (2009) realizan un análisis de caso en el que justamente abordan cuestiones políticas de coerción, culturales, históricas y contractuales para el caso de las Haciendas mexicanas de Yucatán (1870-1915).</w:t>
      </w:r>
    </w:p>
  </w:footnote>
  <w:footnote w:id="11">
    <w:p w:rsidR="00C75D36" w:rsidRDefault="00C75D36" w:rsidP="00C75D36">
      <w:pPr>
        <w:pStyle w:val="Textonotapie"/>
        <w:jc w:val="both"/>
      </w:pPr>
      <w:r>
        <w:rPr>
          <w:rStyle w:val="Refdenotaalpie"/>
        </w:rPr>
        <w:footnoteRef/>
      </w:r>
      <w:r>
        <w:t xml:space="preserve"> En este sentido, el Banco Mundial y otros organismos han elaborado indicadores relevantes sobre distintos aspectos de las instituciones y la gobernanza. Tales esfuerzos han permitido una creciente literatura empírica que pueden ejemplificar trabajos como Álvarez-Díaz y Caballero (2008). Asimismo, estos avances han permitido nuevos desarrollos en programas de investigación como el crecimiento económico, entre otros.</w:t>
      </w:r>
    </w:p>
  </w:footnote>
  <w:footnote w:id="12">
    <w:p w:rsidR="00C75D36" w:rsidRDefault="00C75D36" w:rsidP="00C75D36">
      <w:pPr>
        <w:pStyle w:val="Textonotapie"/>
        <w:jc w:val="both"/>
      </w:pPr>
      <w:r>
        <w:rPr>
          <w:rStyle w:val="Refdenotaalpie"/>
        </w:rPr>
        <w:footnoteRef/>
      </w:r>
      <w:r>
        <w:t xml:space="preserve"> Siendo este el punto de partida de la NEI, a lo largo de los años estos fundamentos se han ido flexibilizando en ciertas contribuciones nuevo-institucionalistas: así, hay contribuciones de la NEI que asumieron el “individualismo institucional” (Toboso, 2001), que se centraron en estudiar las cuestiones distributivas (Toboso y Compés, 2003) y que valoraron el factor del poder de coerción (Nye, 1997). </w:t>
      </w:r>
    </w:p>
  </w:footnote>
  <w:footnote w:id="13">
    <w:p w:rsidR="00C75D36" w:rsidRPr="002467BF" w:rsidRDefault="00C75D36" w:rsidP="00C75D36">
      <w:pPr>
        <w:suppressAutoHyphens/>
        <w:ind w:right="44"/>
        <w:jc w:val="both"/>
        <w:rPr>
          <w:rFonts w:ascii="Calibri" w:eastAsia="Calibri" w:hAnsi="Calibri" w:cs="Times New Roman"/>
          <w:sz w:val="20"/>
          <w:szCs w:val="20"/>
        </w:rPr>
      </w:pPr>
      <w:r w:rsidRPr="002467BF">
        <w:rPr>
          <w:rStyle w:val="Refdenotaalpie"/>
          <w:rFonts w:ascii="Calibri" w:eastAsia="Calibri" w:hAnsi="Calibri" w:cs="Times New Roman"/>
        </w:rPr>
        <w:footnoteRef/>
      </w:r>
      <w:r w:rsidRPr="002467BF">
        <w:rPr>
          <w:rFonts w:ascii="Calibri" w:eastAsia="Calibri" w:hAnsi="Calibri" w:cs="Times New Roman"/>
          <w:sz w:val="20"/>
          <w:szCs w:val="20"/>
        </w:rPr>
        <w:t xml:space="preserve"> </w:t>
      </w:r>
      <w:r w:rsidRPr="002467BF">
        <w:rPr>
          <w:rFonts w:ascii="Calibri" w:eastAsia="Calibri" w:hAnsi="Calibri" w:cs="Times New Roman"/>
          <w:sz w:val="20"/>
          <w:szCs w:val="20"/>
          <w:lang w:val="es-ES_tradnl"/>
        </w:rPr>
        <w:t>En esta defensa de reencuentro de las  ciencias sociales, la NEI se aleja del tradicional  “imperialismo económico” y adopta un carácter multidisciplinar de mutua colaboración entre las ciencias sociales en una postura que asume un cierto eclecticismo.</w:t>
      </w:r>
    </w:p>
  </w:footnote>
  <w:footnote w:id="14">
    <w:p w:rsidR="00C75D36" w:rsidRPr="002467BF" w:rsidRDefault="00C75D36" w:rsidP="00C75D36">
      <w:pPr>
        <w:pStyle w:val="Textonotapie"/>
        <w:ind w:right="44"/>
        <w:jc w:val="both"/>
      </w:pPr>
      <w:r w:rsidRPr="002467BF">
        <w:rPr>
          <w:rStyle w:val="Refdenotaalpie"/>
        </w:rPr>
        <w:footnoteRef/>
      </w:r>
      <w:r w:rsidRPr="002467BF">
        <w:t xml:space="preserve"> Sobre esta cuestión de la “especificidad histórica” resultan de interés las reflexiones institucionalistas, (aunque no enmarcadas en la NEI) de Hodgson (2001) analizando la posibilidad de que diferentes fenómenos socioeconómicos puedan requerir teorías propias diferentes a las válidas para otros fenómenos.</w:t>
      </w:r>
    </w:p>
  </w:footnote>
  <w:footnote w:id="15">
    <w:p w:rsidR="009E5859" w:rsidRPr="00552629" w:rsidRDefault="009E5859" w:rsidP="009E5859">
      <w:pPr>
        <w:jc w:val="both"/>
        <w:rPr>
          <w:rFonts w:ascii="Calibri" w:eastAsia="Calibri" w:hAnsi="Calibri" w:cs="Times New Roman"/>
          <w:sz w:val="20"/>
          <w:szCs w:val="20"/>
        </w:rPr>
      </w:pPr>
      <w:r w:rsidRPr="00552629">
        <w:rPr>
          <w:rStyle w:val="Refdenotaalpie"/>
          <w:rFonts w:ascii="Calibri" w:eastAsia="Calibri" w:hAnsi="Calibri" w:cs="Times New Roman"/>
          <w:sz w:val="20"/>
          <w:szCs w:val="20"/>
        </w:rPr>
        <w:footnoteRef/>
      </w:r>
      <w:r w:rsidRPr="00552629">
        <w:rPr>
          <w:rFonts w:ascii="Calibri" w:eastAsia="Calibri" w:hAnsi="Calibri" w:cs="Times New Roman"/>
          <w:sz w:val="20"/>
          <w:szCs w:val="20"/>
        </w:rPr>
        <w:t xml:space="preserve"> El análisis de caso sobre el que Hardin (1968) parte para exponer la tragedia de los comunes se centra en los efectos sobre un terreno de pasto en régimen de libre acceso para los pastores. Cada pastor intentaba mantener en los terrenos comunes de pasto tantas cabezas de ganado como fuese posible. A la hora de aumentar en un animal más su rebaño, cada pastor valora los beneficios que le da una cabeza más de ganado, pero no asume individualmente los efectos negativos derivados del sobre-pastoreo que implica la nueva res (los efectos del pastoreo excesivo son compartidos por todos los pastores). En este escenario, la lógica de maximización individual de beneficio de cada pastor implica un incremento continuo del ganado y conduce a una sobre-explotación de los pastos comunes, que puede concluir en una tragedia al agotar la cantidad de pasto existente e incluso dificultar la posibilidad de nacimiento de nuevos pasto en un futuro inmediato. Para Hardin (1968), este análisis resulta también extensible a la gestión de los recursos pesqueros o a la entrada en los parques naturales, entre otros casos, porque en todos ellos, aparece la problemática de los comunes cuando aumenta la demanda de uso de ese recurso.</w:t>
      </w:r>
    </w:p>
  </w:footnote>
  <w:footnote w:id="16">
    <w:p w:rsidR="009E5859" w:rsidRPr="00552629" w:rsidRDefault="009E5859" w:rsidP="009E5859">
      <w:pPr>
        <w:jc w:val="both"/>
        <w:rPr>
          <w:rFonts w:ascii="Calibri" w:eastAsia="Calibri" w:hAnsi="Calibri" w:cs="Times New Roman"/>
          <w:sz w:val="20"/>
          <w:szCs w:val="20"/>
        </w:rPr>
      </w:pPr>
      <w:r w:rsidRPr="00552629">
        <w:rPr>
          <w:rStyle w:val="Refdenotaalpie"/>
          <w:rFonts w:ascii="Calibri" w:eastAsia="Calibri" w:hAnsi="Calibri" w:cs="Times New Roman"/>
          <w:sz w:val="20"/>
          <w:szCs w:val="20"/>
        </w:rPr>
        <w:footnoteRef/>
      </w:r>
      <w:r w:rsidRPr="00552629">
        <w:rPr>
          <w:rFonts w:ascii="Calibri" w:eastAsia="Calibri" w:hAnsi="Calibri" w:cs="Times New Roman"/>
          <w:sz w:val="20"/>
          <w:szCs w:val="20"/>
        </w:rPr>
        <w:t xml:space="preserve"> El caso de libre acceso se caracteriza por los siguientes factores: A) Un recurso en libre acceso no se comparte y hay rivalidad en su explotación. B) Una tasa de uso suficientemente alta reduciría el recurso a cero, incluso en los recursos renovables por incapacidad de reproducción a determinados niveles de población. C) La propiedad o posesión del recurso se obtiene mediante captura. D) Existen externalidades simétricas puesto que con su acción cada usuario afecta a los demás y a su vez es afectado por ellos. E) Pueden existir externalidades asimétricas si las decisiones de producción o consumo de un agente afectan a los demás sin reciprocidad (Surís y Varela, 1993).</w:t>
      </w:r>
    </w:p>
  </w:footnote>
  <w:footnote w:id="17">
    <w:p w:rsidR="009E5859" w:rsidRDefault="009E5859" w:rsidP="009E5859">
      <w:pPr>
        <w:pStyle w:val="Textonotapie"/>
        <w:jc w:val="both"/>
      </w:pPr>
      <w:r>
        <w:rPr>
          <w:rStyle w:val="Refdenotaalpie"/>
        </w:rPr>
        <w:footnoteRef/>
      </w:r>
      <w:r>
        <w:t xml:space="preserve"> En este sentido, Ostrom (2009) señala como los estudios empíricos en el laboratorio permiten estudiar a través de experimentos como cambia la gestión de los bienes comunes baja distintas condiciones.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F571B9"/>
    <w:multiLevelType w:val="hybridMultilevel"/>
    <w:tmpl w:val="08840760"/>
    <w:lvl w:ilvl="0" w:tplc="6896AE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B75DDF"/>
    <w:rsid w:val="00013B8B"/>
    <w:rsid w:val="0005761E"/>
    <w:rsid w:val="00064FC6"/>
    <w:rsid w:val="0018410E"/>
    <w:rsid w:val="001D76B6"/>
    <w:rsid w:val="00224BC9"/>
    <w:rsid w:val="002545F6"/>
    <w:rsid w:val="0025630E"/>
    <w:rsid w:val="00287AB7"/>
    <w:rsid w:val="002B617F"/>
    <w:rsid w:val="002D462A"/>
    <w:rsid w:val="003353CB"/>
    <w:rsid w:val="00352760"/>
    <w:rsid w:val="00354D41"/>
    <w:rsid w:val="003E5BA1"/>
    <w:rsid w:val="003E65B6"/>
    <w:rsid w:val="00500347"/>
    <w:rsid w:val="00545D73"/>
    <w:rsid w:val="005C3D81"/>
    <w:rsid w:val="00615806"/>
    <w:rsid w:val="00671C3C"/>
    <w:rsid w:val="006A1E8F"/>
    <w:rsid w:val="006D0BCA"/>
    <w:rsid w:val="007275BA"/>
    <w:rsid w:val="007600C9"/>
    <w:rsid w:val="00776F95"/>
    <w:rsid w:val="007846AA"/>
    <w:rsid w:val="007C6A1F"/>
    <w:rsid w:val="007D439D"/>
    <w:rsid w:val="007E145D"/>
    <w:rsid w:val="008370B1"/>
    <w:rsid w:val="008406E2"/>
    <w:rsid w:val="00887EA3"/>
    <w:rsid w:val="00893D6A"/>
    <w:rsid w:val="00894A32"/>
    <w:rsid w:val="0089797B"/>
    <w:rsid w:val="008A5C58"/>
    <w:rsid w:val="008D27DE"/>
    <w:rsid w:val="009B5D9C"/>
    <w:rsid w:val="009D5979"/>
    <w:rsid w:val="009E5859"/>
    <w:rsid w:val="00B02594"/>
    <w:rsid w:val="00B34817"/>
    <w:rsid w:val="00B3773A"/>
    <w:rsid w:val="00B564A2"/>
    <w:rsid w:val="00B75DDF"/>
    <w:rsid w:val="00B84226"/>
    <w:rsid w:val="00B84708"/>
    <w:rsid w:val="00BC4917"/>
    <w:rsid w:val="00C02068"/>
    <w:rsid w:val="00C3171D"/>
    <w:rsid w:val="00C6388D"/>
    <w:rsid w:val="00C75D36"/>
    <w:rsid w:val="00D05322"/>
    <w:rsid w:val="00D439F7"/>
    <w:rsid w:val="00E07424"/>
    <w:rsid w:val="00E40A41"/>
    <w:rsid w:val="00E77D9E"/>
    <w:rsid w:val="00EA7439"/>
    <w:rsid w:val="00FC499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1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2D462A"/>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2D462A"/>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nhideWhenUsed/>
    <w:rsid w:val="002D462A"/>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2D462A"/>
    <w:rPr>
      <w:rFonts w:ascii="Times New Roman" w:eastAsia="Times New Roman" w:hAnsi="Times New Roman" w:cs="Times New Roman"/>
      <w:sz w:val="24"/>
      <w:szCs w:val="24"/>
      <w:lang w:eastAsia="es-ES"/>
    </w:rPr>
  </w:style>
  <w:style w:type="character" w:styleId="Refdenotaalpie">
    <w:name w:val="footnote reference"/>
    <w:basedOn w:val="Fuentedeprrafopredeter"/>
    <w:semiHidden/>
    <w:unhideWhenUsed/>
    <w:rsid w:val="002D462A"/>
    <w:rPr>
      <w:vertAlign w:val="superscript"/>
    </w:rPr>
  </w:style>
  <w:style w:type="paragraph" w:styleId="Prrafodelista">
    <w:name w:val="List Paragraph"/>
    <w:basedOn w:val="Normal"/>
    <w:uiPriority w:val="34"/>
    <w:qFormat/>
    <w:rsid w:val="002D462A"/>
    <w:pPr>
      <w:ind w:left="720"/>
      <w:contextualSpacing/>
    </w:pPr>
  </w:style>
  <w:style w:type="paragraph" w:styleId="Sangra3detindependiente">
    <w:name w:val="Body Text Indent 3"/>
    <w:basedOn w:val="Normal"/>
    <w:link w:val="Sangra3detindependienteCar"/>
    <w:uiPriority w:val="99"/>
    <w:semiHidden/>
    <w:unhideWhenUsed/>
    <w:rsid w:val="009E5859"/>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E5859"/>
    <w:rPr>
      <w:sz w:val="16"/>
      <w:szCs w:val="16"/>
    </w:rPr>
  </w:style>
  <w:style w:type="character" w:styleId="Hipervnculo">
    <w:name w:val="Hyperlink"/>
    <w:basedOn w:val="Fuentedeprrafopredeter"/>
    <w:rsid w:val="008A5C58"/>
    <w:rPr>
      <w:color w:val="0000FF"/>
      <w:u w:val="single"/>
    </w:rPr>
  </w:style>
  <w:style w:type="paragraph" w:styleId="Textonotaalfinal">
    <w:name w:val="endnote text"/>
    <w:basedOn w:val="Normal"/>
    <w:link w:val="TextonotaalfinalCar"/>
    <w:semiHidden/>
    <w:rsid w:val="007C6A1F"/>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semiHidden/>
    <w:rsid w:val="007C6A1F"/>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7C6A1F"/>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7C6A1F"/>
    <w:rPr>
      <w:rFonts w:ascii="Times New Roman" w:eastAsia="Times New Roman" w:hAnsi="Times New Roman" w:cs="Times New Roman"/>
      <w:sz w:val="24"/>
      <w:szCs w:val="24"/>
      <w:lang w:eastAsia="es-ES"/>
    </w:rPr>
  </w:style>
  <w:style w:type="character" w:customStyle="1" w:styleId="NormalWebCar">
    <w:name w:val="Normal (Web) Car"/>
    <w:basedOn w:val="Fuentedeprrafopredeter"/>
    <w:link w:val="NormalWeb"/>
    <w:rsid w:val="007C6A1F"/>
    <w:rPr>
      <w:sz w:val="24"/>
      <w:szCs w:val="24"/>
    </w:rPr>
  </w:style>
  <w:style w:type="paragraph" w:styleId="NormalWeb">
    <w:name w:val="Normal (Web)"/>
    <w:basedOn w:val="Normal"/>
    <w:link w:val="NormalWebCar"/>
    <w:rsid w:val="007C6A1F"/>
    <w:pPr>
      <w:spacing w:before="100" w:beforeAutospacing="1" w:after="100" w:afterAutospacing="1" w:line="240" w:lineRule="auto"/>
    </w:pPr>
    <w:rPr>
      <w:sz w:val="24"/>
      <w:szCs w:val="24"/>
    </w:rPr>
  </w:style>
  <w:style w:type="character" w:styleId="nfasis">
    <w:name w:val="Emphasis"/>
    <w:basedOn w:val="Fuentedeprrafopredeter"/>
    <w:qFormat/>
    <w:rsid w:val="007C6A1F"/>
    <w:rPr>
      <w:i/>
      <w:iCs/>
    </w:rPr>
  </w:style>
  <w:style w:type="paragraph" w:styleId="Encabezado">
    <w:name w:val="header"/>
    <w:basedOn w:val="Normal"/>
    <w:link w:val="EncabezadoCar"/>
    <w:uiPriority w:val="99"/>
    <w:semiHidden/>
    <w:unhideWhenUsed/>
    <w:rsid w:val="0005761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5761E"/>
  </w:style>
  <w:style w:type="paragraph" w:styleId="Piedepgina">
    <w:name w:val="footer"/>
    <w:basedOn w:val="Normal"/>
    <w:link w:val="PiedepginaCar"/>
    <w:uiPriority w:val="99"/>
    <w:unhideWhenUsed/>
    <w:rsid w:val="0005761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761E"/>
  </w:style>
</w:styles>
</file>

<file path=word/webSettings.xml><?xml version="1.0" encoding="utf-8"?>
<w:webSettings xmlns:r="http://schemas.openxmlformats.org/officeDocument/2006/relationships" xmlns:w="http://schemas.openxmlformats.org/wordprocessingml/2006/main">
  <w:divs>
    <w:div w:id="74102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krugman.blogs.nytime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E663C-D44A-4839-92EF-92CC0D363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25</Pages>
  <Words>9302</Words>
  <Characters>51163</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45</cp:revision>
  <dcterms:created xsi:type="dcterms:W3CDTF">2011-04-18T13:51:00Z</dcterms:created>
  <dcterms:modified xsi:type="dcterms:W3CDTF">2011-09-05T13:34:00Z</dcterms:modified>
</cp:coreProperties>
</file>