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970" w:rsidRPr="00A90676" w:rsidRDefault="00C01970" w:rsidP="00C01970">
      <w:pPr>
        <w:spacing w:after="0" w:line="240" w:lineRule="auto"/>
        <w:jc w:val="center"/>
        <w:rPr>
          <w:b/>
          <w:sz w:val="28"/>
          <w:szCs w:val="28"/>
          <w:lang w:val="es-ES_tradnl"/>
        </w:rPr>
      </w:pPr>
      <w:r w:rsidRPr="00A90676">
        <w:rPr>
          <w:b/>
          <w:sz w:val="28"/>
          <w:szCs w:val="28"/>
          <w:lang w:val="es-ES_tradnl"/>
        </w:rPr>
        <w:t>El interminable conflicto del Sáhara Occidental</w:t>
      </w:r>
      <w:r>
        <w:rPr>
          <w:b/>
          <w:sz w:val="28"/>
          <w:szCs w:val="28"/>
          <w:lang w:val="es-ES_tradnl"/>
        </w:rPr>
        <w:t xml:space="preserve">                                             </w:t>
      </w:r>
      <w:r w:rsidRPr="00A90676">
        <w:rPr>
          <w:b/>
          <w:sz w:val="28"/>
          <w:szCs w:val="28"/>
          <w:lang w:val="es-ES_tradnl"/>
        </w:rPr>
        <w:t>en la Cuenca Mediterránea</w:t>
      </w:r>
    </w:p>
    <w:p w:rsidR="00C01970" w:rsidRDefault="00C01970" w:rsidP="00C01970">
      <w:pPr>
        <w:spacing w:after="0" w:line="240" w:lineRule="auto"/>
        <w:jc w:val="center"/>
        <w:rPr>
          <w:szCs w:val="24"/>
          <w:lang w:val="es-ES_tradnl"/>
        </w:rPr>
      </w:pPr>
    </w:p>
    <w:p w:rsidR="00C01970" w:rsidRDefault="00C01970" w:rsidP="00C01970">
      <w:pPr>
        <w:spacing w:after="0" w:line="240" w:lineRule="auto"/>
        <w:jc w:val="center"/>
        <w:rPr>
          <w:szCs w:val="24"/>
          <w:lang w:val="es-ES_tradnl"/>
        </w:rPr>
      </w:pPr>
      <w:r w:rsidRPr="00A90676">
        <w:rPr>
          <w:szCs w:val="24"/>
          <w:lang w:val="es-ES_tradnl"/>
        </w:rPr>
        <w:t>María Isabel Nieto Fernández</w:t>
      </w:r>
    </w:p>
    <w:p w:rsidR="00C01970" w:rsidRPr="00A90676" w:rsidRDefault="00C01970" w:rsidP="00C01970">
      <w:pPr>
        <w:spacing w:after="0" w:line="240" w:lineRule="auto"/>
        <w:jc w:val="center"/>
        <w:rPr>
          <w:szCs w:val="24"/>
          <w:lang w:val="es-ES_tradnl"/>
        </w:rPr>
      </w:pPr>
      <w:r w:rsidRPr="00A90676">
        <w:rPr>
          <w:szCs w:val="24"/>
          <w:lang w:val="es-ES_tradnl"/>
        </w:rPr>
        <w:t>U</w:t>
      </w:r>
      <w:r>
        <w:rPr>
          <w:szCs w:val="24"/>
          <w:lang w:val="es-ES_tradnl"/>
        </w:rPr>
        <w:t>niversidad Carlos III de Madrid</w:t>
      </w:r>
    </w:p>
    <w:p w:rsidR="00C01970" w:rsidRDefault="00C01970" w:rsidP="00C01970">
      <w:pPr>
        <w:rPr>
          <w:szCs w:val="24"/>
          <w:lang w:val="es-ES_tradnl"/>
        </w:rPr>
      </w:pPr>
    </w:p>
    <w:p w:rsidR="00C01970" w:rsidRPr="00A90676" w:rsidRDefault="00C01970" w:rsidP="00C01970">
      <w:pPr>
        <w:rPr>
          <w:szCs w:val="24"/>
          <w:lang w:val="es-ES_tradnl"/>
        </w:rPr>
      </w:pPr>
    </w:p>
    <w:p w:rsidR="00C01970" w:rsidRPr="00AF3C8D" w:rsidRDefault="00C01970" w:rsidP="00C01970">
      <w:pPr>
        <w:pStyle w:val="Prrafodelista"/>
        <w:numPr>
          <w:ilvl w:val="0"/>
          <w:numId w:val="1"/>
        </w:numPr>
        <w:rPr>
          <w:rFonts w:ascii="Arial" w:hAnsi="Arial" w:cs="Arial"/>
          <w:b/>
          <w:szCs w:val="24"/>
          <w:lang w:val="es-ES_tradnl"/>
        </w:rPr>
      </w:pPr>
      <w:r w:rsidRPr="00AF3C8D">
        <w:rPr>
          <w:rFonts w:ascii="Arial" w:hAnsi="Arial" w:cs="Arial"/>
          <w:b/>
          <w:szCs w:val="24"/>
          <w:lang w:val="es-ES_tradnl"/>
        </w:rPr>
        <w:t>MARCO JURÍDICO</w:t>
      </w:r>
    </w:p>
    <w:p w:rsidR="00C01970" w:rsidRPr="00A90676" w:rsidRDefault="00C01970" w:rsidP="00C01970">
      <w:pPr>
        <w:rPr>
          <w:szCs w:val="24"/>
          <w:lang w:val="es-ES_tradnl"/>
        </w:rPr>
      </w:pPr>
      <w:r w:rsidRPr="00A90676">
        <w:rPr>
          <w:szCs w:val="24"/>
          <w:lang w:val="es-ES_tradnl"/>
        </w:rPr>
        <w:t xml:space="preserve">Marruecos obtiene la independencia de Francia y de España en el año 1956 e inmediatamente reclamará “el enclave </w:t>
      </w:r>
      <w:proofErr w:type="spellStart"/>
      <w:r w:rsidRPr="00A90676">
        <w:rPr>
          <w:szCs w:val="24"/>
          <w:lang w:val="es-ES_tradnl"/>
        </w:rPr>
        <w:t>Ifni</w:t>
      </w:r>
      <w:proofErr w:type="spellEnd"/>
      <w:r w:rsidRPr="00A90676">
        <w:rPr>
          <w:szCs w:val="24"/>
          <w:lang w:val="es-ES_tradnl"/>
        </w:rPr>
        <w:t xml:space="preserve">, la zona de </w:t>
      </w:r>
      <w:proofErr w:type="spellStart"/>
      <w:r w:rsidRPr="00A90676">
        <w:rPr>
          <w:szCs w:val="24"/>
          <w:lang w:val="es-ES_tradnl"/>
        </w:rPr>
        <w:t>Tarfaya</w:t>
      </w:r>
      <w:proofErr w:type="spellEnd"/>
      <w:r w:rsidRPr="00A90676">
        <w:rPr>
          <w:szCs w:val="24"/>
          <w:lang w:val="es-ES_tradnl"/>
        </w:rPr>
        <w:t xml:space="preserve">, que España administraba junto con el Rif, el </w:t>
      </w:r>
      <w:proofErr w:type="spellStart"/>
      <w:r w:rsidRPr="00A90676">
        <w:rPr>
          <w:szCs w:val="24"/>
          <w:lang w:val="es-ES_tradnl"/>
        </w:rPr>
        <w:t>Saguía</w:t>
      </w:r>
      <w:proofErr w:type="spellEnd"/>
      <w:r w:rsidRPr="00A90676">
        <w:rPr>
          <w:szCs w:val="24"/>
          <w:lang w:val="es-ES_tradnl"/>
        </w:rPr>
        <w:t xml:space="preserve"> el </w:t>
      </w:r>
      <w:proofErr w:type="spellStart"/>
      <w:r w:rsidRPr="00A90676">
        <w:rPr>
          <w:szCs w:val="24"/>
          <w:lang w:val="es-ES_tradnl"/>
        </w:rPr>
        <w:t>Hamra</w:t>
      </w:r>
      <w:proofErr w:type="spellEnd"/>
      <w:r w:rsidRPr="00A90676">
        <w:rPr>
          <w:szCs w:val="24"/>
          <w:lang w:val="es-ES_tradnl"/>
        </w:rPr>
        <w:t>, parte esencialmente productiva del Sáhara español y el antiguo Rio de Oro, extensa franja desértica que va desde Cabo Bojados al Cabo Blanco”</w:t>
      </w:r>
      <w:r w:rsidRPr="00A90676">
        <w:rPr>
          <w:rStyle w:val="Refdenotaalpie"/>
          <w:rFonts w:ascii="Arial" w:hAnsi="Arial" w:cs="Arial"/>
          <w:szCs w:val="24"/>
          <w:lang w:val="es-ES_tradnl"/>
        </w:rPr>
        <w:footnoteReference w:id="1"/>
      </w:r>
      <w:r w:rsidRPr="00A90676">
        <w:rPr>
          <w:szCs w:val="24"/>
          <w:lang w:val="es-ES_tradnl"/>
        </w:rPr>
        <w:t xml:space="preserve"> además de la región de </w:t>
      </w:r>
      <w:proofErr w:type="spellStart"/>
      <w:r w:rsidRPr="00A90676">
        <w:rPr>
          <w:szCs w:val="24"/>
          <w:lang w:val="es-ES_tradnl"/>
        </w:rPr>
        <w:t>Tinduf</w:t>
      </w:r>
      <w:proofErr w:type="spellEnd"/>
      <w:r w:rsidRPr="00A90676">
        <w:rPr>
          <w:szCs w:val="24"/>
          <w:lang w:val="es-ES_tradnl"/>
        </w:rPr>
        <w:t xml:space="preserve"> administrada por Francia.</w:t>
      </w:r>
    </w:p>
    <w:p w:rsidR="00C01970" w:rsidRPr="00A90676" w:rsidRDefault="00C01970" w:rsidP="00C01970">
      <w:pPr>
        <w:rPr>
          <w:szCs w:val="24"/>
          <w:lang w:val="es-ES_tradnl"/>
        </w:rPr>
      </w:pPr>
      <w:r w:rsidRPr="00A90676">
        <w:rPr>
          <w:szCs w:val="24"/>
          <w:lang w:val="es-ES_tradnl"/>
        </w:rPr>
        <w:t xml:space="preserve">Las fechas claves por las que haremos un recorrido </w:t>
      </w:r>
      <w:r w:rsidR="00571CE1">
        <w:rPr>
          <w:szCs w:val="24"/>
          <w:lang w:val="es-ES_tradnl"/>
        </w:rPr>
        <w:t xml:space="preserve">histórico </w:t>
      </w:r>
      <w:r w:rsidRPr="00A90676">
        <w:rPr>
          <w:szCs w:val="24"/>
          <w:lang w:val="es-ES_tradnl"/>
        </w:rPr>
        <w:t>en este análisis</w:t>
      </w:r>
      <w:r w:rsidR="00571CE1">
        <w:rPr>
          <w:szCs w:val="24"/>
          <w:lang w:val="es-ES_tradnl"/>
        </w:rPr>
        <w:t>, desde el S. XIX hasta la actualidad,</w:t>
      </w:r>
      <w:r w:rsidRPr="00A90676">
        <w:rPr>
          <w:szCs w:val="24"/>
          <w:lang w:val="es-ES_tradnl"/>
        </w:rPr>
        <w:t xml:space="preserve"> las situamos en los años 1884-1934, -ocupación del territorio por parte de España que ejercía de potencia administradora sobre la colonia-, 1949, -descubrimiento por parte de un geólogo español de los yacimientos de fosfatos, 1956, -independencia de Marruecos de Francia y España, -este mismo año España se incorpora a la ONU-, 1958, el Sáhara español era un distrito administrativo español, 1960 año en que la ONU a través de una de sus resoluciones contempla el derecho de libre determinación del pueblo saharaui a través de un referéndum, 1973, creación del Frente Polisario, sucesor del Movimiento para la Liberación del Sáhara, 1975, -pronunciamiento del TIJ sobre la naturaleza del territorio del Sáhara como territorio no Autónomo, la “Marcha Verde”, con en torno a 350.000 marroquís que ocupan el Sáhara, y la firma del</w:t>
      </w:r>
      <w:r>
        <w:rPr>
          <w:szCs w:val="24"/>
          <w:lang w:val="es-ES_tradnl"/>
        </w:rPr>
        <w:t xml:space="preserve"> </w:t>
      </w:r>
      <w:r w:rsidRPr="00A90676">
        <w:rPr>
          <w:szCs w:val="24"/>
          <w:lang w:val="es-ES_tradnl"/>
        </w:rPr>
        <w:t>Acuerdo Tripartito de Madrid, que supone la retirada definitiva de España del Sáhara antes de finales de febrero de 1976, 1976 creación del Estado de la República Árabe saharaui (RASD), 1979, -retirada del territorio de Mauritania, 1988 con el denominado Plan de Paz, 2006, -creación del Consejo Real Consultivo para los Asuntos del Sáhara –CORCAS-, y 2007, año en que Marruecos presenta un nuevo proyecto de autonomía denominado “Iniciativa marroquí para la negociación de un Estatuto de Autonomía de la Región del Sáhara”.</w:t>
      </w:r>
    </w:p>
    <w:p w:rsidR="00C01970" w:rsidRPr="00A90676" w:rsidRDefault="00C01970" w:rsidP="00C01970">
      <w:pPr>
        <w:rPr>
          <w:szCs w:val="24"/>
          <w:lang w:val="es-ES_tradnl"/>
        </w:rPr>
      </w:pPr>
      <w:r w:rsidRPr="00A90676">
        <w:rPr>
          <w:szCs w:val="24"/>
          <w:lang w:val="es-ES_tradnl"/>
        </w:rPr>
        <w:t xml:space="preserve">La cuestión del Sáhara Occidental en este largo itinerario </w:t>
      </w:r>
      <w:r w:rsidR="002B1107">
        <w:rPr>
          <w:szCs w:val="24"/>
          <w:lang w:val="es-ES_tradnl"/>
        </w:rPr>
        <w:t>-</w:t>
      </w:r>
      <w:r w:rsidR="00D2245A">
        <w:rPr>
          <w:szCs w:val="24"/>
          <w:lang w:val="es-ES_tradnl"/>
        </w:rPr>
        <w:t>cuasi irresoluble sin firme voluntad política</w:t>
      </w:r>
      <w:r w:rsidR="002B1107">
        <w:rPr>
          <w:szCs w:val="24"/>
          <w:lang w:val="es-ES_tradnl"/>
        </w:rPr>
        <w:t xml:space="preserve">- </w:t>
      </w:r>
      <w:r w:rsidRPr="00A90676">
        <w:rPr>
          <w:szCs w:val="24"/>
          <w:lang w:val="es-ES_tradnl"/>
        </w:rPr>
        <w:t>se incorpora a la Agenda de la ONU en los años 50 del siglo pasado, concretamente en 1956 con la entrada de nuestro país a esta organización universal, siendo el “Sáhara español” una provincia de nuestro país</w:t>
      </w:r>
      <w:r w:rsidRPr="00A90676">
        <w:rPr>
          <w:rStyle w:val="Refdenotaalpie"/>
          <w:rFonts w:ascii="Arial" w:hAnsi="Arial" w:cs="Arial"/>
          <w:szCs w:val="24"/>
          <w:lang w:val="es-ES_tradnl"/>
        </w:rPr>
        <w:footnoteReference w:id="2"/>
      </w:r>
      <w:r w:rsidRPr="00A90676">
        <w:rPr>
          <w:szCs w:val="24"/>
          <w:lang w:val="es-ES_tradnl"/>
        </w:rPr>
        <w:t>,</w:t>
      </w:r>
      <w:r>
        <w:rPr>
          <w:szCs w:val="24"/>
          <w:lang w:val="es-ES_tradnl"/>
        </w:rPr>
        <w:t xml:space="preserve"> </w:t>
      </w:r>
      <w:r w:rsidRPr="00A90676">
        <w:rPr>
          <w:szCs w:val="24"/>
          <w:lang w:val="es-ES_tradnl"/>
        </w:rPr>
        <w:t>y este asunto</w:t>
      </w:r>
      <w:r w:rsidR="00544BB8">
        <w:rPr>
          <w:szCs w:val="24"/>
          <w:lang w:val="es-ES_tradnl"/>
        </w:rPr>
        <w:t>, por aquel entonces,</w:t>
      </w:r>
      <w:r w:rsidRPr="00A90676">
        <w:rPr>
          <w:szCs w:val="24"/>
          <w:lang w:val="es-ES_tradnl"/>
        </w:rPr>
        <w:t xml:space="preserve"> se enmarca dentro de aquellas “cuestiones” concernientes al colonialismo y </w:t>
      </w:r>
      <w:r w:rsidRPr="00A90676">
        <w:rPr>
          <w:szCs w:val="24"/>
          <w:lang w:val="es-ES_tradnl"/>
        </w:rPr>
        <w:lastRenderedPageBreak/>
        <w:t>al fin del mismo en todas sus manifestaciones, tal y como se declara en la Resolución 1514 de la ONU sobre la concesión de la independencia a los países y pueblos coloniales, en 1960</w:t>
      </w:r>
      <w:r w:rsidRPr="00A90676">
        <w:rPr>
          <w:rStyle w:val="Refdenotaalpie"/>
          <w:rFonts w:ascii="Arial" w:hAnsi="Arial" w:cs="Arial"/>
          <w:szCs w:val="24"/>
          <w:lang w:val="es-ES_tradnl"/>
        </w:rPr>
        <w:footnoteReference w:id="3"/>
      </w:r>
      <w:r w:rsidRPr="00A90676">
        <w:rPr>
          <w:szCs w:val="24"/>
          <w:lang w:val="es-ES_tradnl"/>
        </w:rPr>
        <w:t>. En esta situación de partida, además de esta resolución, ”fundamento de la autodeterminación de los pueblos coloniales como principio y derecho incorporado al ordenamiento jurídico internacional”, es necesario mencionar la Resolución 2625 (XXV), de</w:t>
      </w:r>
      <w:r>
        <w:rPr>
          <w:szCs w:val="24"/>
          <w:lang w:val="es-ES_tradnl"/>
        </w:rPr>
        <w:t xml:space="preserve"> </w:t>
      </w:r>
      <w:r w:rsidRPr="00A90676">
        <w:rPr>
          <w:szCs w:val="24"/>
          <w:lang w:val="es-ES_tradnl"/>
        </w:rPr>
        <w:t xml:space="preserve">24 de octubre de 1970, que incorpora este principio al ordenamiento jurídico internacional, y que contiene la </w:t>
      </w:r>
      <w:r w:rsidRPr="00A90676">
        <w:rPr>
          <w:i/>
          <w:szCs w:val="24"/>
          <w:lang w:val="es-ES_tradnl"/>
        </w:rPr>
        <w:t>“Declaración sobre los Principios de Derecho Internacional referente a las relaciones de Amistad y a la Cooperación entre los Estados de conformidad con la Carta de las Naciones Unidas”</w:t>
      </w:r>
      <w:r w:rsidRPr="00A90676">
        <w:rPr>
          <w:szCs w:val="24"/>
          <w:lang w:val="es-ES_tradnl"/>
        </w:rPr>
        <w:t>, aprobada también por la Asamblea General. Esta resolución proclama solemnemente, entre sus principios, el relativo a la igualdad de derechos y de la libre determinación de los pueblos</w:t>
      </w:r>
      <w:r w:rsidRPr="00A90676">
        <w:rPr>
          <w:rStyle w:val="Refdenotaalpie"/>
          <w:rFonts w:ascii="Arial" w:hAnsi="Arial" w:cs="Arial"/>
          <w:szCs w:val="24"/>
          <w:lang w:val="es-ES_tradnl"/>
        </w:rPr>
        <w:footnoteReference w:id="4"/>
      </w:r>
      <w:r w:rsidRPr="00A90676">
        <w:rPr>
          <w:szCs w:val="24"/>
          <w:lang w:val="es-ES_tradnl"/>
        </w:rPr>
        <w:t xml:space="preserve">. Como consecuencia de ello, será la ONU la organización internacional </w:t>
      </w:r>
      <w:r w:rsidRPr="00A90676">
        <w:rPr>
          <w:szCs w:val="24"/>
          <w:lang w:val="es-ES_tradnl"/>
        </w:rPr>
        <w:lastRenderedPageBreak/>
        <w:t>que lleve a cabo el seguimiento y el control de las situaciones coloniales y su consiguiente proceso descolonizador, “en tanto que organización internacional concebida para contribuir a la aplicación de las bases de acción del orden mundial”</w:t>
      </w:r>
      <w:r w:rsidRPr="00A90676">
        <w:rPr>
          <w:rStyle w:val="Refdenotaalpie"/>
          <w:rFonts w:ascii="Arial" w:hAnsi="Arial" w:cs="Arial"/>
          <w:szCs w:val="24"/>
          <w:lang w:val="es-ES_tradnl"/>
        </w:rPr>
        <w:footnoteReference w:id="5"/>
      </w:r>
      <w:r w:rsidRPr="00A90676">
        <w:rPr>
          <w:szCs w:val="24"/>
          <w:lang w:val="es-ES_tradnl"/>
        </w:rPr>
        <w:t>. Una resolución anterior, la Resolución 2229 (XXI)</w:t>
      </w:r>
      <w:r w:rsidRPr="00A90676">
        <w:rPr>
          <w:rStyle w:val="Refdenotaalpie"/>
          <w:rFonts w:ascii="Arial" w:hAnsi="Arial" w:cs="Arial"/>
          <w:szCs w:val="24"/>
          <w:lang w:val="es-ES_tradnl"/>
        </w:rPr>
        <w:footnoteReference w:id="6"/>
      </w:r>
      <w:r w:rsidRPr="00A90676">
        <w:rPr>
          <w:szCs w:val="24"/>
          <w:lang w:val="es-ES_tradnl"/>
        </w:rPr>
        <w:t xml:space="preserve"> –Cuestión de </w:t>
      </w:r>
      <w:proofErr w:type="spellStart"/>
      <w:r w:rsidRPr="00A90676">
        <w:rPr>
          <w:szCs w:val="24"/>
          <w:lang w:val="es-ES_tradnl"/>
        </w:rPr>
        <w:t>Ifni</w:t>
      </w:r>
      <w:proofErr w:type="spellEnd"/>
      <w:r w:rsidRPr="00A90676">
        <w:rPr>
          <w:szCs w:val="24"/>
          <w:lang w:val="es-ES_tradnl"/>
        </w:rPr>
        <w:t xml:space="preserve"> y el Sáhara Español-,</w:t>
      </w:r>
      <w:r>
        <w:rPr>
          <w:szCs w:val="24"/>
          <w:lang w:val="es-ES_tradnl"/>
        </w:rPr>
        <w:t xml:space="preserve"> </w:t>
      </w:r>
      <w:r w:rsidRPr="00A90676">
        <w:rPr>
          <w:szCs w:val="24"/>
          <w:lang w:val="es-ES_tradnl"/>
        </w:rPr>
        <w:t>invita a España como Potencia Administradora y de conformidad con las aspiraciones de la población autóctona y en consulta con los Gobiernos de Marruecos y Mauritania los procedimientos para celebrar un referéndum bajo los auspicios de Naciones Unidas “con miras a permitir a la población autóctona del territorio que ejerza sin trabas su derecho a la libre determinación”</w:t>
      </w:r>
      <w:r w:rsidRPr="00A90676">
        <w:rPr>
          <w:rStyle w:val="Refdenotaalpie"/>
          <w:rFonts w:ascii="Arial" w:hAnsi="Arial" w:cs="Arial"/>
          <w:szCs w:val="24"/>
          <w:lang w:val="es-ES_tradnl"/>
        </w:rPr>
        <w:footnoteReference w:id="7"/>
      </w:r>
      <w:r w:rsidRPr="00A90676">
        <w:rPr>
          <w:szCs w:val="24"/>
          <w:lang w:val="es-ES_tradnl"/>
        </w:rPr>
        <w:t>. Desde luego, uno de los grandes problemas será la elaboración del mencionado censo, lo que supone una real dificultad de solución dudosa.</w:t>
      </w:r>
      <w:r>
        <w:rPr>
          <w:szCs w:val="24"/>
          <w:lang w:val="es-ES_tradnl"/>
        </w:rPr>
        <w:t xml:space="preserve"> </w:t>
      </w:r>
      <w:r w:rsidRPr="00A90676">
        <w:rPr>
          <w:szCs w:val="24"/>
          <w:lang w:val="es-ES_tradnl"/>
        </w:rPr>
        <w:t xml:space="preserve">A partir de aquí, Marruecos precisa sus pretensiones </w:t>
      </w:r>
      <w:r w:rsidRPr="00A90676">
        <w:rPr>
          <w:szCs w:val="24"/>
          <w:lang w:val="es-ES_tradnl"/>
        </w:rPr>
        <w:lastRenderedPageBreak/>
        <w:t>sobre este territorio en la esfera internacional y la incluirá dentro del ámbito de su soberanía. Mauritania, sin embargo, y aunque reivindica de igual modo sus pretensiones sobre el territorio, decide retirarse en el año 1979. El recorrido de este escabroso conflicto termina en la Corte Internacional de Justicia en 1974, donde la Asamblea General le solicita una opinión consultiva para que se pronunciase este Tribunal sobre dos cuestiones: una, relativa a si el Sáhara occidental era un territorio sin dueño en el momento de la colonización por parte de España, y dos, si la respuesta negativa, responder a qué vínculos jurídicos existían entre este territorio y Marruecos y Mauritania. El tribunal se pronuncia en el año 1975 y señalará que el Sáhara no era tierra de nadie en el momento de la colonización y, de otra parte, que los vínculos que existían tanto con Marruecos como con Mauritania no alteraban en absoluto la naturaleza del territorio del Sáhara como Territorio No Autónomo</w:t>
      </w:r>
      <w:r w:rsidRPr="00A90676">
        <w:rPr>
          <w:rStyle w:val="Refdenotaalpie"/>
          <w:rFonts w:ascii="Arial" w:hAnsi="Arial" w:cs="Arial"/>
          <w:szCs w:val="24"/>
          <w:lang w:val="es-ES_tradnl"/>
        </w:rPr>
        <w:footnoteReference w:id="8"/>
      </w:r>
      <w:r w:rsidRPr="00A90676">
        <w:rPr>
          <w:szCs w:val="24"/>
          <w:lang w:val="es-ES_tradnl"/>
        </w:rPr>
        <w:t>. A continuación, se produce en noviembre de 1975 la “Marcha Verde” sobre el Sahara, bajo el reinado del Rey Hassan II y España pone en conocimiento del Consejo de Seguridad esta situación, en virtud del artículo 35 de la carta de Naciones Unidas que establece que “Todo miembro de Naciones Unidas podrá llevar cualquier controversia, o cualquier situación de la naturaleza expresada en el artículo 34 a la atención del Consejo de Seguridad o de la Asamblea General”</w:t>
      </w:r>
      <w:r w:rsidRPr="00A90676">
        <w:rPr>
          <w:rStyle w:val="Refdenotaalpie"/>
          <w:rFonts w:ascii="Arial" w:hAnsi="Arial" w:cs="Arial"/>
          <w:szCs w:val="24"/>
          <w:lang w:val="es-ES_tradnl"/>
        </w:rPr>
        <w:footnoteReference w:id="9"/>
      </w:r>
      <w:r w:rsidRPr="00A90676">
        <w:rPr>
          <w:szCs w:val="24"/>
          <w:lang w:val="es-ES_tradnl"/>
        </w:rPr>
        <w:t>. Inmediatamente después, se producirá una “Declaración de principios entre España, Marruecos y Mauritania sobre el Sáhara Occidental”, en 1975, conocida más coloquialmente como “Acuerdo tripartito de Madrid”, el cual, según muchos autores es de dudosa legalidad y legitimidad internacional</w:t>
      </w:r>
      <w:r w:rsidRPr="00A90676">
        <w:rPr>
          <w:rStyle w:val="Refdenotaalpie"/>
          <w:rFonts w:ascii="Arial" w:hAnsi="Arial" w:cs="Arial"/>
          <w:szCs w:val="24"/>
          <w:lang w:val="es-ES_tradnl"/>
        </w:rPr>
        <w:footnoteReference w:id="10"/>
      </w:r>
      <w:r w:rsidRPr="00A90676">
        <w:rPr>
          <w:szCs w:val="24"/>
          <w:lang w:val="es-ES_tradnl"/>
        </w:rPr>
        <w:t>. En este Acuerdo</w:t>
      </w:r>
      <w:r w:rsidRPr="00A90676">
        <w:rPr>
          <w:rStyle w:val="Refdenotaalpie"/>
          <w:rFonts w:ascii="Arial" w:hAnsi="Arial" w:cs="Arial"/>
          <w:szCs w:val="24"/>
          <w:lang w:val="es-ES_tradnl"/>
        </w:rPr>
        <w:footnoteReference w:id="11"/>
      </w:r>
      <w:r w:rsidRPr="00A90676">
        <w:rPr>
          <w:szCs w:val="24"/>
          <w:lang w:val="es-ES_tradnl"/>
        </w:rPr>
        <w:t xml:space="preserve"> España ratifica su resolución de descolonizar el territorio del Sáhara occidental finalizando sus responsabilidades sobre dicho territorio como potencia administradora, además procederá de inmediato a instituir una administración temporal en el Territorio en la que participarán Marruecos y Mauritania, en colaboración con la </w:t>
      </w:r>
      <w:proofErr w:type="spellStart"/>
      <w:r w:rsidRPr="00A90676">
        <w:rPr>
          <w:szCs w:val="24"/>
          <w:lang w:val="es-ES_tradnl"/>
        </w:rPr>
        <w:t>Yemaá</w:t>
      </w:r>
      <w:proofErr w:type="spellEnd"/>
      <w:r w:rsidRPr="00A90676">
        <w:rPr>
          <w:szCs w:val="24"/>
          <w:lang w:val="es-ES_tradnl"/>
        </w:rPr>
        <w:t xml:space="preserve"> y a la cual le deberían ser transmitidas las responsabilidades y poderes que tenía España. Hay que recordar que la validez jurídica del Acuerdo tripartito de Madrid no sólo ha sido cuestionado por la doctrina jurídica, sino que también lo fue por el Subsecretario general de la ONU y consejero jurídico de </w:t>
      </w:r>
      <w:r w:rsidRPr="00A90676">
        <w:rPr>
          <w:szCs w:val="24"/>
          <w:lang w:val="es-ES_tradnl"/>
        </w:rPr>
        <w:lastRenderedPageBreak/>
        <w:t xml:space="preserve">la organización, el Sr. Hans </w:t>
      </w:r>
      <w:proofErr w:type="spellStart"/>
      <w:r w:rsidRPr="00A90676">
        <w:rPr>
          <w:szCs w:val="24"/>
          <w:lang w:val="es-ES_tradnl"/>
        </w:rPr>
        <w:t>Corell</w:t>
      </w:r>
      <w:proofErr w:type="spellEnd"/>
      <w:r w:rsidRPr="00A90676">
        <w:rPr>
          <w:rStyle w:val="Refdenotaalpie"/>
          <w:rFonts w:ascii="Arial" w:hAnsi="Arial" w:cs="Arial"/>
          <w:szCs w:val="24"/>
          <w:lang w:val="es-ES_tradnl"/>
        </w:rPr>
        <w:footnoteReference w:id="12"/>
      </w:r>
      <w:r w:rsidRPr="00A90676">
        <w:rPr>
          <w:szCs w:val="24"/>
          <w:lang w:val="es-ES_tradnl"/>
        </w:rPr>
        <w:t>, quien expresó que “El Acuerdo de Madrid no transfirió la soberanía sobre el territorio ni confirió a ninguno de los signatarios la condición de Potencia administradora, condición que España, por sí sola, no podía haber transferido unilateralmente”</w:t>
      </w:r>
      <w:r w:rsidRPr="00A90676">
        <w:rPr>
          <w:rStyle w:val="Refdenotaalpie"/>
          <w:rFonts w:ascii="Arial" w:hAnsi="Arial" w:cs="Arial"/>
          <w:szCs w:val="24"/>
          <w:lang w:val="es-ES_tradnl"/>
        </w:rPr>
        <w:footnoteReference w:id="13"/>
      </w:r>
      <w:r w:rsidRPr="00A90676">
        <w:rPr>
          <w:szCs w:val="24"/>
          <w:lang w:val="es-ES_tradnl"/>
        </w:rPr>
        <w:t>. El mismo dictamen señala que Marruecos no figura como la Potencia administradora del territorio en la lista de territorios no autónomos de las Naciones Unidas y, por consiguiente, no ha transmitido la información sobre el Territorio prevista en el apartado e) del Artículo 73 de la Carta de las Naciones Unidas</w:t>
      </w:r>
      <w:r w:rsidRPr="00A90676">
        <w:rPr>
          <w:rStyle w:val="Refdenotaalpie"/>
          <w:rFonts w:ascii="Arial" w:hAnsi="Arial" w:cs="Arial"/>
          <w:szCs w:val="24"/>
          <w:lang w:val="es-ES_tradnl"/>
        </w:rPr>
        <w:footnoteReference w:id="14"/>
      </w:r>
      <w:r w:rsidRPr="00A90676">
        <w:rPr>
          <w:szCs w:val="24"/>
          <w:lang w:val="es-ES_tradnl"/>
        </w:rPr>
        <w:t>.</w:t>
      </w:r>
      <w:r>
        <w:rPr>
          <w:szCs w:val="24"/>
          <w:lang w:val="es-ES_tradnl"/>
        </w:rPr>
        <w:t xml:space="preserve"> </w:t>
      </w:r>
    </w:p>
    <w:p w:rsidR="00C01970" w:rsidRPr="00A90676" w:rsidRDefault="00C01970" w:rsidP="00C01970">
      <w:pPr>
        <w:rPr>
          <w:szCs w:val="24"/>
          <w:lang w:val="es-ES_tradnl"/>
        </w:rPr>
      </w:pPr>
      <w:r w:rsidRPr="00A90676">
        <w:rPr>
          <w:szCs w:val="24"/>
          <w:lang w:val="es-ES_tradnl"/>
        </w:rPr>
        <w:t xml:space="preserve">Obviamente, el Frente Polisario –Frente Popular para la Liberación de </w:t>
      </w:r>
      <w:proofErr w:type="spellStart"/>
      <w:r w:rsidRPr="00A90676">
        <w:rPr>
          <w:szCs w:val="24"/>
          <w:lang w:val="es-ES_tradnl"/>
        </w:rPr>
        <w:t>Sakiet</w:t>
      </w:r>
      <w:proofErr w:type="spellEnd"/>
      <w:r w:rsidRPr="00A90676">
        <w:rPr>
          <w:szCs w:val="24"/>
          <w:lang w:val="es-ES_tradnl"/>
        </w:rPr>
        <w:t xml:space="preserve"> El </w:t>
      </w:r>
      <w:proofErr w:type="spellStart"/>
      <w:r w:rsidRPr="00A90676">
        <w:rPr>
          <w:szCs w:val="24"/>
          <w:lang w:val="es-ES_tradnl"/>
        </w:rPr>
        <w:t>Hamra</w:t>
      </w:r>
      <w:proofErr w:type="spellEnd"/>
      <w:r w:rsidRPr="00A90676">
        <w:rPr>
          <w:szCs w:val="24"/>
          <w:lang w:val="es-ES_tradnl"/>
        </w:rPr>
        <w:t xml:space="preserve"> y Río de Oro- autoridad única y legítima que representa al pueblo saharaui en palabras de la ONU</w:t>
      </w:r>
      <w:r>
        <w:rPr>
          <w:szCs w:val="24"/>
          <w:lang w:val="es-ES_tradnl"/>
        </w:rPr>
        <w:t xml:space="preserve"> </w:t>
      </w:r>
      <w:r w:rsidRPr="00A90676">
        <w:rPr>
          <w:szCs w:val="24"/>
          <w:lang w:val="es-ES_tradnl"/>
        </w:rPr>
        <w:t>desautoriza el mencionado acuerdo</w:t>
      </w:r>
      <w:r w:rsidRPr="00A90676">
        <w:rPr>
          <w:rStyle w:val="Refdenotaalpie"/>
          <w:rFonts w:ascii="Arial" w:hAnsi="Arial" w:cs="Arial"/>
          <w:szCs w:val="24"/>
          <w:lang w:val="es-ES_tradnl"/>
        </w:rPr>
        <w:footnoteReference w:id="15"/>
      </w:r>
      <w:r w:rsidRPr="00A90676">
        <w:rPr>
          <w:szCs w:val="24"/>
          <w:lang w:val="es-ES_tradnl"/>
        </w:rPr>
        <w:t xml:space="preserve">. Nuestro país se retiraría del Sáhara Occidental el 26 de febrero de 1976, dejando constancia de que </w:t>
      </w:r>
      <w:r w:rsidRPr="00A90676">
        <w:rPr>
          <w:i/>
          <w:szCs w:val="24"/>
          <w:lang w:val="es-ES_tradnl"/>
        </w:rPr>
        <w:t>“España se considera desligada en lo sucesivo de toda responsabilidad de carácter internacional con relación a la administración de dicho territorio, al cesar su participación en la administración temporal que se estableció para el mismo”</w:t>
      </w:r>
      <w:r w:rsidRPr="00A90676">
        <w:rPr>
          <w:rStyle w:val="Refdenotaalpie"/>
          <w:rFonts w:ascii="Arial" w:hAnsi="Arial" w:cs="Arial"/>
          <w:szCs w:val="24"/>
          <w:lang w:val="es-ES_tradnl"/>
        </w:rPr>
        <w:footnoteReference w:id="16"/>
      </w:r>
      <w:r w:rsidRPr="00A90676">
        <w:rPr>
          <w:szCs w:val="24"/>
          <w:lang w:val="es-ES_tradnl"/>
        </w:rPr>
        <w:t>. El Frente Polisario llevará a cabo su lucha de liberación nacional frente a los ocupantes extranjeros, proclamando el mismo 28 de febrero de 1976 la República Árabe Saharaui Democrática (RASD) y será reconocido por la Unión Africana en 2002 y por más de 75 países en todo el mundo, países que han reconocido ya el gobierno en el exilio del Sáhara occidental</w:t>
      </w:r>
      <w:r w:rsidRPr="00A90676">
        <w:rPr>
          <w:rStyle w:val="Refdenotaalpie"/>
          <w:rFonts w:ascii="Arial" w:hAnsi="Arial" w:cs="Arial"/>
          <w:szCs w:val="24"/>
          <w:lang w:val="es-ES_tradnl"/>
        </w:rPr>
        <w:footnoteReference w:id="17"/>
      </w:r>
      <w:r w:rsidRPr="00A90676">
        <w:rPr>
          <w:szCs w:val="24"/>
          <w:lang w:val="es-ES_tradnl"/>
        </w:rPr>
        <w:t xml:space="preserve">. </w:t>
      </w:r>
    </w:p>
    <w:p w:rsidR="00C01970" w:rsidRPr="00A90676" w:rsidRDefault="00C01970" w:rsidP="00C01970">
      <w:pPr>
        <w:rPr>
          <w:szCs w:val="24"/>
        </w:rPr>
      </w:pPr>
      <w:r w:rsidRPr="00A90676">
        <w:rPr>
          <w:szCs w:val="24"/>
          <w:lang w:val="es-ES_tradnl"/>
        </w:rPr>
        <w:t>Finalmente y después de muchos encuentros, negociaciones, obstáculos, etc., en este largo caminar, la propuesta actual sobre el tapete diseñada por Marruecos pasa por la concesión de un estatus de autonomía</w:t>
      </w:r>
      <w:r>
        <w:rPr>
          <w:szCs w:val="24"/>
          <w:lang w:val="es-ES_tradnl"/>
        </w:rPr>
        <w:t xml:space="preserve"> </w:t>
      </w:r>
      <w:r w:rsidRPr="00A90676">
        <w:rPr>
          <w:szCs w:val="24"/>
          <w:lang w:val="es-ES_tradnl"/>
        </w:rPr>
        <w:t xml:space="preserve">al Sáhara Occidental, dentro del Reino marroquí. </w:t>
      </w:r>
      <w:r w:rsidR="00D5597D">
        <w:rPr>
          <w:szCs w:val="24"/>
          <w:lang w:val="es-ES_tradnl"/>
        </w:rPr>
        <w:t xml:space="preserve">Los primeros movimientos negociadores se producen ya en </w:t>
      </w:r>
      <w:r w:rsidRPr="00A90676">
        <w:rPr>
          <w:szCs w:val="24"/>
          <w:lang w:val="es-ES_tradnl"/>
        </w:rPr>
        <w:t>1981</w:t>
      </w:r>
      <w:r w:rsidR="00D5597D">
        <w:rPr>
          <w:szCs w:val="24"/>
          <w:lang w:val="es-ES_tradnl"/>
        </w:rPr>
        <w:t>, cuando</w:t>
      </w:r>
      <w:r w:rsidRPr="00A90676">
        <w:rPr>
          <w:szCs w:val="24"/>
          <w:lang w:val="es-ES_tradnl"/>
        </w:rPr>
        <w:t xml:space="preserve"> el rey de Marruecos acepta un referéndum en el Sáhara basado en el censo del registro español de 1974, siendo las dos posibles opciones la independencia o la integración en Marruecos. Una com</w:t>
      </w:r>
      <w:r w:rsidR="00D626D0">
        <w:rPr>
          <w:szCs w:val="24"/>
          <w:lang w:val="es-ES_tradnl"/>
        </w:rPr>
        <w:t>isión certificaría que se llevara</w:t>
      </w:r>
      <w:r>
        <w:rPr>
          <w:szCs w:val="24"/>
          <w:lang w:val="es-ES_tradnl"/>
        </w:rPr>
        <w:t xml:space="preserve"> a cabo todo lo consensuado y é</w:t>
      </w:r>
      <w:r w:rsidRPr="00A90676">
        <w:rPr>
          <w:szCs w:val="24"/>
          <w:lang w:val="es-ES_tradnl"/>
        </w:rPr>
        <w:t>sta estaría ayudada de un grupo –denominado MINURSO-,</w:t>
      </w:r>
      <w:r>
        <w:rPr>
          <w:szCs w:val="24"/>
          <w:lang w:val="es-ES_tradnl"/>
        </w:rPr>
        <w:t xml:space="preserve"> </w:t>
      </w:r>
      <w:r w:rsidRPr="00A90676">
        <w:rPr>
          <w:szCs w:val="24"/>
        </w:rPr>
        <w:t>(Misión de las Naciones Unidas para la organización del Referéndum en el Sahara Occidental). Este Plan de Arreglo es aceptad</w:t>
      </w:r>
      <w:r>
        <w:rPr>
          <w:szCs w:val="24"/>
        </w:rPr>
        <w:t>o por las partes pero desafortunadamente el</w:t>
      </w:r>
      <w:r w:rsidRPr="00A90676">
        <w:rPr>
          <w:szCs w:val="24"/>
        </w:rPr>
        <w:t xml:space="preserve"> referéndum no se realiza. </w:t>
      </w:r>
    </w:p>
    <w:p w:rsidR="00C01970" w:rsidRPr="00A90676" w:rsidRDefault="00C01970" w:rsidP="00C01970">
      <w:pPr>
        <w:rPr>
          <w:szCs w:val="24"/>
        </w:rPr>
      </w:pPr>
      <w:r w:rsidRPr="00A90676">
        <w:rPr>
          <w:szCs w:val="24"/>
        </w:rPr>
        <w:lastRenderedPageBreak/>
        <w:t xml:space="preserve">Desde </w:t>
      </w:r>
      <w:r>
        <w:rPr>
          <w:szCs w:val="24"/>
        </w:rPr>
        <w:t xml:space="preserve">entonces y especialmente, desde </w:t>
      </w:r>
      <w:r w:rsidRPr="00A90676">
        <w:rPr>
          <w:szCs w:val="24"/>
        </w:rPr>
        <w:t xml:space="preserve">el alto el fuego en 1991, Marruecos ha incentivado la colonización del Sáhara para </w:t>
      </w:r>
      <w:proofErr w:type="spellStart"/>
      <w:r w:rsidRPr="00A90676">
        <w:rPr>
          <w:szCs w:val="24"/>
        </w:rPr>
        <w:t>Marroquinizarlo</w:t>
      </w:r>
      <w:proofErr w:type="spellEnd"/>
      <w:r w:rsidRPr="00A90676">
        <w:rPr>
          <w:szCs w:val="24"/>
        </w:rPr>
        <w:t>”</w:t>
      </w:r>
      <w:r w:rsidRPr="00A90676">
        <w:rPr>
          <w:rStyle w:val="Refdenotaalpie"/>
          <w:rFonts w:ascii="Arial" w:hAnsi="Arial" w:cs="Arial"/>
          <w:szCs w:val="24"/>
        </w:rPr>
        <w:footnoteReference w:id="18"/>
      </w:r>
      <w:r w:rsidRPr="00A90676">
        <w:rPr>
          <w:szCs w:val="24"/>
        </w:rPr>
        <w:t>.</w:t>
      </w:r>
    </w:p>
    <w:p w:rsidR="00C01970" w:rsidRPr="00A90676" w:rsidRDefault="00C01970" w:rsidP="00C01970">
      <w:pPr>
        <w:rPr>
          <w:szCs w:val="24"/>
        </w:rPr>
      </w:pPr>
      <w:r w:rsidRPr="00A90676">
        <w:rPr>
          <w:szCs w:val="24"/>
        </w:rPr>
        <w:t>El entonces Secretario General de la ONU Pérez de Cuéllar</w:t>
      </w:r>
      <w:r w:rsidR="00556E1D">
        <w:rPr>
          <w:szCs w:val="24"/>
        </w:rPr>
        <w:t xml:space="preserve">, el que fuera quinto Secretario general de la ONU entre 1982 y1991, </w:t>
      </w:r>
      <w:r w:rsidRPr="00A90676">
        <w:rPr>
          <w:szCs w:val="24"/>
        </w:rPr>
        <w:t xml:space="preserve">decide incluir nuevos criterios para </w:t>
      </w:r>
      <w:r>
        <w:rPr>
          <w:szCs w:val="24"/>
        </w:rPr>
        <w:t xml:space="preserve">que los saharauis pudieran </w:t>
      </w:r>
      <w:r w:rsidRPr="00A90676">
        <w:rPr>
          <w:szCs w:val="24"/>
        </w:rPr>
        <w:t>ser incluido</w:t>
      </w:r>
      <w:r>
        <w:rPr>
          <w:szCs w:val="24"/>
        </w:rPr>
        <w:t>s</w:t>
      </w:r>
      <w:r w:rsidRPr="00A90676">
        <w:rPr>
          <w:szCs w:val="24"/>
        </w:rPr>
        <w:t xml:space="preserve"> en el censo. Ya </w:t>
      </w:r>
      <w:r w:rsidR="00DB3C8D">
        <w:rPr>
          <w:szCs w:val="24"/>
        </w:rPr>
        <w:t xml:space="preserve">con </w:t>
      </w:r>
      <w:proofErr w:type="spellStart"/>
      <w:r w:rsidR="00DB3C8D">
        <w:rPr>
          <w:szCs w:val="24"/>
        </w:rPr>
        <w:t>Cofi</w:t>
      </w:r>
      <w:proofErr w:type="spellEnd"/>
      <w:r w:rsidR="00DB3C8D">
        <w:rPr>
          <w:szCs w:val="24"/>
        </w:rPr>
        <w:t xml:space="preserve"> Annan</w:t>
      </w:r>
      <w:r w:rsidR="00696917">
        <w:rPr>
          <w:szCs w:val="24"/>
        </w:rPr>
        <w:t>, -premio Nobel de la Paz-,</w:t>
      </w:r>
      <w:r w:rsidR="00DB3C8D">
        <w:rPr>
          <w:szCs w:val="24"/>
        </w:rPr>
        <w:t xml:space="preserve"> como su sustituto en el cargo</w:t>
      </w:r>
      <w:r w:rsidR="00696917">
        <w:rPr>
          <w:szCs w:val="24"/>
        </w:rPr>
        <w:t xml:space="preserve"> (1997-2006)</w:t>
      </w:r>
      <w:r w:rsidR="00DB3C8D">
        <w:rPr>
          <w:szCs w:val="24"/>
        </w:rPr>
        <w:t xml:space="preserve">, </w:t>
      </w:r>
      <w:r>
        <w:rPr>
          <w:szCs w:val="24"/>
        </w:rPr>
        <w:t>se da un nuevo paso, cuando é</w:t>
      </w:r>
      <w:r w:rsidRPr="00A90676">
        <w:rPr>
          <w:szCs w:val="24"/>
        </w:rPr>
        <w:t xml:space="preserve">ste decide nombrar a James Baker como nuevo encargado de los asuntos del Sáhara occidental. </w:t>
      </w:r>
      <w:r w:rsidR="007C70EC">
        <w:rPr>
          <w:szCs w:val="24"/>
        </w:rPr>
        <w:t>En</w:t>
      </w:r>
      <w:r>
        <w:rPr>
          <w:szCs w:val="24"/>
        </w:rPr>
        <w:t xml:space="preserve"> esta</w:t>
      </w:r>
      <w:r w:rsidR="00CD47BC">
        <w:rPr>
          <w:szCs w:val="24"/>
        </w:rPr>
        <w:t>s</w:t>
      </w:r>
      <w:r>
        <w:rPr>
          <w:szCs w:val="24"/>
        </w:rPr>
        <w:t xml:space="preserve"> fecha</w:t>
      </w:r>
      <w:r w:rsidR="00CD47BC">
        <w:rPr>
          <w:szCs w:val="24"/>
        </w:rPr>
        <w:t>s</w:t>
      </w:r>
      <w:r>
        <w:rPr>
          <w:szCs w:val="24"/>
        </w:rPr>
        <w:t xml:space="preserve">, se </w:t>
      </w:r>
      <w:r w:rsidRPr="00A90676">
        <w:rPr>
          <w:szCs w:val="24"/>
        </w:rPr>
        <w:t>propone</w:t>
      </w:r>
      <w:r w:rsidR="007C70EC">
        <w:rPr>
          <w:szCs w:val="24"/>
        </w:rPr>
        <w:t xml:space="preserve">, concretamente </w:t>
      </w:r>
      <w:r w:rsidRPr="00A90676">
        <w:rPr>
          <w:szCs w:val="24"/>
        </w:rPr>
        <w:t>en 2001 un nuevo Acuerdo Marco. Fundamentalmente</w:t>
      </w:r>
      <w:r>
        <w:rPr>
          <w:szCs w:val="24"/>
        </w:rPr>
        <w:t>,</w:t>
      </w:r>
      <w:r w:rsidRPr="00A90676">
        <w:rPr>
          <w:szCs w:val="24"/>
        </w:rPr>
        <w:t xml:space="preserve"> se propone una autonomía para el Sáhara occidental y dependiendo de Marruecos, con la posibilidad de que</w:t>
      </w:r>
      <w:r w:rsidR="00EC6101">
        <w:rPr>
          <w:szCs w:val="24"/>
        </w:rPr>
        <w:t>,</w:t>
      </w:r>
      <w:r w:rsidRPr="00A90676">
        <w:rPr>
          <w:szCs w:val="24"/>
        </w:rPr>
        <w:t xml:space="preserve"> en aproximadamente 5 años a partir de la firma del plan</w:t>
      </w:r>
      <w:r w:rsidR="00EC6101">
        <w:rPr>
          <w:szCs w:val="24"/>
        </w:rPr>
        <w:t>,</w:t>
      </w:r>
      <w:r w:rsidRPr="00A90676">
        <w:rPr>
          <w:szCs w:val="24"/>
        </w:rPr>
        <w:t xml:space="preserve"> se opte por la dependencia de Marruecos o por la autodeterminación. </w:t>
      </w:r>
    </w:p>
    <w:p w:rsidR="00C01970" w:rsidRPr="00A90676" w:rsidRDefault="00C01970" w:rsidP="00C01970">
      <w:pPr>
        <w:rPr>
          <w:szCs w:val="24"/>
        </w:rPr>
      </w:pPr>
      <w:r w:rsidRPr="00A90676">
        <w:rPr>
          <w:szCs w:val="24"/>
        </w:rPr>
        <w:t>En 2003 hay un nuevo plan de paz con James Baker, parecido al de 2001, con la especificidad de que las cuestiones de política exterior Marruecos las tendría que acordar con la administración autónoma del Sáhara. A pesar de las primeras reticencias del Frente Polisario</w:t>
      </w:r>
      <w:r>
        <w:rPr>
          <w:szCs w:val="24"/>
        </w:rPr>
        <w:t>,</w:t>
      </w:r>
      <w:r w:rsidRPr="00A90676">
        <w:rPr>
          <w:szCs w:val="24"/>
        </w:rPr>
        <w:t xml:space="preserve"> el Consejo de Seguridad de la ONU aprueba el Plan de Paz</w:t>
      </w:r>
      <w:r>
        <w:rPr>
          <w:szCs w:val="24"/>
        </w:rPr>
        <w:t>,</w:t>
      </w:r>
      <w:r w:rsidRPr="00A90676">
        <w:rPr>
          <w:szCs w:val="24"/>
        </w:rPr>
        <w:t xml:space="preserve"> pero será Marruecos quien esta vez detenga el proceso.</w:t>
      </w:r>
    </w:p>
    <w:p w:rsidR="00C01970" w:rsidRPr="00CB5A20" w:rsidRDefault="00CB5A20" w:rsidP="00C01970">
      <w:pPr>
        <w:rPr>
          <w:szCs w:val="24"/>
          <w:lang w:val="es-ES_tradnl"/>
        </w:rPr>
      </w:pPr>
      <w:r w:rsidRPr="00CB5A20">
        <w:rPr>
          <w:szCs w:val="24"/>
        </w:rPr>
        <w:t xml:space="preserve">Hay que recordar, haciendo un ejercicio de memoria que ya </w:t>
      </w:r>
      <w:r w:rsidR="00C01970" w:rsidRPr="00CB5A20">
        <w:rPr>
          <w:szCs w:val="24"/>
          <w:lang w:val="es-ES_tradnl"/>
        </w:rPr>
        <w:t xml:space="preserve">en 1988 este plan u hoja de ruta, apoyada también por EEUU, adolecía de un gran riesgo inasumible desde el derecho internacional, y es que podría significar que la comunidad internacional aprobaría la expansión del territorio de un país mediante la fuerza militar y esto, sin duda, podría sentar un peligroso precedente. </w:t>
      </w:r>
    </w:p>
    <w:p w:rsidR="00C01970" w:rsidRPr="00A90676" w:rsidRDefault="00C01970" w:rsidP="00C01970">
      <w:pPr>
        <w:rPr>
          <w:szCs w:val="24"/>
          <w:lang w:val="es-ES_tradnl"/>
        </w:rPr>
      </w:pPr>
      <w:r w:rsidRPr="00A90676">
        <w:rPr>
          <w:szCs w:val="24"/>
          <w:lang w:val="es-ES_tradnl"/>
        </w:rPr>
        <w:t xml:space="preserve">En 2006 Marruecos decide crear el Consejo Real Constitutivo para los Asuntos del Sáhara CORCAS, con objeto de defender la integridad territorial y su unidad nacional. </w:t>
      </w:r>
    </w:p>
    <w:p w:rsidR="00C01970" w:rsidRPr="00A90676" w:rsidRDefault="00C01970" w:rsidP="00C01970">
      <w:pPr>
        <w:rPr>
          <w:szCs w:val="24"/>
          <w:lang w:val="es-ES_tradnl"/>
        </w:rPr>
      </w:pPr>
      <w:r w:rsidRPr="00A90676">
        <w:rPr>
          <w:szCs w:val="24"/>
          <w:lang w:val="es-ES_tradnl"/>
        </w:rPr>
        <w:t xml:space="preserve">En 2007 Marruecos presenta ante el Secretario de la ONU </w:t>
      </w:r>
      <w:proofErr w:type="spellStart"/>
      <w:r w:rsidRPr="00A90676">
        <w:rPr>
          <w:szCs w:val="24"/>
          <w:lang w:val="es-ES_tradnl"/>
        </w:rPr>
        <w:t>Banki</w:t>
      </w:r>
      <w:proofErr w:type="spellEnd"/>
      <w:r w:rsidRPr="00A90676">
        <w:rPr>
          <w:szCs w:val="24"/>
          <w:lang w:val="es-ES_tradnl"/>
        </w:rPr>
        <w:t xml:space="preserve"> </w:t>
      </w:r>
      <w:proofErr w:type="spellStart"/>
      <w:r w:rsidRPr="00A90676">
        <w:rPr>
          <w:szCs w:val="24"/>
          <w:lang w:val="es-ES_tradnl"/>
        </w:rPr>
        <w:t>Moon</w:t>
      </w:r>
      <w:proofErr w:type="spellEnd"/>
      <w:r w:rsidRPr="00A90676">
        <w:rPr>
          <w:szCs w:val="24"/>
          <w:lang w:val="es-ES_tradnl"/>
        </w:rPr>
        <w:t xml:space="preserve"> su nueva propuesta para el Sáhara a través de un nuevo proyecto de autonomía, expuesto en el documento “Iniciativa marroquí para la negociación de un estatuto de autonomía de la región del Sáhara”</w:t>
      </w:r>
      <w:r w:rsidRPr="00A90676">
        <w:rPr>
          <w:rStyle w:val="Refdenotaalpie"/>
          <w:rFonts w:ascii="Arial" w:hAnsi="Arial" w:cs="Arial"/>
          <w:szCs w:val="24"/>
          <w:lang w:val="es-ES_tradnl"/>
        </w:rPr>
        <w:footnoteReference w:id="19"/>
      </w:r>
      <w:r w:rsidRPr="00A90676">
        <w:rPr>
          <w:szCs w:val="24"/>
          <w:lang w:val="es-ES_tradnl"/>
        </w:rPr>
        <w:t>.</w:t>
      </w:r>
      <w:r>
        <w:rPr>
          <w:szCs w:val="24"/>
          <w:lang w:val="es-ES_tradnl"/>
        </w:rPr>
        <w:t xml:space="preserve"> </w:t>
      </w:r>
      <w:r w:rsidRPr="00A90676">
        <w:rPr>
          <w:szCs w:val="24"/>
          <w:lang w:val="es-ES_tradnl"/>
        </w:rPr>
        <w:t>Esta iniciativa es apoyada por EEUU y Francia.</w:t>
      </w:r>
    </w:p>
    <w:p w:rsidR="00C01970" w:rsidRPr="00A90676" w:rsidRDefault="00C01970" w:rsidP="00C01970">
      <w:pPr>
        <w:rPr>
          <w:szCs w:val="24"/>
          <w:lang w:val="es-ES_tradnl"/>
        </w:rPr>
      </w:pPr>
      <w:r w:rsidRPr="00A90676">
        <w:rPr>
          <w:szCs w:val="24"/>
          <w:lang w:val="es-ES_tradnl"/>
        </w:rPr>
        <w:t>Ese mismo año de 2007, concretamente el 10 de abril, hay otra propuesta del Frente Polisario para una solución política y mutuamente aceptable que proporciona la autodeterminación para el pueblo del Sáhara occidental”. Esta iniciativa es apoyada especialmente por el Reino Unido y Rusia.</w:t>
      </w:r>
    </w:p>
    <w:p w:rsidR="00C01970" w:rsidRPr="00A90676" w:rsidRDefault="00B01ED5" w:rsidP="00C01970">
      <w:pPr>
        <w:rPr>
          <w:szCs w:val="24"/>
          <w:lang w:val="es-ES_tradnl"/>
        </w:rPr>
      </w:pPr>
      <w:r>
        <w:rPr>
          <w:szCs w:val="24"/>
          <w:lang w:val="es-ES_tradnl"/>
        </w:rPr>
        <w:t xml:space="preserve">En este complejo laberinto, nos perecen muy acertadas las palabras sobre la </w:t>
      </w:r>
      <w:r w:rsidR="00C01970">
        <w:rPr>
          <w:szCs w:val="24"/>
          <w:lang w:val="es-ES_tradnl"/>
        </w:rPr>
        <w:t xml:space="preserve"> </w:t>
      </w:r>
      <w:r w:rsidR="00C01970" w:rsidRPr="00A90676">
        <w:rPr>
          <w:szCs w:val="24"/>
          <w:lang w:val="es-ES_tradnl"/>
        </w:rPr>
        <w:t xml:space="preserve">especificidad de la cuestión de Sáhara Occidental según </w:t>
      </w:r>
      <w:proofErr w:type="spellStart"/>
      <w:r w:rsidR="00C01970" w:rsidRPr="00A90676">
        <w:rPr>
          <w:szCs w:val="24"/>
          <w:lang w:val="es-ES_tradnl"/>
        </w:rPr>
        <w:t>Badía</w:t>
      </w:r>
      <w:proofErr w:type="spellEnd"/>
      <w:r w:rsidR="00C01970" w:rsidRPr="00A90676">
        <w:rPr>
          <w:szCs w:val="24"/>
          <w:lang w:val="es-ES_tradnl"/>
        </w:rPr>
        <w:t xml:space="preserve"> Martí, Anna, Fernández Pons Xavier y Carranza </w:t>
      </w:r>
      <w:proofErr w:type="spellStart"/>
      <w:r w:rsidR="00C01970" w:rsidRPr="00A90676">
        <w:rPr>
          <w:szCs w:val="24"/>
          <w:lang w:val="es-ES_tradnl"/>
        </w:rPr>
        <w:t>Föster</w:t>
      </w:r>
      <w:proofErr w:type="spellEnd"/>
      <w:r w:rsidR="00C01970" w:rsidRPr="00A90676">
        <w:rPr>
          <w:szCs w:val="24"/>
          <w:lang w:val="es-ES_tradnl"/>
        </w:rPr>
        <w:t xml:space="preserve"> Sergio Román, </w:t>
      </w:r>
      <w:r w:rsidR="00C01970">
        <w:rPr>
          <w:szCs w:val="24"/>
          <w:lang w:val="es-ES_tradnl"/>
        </w:rPr>
        <w:t xml:space="preserve">y que comparto absolutamente, </w:t>
      </w:r>
      <w:r>
        <w:rPr>
          <w:szCs w:val="24"/>
          <w:lang w:val="es-ES_tradnl"/>
        </w:rPr>
        <w:t xml:space="preserve">cuando </w:t>
      </w:r>
      <w:r>
        <w:rPr>
          <w:szCs w:val="24"/>
          <w:lang w:val="es-ES_tradnl"/>
        </w:rPr>
        <w:lastRenderedPageBreak/>
        <w:t xml:space="preserve">manifiestan que esta especificidad </w:t>
      </w:r>
      <w:r w:rsidR="00C01970" w:rsidRPr="00A90676">
        <w:rPr>
          <w:szCs w:val="24"/>
          <w:lang w:val="es-ES_tradnl"/>
        </w:rPr>
        <w:t>“radica en su falta de adecuación, desde un principio a los marcos de actuación establecidos por NNUU y se ha convertido en una situación crónica como consecuencia de las posiciones basadas en políticas de fuerza de las partes en la controversia y que no han respondido a la aplicación del derecho a la autodeterminación”</w:t>
      </w:r>
      <w:r w:rsidR="00C01970" w:rsidRPr="00A90676">
        <w:rPr>
          <w:rStyle w:val="Refdenotaalpie"/>
          <w:rFonts w:ascii="Arial" w:hAnsi="Arial" w:cs="Arial"/>
          <w:szCs w:val="24"/>
          <w:lang w:val="es-ES_tradnl"/>
        </w:rPr>
        <w:footnoteReference w:id="20"/>
      </w:r>
      <w:r w:rsidR="00C01970" w:rsidRPr="00A90676">
        <w:rPr>
          <w:szCs w:val="24"/>
          <w:lang w:val="es-ES_tradnl"/>
        </w:rPr>
        <w:t>.</w:t>
      </w:r>
      <w:r w:rsidR="00C01970">
        <w:rPr>
          <w:szCs w:val="24"/>
          <w:lang w:val="es-ES_tradnl"/>
        </w:rPr>
        <w:t xml:space="preserve"> En este escenario tan movedizo, e</w:t>
      </w:r>
      <w:r w:rsidR="00C01970" w:rsidRPr="00A90676">
        <w:rPr>
          <w:szCs w:val="24"/>
          <w:lang w:val="es-ES_tradnl"/>
        </w:rPr>
        <w:t xml:space="preserve">ste interminable conflicto vinculado a una constante “reivindicación territorial” del Sáhara Occidental </w:t>
      </w:r>
      <w:r w:rsidR="00C01970">
        <w:rPr>
          <w:szCs w:val="24"/>
          <w:lang w:val="es-ES_tradnl"/>
        </w:rPr>
        <w:t xml:space="preserve">por parte de Marruecos </w:t>
      </w:r>
      <w:r w:rsidR="00C01970" w:rsidRPr="00A90676">
        <w:rPr>
          <w:szCs w:val="24"/>
          <w:lang w:val="es-ES_tradnl"/>
        </w:rPr>
        <w:t>se enmarcará dentro del ámbito competencia</w:t>
      </w:r>
      <w:r w:rsidR="00C01970">
        <w:rPr>
          <w:szCs w:val="24"/>
          <w:lang w:val="es-ES_tradnl"/>
        </w:rPr>
        <w:t>l</w:t>
      </w:r>
      <w:r w:rsidR="00C01970" w:rsidRPr="00A90676">
        <w:rPr>
          <w:szCs w:val="24"/>
          <w:lang w:val="es-ES_tradnl"/>
        </w:rPr>
        <w:t xml:space="preserve"> del Consejo de Seguridad de Naciones Unidas y, por el momento, no se vislumbra</w:t>
      </w:r>
      <w:r w:rsidR="003B18D2">
        <w:rPr>
          <w:szCs w:val="24"/>
          <w:lang w:val="es-ES_tradnl"/>
        </w:rPr>
        <w:t>,</w:t>
      </w:r>
      <w:r w:rsidR="00C01970" w:rsidRPr="00A90676">
        <w:rPr>
          <w:szCs w:val="24"/>
          <w:lang w:val="es-ES_tradnl"/>
        </w:rPr>
        <w:t xml:space="preserve"> desafortunadamente</w:t>
      </w:r>
      <w:r w:rsidR="003B18D2">
        <w:rPr>
          <w:szCs w:val="24"/>
          <w:lang w:val="es-ES_tradnl"/>
        </w:rPr>
        <w:t>,</w:t>
      </w:r>
      <w:r w:rsidR="00C01970" w:rsidRPr="00A90676">
        <w:rPr>
          <w:szCs w:val="24"/>
          <w:lang w:val="es-ES_tradnl"/>
        </w:rPr>
        <w:t xml:space="preserve"> ninguna solución satisfactoria para llevar a cabo el derecho inalienable del pueblo saharaui a construir su propio destino.</w:t>
      </w:r>
      <w:r w:rsidR="00C01970">
        <w:rPr>
          <w:szCs w:val="24"/>
          <w:lang w:val="es-ES_tradnl"/>
        </w:rPr>
        <w:t xml:space="preserve"> </w:t>
      </w:r>
      <w:r w:rsidR="00C01970" w:rsidRPr="00A90676">
        <w:rPr>
          <w:szCs w:val="24"/>
          <w:lang w:val="es-ES_tradnl"/>
        </w:rPr>
        <w:t xml:space="preserve">En esta misma línea se ha manifestado Stephen </w:t>
      </w:r>
      <w:proofErr w:type="spellStart"/>
      <w:r w:rsidR="00C01970" w:rsidRPr="00A90676">
        <w:rPr>
          <w:szCs w:val="24"/>
          <w:lang w:val="es-ES_tradnl"/>
        </w:rPr>
        <w:t>Zunes</w:t>
      </w:r>
      <w:proofErr w:type="spellEnd"/>
      <w:r w:rsidR="00C01970" w:rsidRPr="00A90676">
        <w:rPr>
          <w:szCs w:val="24"/>
          <w:lang w:val="es-ES_tradnl"/>
        </w:rPr>
        <w:t>, quien expresa</w:t>
      </w:r>
      <w:r w:rsidR="00C01970">
        <w:rPr>
          <w:szCs w:val="24"/>
          <w:lang w:val="es-ES_tradnl"/>
        </w:rPr>
        <w:t xml:space="preserve"> </w:t>
      </w:r>
      <w:r w:rsidR="00C01970" w:rsidRPr="00A90676">
        <w:rPr>
          <w:szCs w:val="24"/>
          <w:lang w:val="es-ES_tradnl"/>
        </w:rPr>
        <w:t>que la irresolución de este conflicto más que a la falta de voluntad del Frente Polisario representa el fracaso del Consejo de Seguridad de Naciones Unidas, como consecuencia de las amenazas del veto no sólo francés sino también americano, para colocar este asunto bajo el Capítulo VII de la Carta de Naciones Unidas.</w:t>
      </w:r>
    </w:p>
    <w:p w:rsidR="00C01970" w:rsidRPr="007D1BD3" w:rsidRDefault="00C01970" w:rsidP="00C01970">
      <w:pPr>
        <w:rPr>
          <w:szCs w:val="24"/>
          <w:lang w:val="es-ES_tradnl"/>
        </w:rPr>
      </w:pPr>
      <w:r w:rsidRPr="007D1BD3">
        <w:rPr>
          <w:szCs w:val="24"/>
          <w:lang w:val="es-ES_tradnl"/>
        </w:rPr>
        <w:t>Este conflicto ha supuesto grandes divisiones entre la población saharaui y ha lesionado “los esfuerzos para avanzar hacia una cooperación económica y estratégica entre los países del Magreb, que tanto se echa en falta, ya que afrontan los desafíos económicos y la proliferación de la militancia islamista”</w:t>
      </w:r>
      <w:r w:rsidRPr="00A90676">
        <w:rPr>
          <w:rStyle w:val="Refdenotaalpie"/>
          <w:rFonts w:ascii="Arial" w:hAnsi="Arial" w:cs="Arial"/>
          <w:szCs w:val="24"/>
          <w:lang w:val="es-ES_tradnl"/>
        </w:rPr>
        <w:footnoteReference w:id="21"/>
      </w:r>
      <w:r w:rsidRPr="007D1BD3">
        <w:rPr>
          <w:szCs w:val="24"/>
          <w:lang w:val="es-ES_tradnl"/>
        </w:rPr>
        <w:t xml:space="preserve">. </w:t>
      </w:r>
    </w:p>
    <w:p w:rsidR="00C01970" w:rsidRPr="00A90676" w:rsidRDefault="00C01970" w:rsidP="00C01970">
      <w:pPr>
        <w:rPr>
          <w:szCs w:val="24"/>
          <w:lang w:val="es-ES_tradnl"/>
        </w:rPr>
      </w:pPr>
    </w:p>
    <w:p w:rsidR="00C01970" w:rsidRPr="00AC5603" w:rsidRDefault="00C01970" w:rsidP="00C01970">
      <w:pPr>
        <w:pStyle w:val="Prrafodelista"/>
        <w:numPr>
          <w:ilvl w:val="0"/>
          <w:numId w:val="1"/>
        </w:numPr>
        <w:rPr>
          <w:rFonts w:ascii="Arial" w:hAnsi="Arial" w:cs="Arial"/>
          <w:b/>
          <w:szCs w:val="24"/>
          <w:lang w:val="es-ES_tradnl"/>
        </w:rPr>
      </w:pPr>
      <w:r w:rsidRPr="0058250F">
        <w:rPr>
          <w:rFonts w:ascii="Arial" w:hAnsi="Arial" w:cs="Arial"/>
          <w:b/>
          <w:szCs w:val="24"/>
          <w:lang w:val="es-ES_tradnl"/>
        </w:rPr>
        <w:t>ACTORES, PROCESOS Y DINÁMICAS QUE INTERVIENEN EN EL CONFLICTO</w:t>
      </w:r>
    </w:p>
    <w:p w:rsidR="00C01970" w:rsidRDefault="00C01970" w:rsidP="00C01970">
      <w:pPr>
        <w:pStyle w:val="Prrafodelista"/>
        <w:ind w:left="360"/>
        <w:rPr>
          <w:b/>
          <w:szCs w:val="24"/>
          <w:lang w:val="es-ES_tradnl"/>
        </w:rPr>
      </w:pPr>
    </w:p>
    <w:p w:rsidR="00C01970" w:rsidRDefault="00C01970" w:rsidP="00C01970">
      <w:pPr>
        <w:pStyle w:val="Prrafodelista"/>
        <w:numPr>
          <w:ilvl w:val="1"/>
          <w:numId w:val="1"/>
        </w:numPr>
        <w:ind w:left="431" w:hanging="431"/>
        <w:rPr>
          <w:b/>
          <w:szCs w:val="24"/>
          <w:lang w:val="es-ES_tradnl"/>
        </w:rPr>
      </w:pPr>
      <w:r>
        <w:rPr>
          <w:b/>
          <w:szCs w:val="24"/>
          <w:lang w:val="es-ES_tradnl"/>
        </w:rPr>
        <w:t>El gran mosaico african</w:t>
      </w:r>
      <w:r w:rsidRPr="0058250F">
        <w:rPr>
          <w:b/>
          <w:szCs w:val="24"/>
          <w:lang w:val="es-ES_tradnl"/>
        </w:rPr>
        <w:t>o</w:t>
      </w:r>
    </w:p>
    <w:p w:rsidR="00C01970" w:rsidRDefault="00C01970" w:rsidP="00C01970">
      <w:pPr>
        <w:rPr>
          <w:lang w:val="es-ES_tradnl"/>
        </w:rPr>
      </w:pPr>
      <w:r>
        <w:rPr>
          <w:szCs w:val="24"/>
          <w:lang w:val="es-ES_tradnl"/>
        </w:rPr>
        <w:t xml:space="preserve">Para analizar esta cuestión del Sáhara es especialmente necesario contextualizar su ubicación -geográfica, geopolítica </w:t>
      </w:r>
      <w:r w:rsidR="0020286A">
        <w:rPr>
          <w:szCs w:val="24"/>
          <w:lang w:val="es-ES_tradnl"/>
        </w:rPr>
        <w:t>y geoestratégica- en la comunidad</w:t>
      </w:r>
      <w:r>
        <w:rPr>
          <w:szCs w:val="24"/>
          <w:lang w:val="es-ES_tradnl"/>
        </w:rPr>
        <w:t xml:space="preserve"> internacional y la importancia económica, y enseguida repararemos en que África, este gran continente en extensión, es también un gigante en apuros. Inmerso además en un orden regional frágil y complejo acentuado por los conflictos árabe-israelí, el conflicto chipriota, la nueva situación en Egipto tras las revueltas multitudinarias en este país, con la renuncia de su Presidente Mubarak el 11 de febrero de 2011, Argelia, Libia</w:t>
      </w:r>
      <w:r w:rsidR="00F17182">
        <w:rPr>
          <w:szCs w:val="24"/>
          <w:lang w:val="es-ES_tradnl"/>
        </w:rPr>
        <w:t xml:space="preserve"> y demás casos.</w:t>
      </w:r>
      <w:r>
        <w:rPr>
          <w:szCs w:val="24"/>
          <w:lang w:val="es-ES_tradnl"/>
        </w:rPr>
        <w:t xml:space="preserve"> Un giga</w:t>
      </w:r>
      <w:r w:rsidR="00196CD7">
        <w:rPr>
          <w:szCs w:val="24"/>
          <w:lang w:val="es-ES_tradnl"/>
        </w:rPr>
        <w:t>nte con diferentes religiones, e</w:t>
      </w:r>
      <w:r>
        <w:rPr>
          <w:szCs w:val="24"/>
          <w:lang w:val="es-ES_tradnl"/>
        </w:rPr>
        <w:t>tnias, estatus económicos, dinámicas políticas, donde el Magreb</w:t>
      </w:r>
      <w:r>
        <w:rPr>
          <w:rStyle w:val="Refdenotaalpie"/>
          <w:szCs w:val="24"/>
          <w:lang w:val="es-ES_tradnl"/>
        </w:rPr>
        <w:footnoteReference w:id="22"/>
      </w:r>
      <w:r>
        <w:rPr>
          <w:szCs w:val="24"/>
          <w:lang w:val="es-ES_tradnl"/>
        </w:rPr>
        <w:t xml:space="preserve">, zona bastante rica en minerales, uranio, gas y petróleo, se presenta diferente del resto de los países de África si constatamos las grandes diferencias económicas existentes con el resto de los países de esta área. Sin embargo, ninguno de estos países se encuentra en una buena posición respecto del IDH, según </w:t>
      </w:r>
      <w:r>
        <w:rPr>
          <w:lang w:val="es-ES_tradnl"/>
        </w:rPr>
        <w:lastRenderedPageBreak/>
        <w:t>los Informes Anuales del Programa de las Naciones Unidas para el Desarrollo. Además en África, el Fondo Monetario Internacional viene imponiendo duras medidas estructurales para evitar el rescate de la deuda externa a largo plazo.</w:t>
      </w:r>
    </w:p>
    <w:p w:rsidR="00C01970" w:rsidRDefault="00C01970" w:rsidP="00C01970">
      <w:pPr>
        <w:rPr>
          <w:lang w:val="es-ES_tradnl"/>
        </w:rPr>
      </w:pPr>
      <w:r>
        <w:rPr>
          <w:lang w:val="es-ES_tradnl"/>
        </w:rPr>
        <w:t>El peso de África en la economía mundial es pequeño</w:t>
      </w:r>
      <w:r>
        <w:rPr>
          <w:rStyle w:val="Refdenotaalpie"/>
          <w:lang w:val="es-ES_tradnl"/>
        </w:rPr>
        <w:footnoteReference w:id="23"/>
      </w:r>
      <w:r>
        <w:rPr>
          <w:lang w:val="es-ES_tradnl"/>
        </w:rPr>
        <w:t xml:space="preserve"> y la inmigración es un factor económico importante, pues hay más de 16 millones de inmigrantes</w:t>
      </w:r>
      <w:r w:rsidR="00D806C6">
        <w:rPr>
          <w:lang w:val="es-ES_tradnl"/>
        </w:rPr>
        <w:t xml:space="preserve"> en Europa</w:t>
      </w:r>
      <w:r>
        <w:rPr>
          <w:lang w:val="es-ES_tradnl"/>
        </w:rPr>
        <w:t>. Otro dato que merece la pena destacar es la cooperación global que viene manteniendo la UE con los Países Terceros Mediterráneos y especialmente con el Magreb, que comenzó con el lanzamiento de la Asociación Mediterránea en 1995, formando parte desde entonces,  de la denominada Agenda europea. Las actuaciones de la  PESC son importantes y sobremanera, el papel que desempeña  EEUU  en el escenario mundial, tanto en el campo diplomático como de la seguridad y de poder económico. Otros retos para el área mediterránea son el alto crecimiento demográfico, el bajo nivel social, económico y de bienestar social, la falta de seguridad social, la falta de democracia, el fenómeno del terrorismo, el islamismo radical, la lucha con</w:t>
      </w:r>
      <w:r w:rsidR="004434E4">
        <w:rPr>
          <w:lang w:val="es-ES_tradnl"/>
        </w:rPr>
        <w:t>tra el crimen organizado, etc. E</w:t>
      </w:r>
      <w:r>
        <w:rPr>
          <w:lang w:val="es-ES_tradnl"/>
        </w:rPr>
        <w:t xml:space="preserve">n definitiva, </w:t>
      </w:r>
      <w:r w:rsidR="004434E4">
        <w:rPr>
          <w:lang w:val="es-ES_tradnl"/>
        </w:rPr>
        <w:t xml:space="preserve">miramos hacia </w:t>
      </w:r>
      <w:r>
        <w:rPr>
          <w:lang w:val="es-ES_tradnl"/>
        </w:rPr>
        <w:t>es</w:t>
      </w:r>
      <w:r w:rsidR="004434E4">
        <w:rPr>
          <w:lang w:val="es-ES_tradnl"/>
        </w:rPr>
        <w:t>ta área geográfica que presenta</w:t>
      </w:r>
      <w:r>
        <w:rPr>
          <w:lang w:val="es-ES_tradnl"/>
        </w:rPr>
        <w:t xml:space="preserve"> un alto nivel de vulnerabilidad e inestabilidad, con rutas claves desde la perspectiva de la comunicación marítima, como lo son el Canal de Suez, el Bósforo, los Dardanelos, o el estrecho de Gibraltar. </w:t>
      </w:r>
    </w:p>
    <w:p w:rsidR="00C01970" w:rsidRDefault="00C01970" w:rsidP="00C01970">
      <w:pPr>
        <w:rPr>
          <w:lang w:val="es-ES_tradnl"/>
        </w:rPr>
      </w:pPr>
      <w:r>
        <w:rPr>
          <w:lang w:val="es-ES_tradnl"/>
        </w:rPr>
        <w:t>Otros datos notables a tener en cuenta en este cuadro sinóptico y general es que la OPEP</w:t>
      </w:r>
      <w:r>
        <w:rPr>
          <w:rStyle w:val="Refdenotaalpie"/>
          <w:lang w:val="es-ES_tradnl"/>
        </w:rPr>
        <w:footnoteReference w:id="24"/>
      </w:r>
      <w:r>
        <w:rPr>
          <w:lang w:val="es-ES_tradnl"/>
        </w:rPr>
        <w:t xml:space="preserve"> suministra el 51%del petróleo consumido en Europa, la UE es el socio comercial más importante del Magreb puesto que la Unión focaliza el 60% de sus intercambios comerciales. Sin embargo, los intercambios comerciales entre la UE y los Países mediterráneos no comunitarios</w:t>
      </w:r>
      <w:r>
        <w:rPr>
          <w:rStyle w:val="Refdenotaalpie"/>
          <w:lang w:val="es-ES_tradnl"/>
        </w:rPr>
        <w:footnoteReference w:id="25"/>
      </w:r>
      <w:r>
        <w:rPr>
          <w:lang w:val="es-ES_tradnl"/>
        </w:rPr>
        <w:t xml:space="preserve"> son casi simbólicos, ya que representan apenas el 7% de sus intercambios comerciales.</w:t>
      </w:r>
    </w:p>
    <w:p w:rsidR="00C01970" w:rsidRPr="00AC5603" w:rsidRDefault="00C01970" w:rsidP="00C01970">
      <w:pPr>
        <w:pStyle w:val="Prrafodelista"/>
        <w:ind w:left="360"/>
        <w:rPr>
          <w:b/>
          <w:szCs w:val="24"/>
          <w:lang w:val="es-ES_tradnl"/>
        </w:rPr>
      </w:pPr>
    </w:p>
    <w:p w:rsidR="00C01970" w:rsidRPr="00AC5603" w:rsidRDefault="00C01970" w:rsidP="00C01970">
      <w:pPr>
        <w:pStyle w:val="Prrafodelista"/>
        <w:numPr>
          <w:ilvl w:val="1"/>
          <w:numId w:val="1"/>
        </w:numPr>
        <w:ind w:left="431" w:hanging="431"/>
        <w:rPr>
          <w:b/>
          <w:szCs w:val="24"/>
          <w:lang w:val="es-ES_tradnl"/>
        </w:rPr>
      </w:pPr>
      <w:r w:rsidRPr="00BA792C">
        <w:rPr>
          <w:b/>
          <w:szCs w:val="24"/>
          <w:lang w:val="es-ES_tradnl"/>
        </w:rPr>
        <w:t>El Sáhara Occidental</w:t>
      </w:r>
    </w:p>
    <w:p w:rsidR="00C01970" w:rsidRDefault="00C01970" w:rsidP="00C01970">
      <w:pPr>
        <w:rPr>
          <w:szCs w:val="24"/>
          <w:lang w:val="es-ES_tradnl"/>
        </w:rPr>
      </w:pPr>
      <w:r w:rsidRPr="00F65C5D">
        <w:rPr>
          <w:szCs w:val="24"/>
          <w:u w:val="single"/>
          <w:lang w:val="es-ES_tradnl"/>
        </w:rPr>
        <w:t>Elementos claves</w:t>
      </w:r>
      <w:r>
        <w:rPr>
          <w:szCs w:val="24"/>
          <w:lang w:val="es-ES_tradnl"/>
        </w:rPr>
        <w:t>:</w:t>
      </w:r>
    </w:p>
    <w:p w:rsidR="00C01970" w:rsidRDefault="00C01970" w:rsidP="00C01970">
      <w:pPr>
        <w:rPr>
          <w:lang w:val="es-ES_tradnl"/>
        </w:rPr>
      </w:pPr>
      <w:r w:rsidRPr="00C75ED4">
        <w:rPr>
          <w:szCs w:val="24"/>
          <w:u w:val="single"/>
          <w:lang w:val="es-ES_tradnl"/>
        </w:rPr>
        <w:t>Te</w:t>
      </w:r>
      <w:r w:rsidRPr="00C75ED4">
        <w:rPr>
          <w:u w:val="single"/>
          <w:lang w:val="es-ES_tradnl"/>
        </w:rPr>
        <w:t>rritorio</w:t>
      </w:r>
      <w:r w:rsidRPr="00C75ED4">
        <w:rPr>
          <w:lang w:val="es-ES_tradnl"/>
        </w:rPr>
        <w:t xml:space="preserve">: Sáhara occidental  </w:t>
      </w:r>
    </w:p>
    <w:p w:rsidR="009C39CE" w:rsidRPr="00C75ED4" w:rsidRDefault="009C39CE" w:rsidP="00C01970">
      <w:pPr>
        <w:rPr>
          <w:szCs w:val="24"/>
          <w:lang w:val="es-ES_tradnl"/>
        </w:rPr>
      </w:pPr>
      <w:r w:rsidRPr="009C39CE">
        <w:rPr>
          <w:u w:val="single"/>
          <w:lang w:val="es-ES_tradnl"/>
        </w:rPr>
        <w:t>Capital</w:t>
      </w:r>
      <w:r>
        <w:rPr>
          <w:lang w:val="es-ES_tradnl"/>
        </w:rPr>
        <w:t>: El Aaiún</w:t>
      </w:r>
    </w:p>
    <w:p w:rsidR="00C01970" w:rsidRDefault="00C01970" w:rsidP="00C01970">
      <w:pPr>
        <w:rPr>
          <w:lang w:val="es-ES_tradnl"/>
        </w:rPr>
      </w:pPr>
      <w:r w:rsidRPr="00F65C5D">
        <w:rPr>
          <w:u w:val="single"/>
          <w:lang w:val="es-ES_tradnl"/>
        </w:rPr>
        <w:lastRenderedPageBreak/>
        <w:t>Status</w:t>
      </w:r>
      <w:r w:rsidRPr="00B264F9">
        <w:rPr>
          <w:lang w:val="es-ES_tradnl"/>
        </w:rPr>
        <w:t>: Territorio en disputa reclamado por Marruecos. Los saharauis buscan su autodeterminación</w:t>
      </w:r>
      <w:r w:rsidRPr="00B132AA">
        <w:rPr>
          <w:rStyle w:val="Refdenotaalpie"/>
          <w:lang w:val="es-ES_tradnl"/>
        </w:rPr>
        <w:footnoteReference w:id="26"/>
      </w:r>
      <w:r w:rsidRPr="00B132AA">
        <w:rPr>
          <w:rStyle w:val="Refdenotaalpie"/>
          <w:lang w:val="es-ES_tradnl"/>
        </w:rPr>
        <w:t xml:space="preserve">. </w:t>
      </w:r>
    </w:p>
    <w:p w:rsidR="00C01970" w:rsidRPr="00B264F9" w:rsidRDefault="00C01970" w:rsidP="00C01970">
      <w:pPr>
        <w:rPr>
          <w:lang w:val="es-ES_tradnl"/>
        </w:rPr>
      </w:pPr>
      <w:r w:rsidRPr="00F65C5D">
        <w:rPr>
          <w:u w:val="single"/>
          <w:lang w:val="es-ES_tradnl"/>
        </w:rPr>
        <w:t>Población</w:t>
      </w:r>
      <w:r w:rsidRPr="00B264F9">
        <w:rPr>
          <w:lang w:val="es-ES_tradnl"/>
        </w:rPr>
        <w:t xml:space="preserve">: 260,000 (estimación) </w:t>
      </w:r>
    </w:p>
    <w:p w:rsidR="00C01970" w:rsidRPr="00B264F9" w:rsidRDefault="00C01970" w:rsidP="00C01970">
      <w:pPr>
        <w:rPr>
          <w:lang w:val="es-ES_tradnl"/>
        </w:rPr>
      </w:pPr>
      <w:r w:rsidRPr="00F65C5D">
        <w:rPr>
          <w:u w:val="single"/>
          <w:lang w:val="es-ES_tradnl"/>
        </w:rPr>
        <w:t>Población refugiada</w:t>
      </w:r>
      <w:r w:rsidRPr="00B264F9">
        <w:rPr>
          <w:lang w:val="es-ES_tradnl"/>
        </w:rPr>
        <w:t>: 150.000</w:t>
      </w:r>
    </w:p>
    <w:p w:rsidR="00C01970" w:rsidRPr="00B264F9" w:rsidRDefault="00C01970" w:rsidP="00C01970">
      <w:pPr>
        <w:rPr>
          <w:lang w:val="es-ES_tradnl"/>
        </w:rPr>
      </w:pPr>
      <w:r w:rsidRPr="00F65C5D">
        <w:rPr>
          <w:u w:val="single"/>
          <w:lang w:val="es-ES_tradnl"/>
        </w:rPr>
        <w:t>Superficie</w:t>
      </w:r>
      <w:r w:rsidRPr="00B264F9">
        <w:rPr>
          <w:lang w:val="es-ES_tradnl"/>
        </w:rPr>
        <w:t>. 184.000Km2</w:t>
      </w:r>
    </w:p>
    <w:p w:rsidR="00C01970" w:rsidRPr="00B264F9" w:rsidRDefault="00C01970" w:rsidP="00C01970">
      <w:pPr>
        <w:rPr>
          <w:lang w:val="es-ES_tradnl"/>
        </w:rPr>
      </w:pPr>
      <w:r w:rsidRPr="00F65C5D">
        <w:rPr>
          <w:u w:val="single"/>
          <w:lang w:val="es-ES_tradnl"/>
        </w:rPr>
        <w:t>Ciudad principal</w:t>
      </w:r>
      <w:r w:rsidRPr="00B264F9">
        <w:rPr>
          <w:lang w:val="es-ES_tradnl"/>
        </w:rPr>
        <w:t>: El Aaiún</w:t>
      </w:r>
    </w:p>
    <w:p w:rsidR="00C01970" w:rsidRDefault="00C01970" w:rsidP="00C01970">
      <w:pPr>
        <w:rPr>
          <w:lang w:val="es-ES_tradnl"/>
        </w:rPr>
      </w:pPr>
      <w:r>
        <w:rPr>
          <w:u w:val="single"/>
          <w:lang w:val="es-ES_tradnl"/>
        </w:rPr>
        <w:t>Á</w:t>
      </w:r>
      <w:r w:rsidRPr="00F65C5D">
        <w:rPr>
          <w:u w:val="single"/>
          <w:lang w:val="es-ES_tradnl"/>
        </w:rPr>
        <w:t>rea</w:t>
      </w:r>
      <w:r w:rsidRPr="00B264F9">
        <w:rPr>
          <w:lang w:val="es-ES_tradnl"/>
        </w:rPr>
        <w:t xml:space="preserve">: 252,120 km cuadrados </w:t>
      </w:r>
    </w:p>
    <w:p w:rsidR="00C01970" w:rsidRDefault="00C01970" w:rsidP="00C01970">
      <w:pPr>
        <w:rPr>
          <w:lang w:val="es-ES_tradnl"/>
        </w:rPr>
      </w:pPr>
      <w:r w:rsidRPr="00C75ED4">
        <w:rPr>
          <w:u w:val="single"/>
          <w:lang w:val="es-ES_tradnl"/>
        </w:rPr>
        <w:t>Lengua principal</w:t>
      </w:r>
      <w:r w:rsidRPr="00C75ED4">
        <w:rPr>
          <w:lang w:val="es-ES_tradnl"/>
        </w:rPr>
        <w:t xml:space="preserve">: </w:t>
      </w:r>
      <w:r>
        <w:rPr>
          <w:lang w:val="es-ES_tradnl"/>
        </w:rPr>
        <w:t xml:space="preserve">Árabe y castellano </w:t>
      </w:r>
    </w:p>
    <w:p w:rsidR="00C01970" w:rsidRDefault="00C01970" w:rsidP="00C01970">
      <w:pPr>
        <w:rPr>
          <w:lang w:val="es-ES_tradnl"/>
        </w:rPr>
      </w:pPr>
      <w:r w:rsidRPr="00C75ED4">
        <w:rPr>
          <w:u w:val="single"/>
          <w:lang w:val="es-ES_tradnl"/>
        </w:rPr>
        <w:t>Religión principal</w:t>
      </w:r>
      <w:r w:rsidRPr="00C75ED4">
        <w:rPr>
          <w:lang w:val="es-ES_tradnl"/>
        </w:rPr>
        <w:t xml:space="preserve">: Islam </w:t>
      </w:r>
    </w:p>
    <w:p w:rsidR="00C01970" w:rsidRDefault="00C01970" w:rsidP="00C01970">
      <w:pPr>
        <w:rPr>
          <w:lang w:val="es-ES_tradnl"/>
        </w:rPr>
      </w:pPr>
      <w:r w:rsidRPr="00C75ED4">
        <w:rPr>
          <w:u w:val="single"/>
          <w:lang w:val="es-ES_tradnl"/>
        </w:rPr>
        <w:t xml:space="preserve">Esperanza de </w:t>
      </w:r>
      <w:proofErr w:type="gramStart"/>
      <w:r w:rsidRPr="00C75ED4">
        <w:rPr>
          <w:u w:val="single"/>
          <w:lang w:val="es-ES_tradnl"/>
        </w:rPr>
        <w:t xml:space="preserve">vida </w:t>
      </w:r>
      <w:r w:rsidRPr="00C75ED4">
        <w:rPr>
          <w:lang w:val="es-ES_tradnl"/>
        </w:rPr>
        <w:t>:</w:t>
      </w:r>
      <w:proofErr w:type="gramEnd"/>
      <w:r w:rsidRPr="00C75ED4">
        <w:rPr>
          <w:lang w:val="es-ES_tradnl"/>
        </w:rPr>
        <w:t xml:space="preserve"> 62 años (hombre), 66 años (mujeres) (Naciones Unidas) </w:t>
      </w:r>
    </w:p>
    <w:p w:rsidR="00C01970" w:rsidRPr="00C75ED4" w:rsidRDefault="00C01970" w:rsidP="00C01970">
      <w:pPr>
        <w:rPr>
          <w:lang w:val="es-ES_tradnl"/>
        </w:rPr>
      </w:pPr>
      <w:r w:rsidRPr="00C75ED4">
        <w:rPr>
          <w:u w:val="single"/>
          <w:lang w:val="es-ES_tradnl"/>
        </w:rPr>
        <w:t>Recursos económicos</w:t>
      </w:r>
      <w:r w:rsidRPr="00C75ED4">
        <w:rPr>
          <w:lang w:val="es-ES_tradnl"/>
        </w:rPr>
        <w:t xml:space="preserve">: </w:t>
      </w:r>
      <w:r>
        <w:rPr>
          <w:lang w:val="es-ES_tradnl"/>
        </w:rPr>
        <w:t>D</w:t>
      </w:r>
      <w:r w:rsidR="009C39CE">
        <w:rPr>
          <w:lang w:val="es-ES_tradnl"/>
        </w:rPr>
        <w:t>epósitos de fosfatos</w:t>
      </w:r>
      <w:r w:rsidRPr="00C75ED4">
        <w:rPr>
          <w:lang w:val="es-ES_tradnl"/>
        </w:rPr>
        <w:t xml:space="preserve">, pesca y posible petróleo.  </w:t>
      </w:r>
    </w:p>
    <w:p w:rsidR="00C01970" w:rsidRPr="00C75ED4" w:rsidRDefault="00C01970" w:rsidP="00C01970">
      <w:pPr>
        <w:spacing w:after="0" w:line="336" w:lineRule="atLeast"/>
        <w:jc w:val="left"/>
        <w:rPr>
          <w:lang w:val="es-ES_tradnl"/>
        </w:rPr>
      </w:pPr>
      <w:r w:rsidRPr="00C75ED4">
        <w:rPr>
          <w:u w:val="single"/>
          <w:lang w:val="es-ES_tradnl"/>
        </w:rPr>
        <w:t>Moneda</w:t>
      </w:r>
      <w:proofErr w:type="gramStart"/>
      <w:r w:rsidRPr="00C75ED4">
        <w:rPr>
          <w:lang w:val="es-ES_tradnl"/>
        </w:rPr>
        <w:t xml:space="preserve">: </w:t>
      </w:r>
      <w:r>
        <w:rPr>
          <w:lang w:val="es-ES_tradnl"/>
        </w:rPr>
        <w:t xml:space="preserve"> </w:t>
      </w:r>
      <w:proofErr w:type="spellStart"/>
      <w:r>
        <w:rPr>
          <w:lang w:val="es-ES_tradnl"/>
        </w:rPr>
        <w:t>D</w:t>
      </w:r>
      <w:r w:rsidRPr="00C75ED4">
        <w:rPr>
          <w:lang w:val="es-ES_tradnl"/>
        </w:rPr>
        <w:t>irham</w:t>
      </w:r>
      <w:proofErr w:type="spellEnd"/>
      <w:proofErr w:type="gramEnd"/>
      <w:r w:rsidRPr="00C75ED4">
        <w:rPr>
          <w:lang w:val="es-ES_tradnl"/>
        </w:rPr>
        <w:t xml:space="preserve"> marroquí</w:t>
      </w:r>
    </w:p>
    <w:p w:rsidR="00C01970" w:rsidRDefault="00C01970" w:rsidP="00C01970">
      <w:pPr>
        <w:rPr>
          <w:lang w:val="es-ES_tradnl"/>
        </w:rPr>
      </w:pPr>
    </w:p>
    <w:p w:rsidR="00C01970" w:rsidRDefault="00C01970" w:rsidP="00C01970">
      <w:pPr>
        <w:rPr>
          <w:szCs w:val="24"/>
          <w:lang w:val="es-ES_tradnl"/>
        </w:rPr>
      </w:pPr>
      <w:r>
        <w:rPr>
          <w:szCs w:val="24"/>
          <w:lang w:val="es-ES_tradnl"/>
        </w:rPr>
        <w:t xml:space="preserve">Como explicamos más arriba, el Sáhara Occidental se convirtió en provincia española en 1934. </w:t>
      </w:r>
      <w:r w:rsidRPr="00DD4D79">
        <w:rPr>
          <w:szCs w:val="24"/>
          <w:lang w:val="es-ES_tradnl"/>
        </w:rPr>
        <w:t>El Frente Polisario se creó el 10 de mayo de 1973 y desde entonces se erigió como el único representante del pueblo saharaui. Unos 100.000 refugiados viven en campamentos del Polisario en Argelia. El Sáhara occidental aunque está de facto bajo el control administrativo de Marruecos, el Frente Polisario proclamó la República Árabe Saharaui Democrática</w:t>
      </w:r>
      <w:r>
        <w:rPr>
          <w:szCs w:val="24"/>
          <w:lang w:val="es-ES_tradnl"/>
        </w:rPr>
        <w:t xml:space="preserve"> (RASD)</w:t>
      </w:r>
      <w:r w:rsidRPr="00DD4D79">
        <w:rPr>
          <w:szCs w:val="24"/>
          <w:lang w:val="es-ES_tradnl"/>
        </w:rPr>
        <w:t xml:space="preserve"> en 1976, y mantiene un gobierno en el exilio dirigido por </w:t>
      </w:r>
      <w:proofErr w:type="spellStart"/>
      <w:r w:rsidRPr="00DD4D79">
        <w:rPr>
          <w:szCs w:val="24"/>
          <w:lang w:val="es-ES_tradnl"/>
        </w:rPr>
        <w:t>Moamed</w:t>
      </w:r>
      <w:proofErr w:type="spellEnd"/>
      <w:r w:rsidRPr="00DD4D79">
        <w:rPr>
          <w:szCs w:val="24"/>
          <w:lang w:val="es-ES_tradnl"/>
        </w:rPr>
        <w:t xml:space="preserve"> </w:t>
      </w:r>
      <w:proofErr w:type="spellStart"/>
      <w:r w:rsidRPr="00DD4D79">
        <w:rPr>
          <w:szCs w:val="24"/>
          <w:lang w:val="es-ES_tradnl"/>
        </w:rPr>
        <w:t>Abdelaziz</w:t>
      </w:r>
      <w:proofErr w:type="spellEnd"/>
      <w:r w:rsidRPr="00DD4D79">
        <w:rPr>
          <w:szCs w:val="24"/>
          <w:lang w:val="es-ES_tradnl"/>
        </w:rPr>
        <w:t>.</w:t>
      </w:r>
    </w:p>
    <w:p w:rsidR="00C01970" w:rsidRDefault="00C01970" w:rsidP="00C01970">
      <w:r w:rsidRPr="00B132AA">
        <w:rPr>
          <w:szCs w:val="24"/>
          <w:lang w:val="es-ES_tradnl"/>
        </w:rPr>
        <w:t>La población saharaui desde 1975 está separada físicamente en tres zonas diferentes. La mayor parte se encuentra repartida entre la parte del territorio del Sáhara Occidental  ocupada militarmente por Marruecos (más de dos tercios del mismo) y los campamentos de refugiados al sur de Argelia (</w:t>
      </w:r>
      <w:proofErr w:type="spellStart"/>
      <w:r w:rsidRPr="00B132AA">
        <w:rPr>
          <w:szCs w:val="24"/>
          <w:lang w:val="es-ES_tradnl"/>
        </w:rPr>
        <w:t>Tinduf</w:t>
      </w:r>
      <w:proofErr w:type="spellEnd"/>
      <w:r w:rsidRPr="00B132AA">
        <w:rPr>
          <w:szCs w:val="24"/>
          <w:lang w:val="es-ES_tradnl"/>
        </w:rPr>
        <w:t xml:space="preserve">),y una reducida parte está controlada por el Frente Polisario, que para los saharauis son los denominados territorios liberados. Como indica </w:t>
      </w:r>
      <w:proofErr w:type="spellStart"/>
      <w:r w:rsidRPr="00B132AA">
        <w:rPr>
          <w:szCs w:val="24"/>
          <w:lang w:val="es-ES_tradnl"/>
        </w:rPr>
        <w:t>Soroeta</w:t>
      </w:r>
      <w:proofErr w:type="spellEnd"/>
      <w:r w:rsidRPr="00B132AA">
        <w:rPr>
          <w:szCs w:val="24"/>
          <w:lang w:val="es-ES_tradnl"/>
        </w:rPr>
        <w:t xml:space="preserve"> </w:t>
      </w:r>
      <w:proofErr w:type="spellStart"/>
      <w:r w:rsidRPr="00B132AA">
        <w:rPr>
          <w:szCs w:val="24"/>
          <w:lang w:val="es-ES_tradnl"/>
        </w:rPr>
        <w:t>Liceras</w:t>
      </w:r>
      <w:proofErr w:type="spellEnd"/>
      <w:r w:rsidRPr="00B132AA">
        <w:rPr>
          <w:szCs w:val="24"/>
          <w:lang w:val="es-ES_tradnl"/>
        </w:rPr>
        <w:t xml:space="preserve">, “la situación que atraviesa la población es realmente penosa, pues su mayoría sufre la represión marroquí en su </w:t>
      </w:r>
      <w:r w:rsidRPr="00B132AA">
        <w:rPr>
          <w:szCs w:val="24"/>
          <w:lang w:val="es-ES_tradnl"/>
        </w:rPr>
        <w:lastRenderedPageBreak/>
        <w:t xml:space="preserve">propio territorio o las condiciones extremadamente duras </w:t>
      </w:r>
      <w:r w:rsidRPr="006D74FD">
        <w:rPr>
          <w:szCs w:val="24"/>
          <w:lang w:val="es-ES_tradnl"/>
        </w:rPr>
        <w:t>de la polvorienta hammada argelina, supeditados a la ayuda humanitaria internacional</w:t>
      </w:r>
      <w:r w:rsidRPr="006D74FD">
        <w:rPr>
          <w:rStyle w:val="Refdenotaalpie"/>
        </w:rPr>
        <w:t>”</w:t>
      </w:r>
      <w:r w:rsidRPr="006D74FD">
        <w:rPr>
          <w:rStyle w:val="Refdenotaalpie"/>
          <w:lang w:val="es-ES_tradnl"/>
        </w:rPr>
        <w:footnoteReference w:id="27"/>
      </w:r>
      <w:r w:rsidRPr="006D74FD">
        <w:rPr>
          <w:rStyle w:val="Refdenotaalpie"/>
        </w:rPr>
        <w:t>.</w:t>
      </w:r>
    </w:p>
    <w:p w:rsidR="00C01970" w:rsidRDefault="00C01970" w:rsidP="00C01970">
      <w:r>
        <w:t>En el último informe de Amnistía Internacional 2011</w:t>
      </w:r>
      <w:r>
        <w:rPr>
          <w:rStyle w:val="Refdenotaalpie"/>
        </w:rPr>
        <w:footnoteReference w:id="28"/>
      </w:r>
      <w:r>
        <w:t xml:space="preserve"> sobre el estado de los derechos humanos en el mundo, siguen sucediéndose, a día de hoy, restricciones la libertad de expresión, asociación y reunión, y especialmente en cuestiones vinculadas al estatuto de autonomía en el Sáhara Occidental. Se han detenido a decenas de personas por presuntos delitos contra la seguridad. Al finalizar 2010, la UE “puso a disposición 20 millones de euros para  ayudar al gobierno marroquí a introducir reformas jurídicas y 8 millones también para la conservación de la memoria y de los archivos de las flagrantes violaciones de derechos humanos que se cometieron entre los años 1956 y 1999”</w:t>
      </w:r>
      <w:r>
        <w:rPr>
          <w:rStyle w:val="Refdenotaalpie"/>
        </w:rPr>
        <w:footnoteReference w:id="29"/>
      </w:r>
      <w:r>
        <w:t xml:space="preserve">. Con respecto de la ONU, en abril, el Consejo de Seguridad renovó el mandato de la Comisión de la ONU para el referéndum del Sáhara Occidental, pero no incluía ningún elemento de observación de la situación de los derechos humanos. </w:t>
      </w:r>
    </w:p>
    <w:p w:rsidR="00C01970" w:rsidRPr="00BA792C" w:rsidRDefault="00C01970" w:rsidP="00C01970">
      <w:pPr>
        <w:pStyle w:val="Prrafodelista"/>
        <w:rPr>
          <w:lang w:val="es-ES_tradnl"/>
        </w:rPr>
      </w:pPr>
    </w:p>
    <w:p w:rsidR="00C01970" w:rsidRDefault="00C01970" w:rsidP="00C01970">
      <w:pPr>
        <w:pStyle w:val="Prrafodelista"/>
        <w:numPr>
          <w:ilvl w:val="1"/>
          <w:numId w:val="1"/>
        </w:numPr>
        <w:ind w:left="431" w:hanging="431"/>
        <w:rPr>
          <w:b/>
          <w:szCs w:val="24"/>
          <w:lang w:val="es-ES_tradnl"/>
        </w:rPr>
      </w:pPr>
      <w:r w:rsidRPr="00FA3570">
        <w:rPr>
          <w:b/>
          <w:szCs w:val="24"/>
          <w:lang w:val="es-ES_tradnl"/>
        </w:rPr>
        <w:t>Marruecos</w:t>
      </w:r>
    </w:p>
    <w:p w:rsidR="00C01970" w:rsidRPr="00E313E7" w:rsidRDefault="00C01970" w:rsidP="00C01970">
      <w:pPr>
        <w:rPr>
          <w:szCs w:val="24"/>
          <w:lang w:val="es-ES_tradnl"/>
        </w:rPr>
      </w:pPr>
      <w:r w:rsidRPr="00E313E7">
        <w:rPr>
          <w:szCs w:val="24"/>
          <w:u w:val="single"/>
          <w:lang w:val="es-ES_tradnl"/>
        </w:rPr>
        <w:t>Elementos claves</w:t>
      </w:r>
      <w:r w:rsidRPr="00E313E7">
        <w:rPr>
          <w:szCs w:val="24"/>
          <w:lang w:val="es-ES_tradnl"/>
        </w:rPr>
        <w:t>:</w:t>
      </w:r>
    </w:p>
    <w:p w:rsidR="00C01970" w:rsidRDefault="00C01970" w:rsidP="00C01970">
      <w:pPr>
        <w:rPr>
          <w:szCs w:val="24"/>
          <w:lang w:val="es-ES_tradnl"/>
        </w:rPr>
      </w:pPr>
      <w:r w:rsidRPr="00E313E7">
        <w:rPr>
          <w:szCs w:val="24"/>
          <w:u w:val="single"/>
          <w:lang w:val="es-ES_tradnl"/>
        </w:rPr>
        <w:t>Capital</w:t>
      </w:r>
      <w:r>
        <w:rPr>
          <w:szCs w:val="24"/>
          <w:lang w:val="es-ES_tradnl"/>
        </w:rPr>
        <w:t>. Rabat</w:t>
      </w:r>
    </w:p>
    <w:p w:rsidR="00C01970" w:rsidRDefault="00C01970" w:rsidP="00C01970">
      <w:pPr>
        <w:rPr>
          <w:lang w:val="es-ES_tradnl"/>
        </w:rPr>
      </w:pPr>
      <w:r w:rsidRPr="00E313E7">
        <w:rPr>
          <w:u w:val="single"/>
          <w:lang w:val="es-ES_tradnl"/>
        </w:rPr>
        <w:t>Población</w:t>
      </w:r>
      <w:r w:rsidRPr="00E313E7">
        <w:rPr>
          <w:lang w:val="es-ES_tradnl"/>
        </w:rPr>
        <w:t xml:space="preserve">: </w:t>
      </w:r>
      <w:r>
        <w:rPr>
          <w:lang w:val="es-ES_tradnl"/>
        </w:rPr>
        <w:t>31.606.000</w:t>
      </w:r>
    </w:p>
    <w:p w:rsidR="00C01970" w:rsidRDefault="00C01970" w:rsidP="00C01970">
      <w:pPr>
        <w:rPr>
          <w:lang w:val="es-ES_tradnl"/>
        </w:rPr>
      </w:pPr>
      <w:r w:rsidRPr="00E313E7">
        <w:rPr>
          <w:u w:val="single"/>
          <w:lang w:val="es-ES_tradnl"/>
        </w:rPr>
        <w:t>Idiomas</w:t>
      </w:r>
      <w:r>
        <w:rPr>
          <w:lang w:val="es-ES_tradnl"/>
        </w:rPr>
        <w:t>: Árabe (oficial), el berebere y el francés</w:t>
      </w:r>
    </w:p>
    <w:p w:rsidR="00C01970" w:rsidRDefault="00C01970" w:rsidP="00C01970">
      <w:pPr>
        <w:rPr>
          <w:lang w:val="es-ES_tradnl"/>
        </w:rPr>
      </w:pPr>
      <w:r w:rsidRPr="00185C25">
        <w:rPr>
          <w:u w:val="single"/>
          <w:lang w:val="es-ES_tradnl"/>
        </w:rPr>
        <w:t>Forma de estado</w:t>
      </w:r>
      <w:r>
        <w:rPr>
          <w:lang w:val="es-ES_tradnl"/>
        </w:rPr>
        <w:t>: Reino</w:t>
      </w:r>
    </w:p>
    <w:p w:rsidR="00C01970" w:rsidRDefault="00C01970" w:rsidP="00C01970">
      <w:pPr>
        <w:rPr>
          <w:lang w:val="es-ES_tradnl"/>
        </w:rPr>
      </w:pPr>
      <w:r w:rsidRPr="00185C25">
        <w:rPr>
          <w:u w:val="single"/>
          <w:lang w:val="es-ES_tradnl"/>
        </w:rPr>
        <w:t>Sistema de Gobierno</w:t>
      </w:r>
      <w:r>
        <w:rPr>
          <w:lang w:val="es-ES_tradnl"/>
        </w:rPr>
        <w:t>: Monarquía constitucional de derecho divino</w:t>
      </w:r>
    </w:p>
    <w:p w:rsidR="00C01970" w:rsidRDefault="00C01970" w:rsidP="00C01970">
      <w:pPr>
        <w:rPr>
          <w:lang w:val="es-ES_tradnl"/>
        </w:rPr>
      </w:pPr>
      <w:r w:rsidRPr="00185C25">
        <w:rPr>
          <w:u w:val="single"/>
          <w:lang w:val="es-ES_tradnl"/>
        </w:rPr>
        <w:t>Jefe de Estado</w:t>
      </w:r>
      <w:r>
        <w:rPr>
          <w:lang w:val="es-ES_tradnl"/>
        </w:rPr>
        <w:t>: Rey Mohammed VI “Comendador de los creyentes desde julio de1999</w:t>
      </w:r>
    </w:p>
    <w:p w:rsidR="00C01970" w:rsidRDefault="00C01970" w:rsidP="00C01970">
      <w:pPr>
        <w:rPr>
          <w:lang w:val="es-ES_tradnl"/>
        </w:rPr>
      </w:pPr>
      <w:r w:rsidRPr="00185C25">
        <w:rPr>
          <w:u w:val="single"/>
          <w:lang w:val="es-ES_tradnl"/>
        </w:rPr>
        <w:t>Jefe de Gobierno</w:t>
      </w:r>
      <w:r>
        <w:rPr>
          <w:lang w:val="es-ES_tradnl"/>
        </w:rPr>
        <w:t xml:space="preserve">: </w:t>
      </w:r>
      <w:proofErr w:type="spellStart"/>
      <w:r>
        <w:rPr>
          <w:lang w:val="es-ES_tradnl"/>
        </w:rPr>
        <w:t>Abás</w:t>
      </w:r>
      <w:proofErr w:type="spellEnd"/>
      <w:r>
        <w:rPr>
          <w:lang w:val="es-ES_tradnl"/>
        </w:rPr>
        <w:t xml:space="preserve"> el </w:t>
      </w:r>
      <w:proofErr w:type="spellStart"/>
      <w:r>
        <w:rPr>
          <w:lang w:val="es-ES_tradnl"/>
        </w:rPr>
        <w:t>Fasi</w:t>
      </w:r>
      <w:proofErr w:type="spellEnd"/>
    </w:p>
    <w:p w:rsidR="00C01970" w:rsidRDefault="00C01970" w:rsidP="00C01970">
      <w:pPr>
        <w:rPr>
          <w:lang w:val="es-ES_tradnl"/>
        </w:rPr>
      </w:pPr>
      <w:r w:rsidRPr="00F0564B">
        <w:rPr>
          <w:u w:val="single"/>
          <w:lang w:val="es-ES_tradnl"/>
        </w:rPr>
        <w:t>Principales Partidos Políticos</w:t>
      </w:r>
      <w:r>
        <w:rPr>
          <w:lang w:val="es-ES_tradnl"/>
        </w:rPr>
        <w:t xml:space="preserve">: Gobierno: Partido del </w:t>
      </w:r>
      <w:proofErr w:type="spellStart"/>
      <w:r>
        <w:rPr>
          <w:lang w:val="es-ES_tradnl"/>
        </w:rPr>
        <w:t>Istiqlal</w:t>
      </w:r>
      <w:proofErr w:type="spellEnd"/>
      <w:r>
        <w:rPr>
          <w:lang w:val="es-ES_tradnl"/>
        </w:rPr>
        <w:t xml:space="preserve"> (PI); Unión Socialista de Fuerzas Populares (USFP); Unión Nacional de Independientes (RNI). Oposición: Partido de la Justicia y el Desarrollo (PJD); Movimiento Popular (MP); Unión Constitucional (UC); Partido del Progreso y del Socialismo (PPS).</w:t>
      </w:r>
    </w:p>
    <w:p w:rsidR="00C01970" w:rsidRPr="00EF6ADD" w:rsidRDefault="00C01970" w:rsidP="00C01970">
      <w:r w:rsidRPr="00EF6ADD">
        <w:lastRenderedPageBreak/>
        <w:t>Población adulta alfabetizada: 55,6%.</w:t>
      </w:r>
    </w:p>
    <w:p w:rsidR="00C01970" w:rsidRDefault="00C01970" w:rsidP="00C01970">
      <w:r w:rsidRPr="00EF6ADD">
        <w:t xml:space="preserve">El reino de Marruecos ha conocido desde su independencia cinco revisiones constitucionales promulgadas respectivamente en 1962, 1970, 1992 y 1996. El último inicio de revisión del texto constitucional se lanzó el pasado mes de julio de 2011, cuando se llevó a cabo un Referéndum constitucional. </w:t>
      </w:r>
      <w:r>
        <w:t xml:space="preserve">Finalmente, el pueblo marroquí aprobó el nuevo proyecto de la nueva Ley Fundamental por 9 millones 909, 356 de los votos a favor de la Constitución y 154,067 contra la Constitución, según palabras del Presidente del Consejo Constitucional, Mohamed </w:t>
      </w:r>
      <w:proofErr w:type="spellStart"/>
      <w:r>
        <w:t>Achergui</w:t>
      </w:r>
      <w:proofErr w:type="spellEnd"/>
      <w:r>
        <w:rPr>
          <w:rStyle w:val="Refdenotaalpie"/>
        </w:rPr>
        <w:footnoteReference w:id="30"/>
      </w:r>
      <w:r>
        <w:t>.</w:t>
      </w:r>
    </w:p>
    <w:p w:rsidR="00C01970" w:rsidRDefault="00C01970" w:rsidP="00C01970">
      <w:r>
        <w:t xml:space="preserve">En este contexto político, y aparte de la nueva ley constitucional prevista, uno de los elementos más destacados en 2008 fue la creación en el mes de agosto del Partido Autenticidad y Modernidad por parte </w:t>
      </w:r>
      <w:proofErr w:type="spellStart"/>
      <w:r>
        <w:t>deF.Ali</w:t>
      </w:r>
      <w:proofErr w:type="spellEnd"/>
      <w:r>
        <w:t>-el-</w:t>
      </w:r>
      <w:proofErr w:type="spellStart"/>
      <w:r>
        <w:t>Himma</w:t>
      </w:r>
      <w:proofErr w:type="spellEnd"/>
      <w:r>
        <w:t>, íntimo amigo del rey. El Partido de Justicia y del desarrollo (PJD) podríamos decir que es el partido islamista legal.  En el orden social, las revueltas sociales siguen estando candentes y deberían estar presentes en el meollo de las políticas públicas. Recordemos que estas revueltas se vienen produciendo desde 2008 y este hecho, además de la concatenación de las revueltas en gran parte del m</w:t>
      </w:r>
      <w:r w:rsidR="001D5181">
        <w:t>undo árabe ha</w:t>
      </w:r>
      <w:r>
        <w:t xml:space="preserve"> arrastrado al país a introducir algunos cambios. No obstante, la familia real sigue siendo una línea roja infranqueable e intocable. En este país, los poderes públicos han insistido en que, por primera vez, en los presuntos lazos entre redes terroristas locales e internacionales y han arrestado a varios grupos sospechosos de reclutar a marroquíes para combatir en Iraq y Argelia.   Además, los servicios secretos han señalado especialmente la influencia del Grupo </w:t>
      </w:r>
      <w:proofErr w:type="spellStart"/>
      <w:r>
        <w:t>Salafista</w:t>
      </w:r>
      <w:proofErr w:type="spellEnd"/>
      <w:r>
        <w:t xml:space="preserve"> Argelino para la Predicación y el Combate (GSPC), convertido en Al-Qaeda del Magreb islámico</w:t>
      </w:r>
      <w:r>
        <w:rPr>
          <w:rStyle w:val="Refdenotaalpie"/>
        </w:rPr>
        <w:footnoteReference w:id="31"/>
      </w:r>
      <w:r>
        <w:t>.</w:t>
      </w:r>
    </w:p>
    <w:p w:rsidR="00C01970" w:rsidRPr="00EF6ADD" w:rsidRDefault="00C01970" w:rsidP="00C01970"/>
    <w:p w:rsidR="00C01970" w:rsidRPr="00FA3570" w:rsidRDefault="00C01970" w:rsidP="00C01970">
      <w:pPr>
        <w:pStyle w:val="Prrafodelista"/>
        <w:numPr>
          <w:ilvl w:val="1"/>
          <w:numId w:val="1"/>
        </w:numPr>
        <w:ind w:left="431" w:hanging="431"/>
        <w:rPr>
          <w:b/>
          <w:szCs w:val="24"/>
          <w:lang w:val="es-ES_tradnl"/>
        </w:rPr>
      </w:pPr>
      <w:r w:rsidRPr="00FA3570">
        <w:rPr>
          <w:b/>
          <w:szCs w:val="24"/>
          <w:lang w:val="es-ES_tradnl"/>
        </w:rPr>
        <w:t>Las relaciones entre la UE y los socios del Mediterráneo: UE-Magreb-Marruecos</w:t>
      </w:r>
    </w:p>
    <w:p w:rsidR="00C01970" w:rsidRPr="00EF2F91" w:rsidRDefault="00C01970" w:rsidP="00C01970">
      <w:r w:rsidRPr="00EF2F91">
        <w:t>Geográficamente África y Europa son vecinos, separados sólo por 13 kilómetros del estrecho de Gibraltar. El continente africano hasta hace pocos años presentaba una escasísima presencia en la escena internaciona</w:t>
      </w:r>
      <w:r>
        <w:t xml:space="preserve">l.  Es </w:t>
      </w:r>
      <w:r w:rsidRPr="00EF2F91">
        <w:t>en fechas más recientes cuando éste ha encontrado un lugar, una posición en  la agenda internacional con su potencial enorme.</w:t>
      </w:r>
      <w:r>
        <w:t xml:space="preserve"> Y en esta línea, tal y como ha manifestado </w:t>
      </w:r>
      <w:r w:rsidRPr="00EF2F91">
        <w:t xml:space="preserve"> el Presidente de la Comisión Europea </w:t>
      </w:r>
      <w:proofErr w:type="spellStart"/>
      <w:r w:rsidRPr="00EF2F91">
        <w:t>Durao</w:t>
      </w:r>
      <w:proofErr w:type="spellEnd"/>
      <w:r w:rsidRPr="00EF2F91">
        <w:t xml:space="preserve"> Barroso </w:t>
      </w:r>
      <w:r>
        <w:t>ello dependerá de “</w:t>
      </w:r>
      <w:r w:rsidRPr="00EF2F91">
        <w:t>aquellos que desarrollan las relaciones económicas y asociaciones de cooperación y la inversión en África</w:t>
      </w:r>
      <w:r>
        <w:t>”, quienes</w:t>
      </w:r>
      <w:r w:rsidRPr="00EF2F91">
        <w:t xml:space="preserve"> tienen </w:t>
      </w:r>
      <w:r w:rsidRPr="00EF2F91">
        <w:lastRenderedPageBreak/>
        <w:t xml:space="preserve">una </w:t>
      </w:r>
      <w:r w:rsidRPr="00197E74">
        <w:t>responsabilidad enorme, una responsabilidad tan grande como la de los dirigentes africanos</w:t>
      </w:r>
      <w:r w:rsidRPr="00197E74">
        <w:rPr>
          <w:rStyle w:val="Refdenotaalpie"/>
        </w:rPr>
        <w:footnoteReference w:id="32"/>
      </w:r>
      <w:r w:rsidRPr="00197E74">
        <w:rPr>
          <w:rStyle w:val="Refdenotaalpie"/>
        </w:rPr>
        <w:t>.</w:t>
      </w:r>
    </w:p>
    <w:p w:rsidR="00C01970" w:rsidRPr="00EF2F91" w:rsidRDefault="00C01970" w:rsidP="00C01970">
      <w:r w:rsidRPr="00EF2F91">
        <w:t xml:space="preserve">Europa y África presentan una alianza indispensable en cuestiones de agenda internacional como la paz, la seguridad, el cambio climático, la energía, la ayuda al desarrollo, la migración, gobernanza y los derechos humanos. Y para ello y desde el año 2000 en el Cairo se vienen desarrollando diversas cumbres entre estos dos continentes con objeto de dar respuesta  a todos estos retos de nuevas realidades económicas y a la geopolítica de la globalización y a la </w:t>
      </w:r>
      <w:proofErr w:type="spellStart"/>
      <w:r w:rsidRPr="00EF2F91">
        <w:t>multi</w:t>
      </w:r>
      <w:proofErr w:type="spellEnd"/>
      <w:r w:rsidRPr="00EF2F91">
        <w:t>-polarización del poder.</w:t>
      </w:r>
    </w:p>
    <w:p w:rsidR="00C01970" w:rsidRPr="00EF2F91" w:rsidRDefault="00C01970" w:rsidP="00C01970">
      <w:r w:rsidRPr="00EF2F91">
        <w:t>Es importante</w:t>
      </w:r>
      <w:r>
        <w:t>, a escala global, mencionar</w:t>
      </w:r>
      <w:r w:rsidRPr="00EF2F91">
        <w:t xml:space="preserve"> la Asociación África UE</w:t>
      </w:r>
      <w:r>
        <w:t>,</w:t>
      </w:r>
      <w:r w:rsidRPr="00EF2F91">
        <w:t xml:space="preserve"> que basada en objetivos a largo plazo</w:t>
      </w:r>
      <w:r>
        <w:t>,</w:t>
      </w:r>
      <w:r w:rsidRPr="00EF2F91">
        <w:t xml:space="preserve"> establece un marco global para el fortalecimiento de las relaciones políticas y la adopción de un enfoque común sobre las cuestiones de desarrollo. Se presenta anualmente un informe sobre la situación de la estrategia y el plan de acción. El primer plan de acción comprende </w:t>
      </w:r>
      <w:r>
        <w:t xml:space="preserve">el período </w:t>
      </w:r>
      <w:r w:rsidRPr="00EF2F91">
        <w:t>2008-2010.</w:t>
      </w:r>
    </w:p>
    <w:p w:rsidR="00C01970" w:rsidRPr="00EF2F91" w:rsidRDefault="00C01970" w:rsidP="00C01970">
      <w:r w:rsidRPr="00EF2F91">
        <w:t xml:space="preserve">Las acciones prioritarias del </w:t>
      </w:r>
      <w:proofErr w:type="spellStart"/>
      <w:r w:rsidRPr="00EF2F91">
        <w:t>partenariado</w:t>
      </w:r>
      <w:proofErr w:type="spellEnd"/>
      <w:r w:rsidRPr="00EF2F91">
        <w:t xml:space="preserve"> son las siguientes: 1. </w:t>
      </w:r>
      <w:proofErr w:type="spellStart"/>
      <w:r w:rsidRPr="00EF2F91">
        <w:t>Partenariado</w:t>
      </w:r>
      <w:proofErr w:type="spellEnd"/>
      <w:r w:rsidRPr="00EF2F91">
        <w:t xml:space="preserve"> para la paz y la seguridad, 2. Para la gobernanza democrática y los derechos del hombre. 3. Para el comercio, la integración regional y las infraestructuras. 4. Sobre los objetivos del Milenio para el desarrollo. 5. Para la energía. 6. Para el cambio climático. 7. Sobre migraciones, movilidad y el empleo. 8. Para la ciencia, la sociedad de la información y el espacio. </w:t>
      </w:r>
    </w:p>
    <w:p w:rsidR="00C01970" w:rsidRDefault="00C01970" w:rsidP="00C01970">
      <w:pPr>
        <w:rPr>
          <w:lang w:val="es-ES_tradnl"/>
        </w:rPr>
      </w:pPr>
      <w:r>
        <w:t xml:space="preserve">Con respecto a las relaciones UE-Marruecos, entre estos dos actores podemos aseverar, existe una acusada </w:t>
      </w:r>
      <w:r w:rsidRPr="005F75FF">
        <w:rPr>
          <w:lang w:val="es-ES_tradnl"/>
        </w:rPr>
        <w:t xml:space="preserve"> </w:t>
      </w:r>
      <w:r w:rsidRPr="005F75FF">
        <w:rPr>
          <w:bCs/>
          <w:lang w:val="es-ES_tradnl"/>
        </w:rPr>
        <w:t>interdependencia asimétrica entre dichos actores,</w:t>
      </w:r>
      <w:r w:rsidRPr="005F75FF">
        <w:rPr>
          <w:lang w:val="es-ES_tradnl"/>
        </w:rPr>
        <w:t xml:space="preserve"> con ventaja para los miembros de la Unión. La UE constituye para </w:t>
      </w:r>
      <w:r>
        <w:rPr>
          <w:lang w:val="es-ES_tradnl"/>
        </w:rPr>
        <w:t xml:space="preserve">este y otros países de la zona, </w:t>
      </w:r>
      <w:r w:rsidRPr="005F75FF">
        <w:rPr>
          <w:lang w:val="es-ES_tradnl"/>
        </w:rPr>
        <w:t>un modelo a imitar y es la principal referencia exterior de sus sistemas políticos y económicos.</w:t>
      </w:r>
      <w:r>
        <w:rPr>
          <w:lang w:val="es-ES_tradnl"/>
        </w:rPr>
        <w:t xml:space="preserve"> </w:t>
      </w:r>
    </w:p>
    <w:p w:rsidR="00C01970" w:rsidRDefault="00C01970" w:rsidP="00C01970">
      <w:r>
        <w:rPr>
          <w:lang w:val="es-ES_tradnl"/>
        </w:rPr>
        <w:t>Como elemento preliminar hay que señalar que desde la UE s</w:t>
      </w:r>
      <w:r w:rsidRPr="007D6081">
        <w:rPr>
          <w:lang w:val="es-ES_tradnl"/>
        </w:rPr>
        <w:t xml:space="preserve">e pretende hacer del Mediterráneo un espacio de paz y de prosperidad. </w:t>
      </w:r>
      <w:r>
        <w:rPr>
          <w:lang w:val="es-ES_tradnl"/>
        </w:rPr>
        <w:t>Y s</w:t>
      </w:r>
      <w:r w:rsidRPr="007D6081">
        <w:rPr>
          <w:lang w:val="es-ES_tradnl"/>
        </w:rPr>
        <w:t xml:space="preserve">e establece la Política Europea de Vecindad. </w:t>
      </w:r>
      <w:r>
        <w:rPr>
          <w:lang w:val="es-ES_tradnl"/>
        </w:rPr>
        <w:t xml:space="preserve"> Además, Si nos remontamos a diciembre de 2002, ya el </w:t>
      </w:r>
      <w:r w:rsidRPr="007D6081">
        <w:rPr>
          <w:lang w:val="es-ES_tradnl"/>
        </w:rPr>
        <w:t xml:space="preserve"> C</w:t>
      </w:r>
      <w:r>
        <w:rPr>
          <w:lang w:val="es-ES_tradnl"/>
        </w:rPr>
        <w:t>onsejo  Europeo de Copenhague, e</w:t>
      </w:r>
      <w:r w:rsidRPr="007D6081">
        <w:rPr>
          <w:lang w:val="es-ES_tradnl"/>
        </w:rPr>
        <w:t>labora un futuro esquema de relaciones dirigido además de a Rusia, Moldavia, Ucrania, Bielorrusia y Turquía</w:t>
      </w:r>
      <w:r>
        <w:rPr>
          <w:lang w:val="es-ES_tradnl"/>
        </w:rPr>
        <w:t>,</w:t>
      </w:r>
      <w:r w:rsidRPr="007D6081">
        <w:rPr>
          <w:lang w:val="es-ES_tradnl"/>
        </w:rPr>
        <w:t xml:space="preserve"> a los Países Mediterráneo no Comunitarios (PMNC) y a Libia, y este Consejo planteaba que a cambio de la adopción de importantes medidas políticas y económicas se les ofrecería a estos países integrarse gradualmente en el mercado interior de la UE y disfrutar de la libertad de movimientos para mercancías, servicios, capital y personas.</w:t>
      </w:r>
      <w:r>
        <w:rPr>
          <w:lang w:val="es-ES_tradnl"/>
        </w:rPr>
        <w:t xml:space="preserve"> </w:t>
      </w:r>
      <w:r w:rsidRPr="007D6081">
        <w:rPr>
          <w:lang w:val="es-ES_tradnl"/>
        </w:rPr>
        <w:t>Y para estos objetivos debía darse un avance en los capítulos de asociación definidos en Barcelona</w:t>
      </w:r>
      <w:r>
        <w:t xml:space="preserve">. </w:t>
      </w:r>
    </w:p>
    <w:p w:rsidR="00C01970" w:rsidRDefault="00C01970" w:rsidP="00C01970">
      <w:pPr>
        <w:rPr>
          <w:lang w:val="es-ES_tradnl"/>
        </w:rPr>
      </w:pPr>
      <w:r>
        <w:t xml:space="preserve">Respecto de los procesos que conducen a la Asociación euro-mediterránea, </w:t>
      </w:r>
      <w:r>
        <w:rPr>
          <w:lang w:val="es-ES_tradnl"/>
        </w:rPr>
        <w:t>e</w:t>
      </w:r>
      <w:r w:rsidRPr="00187311">
        <w:rPr>
          <w:lang w:val="es-ES_tradnl"/>
        </w:rPr>
        <w:t xml:space="preserve">l arranque oficial de la AEM se identifica con el Consejo Europeo de Lisboa celebrado en </w:t>
      </w:r>
      <w:r w:rsidRPr="00187311">
        <w:rPr>
          <w:lang w:val="es-ES_tradnl"/>
        </w:rPr>
        <w:lastRenderedPageBreak/>
        <w:t xml:space="preserve">junio de 1992 con la propuesta de una asociación euro-magrebí y no </w:t>
      </w:r>
      <w:proofErr w:type="spellStart"/>
      <w:r w:rsidRPr="00187311">
        <w:rPr>
          <w:lang w:val="es-ES_tradnl"/>
        </w:rPr>
        <w:t>euromediterránea</w:t>
      </w:r>
      <w:proofErr w:type="spellEnd"/>
      <w:r>
        <w:rPr>
          <w:lang w:val="es-ES_tradnl"/>
        </w:rPr>
        <w:t>. De igual modo, l</w:t>
      </w:r>
      <w:r w:rsidRPr="00187311">
        <w:rPr>
          <w:lang w:val="es-ES_tradnl"/>
        </w:rPr>
        <w:t>a Conferencia ministerial sobre el medioambiente en el Mediterráneo, organizada en Palma de Mallorca el 19 de octubre de 1990 por la Conferencia de Seguridad y Cooperación en Europa para lanzar una propuesta conjunta a la que se sumaron Francia y Portugal.  Se entendía que con el objetivo de contribuir a la seguridad y al desarrollo de la región, era necesario un tratamiento global de las cuestiones políticas, económicas y socioculturales, otorgando e este caso un mayor protagonismo</w:t>
      </w:r>
      <w:r>
        <w:rPr>
          <w:lang w:val="es-ES_tradnl"/>
        </w:rPr>
        <w:t xml:space="preserve">. </w:t>
      </w:r>
    </w:p>
    <w:p w:rsidR="00C01970" w:rsidRPr="002A6433" w:rsidRDefault="00C01970" w:rsidP="00C01970">
      <w:r>
        <w:rPr>
          <w:lang w:val="es-ES_tradnl"/>
        </w:rPr>
        <w:t xml:space="preserve">Otras </w:t>
      </w:r>
      <w:r w:rsidRPr="002A6433">
        <w:rPr>
          <w:lang w:val="es-ES_tradnl"/>
        </w:rPr>
        <w:t xml:space="preserve"> iniciativas puestas en marcha</w:t>
      </w:r>
      <w:r>
        <w:rPr>
          <w:lang w:val="es-ES_tradnl"/>
        </w:rPr>
        <w:t xml:space="preserve"> han sido</w:t>
      </w:r>
      <w:r w:rsidRPr="002A6433">
        <w:rPr>
          <w:lang w:val="es-ES_tradnl"/>
        </w:rPr>
        <w:t xml:space="preserve">: </w:t>
      </w:r>
    </w:p>
    <w:p w:rsidR="00C01970" w:rsidRPr="002A6433" w:rsidRDefault="00C01970" w:rsidP="00C01970">
      <w:pPr>
        <w:numPr>
          <w:ilvl w:val="0"/>
          <w:numId w:val="2"/>
        </w:numPr>
      </w:pPr>
      <w:r>
        <w:rPr>
          <w:lang w:val="es-ES_tradnl"/>
        </w:rPr>
        <w:t xml:space="preserve">La </w:t>
      </w:r>
      <w:r w:rsidRPr="002A6433">
        <w:rPr>
          <w:lang w:val="es-ES_tradnl"/>
        </w:rPr>
        <w:t>Conferencia ministerial</w:t>
      </w:r>
      <w:r>
        <w:rPr>
          <w:lang w:val="es-ES_tradnl"/>
        </w:rPr>
        <w:t xml:space="preserve"> entre la UE y la Liga árabe.  L</w:t>
      </w:r>
      <w:r w:rsidRPr="002A6433">
        <w:rPr>
          <w:lang w:val="es-ES_tradnl"/>
        </w:rPr>
        <w:t>anzada en Paris</w:t>
      </w:r>
      <w:r>
        <w:rPr>
          <w:lang w:val="es-ES_tradnl"/>
        </w:rPr>
        <w:t xml:space="preserve"> para relanzar el diálogo Euro-Á</w:t>
      </w:r>
      <w:r w:rsidRPr="002A6433">
        <w:rPr>
          <w:lang w:val="es-ES_tradnl"/>
        </w:rPr>
        <w:t xml:space="preserve">rabe. </w:t>
      </w:r>
    </w:p>
    <w:p w:rsidR="00C01970" w:rsidRPr="002A6433" w:rsidRDefault="00C01970" w:rsidP="00C01970">
      <w:pPr>
        <w:numPr>
          <w:ilvl w:val="0"/>
          <w:numId w:val="2"/>
        </w:numPr>
      </w:pPr>
      <w:r>
        <w:rPr>
          <w:lang w:val="es-ES_tradnl"/>
        </w:rPr>
        <w:t>El G</w:t>
      </w:r>
      <w:r w:rsidRPr="002A6433">
        <w:rPr>
          <w:lang w:val="es-ES_tradnl"/>
        </w:rPr>
        <w:t>rupo 5+5 (Portugal, España, Francia e Italia, con Mauritania, Marruecos, Túnez, Argelia y Libia y la incorporación de Malta).</w:t>
      </w:r>
      <w:r w:rsidRPr="002A6433">
        <w:t xml:space="preserve"> </w:t>
      </w:r>
    </w:p>
    <w:p w:rsidR="00C01970" w:rsidRPr="002A6433" w:rsidRDefault="00C01970" w:rsidP="00C01970">
      <w:pPr>
        <w:numPr>
          <w:ilvl w:val="0"/>
          <w:numId w:val="2"/>
        </w:numPr>
      </w:pPr>
      <w:r w:rsidRPr="002A6433">
        <w:rPr>
          <w:lang w:val="es-ES_tradnl"/>
        </w:rPr>
        <w:t>El foro med</w:t>
      </w:r>
      <w:r>
        <w:rPr>
          <w:lang w:val="es-ES_tradnl"/>
        </w:rPr>
        <w:t>iterráneo impulsado por Egipto, especialmente e</w:t>
      </w:r>
      <w:r w:rsidRPr="002A6433">
        <w:rPr>
          <w:lang w:val="es-ES_tradnl"/>
        </w:rPr>
        <w:t xml:space="preserve">n el campo político y de seguridad, financiero y económico y cultural y humano. </w:t>
      </w:r>
    </w:p>
    <w:p w:rsidR="00C01970" w:rsidRDefault="00C01970" w:rsidP="00C01970">
      <w:pPr>
        <w:numPr>
          <w:ilvl w:val="0"/>
          <w:numId w:val="2"/>
        </w:numPr>
      </w:pPr>
      <w:r w:rsidRPr="002A6433">
        <w:rPr>
          <w:lang w:val="es-ES_tradnl"/>
        </w:rPr>
        <w:t>La Política Mediterránea Renovada, aprobada el 18 de diciembre de 1990. Todas estas iniciativas desinfladas</w:t>
      </w:r>
      <w:r>
        <w:rPr>
          <w:lang w:val="es-ES_tradnl"/>
        </w:rPr>
        <w:t>,</w:t>
      </w:r>
      <w:r w:rsidRPr="002A6433">
        <w:rPr>
          <w:lang w:val="es-ES_tradnl"/>
        </w:rPr>
        <w:t xml:space="preserve"> pero no oficialmente abandonadas</w:t>
      </w:r>
      <w:r>
        <w:rPr>
          <w:lang w:val="es-ES_tradnl"/>
        </w:rPr>
        <w:t>,</w:t>
      </w:r>
      <w:r w:rsidRPr="002A6433">
        <w:rPr>
          <w:lang w:val="es-ES_tradnl"/>
        </w:rPr>
        <w:t xml:space="preserve"> harán posible </w:t>
      </w:r>
      <w:r>
        <w:rPr>
          <w:lang w:val="es-ES_tradnl"/>
        </w:rPr>
        <w:t>el lanzamiento oficial de la Asociación</w:t>
      </w:r>
      <w:r w:rsidRPr="002A6433">
        <w:rPr>
          <w:lang w:val="es-ES_tradnl"/>
        </w:rPr>
        <w:t>.</w:t>
      </w:r>
      <w:r w:rsidRPr="002A6433">
        <w:t xml:space="preserve"> </w:t>
      </w:r>
    </w:p>
    <w:p w:rsidR="00C01970" w:rsidRDefault="00C01970" w:rsidP="00C01970">
      <w:pPr>
        <w:rPr>
          <w:lang w:val="es-ES_tradnl"/>
        </w:rPr>
      </w:pPr>
      <w:r>
        <w:t xml:space="preserve">No obstante, serán los </w:t>
      </w:r>
      <w:r w:rsidR="00DA02F9">
        <w:rPr>
          <w:lang w:val="es-ES_tradnl"/>
        </w:rPr>
        <w:t xml:space="preserve">Consejos Europeos de </w:t>
      </w:r>
      <w:proofErr w:type="spellStart"/>
      <w:r w:rsidR="00DA02F9">
        <w:rPr>
          <w:lang w:val="es-ES_tradnl"/>
        </w:rPr>
        <w:t>Essen</w:t>
      </w:r>
      <w:proofErr w:type="spellEnd"/>
      <w:r w:rsidRPr="00711EAE">
        <w:rPr>
          <w:lang w:val="es-ES_tradnl"/>
        </w:rPr>
        <w:t xml:space="preserve"> y de Cannes en 1994 y 1995 </w:t>
      </w:r>
      <w:r>
        <w:rPr>
          <w:lang w:val="es-ES_tradnl"/>
        </w:rPr>
        <w:t xml:space="preserve">los que concretarían </w:t>
      </w:r>
      <w:r w:rsidRPr="00711EAE">
        <w:rPr>
          <w:lang w:val="es-ES_tradnl"/>
        </w:rPr>
        <w:t>la voluntad política y el compromiso financiero de los 15 que condujeron a Barcelona</w:t>
      </w:r>
      <w:r>
        <w:t xml:space="preserve"> y al consiguiente proceso de Barcelona (1995-2005). Entre sus </w:t>
      </w:r>
      <w:r w:rsidRPr="00B946FC">
        <w:rPr>
          <w:lang w:val="es-ES_tradnl"/>
        </w:rPr>
        <w:t>objetivos se establece la voluntad de fomentar una cooperación global y favorecer el desarrollo de esos países y se remarca la voluntad de establecer un diálogo político, la progresiva liberalización de los intercambios, estimular la cooperación regional e integración (Magreb) y el respeto a los derechos humanos y a los principios democráticos</w:t>
      </w:r>
      <w:r>
        <w:rPr>
          <w:lang w:val="es-ES_tradnl"/>
        </w:rPr>
        <w:t>.</w:t>
      </w:r>
    </w:p>
    <w:p w:rsidR="00C01970" w:rsidRDefault="00C01970" w:rsidP="00C01970">
      <w:pPr>
        <w:rPr>
          <w:lang w:val="es-ES_tradnl"/>
        </w:rPr>
      </w:pPr>
      <w:r w:rsidRPr="00FC46A8">
        <w:rPr>
          <w:lang w:val="es-ES_tradnl"/>
        </w:rPr>
        <w:t xml:space="preserve">El </w:t>
      </w:r>
      <w:proofErr w:type="spellStart"/>
      <w:r w:rsidRPr="00FC46A8">
        <w:rPr>
          <w:lang w:val="es-ES_tradnl"/>
        </w:rPr>
        <w:t>Partenariado</w:t>
      </w:r>
      <w:proofErr w:type="spellEnd"/>
      <w:r w:rsidRPr="00FC46A8">
        <w:rPr>
          <w:lang w:val="es-ES_tradnl"/>
        </w:rPr>
        <w:t xml:space="preserve"> </w:t>
      </w:r>
      <w:proofErr w:type="spellStart"/>
      <w:r w:rsidRPr="00FC46A8">
        <w:rPr>
          <w:lang w:val="es-ES_tradnl"/>
        </w:rPr>
        <w:t>Euromediterráneo</w:t>
      </w:r>
      <w:proofErr w:type="spellEnd"/>
      <w:r w:rsidRPr="00FC46A8">
        <w:rPr>
          <w:lang w:val="es-ES_tradnl"/>
        </w:rPr>
        <w:t xml:space="preserve"> se ha visto reforzado tanto en lo bilateral como en lo multilateral. En lo bilateral se ha puesto en marcha en 2005-2007 la política europea de vecindad (PEV). Se facilita el acceso de los países socios que lo deseen al “mercado interior” europeo. Se pone a disposición de estos países asociados los instrumentos de preadhesión, se ofrece por tanto una amplia y progresiva integración en el espacio económico europeo, excluyendo sólo la participación en las instituciones comunitarias. En aplicación de estos  acuerdos de asociación suscritos como instrumento básico del </w:t>
      </w:r>
      <w:proofErr w:type="spellStart"/>
      <w:r w:rsidRPr="00FC46A8">
        <w:rPr>
          <w:lang w:val="es-ES_tradnl"/>
        </w:rPr>
        <w:t>Partenariado</w:t>
      </w:r>
      <w:proofErr w:type="spellEnd"/>
      <w:r w:rsidRPr="00FC46A8">
        <w:rPr>
          <w:lang w:val="es-ES_tradnl"/>
        </w:rPr>
        <w:t xml:space="preserve">, los fondos MEDA pasaron a llamarse Nuevo Instrumento de Vecindad y de Asociación y los Planes Indicativos Nacionales (PIN) fueron sustituidos por los Planes de Acción, igualmente como marco pactado para los programas de cooperación y reforma en cada país.  La PEV pretende dar mayor profundidad y eficacia </w:t>
      </w:r>
      <w:r w:rsidRPr="00FC46A8">
        <w:rPr>
          <w:lang w:val="es-ES_tradnl"/>
        </w:rPr>
        <w:lastRenderedPageBreak/>
        <w:t xml:space="preserve">transformadora a las relaciones bilaterales entre la UE y los países socios mediterráneos en esa nueva etapa del </w:t>
      </w:r>
      <w:proofErr w:type="spellStart"/>
      <w:r w:rsidRPr="00FC46A8">
        <w:rPr>
          <w:lang w:val="es-ES_tradnl"/>
        </w:rPr>
        <w:t>Partenariado</w:t>
      </w:r>
      <w:proofErr w:type="spellEnd"/>
      <w:r w:rsidRPr="00FC46A8">
        <w:rPr>
          <w:lang w:val="es-ES_tradnl"/>
        </w:rPr>
        <w:t xml:space="preserve">. </w:t>
      </w:r>
    </w:p>
    <w:p w:rsidR="00C01970" w:rsidRDefault="00C01970" w:rsidP="00C01970">
      <w:r w:rsidRPr="006B436D">
        <w:rPr>
          <w:lang w:val="es-ES_tradnl"/>
        </w:rPr>
        <w:t>Finalmente la Unión por el Mediterráneo iniciada en la Cumbre de París y la Cumbre Ministerial de Marsella de 2008, tras corregir la primera propuesta del Presidente francés Sarkozy, debe contribuir a dotar de un mayor contenido real y efectivo a la dimensión multilateral o regional de</w:t>
      </w:r>
      <w:r>
        <w:rPr>
          <w:lang w:val="es-ES_tradnl"/>
        </w:rPr>
        <w:t xml:space="preserve">l </w:t>
      </w:r>
      <w:proofErr w:type="spellStart"/>
      <w:r>
        <w:rPr>
          <w:lang w:val="es-ES_tradnl"/>
        </w:rPr>
        <w:t>Partenariado</w:t>
      </w:r>
      <w:proofErr w:type="spellEnd"/>
      <w:r>
        <w:rPr>
          <w:lang w:val="es-ES_tradnl"/>
        </w:rPr>
        <w:t xml:space="preserve"> </w:t>
      </w:r>
      <w:proofErr w:type="spellStart"/>
      <w:r>
        <w:rPr>
          <w:lang w:val="es-ES_tradnl"/>
        </w:rPr>
        <w:t>Euromediterráneo</w:t>
      </w:r>
      <w:proofErr w:type="spellEnd"/>
      <w:r>
        <w:rPr>
          <w:lang w:val="es-ES_tradnl"/>
        </w:rPr>
        <w:t xml:space="preserve">. </w:t>
      </w:r>
      <w:r w:rsidRPr="006B436D">
        <w:rPr>
          <w:lang w:val="es-ES_tradnl"/>
        </w:rPr>
        <w:t>El Proyecto de la Unión Mediterránea rebautizada después del Consejo de Europeo del 13-14 de marzo de 2008, como proceso de Barcelona: Unión por el Mediterráneo es</w:t>
      </w:r>
      <w:r>
        <w:rPr>
          <w:lang w:val="es-ES_tradnl"/>
        </w:rPr>
        <w:t>,</w:t>
      </w:r>
      <w:r w:rsidRPr="006B436D">
        <w:rPr>
          <w:lang w:val="es-ES_tradnl"/>
        </w:rPr>
        <w:t xml:space="preserve"> finalmente</w:t>
      </w:r>
      <w:r>
        <w:rPr>
          <w:lang w:val="es-ES_tradnl"/>
        </w:rPr>
        <w:t>,</w:t>
      </w:r>
      <w:r w:rsidRPr="006B436D">
        <w:rPr>
          <w:lang w:val="es-ES_tradnl"/>
        </w:rPr>
        <w:t xml:space="preserve"> denominada en la Declaración de Marsella -3 4 de noviembre de 2008, “Unión por el Mediterráneo”.</w:t>
      </w:r>
      <w:r>
        <w:rPr>
          <w:lang w:val="es-ES_tradnl"/>
        </w:rPr>
        <w:t xml:space="preserve"> </w:t>
      </w:r>
      <w:r w:rsidRPr="006B436D">
        <w:rPr>
          <w:lang w:val="es-ES_tradnl"/>
        </w:rPr>
        <w:t xml:space="preserve">Entre la UE y el Mediterráneo  destaca  la </w:t>
      </w:r>
      <w:proofErr w:type="spellStart"/>
      <w:r w:rsidRPr="006B436D">
        <w:rPr>
          <w:lang w:val="es-ES_tradnl"/>
        </w:rPr>
        <w:t>redEuromesCo</w:t>
      </w:r>
      <w:proofErr w:type="spellEnd"/>
      <w:r w:rsidRPr="006B436D">
        <w:rPr>
          <w:lang w:val="es-ES_tradnl"/>
        </w:rPr>
        <w:t>, promocionada por la Comisión Europea en la que se agrupan centros e institutos  tanto públicos como privados de más de 43 países que desarrollan sus actividades en el campo de la seguridad y de la defensa.</w:t>
      </w:r>
      <w:r w:rsidRPr="006B436D">
        <w:t xml:space="preserve"> </w:t>
      </w:r>
    </w:p>
    <w:p w:rsidR="00C01970" w:rsidRDefault="00C01970" w:rsidP="00C01970">
      <w:r>
        <w:t>En consecuencia,</w:t>
      </w:r>
      <w:r>
        <w:rPr>
          <w:lang w:val="es-ES_tradnl"/>
        </w:rPr>
        <w:t xml:space="preserve"> la UE</w:t>
      </w:r>
      <w:r w:rsidRPr="00AF022D">
        <w:rPr>
          <w:lang w:val="es-ES_tradnl"/>
        </w:rPr>
        <w:t xml:space="preserve"> ha apoyado la integración regional así como los diálogos regionales como factores de estabilidad política</w:t>
      </w:r>
      <w:r>
        <w:rPr>
          <w:lang w:val="es-ES_tradnl"/>
        </w:rPr>
        <w:t xml:space="preserve">. </w:t>
      </w:r>
      <w:r w:rsidRPr="00AF022D">
        <w:rPr>
          <w:lang w:val="es-ES_tradnl"/>
        </w:rPr>
        <w:t>Las relaciones exteriores de la UE aplican las orientaciones definidas por los Estados miembros en el seno de la PESC</w:t>
      </w:r>
      <w:r>
        <w:rPr>
          <w:lang w:val="es-ES_tradnl"/>
        </w:rPr>
        <w:t xml:space="preserve"> y podemos concluir que </w:t>
      </w:r>
      <w:r w:rsidRPr="00AF022D">
        <w:rPr>
          <w:lang w:val="es-ES_tradnl"/>
        </w:rPr>
        <w:t xml:space="preserve">Organismos Internacionales como la Unión del Magreb Árabe, </w:t>
      </w:r>
      <w:r w:rsidRPr="00AF022D">
        <w:t>acuerdo de interacción comercial firmado el 17 de Febrer</w:t>
      </w:r>
      <w:r>
        <w:t>o de 1989 en Marrakech por los J</w:t>
      </w:r>
      <w:r w:rsidRPr="00AF022D">
        <w:t>efes de Estado de Marruecos, Argelia, Túnez, Mauritania y Libia, apenas han ayudado a profundizar en las relaciones entre estos países, especialmente por el conflicto que Argelia y Marruecos manti</w:t>
      </w:r>
      <w:r>
        <w:t>enen sobre el Sáhara Occidental.</w:t>
      </w:r>
    </w:p>
    <w:p w:rsidR="00DA02F9" w:rsidRDefault="00DA02F9" w:rsidP="00C01970">
      <w:r>
        <w:t>Marruecos ha podido conseguir el denominado “estatuto avanzado</w:t>
      </w:r>
      <w:r w:rsidR="004955E6">
        <w:t xml:space="preserve"> de asociación</w:t>
      </w:r>
      <w:r>
        <w:t>”</w:t>
      </w:r>
      <w:r w:rsidR="004955E6">
        <w:t xml:space="preserve"> </w:t>
      </w:r>
      <w:proofErr w:type="spellStart"/>
      <w:r w:rsidR="004955E6">
        <w:t>yue</w:t>
      </w:r>
      <w:proofErr w:type="spellEnd"/>
      <w:r w:rsidR="004955E6">
        <w:t xml:space="preserve"> la UE le otorgó en octubre de 2008, que es una hoja de ruta muy amplia y que va en la línea de intensificar especialmente relaciones diplomáticas y económicas con la UE, y que,</w:t>
      </w:r>
      <w:r>
        <w:t xml:space="preserve"> en cierta medida, le diferencia del resto de sus vecinos del Magreb.</w:t>
      </w:r>
      <w:r w:rsidR="00904058">
        <w:t xml:space="preserve"> </w:t>
      </w:r>
      <w:r w:rsidR="004955E6">
        <w:t>Qué papel le corresponde al S</w:t>
      </w:r>
      <w:r w:rsidR="00904058">
        <w:t>áhara Occidental</w:t>
      </w:r>
      <w:r w:rsidR="004955E6">
        <w:t>?</w:t>
      </w:r>
      <w:r w:rsidR="00904058">
        <w:t xml:space="preserve">  </w:t>
      </w:r>
    </w:p>
    <w:p w:rsidR="00C01970" w:rsidRPr="006B3AF6" w:rsidRDefault="00C01970" w:rsidP="00C01970"/>
    <w:p w:rsidR="00C01970" w:rsidRPr="00191B4C" w:rsidRDefault="00C01970" w:rsidP="00C01970">
      <w:pPr>
        <w:pStyle w:val="Prrafodelista"/>
        <w:numPr>
          <w:ilvl w:val="1"/>
          <w:numId w:val="1"/>
        </w:numPr>
        <w:ind w:left="431" w:hanging="431"/>
        <w:rPr>
          <w:b/>
          <w:szCs w:val="24"/>
          <w:lang w:val="es-ES_tradnl"/>
        </w:rPr>
      </w:pPr>
      <w:r w:rsidRPr="00191B4C">
        <w:rPr>
          <w:b/>
          <w:szCs w:val="24"/>
          <w:lang w:val="es-ES_tradnl"/>
        </w:rPr>
        <w:t>La evolución de la ONU en este conflicto</w:t>
      </w:r>
    </w:p>
    <w:p w:rsidR="00C01970" w:rsidRPr="00191B4C" w:rsidRDefault="00C01970" w:rsidP="00C01970">
      <w:r w:rsidRPr="00191B4C">
        <w:t xml:space="preserve">El papel que viene ejerciendo la ONU a través de la Corte Internacional de Justicia y el Consejo de Seguridad y de la Misión de las Naciones Unidas para el Referéndum en el Sáhara Occidental (MINURSO), con la presencia permanente de esta misión en la región, deberá </w:t>
      </w:r>
      <w:r>
        <w:t>incrementarse de forma sustancial</w:t>
      </w:r>
      <w:r w:rsidRPr="00191B4C">
        <w:t xml:space="preserve"> para dar salida a un asunto de descolonización que </w:t>
      </w:r>
      <w:r>
        <w:t xml:space="preserve">viene </w:t>
      </w:r>
      <w:r w:rsidRPr="00191B4C">
        <w:t>siendo irresoluble desde la década de los 70 del pasado siglo.</w:t>
      </w:r>
    </w:p>
    <w:p w:rsidR="00C01970" w:rsidRDefault="00C01970" w:rsidP="00C01970">
      <w:r w:rsidRPr="00191B4C">
        <w:t xml:space="preserve">La ONU se ha venido pronunciando </w:t>
      </w:r>
      <w:r>
        <w:t xml:space="preserve">a estos efectos, </w:t>
      </w:r>
      <w:r w:rsidRPr="00191B4C">
        <w:t>a través de las resoluciones del Consejo de Seguridad y de la Asamblea General y también de los Informes del Secretario General.</w:t>
      </w:r>
    </w:p>
    <w:p w:rsidR="00C01970" w:rsidRDefault="00C01970" w:rsidP="00C01970">
      <w:r w:rsidRPr="00887DD5">
        <w:rPr>
          <w:u w:val="single"/>
        </w:rPr>
        <w:lastRenderedPageBreak/>
        <w:t>Principales hitos</w:t>
      </w:r>
      <w:r>
        <w:rPr>
          <w:rStyle w:val="Refdenotaalpie"/>
          <w:u w:val="single"/>
        </w:rPr>
        <w:footnoteReference w:id="33"/>
      </w:r>
      <w:r>
        <w:t xml:space="preserve">: </w:t>
      </w:r>
    </w:p>
    <w:p w:rsidR="00C01970" w:rsidRDefault="00C01970" w:rsidP="00C01970">
      <w:pPr>
        <w:pStyle w:val="Prrafodelista"/>
        <w:numPr>
          <w:ilvl w:val="0"/>
          <w:numId w:val="3"/>
        </w:numPr>
      </w:pPr>
      <w:r w:rsidRPr="007356B3">
        <w:rPr>
          <w:i/>
          <w:u w:val="single"/>
        </w:rPr>
        <w:t>Plan de Arreglo de 1991</w:t>
      </w:r>
      <w:r w:rsidRPr="00887DD5">
        <w:rPr>
          <w:i/>
        </w:rPr>
        <w:t>, elaborado por el Secretario General de la ONU y aprobado por el Consejo de Seguridad, que preveía un referéndum de independencia</w:t>
      </w:r>
      <w:r>
        <w:t xml:space="preserve">. </w:t>
      </w:r>
      <w:r w:rsidRPr="0035662C">
        <w:t>Los objetivos son el alto el fuego entre las partes y la organización de un referéndum</w:t>
      </w:r>
      <w:r w:rsidRPr="0035662C">
        <w:rPr>
          <w:rStyle w:val="Refdenotaalpie"/>
        </w:rPr>
        <w:footnoteReference w:id="34"/>
      </w:r>
      <w:r w:rsidRPr="0035662C">
        <w:t>, confeccionando el censo, -a partir del censo de 1974-, y aceptando las partes su resultado. La aplicación del Plan es objeto de MINURSO.</w:t>
      </w:r>
    </w:p>
    <w:p w:rsidR="00C01970" w:rsidRPr="00AF4AF9" w:rsidRDefault="00C01970" w:rsidP="00C01970">
      <w:r w:rsidRPr="00AF4AF9">
        <w:t>La responsabilidad de identificar e inscribir las personas que tienen derecho a voto corresponderá a NNUU y para ello se establece una Comisión de Identificación</w:t>
      </w:r>
      <w:r w:rsidRPr="00AF4AF9">
        <w:rPr>
          <w:rStyle w:val="Refdenotaalpie"/>
        </w:rPr>
        <w:footnoteReference w:id="35"/>
      </w:r>
      <w:r w:rsidRPr="00AF4AF9">
        <w:t>. El SG establece 5 criterios que servirán para determinar el derecho de voto:</w:t>
      </w:r>
    </w:p>
    <w:p w:rsidR="00C01970" w:rsidRPr="00AF4AF9" w:rsidRDefault="00C01970" w:rsidP="00C01970">
      <w:pPr>
        <w:pStyle w:val="Prrafodelista"/>
        <w:numPr>
          <w:ilvl w:val="0"/>
          <w:numId w:val="4"/>
        </w:numPr>
      </w:pPr>
      <w:r w:rsidRPr="00AF4AF9">
        <w:t>personas cuyos nombres se hayan incluido en la lista revisada del censo de 1974</w:t>
      </w:r>
      <w:r>
        <w:t>.</w:t>
      </w:r>
    </w:p>
    <w:p w:rsidR="00C01970" w:rsidRPr="00AF4AF9" w:rsidRDefault="00C01970" w:rsidP="00C01970">
      <w:pPr>
        <w:pStyle w:val="Prrafodelista"/>
        <w:numPr>
          <w:ilvl w:val="0"/>
          <w:numId w:val="4"/>
        </w:numPr>
      </w:pPr>
      <w:r w:rsidRPr="00AF4AF9">
        <w:t>personas que vivían en el territorio como miembros de una tribu saharaui cuando se realizó el censo de 1974 y que no pudieron ser inscritas</w:t>
      </w:r>
      <w:r>
        <w:t>.</w:t>
      </w:r>
    </w:p>
    <w:p w:rsidR="00C01970" w:rsidRPr="00AF4AF9" w:rsidRDefault="00C01970" w:rsidP="00C01970">
      <w:pPr>
        <w:pStyle w:val="Prrafodelista"/>
        <w:numPr>
          <w:ilvl w:val="0"/>
          <w:numId w:val="4"/>
        </w:numPr>
      </w:pPr>
      <w:r w:rsidRPr="00AF4AF9">
        <w:t>los miembros de la familia inmediata de esos dos primeros grupos (padre, madre e hijos)</w:t>
      </w:r>
      <w:r>
        <w:t>.</w:t>
      </w:r>
    </w:p>
    <w:p w:rsidR="00C01970" w:rsidRPr="00AF4AF9" w:rsidRDefault="00C01970" w:rsidP="00C01970">
      <w:pPr>
        <w:pStyle w:val="Prrafodelista"/>
        <w:numPr>
          <w:ilvl w:val="0"/>
          <w:numId w:val="4"/>
        </w:numPr>
      </w:pPr>
      <w:r w:rsidRPr="00AF4AF9">
        <w:t>los hijos de padres saharauis nacidos en el territorio</w:t>
      </w:r>
      <w:r>
        <w:t>.</w:t>
      </w:r>
    </w:p>
    <w:p w:rsidR="00C01970" w:rsidRPr="00AF4AF9" w:rsidRDefault="00C01970" w:rsidP="00C01970">
      <w:pPr>
        <w:pStyle w:val="Prrafodelista"/>
        <w:numPr>
          <w:ilvl w:val="0"/>
          <w:numId w:val="4"/>
        </w:numPr>
      </w:pPr>
      <w:r w:rsidRPr="00AF4AF9">
        <w:t xml:space="preserve">los miembros de tribus saharauis que pertenezcan al territorio siempre que hayan residido en él por un período de seis años consecutivos o por un período intermitente de doce años con anterioridad al </w:t>
      </w:r>
      <w:r w:rsidRPr="00B54EC5">
        <w:t>1 de diciembre de 1974. Y para estos criterios se establecen unos medios de pruebas</w:t>
      </w:r>
      <w:r w:rsidRPr="00B54EC5">
        <w:rPr>
          <w:rStyle w:val="Refdenotaalpie"/>
        </w:rPr>
        <w:footnoteReference w:id="36"/>
      </w:r>
      <w:r w:rsidRPr="00AF4AF9">
        <w:t>.</w:t>
      </w:r>
    </w:p>
    <w:p w:rsidR="00C01970" w:rsidRPr="00AF4AF9" w:rsidRDefault="00C01970" w:rsidP="00C01970">
      <w:pPr>
        <w:pStyle w:val="Prrafodelista"/>
        <w:numPr>
          <w:ilvl w:val="0"/>
          <w:numId w:val="4"/>
        </w:numPr>
      </w:pPr>
      <w:r w:rsidRPr="00AF4AF9">
        <w:t>Mientras para el FP es importante las pruebas documentales emitidas por la administración española, para Marruecos t</w:t>
      </w:r>
      <w:r>
        <w:t xml:space="preserve">ambién </w:t>
      </w:r>
      <w:r w:rsidRPr="00AF4AF9">
        <w:t xml:space="preserve">lo serán las pruebas testimoniales o testimonios orales tanto en la identificación de la persona como en la “demostración del vínculo familiar” de pertenencia a una tribu saharaui. Y esto fue un caballo de batalla del proceso. En 1995 existe un proceso de estancamiento que se gravemente reforzado por las irregularidades llevadas a cabo por la Comisión de identificación de la ONU según el Sr. Frank </w:t>
      </w:r>
      <w:proofErr w:type="spellStart"/>
      <w:r w:rsidRPr="00AF4AF9">
        <w:t>Ruddy</w:t>
      </w:r>
      <w:proofErr w:type="spellEnd"/>
      <w:r w:rsidRPr="00AF4AF9">
        <w:t>, embajador de EEUU y Vicepresidente de la Comisión.</w:t>
      </w:r>
    </w:p>
    <w:p w:rsidR="00C01970" w:rsidRDefault="00C01970" w:rsidP="00C01970">
      <w:r w:rsidRPr="00AF4AF9">
        <w:t xml:space="preserve">Los obstáculos </w:t>
      </w:r>
      <w:r>
        <w:t xml:space="preserve">principales </w:t>
      </w:r>
      <w:r w:rsidRPr="00AF4AF9">
        <w:t xml:space="preserve">eran de aplicación del </w:t>
      </w:r>
      <w:r w:rsidR="00A77727">
        <w:t>“</w:t>
      </w:r>
      <w:r w:rsidRPr="00AF4AF9">
        <w:t>Plan de Arreglo</w:t>
      </w:r>
      <w:r w:rsidR="00A77727">
        <w:t>”</w:t>
      </w:r>
      <w:r w:rsidRPr="00AF4AF9">
        <w:t xml:space="preserve"> y debía haber acuerdo respecto de todas las partes pendientes. Bajo estos parámetros se celebraron cuatro rondas de negociaciones.</w:t>
      </w:r>
    </w:p>
    <w:p w:rsidR="00C01970" w:rsidRDefault="00C01970" w:rsidP="00C01970">
      <w:pPr>
        <w:pStyle w:val="Prrafodelista"/>
        <w:numPr>
          <w:ilvl w:val="0"/>
          <w:numId w:val="3"/>
        </w:numPr>
      </w:pPr>
      <w:r w:rsidRPr="00224673">
        <w:rPr>
          <w:i/>
          <w:u w:val="single"/>
        </w:rPr>
        <w:lastRenderedPageBreak/>
        <w:t>1997. Acuerdos de Houston</w:t>
      </w:r>
      <w:r>
        <w:t xml:space="preserve">. Se establecen una serie de rondas de negociaciones. Con Kofi Annan, como nuevo Secretario general de Naciones Unidas y con James Baker III como su enviado personal en la región.  </w:t>
      </w:r>
    </w:p>
    <w:p w:rsidR="00C01970" w:rsidRPr="00237C37" w:rsidRDefault="00C01970" w:rsidP="00C01970">
      <w:pPr>
        <w:pStyle w:val="Prrafodelista"/>
      </w:pPr>
      <w:r w:rsidRPr="00237C37">
        <w:t xml:space="preserve">Se intentará celebrar conversaciones privadas de carácter confidencial, pero no se trata de una conferencia internacional. Y Mauritania y Argelia participarán como observadores del proceso cuando un tema les afecte directamente y el enviado participaría como un mediador en el conflicto.  </w:t>
      </w:r>
    </w:p>
    <w:p w:rsidR="00C01970" w:rsidRDefault="00C01970" w:rsidP="00C01970">
      <w:pPr>
        <w:pStyle w:val="Prrafodelista"/>
      </w:pPr>
      <w:r w:rsidRPr="00237C37">
        <w:t>El SG actualiza el calendario de la acción a seguir y establece el 7 de diciembre de 1998 día de la celebración del referéndum, luego en diciembre de 1999, luego en julio del año 2000. El principal escollo continúa en el tema de la identificación de los votantes. Y</w:t>
      </w:r>
      <w:r w:rsidRPr="00237C37">
        <w:rPr>
          <w:i/>
        </w:rPr>
        <w:t xml:space="preserve"> </w:t>
      </w:r>
      <w:r w:rsidRPr="00237C37">
        <w:t>en</w:t>
      </w:r>
      <w:r w:rsidRPr="00237C37">
        <w:rPr>
          <w:rStyle w:val="Refdenotaalpie"/>
        </w:rPr>
        <w:t xml:space="preserve"> </w:t>
      </w:r>
      <w:r w:rsidRPr="00237C37">
        <w:t>la falta de mecanismos para hacer efectiva la responsabilidad de NNUU en el tema</w:t>
      </w:r>
      <w:r w:rsidRPr="00237C37">
        <w:rPr>
          <w:rStyle w:val="Refdenotaalpie"/>
        </w:rPr>
        <w:footnoteReference w:id="37"/>
      </w:r>
      <w:r w:rsidRPr="00237C37">
        <w:t>.</w:t>
      </w:r>
    </w:p>
    <w:p w:rsidR="00C01970" w:rsidRDefault="00C01970" w:rsidP="00C01970">
      <w:pPr>
        <w:pStyle w:val="Prrafodelista"/>
      </w:pPr>
    </w:p>
    <w:p w:rsidR="00C01970" w:rsidRPr="00224673" w:rsidRDefault="00C01970" w:rsidP="00C01970">
      <w:pPr>
        <w:pStyle w:val="Prrafodelista"/>
        <w:numPr>
          <w:ilvl w:val="0"/>
          <w:numId w:val="3"/>
        </w:numPr>
      </w:pPr>
      <w:r w:rsidRPr="00224673">
        <w:rPr>
          <w:i/>
          <w:u w:val="single"/>
        </w:rPr>
        <w:t>2001, Plan James Baker</w:t>
      </w:r>
      <w:r>
        <w:t xml:space="preserve">, que presenta este enviado </w:t>
      </w:r>
      <w:r w:rsidRPr="00224673">
        <w:t>personal del Secretario General un Acuerdo Marco con ventaja para Marruecos, planteando para el Sáhara un régimen autonómico.</w:t>
      </w:r>
    </w:p>
    <w:p w:rsidR="00C01970" w:rsidRDefault="00C01970" w:rsidP="00C01970">
      <w:pPr>
        <w:pStyle w:val="Prrafodelista"/>
        <w:numPr>
          <w:ilvl w:val="0"/>
          <w:numId w:val="3"/>
        </w:numPr>
      </w:pPr>
      <w:r w:rsidRPr="00DD552D">
        <w:rPr>
          <w:i/>
          <w:u w:val="single"/>
        </w:rPr>
        <w:t>2003, II Plan J. Baker</w:t>
      </w:r>
      <w:r>
        <w:t xml:space="preserve"> que </w:t>
      </w:r>
      <w:r w:rsidRPr="00DD552D">
        <w:t>acepta el Frente Polisario como punto de partida de negociación pero que rechaza el reino de Marruecos</w:t>
      </w:r>
      <w:r>
        <w:t>.</w:t>
      </w:r>
    </w:p>
    <w:p w:rsidR="00C01970" w:rsidRPr="006B5A85" w:rsidRDefault="00C01970" w:rsidP="00C01970">
      <w:pPr>
        <w:pStyle w:val="Prrafodelista"/>
        <w:numPr>
          <w:ilvl w:val="0"/>
          <w:numId w:val="3"/>
        </w:numPr>
      </w:pPr>
      <w:r w:rsidRPr="006B5A85">
        <w:rPr>
          <w:i/>
          <w:u w:val="single"/>
        </w:rPr>
        <w:t>2006 el gobierno marroquí presenta una oferta de autonomía para la región</w:t>
      </w:r>
      <w:r w:rsidR="00A77727">
        <w:t>. El F</w:t>
      </w:r>
      <w:r w:rsidRPr="009E42DD">
        <w:t xml:space="preserve">rente Polisario rechaza cualquier propuesta de autonomía. Kofi Annan se pronuncia a favor de las negociaciones directas entre Marruecos y el Frente Polisario con la participación de Argelia y Mauritania y de esta manera UN rechaza el plan Baker, aprobado por el consejo </w:t>
      </w:r>
      <w:r w:rsidR="00C7677E">
        <w:t>de seguridad en 2003 y recoge l</w:t>
      </w:r>
      <w:r w:rsidRPr="009E42DD">
        <w:t>as n</w:t>
      </w:r>
      <w:r w:rsidR="00C7677E">
        <w:t>uevas ideas del holandés Peter V</w:t>
      </w:r>
      <w:r w:rsidRPr="009E42DD">
        <w:t xml:space="preserve">an </w:t>
      </w:r>
      <w:proofErr w:type="spellStart"/>
      <w:r w:rsidRPr="009E42DD">
        <w:t>Walsum</w:t>
      </w:r>
      <w:proofErr w:type="spellEnd"/>
      <w:r w:rsidRPr="009E42DD">
        <w:t>, quien opinaba que el plan Baker fue un error y que la opción de la independencia debería ser descartada y que Argelia debería sentarse a negociar, hecho que este país siempre había descartado al considerar que Marruecos no representaba al pueblo saharaui. El Frente Polisario rechaza esta opción</w:t>
      </w:r>
      <w:r>
        <w:t>. Este mismo año se crea el CORCAS</w:t>
      </w:r>
      <w:r>
        <w:rPr>
          <w:rStyle w:val="Refdenotaalpie"/>
        </w:rPr>
        <w:footnoteReference w:id="38"/>
      </w:r>
      <w:r>
        <w:t xml:space="preserve">, </w:t>
      </w:r>
      <w:r w:rsidRPr="006B5A85">
        <w:t>el Consejo Real Consultivo para el Sáhara por parte del Rey y que integra a algunos jefes de tribus saharauis, cargos locales electos y ONG. Este organismo se manifiesta a favor de una autonomía amplia en el marco de la soberanía marroquí.</w:t>
      </w:r>
      <w:r>
        <w:t xml:space="preserve"> En octubre de este mismo año, </w:t>
      </w:r>
      <w:r w:rsidRPr="00D817B6">
        <w:t>un informe del Alto Comisionado de la ONU para los Derechos Humanos pidió la puesta en práctica inmediata del derecho de autodeterminación del pueblo del Sáhara Occidental</w:t>
      </w:r>
      <w:r>
        <w:t>.</w:t>
      </w:r>
    </w:p>
    <w:p w:rsidR="00C01970" w:rsidRPr="00237C37" w:rsidRDefault="00C01970" w:rsidP="00C01970">
      <w:pPr>
        <w:pStyle w:val="Prrafodelista"/>
      </w:pPr>
    </w:p>
    <w:p w:rsidR="00C01970" w:rsidRPr="00CF3FA8" w:rsidRDefault="00C01970" w:rsidP="00C01970">
      <w:pPr>
        <w:pStyle w:val="Prrafodelista"/>
        <w:numPr>
          <w:ilvl w:val="0"/>
          <w:numId w:val="3"/>
        </w:numPr>
      </w:pPr>
      <w:r w:rsidRPr="007356B3">
        <w:rPr>
          <w:u w:val="single"/>
        </w:rPr>
        <w:t>2007, Acuerdos de Londres</w:t>
      </w:r>
      <w:r>
        <w:t xml:space="preserve"> vin</w:t>
      </w:r>
      <w:r w:rsidR="00C7677E">
        <w:t>culados a cuestiones pendientes</w:t>
      </w:r>
      <w:r w:rsidRPr="00CF3FA8">
        <w:t xml:space="preserve"> </w:t>
      </w:r>
      <w:r w:rsidRPr="007356B3">
        <w:rPr>
          <w:u w:val="single"/>
        </w:rPr>
        <w:t>de identificación de votantes</w:t>
      </w:r>
      <w:r w:rsidRPr="00CF3FA8">
        <w:t xml:space="preserve"> –para los que se establecen tres centros en el </w:t>
      </w:r>
      <w:r w:rsidRPr="00CF3FA8">
        <w:lastRenderedPageBreak/>
        <w:t xml:space="preserve">territorio, pero también dos más en Marruecos, dos en Argelia y dos en Mauritania, debido a la dispersión de la población saharaui, y la cuestión de las </w:t>
      </w:r>
      <w:proofErr w:type="spellStart"/>
      <w:r w:rsidRPr="00CF3FA8">
        <w:t>subfracciones</w:t>
      </w:r>
      <w:proofErr w:type="spellEnd"/>
      <w:r w:rsidRPr="00CF3FA8">
        <w:t xml:space="preserve"> tribales impugnadas, que dificulta el proceso lo que hace que la Comisión de Identificación proceda a considerar todas las solicitudes de las personas pertenecientes a las </w:t>
      </w:r>
      <w:proofErr w:type="spellStart"/>
      <w:r w:rsidRPr="00CF3FA8">
        <w:t>subfracciones</w:t>
      </w:r>
      <w:proofErr w:type="spellEnd"/>
      <w:r w:rsidRPr="00CF3FA8">
        <w:t xml:space="preserve"> tribales impugnadas –H41, H61 y J51/52-, presentadas individualmente, con objeto de verificar si tienen derecho al voto si reúne alguno de los cinco criterios aceptados por las partes</w:t>
      </w:r>
      <w:r w:rsidRPr="007356B3">
        <w:rPr>
          <w:u w:val="single"/>
        </w:rPr>
        <w:t>-, de repatriación de refugiados</w:t>
      </w:r>
      <w:r w:rsidRPr="00CF3FA8">
        <w:t xml:space="preserve">, que debe ser voluntaria, y se prevé que afectará a 120.000 personas, entre la región de </w:t>
      </w:r>
      <w:proofErr w:type="spellStart"/>
      <w:r w:rsidRPr="00CF3FA8">
        <w:t>Tinduf</w:t>
      </w:r>
      <w:proofErr w:type="spellEnd"/>
      <w:r w:rsidRPr="00CF3FA8">
        <w:t xml:space="preserve"> Mauritania y otras zonas, para que puedan participar en la votación y para ellos se tienen que establecer centros de acogida que comportan cuestiones de seguridad, con desminado, de financiación, de problemas logísticos: alimentación, agua, al propio traslado y de cooperación institucional-,y que corresponde al Alto Comisionado de las naciones Unidas para los refugiados (ACNUR), </w:t>
      </w:r>
      <w:r w:rsidR="00C7677E">
        <w:t xml:space="preserve">los </w:t>
      </w:r>
      <w:r w:rsidRPr="00CF3FA8">
        <w:t>Acuerdos de Lisboa</w:t>
      </w:r>
      <w:r w:rsidRPr="007356B3">
        <w:rPr>
          <w:u w:val="single"/>
        </w:rPr>
        <w:t>, vinculados a acuerdos de transacción sobre acantonamiento de tropa</w:t>
      </w:r>
      <w:r w:rsidRPr="007356B3">
        <w:rPr>
          <w:rStyle w:val="Refdenotaalpie"/>
          <w:u w:val="single"/>
        </w:rPr>
        <w:t>s</w:t>
      </w:r>
      <w:r w:rsidRPr="007356B3">
        <w:rPr>
          <w:rStyle w:val="Refdenotaalpie"/>
          <w:u w:val="single"/>
        </w:rPr>
        <w:footnoteReference w:id="39"/>
      </w:r>
      <w:r w:rsidRPr="007356B3">
        <w:rPr>
          <w:u w:val="single"/>
        </w:rPr>
        <w:t>, prisioneros de guerra y presos o detenidos políticos</w:t>
      </w:r>
      <w:r w:rsidRPr="00CF3FA8">
        <w:t xml:space="preserve">, que se llevará a término por el Comité Internacional  de la Cruz Roja (CICR), y no se ha avanzado en el paradero de ciertas personas presentadas por el frente Polisario-, y los acuerdos de Houston, relativos al código de conducta de la campaña por el referéndum en el Sáhara Occidental, medidas prácticas que se han de adoptar para reanudar la identificación, entre otras la instrumentalización de estos acuerdos se integra en el Plan de Arreglo. Plan de Arreglo “que no genera per se obligaciones entre las partes tal como se entiende en la esfera </w:t>
      </w:r>
      <w:r w:rsidRPr="00C340AD">
        <w:t>del derecho de los tratados, sino que la actuación recae en el marco competencial de NNUU”</w:t>
      </w:r>
      <w:r w:rsidRPr="00C340AD">
        <w:rPr>
          <w:rStyle w:val="Refdenotaalpie"/>
        </w:rPr>
        <w:footnoteReference w:id="40"/>
      </w:r>
      <w:r w:rsidRPr="00CF3FA8">
        <w:t xml:space="preserve">.   </w:t>
      </w:r>
    </w:p>
    <w:p w:rsidR="00C01970" w:rsidRDefault="00C01970" w:rsidP="00C01970">
      <w:pPr>
        <w:pStyle w:val="Prrafodelista"/>
        <w:numPr>
          <w:ilvl w:val="0"/>
          <w:numId w:val="3"/>
        </w:numPr>
      </w:pPr>
      <w:r>
        <w:t xml:space="preserve">En </w:t>
      </w:r>
      <w:r w:rsidRPr="00B315EA">
        <w:rPr>
          <w:u w:val="single"/>
        </w:rPr>
        <w:t>2007 el portavoz de la RASD en febrero denunció la decisión del gobierno español de rearmar a las fuerzas marroquíes</w:t>
      </w:r>
      <w:r>
        <w:t xml:space="preserve">. Hay </w:t>
      </w:r>
      <w:r w:rsidRPr="008F0D04">
        <w:t>una serie de atentados tanto en Casablanca como en Argel reivind</w:t>
      </w:r>
      <w:r>
        <w:t>icados por Al-Qaeda en el Magreb</w:t>
      </w:r>
      <w:r w:rsidRPr="008F0D04">
        <w:t xml:space="preserve"> I</w:t>
      </w:r>
      <w:r>
        <w:t xml:space="preserve">slámico </w:t>
      </w:r>
      <w:r w:rsidRPr="008F0D04">
        <w:t>y ambos países se ven obligados a reforzar sus relaciones para combatir el terrorismo</w:t>
      </w:r>
      <w:r>
        <w:t>.</w:t>
      </w:r>
    </w:p>
    <w:p w:rsidR="00C01970" w:rsidRPr="007D7956" w:rsidRDefault="00C01970" w:rsidP="00C01970">
      <w:pPr>
        <w:pStyle w:val="Prrafodelista"/>
        <w:numPr>
          <w:ilvl w:val="0"/>
          <w:numId w:val="3"/>
        </w:numPr>
      </w:pPr>
      <w:r>
        <w:t xml:space="preserve">En </w:t>
      </w:r>
      <w:r w:rsidRPr="007D7956">
        <w:rPr>
          <w:u w:val="single"/>
        </w:rPr>
        <w:t>2007, también Ma</w:t>
      </w:r>
      <w:r w:rsidR="00C7677E">
        <w:rPr>
          <w:u w:val="single"/>
        </w:rPr>
        <w:t>rruecos presentó al Secretario G</w:t>
      </w:r>
      <w:r w:rsidRPr="007D7956">
        <w:rPr>
          <w:u w:val="single"/>
        </w:rPr>
        <w:t xml:space="preserve">eneral de la ONU </w:t>
      </w:r>
      <w:proofErr w:type="spellStart"/>
      <w:r w:rsidRPr="007D7956">
        <w:rPr>
          <w:u w:val="single"/>
        </w:rPr>
        <w:t>Ban</w:t>
      </w:r>
      <w:proofErr w:type="spellEnd"/>
      <w:r w:rsidRPr="007D7956">
        <w:rPr>
          <w:u w:val="single"/>
        </w:rPr>
        <w:t xml:space="preserve"> </w:t>
      </w:r>
      <w:proofErr w:type="spellStart"/>
      <w:r w:rsidRPr="007D7956">
        <w:rPr>
          <w:u w:val="single"/>
        </w:rPr>
        <w:t>Ki-moon</w:t>
      </w:r>
      <w:proofErr w:type="spellEnd"/>
      <w:r w:rsidRPr="007D7956">
        <w:rPr>
          <w:u w:val="single"/>
        </w:rPr>
        <w:t xml:space="preserve"> su propuesta de autonomía regional para el Sáhara occidental</w:t>
      </w:r>
      <w:r w:rsidRPr="007A7C50">
        <w:t>, por el que este territorio dispondría de autonomía en los ámbitos administrativo, económico, fiscal, infraestructuras, cultural y medioambiental. Por su parte el estadio marroquí se reservaría la jurisdicción exclusiva en materia de soberanía (</w:t>
      </w:r>
      <w:r>
        <w:t>la bandera o la moneda nacional)</w:t>
      </w:r>
      <w:r w:rsidRPr="007A7C50">
        <w:t xml:space="preserve">, de exploración y explotación de los recursos naturales, cuestiones religiosas, constitucionales y aquellas relacionadas con la </w:t>
      </w:r>
      <w:r w:rsidRPr="007A7C50">
        <w:lastRenderedPageBreak/>
        <w:t>figura del rey, la seguridad nacional, defensa, integridad territorial, relaciones exteriores, y el poder judicial del reino</w:t>
      </w:r>
      <w:r>
        <w:t xml:space="preserve">.  Este mismo año se celebran una serie de rondas de negociaciones, pero según Peter Van </w:t>
      </w:r>
      <w:proofErr w:type="spellStart"/>
      <w:r>
        <w:t>Walsum</w:t>
      </w:r>
      <w:proofErr w:type="spellEnd"/>
      <w:r>
        <w:rPr>
          <w:rStyle w:val="Refdenotaalpie"/>
        </w:rPr>
        <w:footnoteReference w:id="41"/>
      </w:r>
      <w:r>
        <w:t xml:space="preserve"> han sido conversaciones </w:t>
      </w:r>
      <w:r w:rsidRPr="007D7956">
        <w:t>en las que se han manifestado posturas excluyentes y en las que se decide desarrollar medidas de fomento de la confianza a través de A</w:t>
      </w:r>
      <w:r w:rsidR="00C7677E">
        <w:t xml:space="preserve">CNUR y de MINURSO. Expertos de </w:t>
      </w:r>
      <w:r w:rsidRPr="007D7956">
        <w:t>N</w:t>
      </w:r>
      <w:r w:rsidR="00C7677E">
        <w:t>aciones Unidas</w:t>
      </w:r>
      <w:r w:rsidRPr="007D7956">
        <w:t xml:space="preserve"> participaron en deliberaciones sobre temas relacionados con los recursos naturales y la administración local. Estas negociaciones se realizaron en base a la </w:t>
      </w:r>
      <w:r>
        <w:t>R</w:t>
      </w:r>
      <w:r w:rsidRPr="007D7956">
        <w:t>esolución 1754 del Consejo de Seguridad.</w:t>
      </w:r>
    </w:p>
    <w:p w:rsidR="00C01970" w:rsidRPr="003F5747" w:rsidRDefault="00C01970" w:rsidP="00C01970">
      <w:pPr>
        <w:pStyle w:val="Prrafodelista"/>
        <w:numPr>
          <w:ilvl w:val="0"/>
          <w:numId w:val="3"/>
        </w:numPr>
      </w:pPr>
      <w:r>
        <w:t xml:space="preserve">En </w:t>
      </w:r>
      <w:r w:rsidRPr="003F5747">
        <w:rPr>
          <w:u w:val="single"/>
        </w:rPr>
        <w:t>2008, Marruecos hace un llamamiento a Argelia para abrir sus fronteras que permanecen cerradas desde 1994</w:t>
      </w:r>
      <w:r w:rsidRPr="003F5747">
        <w:t>. Pero Argelia rechaza el llamamiento de normalizar relaciones. En esta misma fecha se adoptó por unanimidad una resolución 1813 del Consejo de seguridad de la ONU en la que se hace un llamamiento a las partes a entrar en una fase de negociaciones más intensiva y su</w:t>
      </w:r>
      <w:r>
        <w:t>stantiva, a la vez que les empla</w:t>
      </w:r>
      <w:r w:rsidRPr="003F5747">
        <w:t>zaba a continuar con las conversaciones sin precondiciones y de buena fe con el objetivo de llegar a una solución mutuamente aceptable</w:t>
      </w:r>
      <w:r>
        <w:t xml:space="preserve">. Además, </w:t>
      </w:r>
      <w:r w:rsidRPr="00AE5F44">
        <w:t>un portavoz del Departamento de Estado de EEUU también afirmó que un Estado saharaui independiente no era una opción realista y a finales de julio de 2008 el Frente Polisario recusa formalmente al enviado especial de la ONU y pide formalmente un nuevo negociador para la nueva ronda de negociaciones.</w:t>
      </w:r>
      <w:r>
        <w:t xml:space="preserve"> También, </w:t>
      </w:r>
      <w:r w:rsidRPr="00437AF2">
        <w:t>el monarca marroquí anunció una reforma p</w:t>
      </w:r>
      <w:r>
        <w:t>ara transferir el poder al Sáhar</w:t>
      </w:r>
      <w:r w:rsidRPr="00437AF2">
        <w:t>a occidental y a otras regiones. Y anuncia también el establecimiento de una Comisión consultiva para  proponer un “concepto general de regionalización” y encarga al gobierno la elaboración de un borrador de proyecto de descentralización que incluyera la creación de nuevas provincias.</w:t>
      </w:r>
    </w:p>
    <w:p w:rsidR="00C01970" w:rsidRPr="00191B4C" w:rsidRDefault="00C01970" w:rsidP="00C01970">
      <w:pPr>
        <w:pStyle w:val="Prrafodelista"/>
        <w:numPr>
          <w:ilvl w:val="0"/>
          <w:numId w:val="3"/>
        </w:numPr>
      </w:pPr>
      <w:r>
        <w:t xml:space="preserve">En </w:t>
      </w:r>
      <w:r w:rsidR="00673EA6">
        <w:rPr>
          <w:u w:val="single"/>
        </w:rPr>
        <w:t>2009, el Secretario G</w:t>
      </w:r>
      <w:r w:rsidRPr="006D40A9">
        <w:rPr>
          <w:u w:val="single"/>
        </w:rPr>
        <w:t>eneral de la ONU nombra como nuevo enviado especial al diplomático estadounidense y ex embajador de EEUU en Argelia</w:t>
      </w:r>
      <w:r w:rsidR="00673EA6">
        <w:rPr>
          <w:u w:val="single"/>
        </w:rPr>
        <w:t>,</w:t>
      </w:r>
      <w:r w:rsidRPr="006D40A9">
        <w:rPr>
          <w:u w:val="single"/>
        </w:rPr>
        <w:t xml:space="preserve"> Christopher Ross</w:t>
      </w:r>
      <w:r w:rsidR="00673EA6">
        <w:rPr>
          <w:u w:val="single"/>
        </w:rPr>
        <w:t>,</w:t>
      </w:r>
      <w:r w:rsidRPr="006D40A9">
        <w:rPr>
          <w:u w:val="single"/>
        </w:rPr>
        <w:t xml:space="preserve"> como nuevo enviado personal para el Sáhara</w:t>
      </w:r>
      <w:r w:rsidRPr="00AE7EC2">
        <w:t>, nombramiento que se hace efectivo el 7 de enero de 2009.</w:t>
      </w:r>
      <w:r>
        <w:t xml:space="preserve"> Se aprue</w:t>
      </w:r>
      <w:r w:rsidRPr="00AE7EC2">
        <w:t xml:space="preserve">ba </w:t>
      </w:r>
      <w:r>
        <w:t>una nue</w:t>
      </w:r>
      <w:r w:rsidRPr="00AE7EC2">
        <w:t>va resolución y se insta a las partes a cooperar</w:t>
      </w:r>
      <w:r>
        <w:t xml:space="preserve">. </w:t>
      </w:r>
    </w:p>
    <w:p w:rsidR="00C01970" w:rsidRPr="00FA3570" w:rsidRDefault="00C01970" w:rsidP="00C01970">
      <w:pPr>
        <w:rPr>
          <w:lang w:val="es-ES_tradnl"/>
        </w:rPr>
      </w:pPr>
    </w:p>
    <w:p w:rsidR="00C01970" w:rsidRPr="00FA3570" w:rsidRDefault="00C01970" w:rsidP="00C01970">
      <w:pPr>
        <w:pStyle w:val="Prrafodelista"/>
        <w:numPr>
          <w:ilvl w:val="1"/>
          <w:numId w:val="1"/>
        </w:numPr>
        <w:ind w:left="431" w:hanging="431"/>
        <w:rPr>
          <w:b/>
          <w:szCs w:val="24"/>
          <w:lang w:val="es-ES_tradnl"/>
        </w:rPr>
      </w:pPr>
      <w:r w:rsidRPr="00FA3570">
        <w:rPr>
          <w:b/>
          <w:szCs w:val="24"/>
          <w:lang w:val="es-ES_tradnl"/>
        </w:rPr>
        <w:t>La organización de la Unidad Africana, hoy la Unión Africana</w:t>
      </w:r>
    </w:p>
    <w:p w:rsidR="00C01970" w:rsidRPr="00C44512" w:rsidRDefault="00C01970" w:rsidP="00C01970">
      <w:r w:rsidRPr="00C44512">
        <w:t>Este organismo se constituye en 1963 en la</w:t>
      </w:r>
      <w:r>
        <w:t xml:space="preserve"> ciudad de Addis Abeba, Etiopía</w:t>
      </w:r>
      <w:r w:rsidRPr="00C44512">
        <w:t xml:space="preserve"> y</w:t>
      </w:r>
      <w:r>
        <w:t>,</w:t>
      </w:r>
      <w:r w:rsidRPr="00C44512">
        <w:t xml:space="preserve"> en ese momento</w:t>
      </w:r>
      <w:r>
        <w:t>,</w:t>
      </w:r>
      <w:r w:rsidRPr="00C44512">
        <w:t xml:space="preserve"> cuenta con la participación de 30 estados. Marru</w:t>
      </w:r>
      <w:r>
        <w:t>ecos se adhiere posteriormente.</w:t>
      </w:r>
    </w:p>
    <w:p w:rsidR="00C01970" w:rsidRPr="00C44512" w:rsidRDefault="00C01970" w:rsidP="00C01970">
      <w:r w:rsidRPr="00C44512">
        <w:lastRenderedPageBreak/>
        <w:t xml:space="preserve">Desde 1979 en que se retira Mauritania hasta que se logra </w:t>
      </w:r>
      <w:r>
        <w:t xml:space="preserve">el alto el fuego en 1991, </w:t>
      </w:r>
      <w:r w:rsidRPr="00C44512">
        <w:t xml:space="preserve"> entre el pueblo saharaui y el ejército marroquí, los intentos de pacificación de la zona y la aplicación de los derechos del pueblo saharaui corresponderán a la OUA. La RASD entra como miembro de pleno derecho en la OUA en 1985 y ante esta situación</w:t>
      </w:r>
      <w:r>
        <w:t>,</w:t>
      </w:r>
      <w:r w:rsidRPr="00C44512">
        <w:t xml:space="preserve"> Marruecos y otros dieciocho estados más se retiran de la Organización. Actualmente</w:t>
      </w:r>
      <w:r>
        <w:t>, el reino de M</w:t>
      </w:r>
      <w:r w:rsidRPr="00C44512">
        <w:t>arruecos es el único país africano que no pertenece a esta organización. Aunque lógicamente</w:t>
      </w:r>
      <w:r>
        <w:t>,</w:t>
      </w:r>
      <w:r w:rsidRPr="00C44512">
        <w:t xml:space="preserve"> mantiene relaciones de cooperación con los países del África Subsahariana a través de la acción diplomática bilateral y a través de actuaciones políticas y de cooperación. Esta situación evidencia el papel secundario de Marruecos en la UA.</w:t>
      </w:r>
    </w:p>
    <w:p w:rsidR="00C01970" w:rsidRDefault="00C01970" w:rsidP="00C01970">
      <w:r w:rsidRPr="00C44512">
        <w:t xml:space="preserve">La OUA nace en 1963. Y desde 1976 viene analizando en todas sus cumbres anuales el caso del Sáhara occidental. </w:t>
      </w:r>
      <w:r>
        <w:t>Bastantes años después,</w:t>
      </w:r>
      <w:r w:rsidRPr="00C44512">
        <w:t xml:space="preserve"> en el año 2000</w:t>
      </w:r>
      <w:r>
        <w:t>,</w:t>
      </w:r>
      <w:r w:rsidRPr="00C44512">
        <w:t xml:space="preserve"> en Lomé</w:t>
      </w:r>
      <w:r>
        <w:t>,</w:t>
      </w:r>
      <w:r w:rsidRPr="00C44512">
        <w:t xml:space="preserve"> se firma </w:t>
      </w:r>
      <w:r w:rsidRPr="0084306D">
        <w:t>el Acta constitutiva de la Unión Africana y, finalmente, en el año 2001</w:t>
      </w:r>
      <w:r>
        <w:t>,</w:t>
      </w:r>
      <w:r w:rsidRPr="0084306D">
        <w:t xml:space="preserve"> se funda la Unión Africana</w:t>
      </w:r>
      <w:r w:rsidRPr="0084306D">
        <w:rPr>
          <w:rStyle w:val="Refdenotaalpie"/>
        </w:rPr>
        <w:footnoteReference w:id="42"/>
      </w:r>
      <w:r w:rsidRPr="0084306D">
        <w:rPr>
          <w:rStyle w:val="Refdenotaalpie"/>
        </w:rPr>
        <w:t>.</w:t>
      </w:r>
    </w:p>
    <w:p w:rsidR="00C01970" w:rsidRDefault="00C01970" w:rsidP="00C01970">
      <w:r w:rsidRPr="00924C27">
        <w:t>Merece reseñar la adopción por parte de la Asamblea de la OUA en 1983 de la Resolución AHG/Res. 104 (XIX) sobre el Sáhara Occidenta</w:t>
      </w:r>
      <w:r>
        <w:t>l</w:t>
      </w:r>
      <w:r w:rsidRPr="00924C27">
        <w:rPr>
          <w:rStyle w:val="Refdenotaalpie"/>
        </w:rPr>
        <w:footnoteReference w:id="43"/>
      </w:r>
      <w:r w:rsidRPr="00924C27">
        <w:rPr>
          <w:rStyle w:val="Refdenotaalpie"/>
        </w:rPr>
        <w:t>,</w:t>
      </w:r>
      <w:r w:rsidRPr="00924C27">
        <w:t xml:space="preserve"> donde se insta a Marruecos y al Frente Polisario a que faciliten las condiciones necesarios para la celebración de un referéndum sin restricciones administrativas ni militare</w:t>
      </w:r>
      <w:r>
        <w:t>s</w:t>
      </w:r>
      <w:r w:rsidRPr="00924C27">
        <w:rPr>
          <w:rStyle w:val="Refdenotaalpie"/>
        </w:rPr>
        <w:footnoteReference w:id="44"/>
      </w:r>
      <w:r w:rsidRPr="00924C27">
        <w:t xml:space="preserve"> . Precisamente este texto será asumido por la AG de UN en su Res. 38/40, de7 de diciembre de 1983.</w:t>
      </w:r>
    </w:p>
    <w:p w:rsidR="00C01970" w:rsidRPr="00E731FC" w:rsidRDefault="00C01970" w:rsidP="00C01970">
      <w:r w:rsidRPr="00E731FC">
        <w:t>Importante también es el documento “La responsabilidad de proteger”</w:t>
      </w:r>
      <w:r>
        <w:t xml:space="preserve">, </w:t>
      </w:r>
      <w:r w:rsidRPr="00E731FC">
        <w:t>Informe de la Comisión Internacional sobre Soberanía estata</w:t>
      </w:r>
      <w:r>
        <w:t>l</w:t>
      </w:r>
      <w:r w:rsidRPr="00E731FC">
        <w:rPr>
          <w:rStyle w:val="Refdenotaalpie"/>
        </w:rPr>
        <w:footnoteReference w:id="45"/>
      </w:r>
      <w:r w:rsidRPr="00E731FC">
        <w:t xml:space="preserve"> (I</w:t>
      </w:r>
      <w:r>
        <w:t>CISS, son las siglas en Inglés) de</w:t>
      </w:r>
      <w:r w:rsidRPr="00E731FC">
        <w:t xml:space="preserve"> 2001.</w:t>
      </w:r>
      <w:r>
        <w:t xml:space="preserve"> Merece destacar </w:t>
      </w:r>
      <w:r w:rsidRPr="00E731FC">
        <w:t xml:space="preserve"> que uno de los principios básicos de </w:t>
      </w:r>
      <w:r>
        <w:t>este Informe es el siguiente: “</w:t>
      </w:r>
      <w:r w:rsidRPr="00E731FC">
        <w:t xml:space="preserve">Cuando la población esté sufriendo grandes daños como resultado de una guerra civil, una insurrección, la represión ejercida por el Estado o el colapso de sus estructuras, y ese estado no quiera o no pueda atajar o evitar dichos sufrimientos, la responsabilidad internacional de proteger tendrá prioridad sobre el principio de no </w:t>
      </w:r>
      <w:r w:rsidRPr="00E731FC">
        <w:lastRenderedPageBreak/>
        <w:t>intervención”.  Se establece como criterio mínimo o causa justa lo siguiente: La intervención militar con fines de protección humana es una medida extraordinaria y excepcional. Para que esté justificada ha de existir o ser inminente un daño humano grave e irreparable del tipo siguiente: A</w:t>
      </w:r>
      <w:r>
        <w:t>)</w:t>
      </w:r>
      <w:r w:rsidRPr="00E731FC">
        <w:t>. Grandes pérdidas de vidas humanas, reales o previsibles con o sin intención genocida, que sean consecuencia de la acción deliberada de un estado, de su negligencia o incapacidad de actuar o del colapso de un estado, o, B</w:t>
      </w:r>
      <w:r>
        <w:t>)</w:t>
      </w:r>
      <w:r w:rsidRPr="00E731FC">
        <w:t>. depuración étnica a gran escala, real o previsible, llevada  a cabo mediante el asesinato, la expulsión forzosa, el terror o la violación</w:t>
      </w:r>
      <w:r>
        <w:t>”</w:t>
      </w:r>
      <w:r w:rsidRPr="00E731FC">
        <w:t xml:space="preserve">.  </w:t>
      </w:r>
    </w:p>
    <w:p w:rsidR="00C01970" w:rsidRDefault="00C01970" w:rsidP="00C01970">
      <w:r w:rsidRPr="00E731FC">
        <w:t xml:space="preserve">El distanciamiento de Marruecos de la UA ha afectado también a su participación obviamente en los tres grandes proyectos impulsados por dicha organización como son </w:t>
      </w:r>
      <w:r w:rsidRPr="007B67C7">
        <w:rPr>
          <w:i/>
        </w:rPr>
        <w:t>La nueva alianza para el desarrollo de África –NEPAD-</w:t>
      </w:r>
      <w:r w:rsidRPr="00E731FC">
        <w:t>, cuyos objetivos principales pretenden “erradicar la pobreza, situar a los países africanos, tanto individual como colectivamente, en un camino de crecimiento y desarrollo sostenible, detener la marginación de África en el proceso de globalización, acelerar el empoderamiento de la mujer, e integrar plenamente a África con la economía mundial</w:t>
      </w:r>
      <w:r w:rsidRPr="007B67C7">
        <w:rPr>
          <w:i/>
        </w:rPr>
        <w:t>”; la participación de</w:t>
      </w:r>
      <w:r w:rsidRPr="00897FFC">
        <w:t xml:space="preserve"> la Unión Árabe del Magreb en la intervención de las Comunidades Económicas Regionales (CER</w:t>
      </w:r>
      <w:r>
        <w:t>)</w:t>
      </w:r>
      <w:r w:rsidRPr="00897FFC">
        <w:rPr>
          <w:rStyle w:val="Refdenotaalpie"/>
        </w:rPr>
        <w:footnoteReference w:id="46"/>
      </w:r>
      <w:r w:rsidRPr="00E731FC">
        <w:t xml:space="preserve"> , -es importante la creación en 1991 del Tratado de Abuja-</w:t>
      </w:r>
      <w:r>
        <w:t xml:space="preserve">, </w:t>
      </w:r>
      <w:r w:rsidRPr="00E731FC">
        <w:t>y</w:t>
      </w:r>
      <w:r>
        <w:t xml:space="preserve">, finalmente, </w:t>
      </w:r>
      <w:r w:rsidRPr="00E731FC">
        <w:t xml:space="preserve"> </w:t>
      </w:r>
      <w:r w:rsidRPr="007B67C7">
        <w:rPr>
          <w:i/>
        </w:rPr>
        <w:t>el sistema de derechos humanos  y de los pueblos.</w:t>
      </w:r>
    </w:p>
    <w:p w:rsidR="00C01970" w:rsidRPr="002019E7" w:rsidRDefault="00C01970" w:rsidP="00C01970">
      <w:r>
        <w:t>En consecuencia, la c</w:t>
      </w:r>
      <w:r w:rsidRPr="002019E7">
        <w:t>reación de la Unión del Magreb Árabe en 1989 con Argelia,</w:t>
      </w:r>
      <w:r>
        <w:t xml:space="preserve"> Libia, Mauritania y Túnez,</w:t>
      </w:r>
      <w:r w:rsidRPr="002019E7">
        <w:t xml:space="preserve"> debido a la causa saharaui</w:t>
      </w:r>
      <w:r>
        <w:t xml:space="preserve">, </w:t>
      </w:r>
      <w:r w:rsidRPr="002019E7">
        <w:t xml:space="preserve"> la integración se encuentra paralizada.</w:t>
      </w:r>
    </w:p>
    <w:p w:rsidR="00C01970" w:rsidRPr="002019E7" w:rsidRDefault="00C01970" w:rsidP="00C01970">
      <w:r w:rsidRPr="002019E7">
        <w:t xml:space="preserve">Desde el 2006 al 2010 Marruecos y su Rey ha realizado una serie de visitas oficiales por </w:t>
      </w:r>
      <w:r w:rsidRPr="00B935C9">
        <w:t>países del África Subsahariana  con el fin de estrechar lazos comerciales, económicos y culturales</w:t>
      </w:r>
      <w:r w:rsidRPr="00B935C9">
        <w:rPr>
          <w:rStyle w:val="Refdenotaalpie"/>
        </w:rPr>
        <w:footnoteReference w:id="47"/>
      </w:r>
      <w:r w:rsidRPr="00B935C9">
        <w:rPr>
          <w:rStyle w:val="Refdenotaalpie"/>
        </w:rPr>
        <w:t>.</w:t>
      </w:r>
      <w:r>
        <w:t xml:space="preserve"> Finalmente, hay que aludir al </w:t>
      </w:r>
      <w:r w:rsidRPr="002019E7">
        <w:t>Papel de la Agencia Marroquí de Cooperación Internacional (AM</w:t>
      </w:r>
      <w:r>
        <w:t>CI), en política exterior.</w:t>
      </w:r>
    </w:p>
    <w:p w:rsidR="00C01970" w:rsidRPr="00FA3570" w:rsidRDefault="00C01970" w:rsidP="00C01970">
      <w:pPr>
        <w:rPr>
          <w:szCs w:val="24"/>
          <w:lang w:val="es-ES_tradnl"/>
        </w:rPr>
      </w:pPr>
    </w:p>
    <w:p w:rsidR="00C01970" w:rsidRPr="00AC5603" w:rsidRDefault="00C01970" w:rsidP="00C01970">
      <w:pPr>
        <w:pStyle w:val="Prrafodelista"/>
        <w:numPr>
          <w:ilvl w:val="0"/>
          <w:numId w:val="1"/>
        </w:numPr>
        <w:rPr>
          <w:rFonts w:ascii="Arial" w:hAnsi="Arial" w:cs="Arial"/>
          <w:b/>
          <w:szCs w:val="24"/>
          <w:lang w:val="es-ES_tradnl"/>
        </w:rPr>
      </w:pPr>
      <w:r w:rsidRPr="00AC5603">
        <w:rPr>
          <w:rFonts w:ascii="Arial" w:hAnsi="Arial" w:cs="Arial"/>
          <w:b/>
          <w:szCs w:val="24"/>
          <w:lang w:val="es-ES_tradnl"/>
        </w:rPr>
        <w:t>BIBLIOGRAFÍA</w:t>
      </w:r>
    </w:p>
    <w:p w:rsidR="00C01970" w:rsidRDefault="00C01970" w:rsidP="00C01970">
      <w:pPr>
        <w:rPr>
          <w:lang w:val="es-ES_tradnl"/>
        </w:rPr>
      </w:pPr>
      <w:proofErr w:type="spellStart"/>
      <w:r>
        <w:rPr>
          <w:lang w:val="es-ES_tradnl"/>
        </w:rPr>
        <w:t>Badía</w:t>
      </w:r>
      <w:proofErr w:type="spellEnd"/>
      <w:r>
        <w:rPr>
          <w:lang w:val="es-ES_tradnl"/>
        </w:rPr>
        <w:t xml:space="preserve"> Martí, Ana (</w:t>
      </w:r>
      <w:proofErr w:type="spellStart"/>
      <w:r>
        <w:rPr>
          <w:lang w:val="es-ES_tradnl"/>
        </w:rPr>
        <w:t>dir.</w:t>
      </w:r>
      <w:proofErr w:type="spellEnd"/>
      <w:r>
        <w:rPr>
          <w:lang w:val="es-ES_tradnl"/>
        </w:rPr>
        <w:t>).1999. “La cuestión del Sahara Occidental ante la Organización de las Naciones Unidas”, en Instituto de estudios internacionales y europeos, Madrid.</w:t>
      </w:r>
    </w:p>
    <w:p w:rsidR="00C01970" w:rsidRPr="001706D7" w:rsidRDefault="00C01970" w:rsidP="00C01970">
      <w:pPr>
        <w:rPr>
          <w:lang w:val="es-ES_tradnl"/>
        </w:rPr>
      </w:pPr>
      <w:r w:rsidRPr="00BE0AF1">
        <w:rPr>
          <w:lang w:val="es-ES_tradnl"/>
        </w:rPr>
        <w:t xml:space="preserve">Bichara </w:t>
      </w:r>
      <w:proofErr w:type="spellStart"/>
      <w:r w:rsidRPr="00BE0AF1">
        <w:rPr>
          <w:lang w:val="es-ES_tradnl"/>
        </w:rPr>
        <w:t>Khader</w:t>
      </w:r>
      <w:proofErr w:type="spellEnd"/>
      <w:r>
        <w:rPr>
          <w:lang w:val="es-ES_tradnl"/>
        </w:rPr>
        <w:t>. 2009.</w:t>
      </w:r>
      <w:r w:rsidRPr="00BE0AF1">
        <w:rPr>
          <w:lang w:val="es-ES_tradnl"/>
        </w:rPr>
        <w:t xml:space="preserve"> </w:t>
      </w:r>
      <w:r w:rsidRPr="001706D7">
        <w:rPr>
          <w:i/>
          <w:lang w:val="es-ES_tradnl"/>
        </w:rPr>
        <w:t xml:space="preserve">Europa por el Mediterráneo: de Barcelona a Barcelona (1995-2009). </w:t>
      </w:r>
      <w:proofErr w:type="spellStart"/>
      <w:r>
        <w:rPr>
          <w:lang w:val="es-ES_tradnl"/>
        </w:rPr>
        <w:t>Bercelona</w:t>
      </w:r>
      <w:proofErr w:type="spellEnd"/>
      <w:r>
        <w:rPr>
          <w:lang w:val="es-ES_tradnl"/>
        </w:rPr>
        <w:t xml:space="preserve">. </w:t>
      </w:r>
      <w:proofErr w:type="spellStart"/>
      <w:r>
        <w:rPr>
          <w:lang w:val="es-ES_tradnl"/>
        </w:rPr>
        <w:t>Cermac</w:t>
      </w:r>
      <w:proofErr w:type="spellEnd"/>
      <w:r>
        <w:rPr>
          <w:lang w:val="es-ES_tradnl"/>
        </w:rPr>
        <w:t>.</w:t>
      </w:r>
    </w:p>
    <w:p w:rsidR="00C01970" w:rsidRPr="008C1C58" w:rsidRDefault="00C01970" w:rsidP="00C01970">
      <w:r w:rsidRPr="001706D7">
        <w:lastRenderedPageBreak/>
        <w:t>Claude-</w:t>
      </w:r>
      <w:proofErr w:type="spellStart"/>
      <w:r w:rsidRPr="001706D7">
        <w:t>france</w:t>
      </w:r>
      <w:proofErr w:type="spellEnd"/>
      <w:r w:rsidRPr="001706D7">
        <w:t xml:space="preserve">, </w:t>
      </w:r>
      <w:proofErr w:type="spellStart"/>
      <w:r w:rsidRPr="001706D7">
        <w:t>Arnould</w:t>
      </w:r>
      <w:proofErr w:type="spellEnd"/>
      <w:r w:rsidRPr="001706D7">
        <w:t xml:space="preserve">. 2010. </w:t>
      </w:r>
      <w:r w:rsidRPr="008C1C58">
        <w:t>“La alianza estratégica UE-</w:t>
      </w:r>
      <w:proofErr w:type="spellStart"/>
      <w:r w:rsidRPr="008C1C58">
        <w:t>Africa</w:t>
      </w:r>
      <w:proofErr w:type="spellEnd"/>
      <w:r w:rsidRPr="008C1C58">
        <w:t xml:space="preserve"> en material de </w:t>
      </w:r>
      <w:proofErr w:type="spellStart"/>
      <w:r w:rsidRPr="008C1C58">
        <w:t>pazy</w:t>
      </w:r>
      <w:proofErr w:type="spellEnd"/>
      <w:r w:rsidRPr="008C1C58">
        <w:t xml:space="preserve"> seguridad”,</w:t>
      </w:r>
      <w:r>
        <w:t xml:space="preserve"> </w:t>
      </w:r>
      <w:r w:rsidRPr="008C1C58">
        <w:rPr>
          <w:i/>
        </w:rPr>
        <w:t>Respuesta europea y Africana a los problemas de seguridad en África</w:t>
      </w:r>
      <w:r>
        <w:t>, Instituto español de estudios estratégicos.</w:t>
      </w:r>
    </w:p>
    <w:p w:rsidR="00C01970" w:rsidRPr="00316D63" w:rsidRDefault="00C01970" w:rsidP="00C01970">
      <w:proofErr w:type="gramStart"/>
      <w:r w:rsidRPr="00316D63">
        <w:rPr>
          <w:lang w:val="en-US"/>
        </w:rPr>
        <w:t>Council of the European Union general Secretariat.</w:t>
      </w:r>
      <w:proofErr w:type="gramEnd"/>
      <w:r>
        <w:rPr>
          <w:lang w:val="en-US"/>
        </w:rPr>
        <w:t xml:space="preserve"> </w:t>
      </w:r>
      <w:r w:rsidRPr="008C1C58">
        <w:rPr>
          <w:lang w:val="en-US"/>
        </w:rPr>
        <w:t xml:space="preserve">2008. </w:t>
      </w:r>
      <w:r w:rsidRPr="008C1C58">
        <w:rPr>
          <w:i/>
          <w:lang w:val="en-US"/>
        </w:rPr>
        <w:t>The Africa-European Union Strategic Part</w:t>
      </w:r>
      <w:r w:rsidRPr="00C01970">
        <w:rPr>
          <w:i/>
          <w:lang w:val="en-US"/>
        </w:rPr>
        <w:t>nership</w:t>
      </w:r>
      <w:r w:rsidRPr="00C01970">
        <w:rPr>
          <w:lang w:val="en-US"/>
        </w:rPr>
        <w:t xml:space="preserve">. </w:t>
      </w:r>
      <w:proofErr w:type="spellStart"/>
      <w:r>
        <w:t>European</w:t>
      </w:r>
      <w:proofErr w:type="spellEnd"/>
      <w:r>
        <w:t xml:space="preserve"> </w:t>
      </w:r>
      <w:proofErr w:type="spellStart"/>
      <w:r>
        <w:t>Communities</w:t>
      </w:r>
      <w:proofErr w:type="spellEnd"/>
    </w:p>
    <w:p w:rsidR="00C01970" w:rsidRDefault="00C01970" w:rsidP="00C01970">
      <w:pPr>
        <w:rPr>
          <w:szCs w:val="24"/>
          <w:lang w:val="es-ES_tradnl"/>
        </w:rPr>
      </w:pPr>
      <w:r>
        <w:t xml:space="preserve">Garrido, Vicente.  </w:t>
      </w:r>
      <w:r w:rsidRPr="006B3AF6">
        <w:t>LA UNIÓN EUROPEA Y EL MEDITERRÁNEO: DESARROLLO, COMERCIO Y POLÍTICA EUR</w:t>
      </w:r>
      <w:r>
        <w:t xml:space="preserve">OMEDITERRÁNEA, </w:t>
      </w:r>
      <w:r w:rsidRPr="006B3AF6">
        <w:t>FHIMADES (Fundación para el Desarrollo Socioeconómico hispano-marroquí).</w:t>
      </w:r>
    </w:p>
    <w:p w:rsidR="00C01970" w:rsidRDefault="00C01970" w:rsidP="00C01970">
      <w:r>
        <w:t xml:space="preserve">Marquina Barrio, Antonio. 2009. “La declaración conjunta en la cumbre de París para el Mediterráneo. Un documento claramente mejorable en asuntos de seguridad”, </w:t>
      </w:r>
      <w:r w:rsidRPr="006B3AF6">
        <w:t xml:space="preserve"> </w:t>
      </w:r>
      <w:r>
        <w:rPr>
          <w:i/>
          <w:iCs/>
        </w:rPr>
        <w:t xml:space="preserve">UNISCI </w:t>
      </w:r>
      <w:proofErr w:type="spellStart"/>
      <w:r>
        <w:rPr>
          <w:i/>
          <w:iCs/>
        </w:rPr>
        <w:t>Discussion</w:t>
      </w:r>
      <w:proofErr w:type="spellEnd"/>
      <w:r>
        <w:rPr>
          <w:i/>
          <w:iCs/>
        </w:rPr>
        <w:t xml:space="preserve"> </w:t>
      </w:r>
      <w:proofErr w:type="spellStart"/>
      <w:r>
        <w:rPr>
          <w:i/>
          <w:iCs/>
        </w:rPr>
        <w:t>Papers</w:t>
      </w:r>
      <w:proofErr w:type="spellEnd"/>
      <w:r>
        <w:rPr>
          <w:i/>
          <w:iCs/>
        </w:rPr>
        <w:t xml:space="preserve">. </w:t>
      </w:r>
      <w:r w:rsidRPr="006B3AF6">
        <w:rPr>
          <w:i/>
          <w:iCs/>
        </w:rPr>
        <w:t xml:space="preserve"> </w:t>
      </w:r>
      <w:r w:rsidRPr="006B3AF6">
        <w:t>Universidad Complutense de Madrid, España</w:t>
      </w:r>
      <w:r>
        <w:t>.</w:t>
      </w:r>
    </w:p>
    <w:p w:rsidR="00C01970" w:rsidRPr="00C01970" w:rsidRDefault="00C01970" w:rsidP="00C01970">
      <w:r>
        <w:t xml:space="preserve">Michel, Louis. 2008. </w:t>
      </w:r>
      <w:r w:rsidRPr="00C01970">
        <w:rPr>
          <w:i/>
        </w:rPr>
        <w:t>África-</w:t>
      </w:r>
      <w:proofErr w:type="spellStart"/>
      <w:r w:rsidRPr="00C01970">
        <w:rPr>
          <w:i/>
        </w:rPr>
        <w:t>Europe</w:t>
      </w:r>
      <w:proofErr w:type="spellEnd"/>
      <w:r w:rsidRPr="00C01970">
        <w:rPr>
          <w:i/>
        </w:rPr>
        <w:t xml:space="preserve">: </w:t>
      </w:r>
      <w:proofErr w:type="spellStart"/>
      <w:r w:rsidRPr="00C01970">
        <w:rPr>
          <w:i/>
        </w:rPr>
        <w:t>the</w:t>
      </w:r>
      <w:proofErr w:type="spellEnd"/>
      <w:r w:rsidRPr="00C01970">
        <w:rPr>
          <w:i/>
        </w:rPr>
        <w:t xml:space="preserve"> indispensable </w:t>
      </w:r>
      <w:proofErr w:type="spellStart"/>
      <w:r w:rsidRPr="00C01970">
        <w:rPr>
          <w:i/>
        </w:rPr>
        <w:t>alliance</w:t>
      </w:r>
      <w:proofErr w:type="spellEnd"/>
      <w:r w:rsidRPr="00C01970">
        <w:t xml:space="preserve">. </w:t>
      </w:r>
      <w:proofErr w:type="spellStart"/>
      <w:r w:rsidRPr="00C01970">
        <w:t>European</w:t>
      </w:r>
      <w:proofErr w:type="spellEnd"/>
      <w:r w:rsidRPr="00C01970">
        <w:t xml:space="preserve"> </w:t>
      </w:r>
      <w:proofErr w:type="spellStart"/>
      <w:r w:rsidRPr="00C01970">
        <w:t>Communities</w:t>
      </w:r>
      <w:proofErr w:type="spellEnd"/>
      <w:r w:rsidRPr="00C01970">
        <w:t>.</w:t>
      </w:r>
    </w:p>
    <w:p w:rsidR="00C01970" w:rsidRPr="00557802" w:rsidRDefault="00C01970" w:rsidP="00C01970">
      <w:proofErr w:type="spellStart"/>
      <w:r w:rsidRPr="006E00E5">
        <w:t>Moreiro</w:t>
      </w:r>
      <w:proofErr w:type="spellEnd"/>
      <w:r w:rsidRPr="006E00E5">
        <w:t xml:space="preserve"> González, Carlos Javier. 2008.”L</w:t>
      </w:r>
      <w:r>
        <w:t>os Acuerdos comerciales de la UE en el Tratado de Lisboa”, en (coord</w:t>
      </w:r>
      <w:proofErr w:type="gramStart"/>
      <w:r>
        <w:t>..)</w:t>
      </w:r>
      <w:proofErr w:type="gramEnd"/>
      <w:r>
        <w:t xml:space="preserve"> Garrido Vicente y López Bueno, José María. </w:t>
      </w:r>
      <w:r w:rsidRPr="00557802">
        <w:rPr>
          <w:i/>
        </w:rPr>
        <w:t xml:space="preserve">La Unión Europea y el Mediterráneo: desarrollo, comercio y política </w:t>
      </w:r>
      <w:proofErr w:type="spellStart"/>
      <w:r w:rsidRPr="00557802">
        <w:rPr>
          <w:i/>
        </w:rPr>
        <w:t>euromediterránea</w:t>
      </w:r>
      <w:proofErr w:type="spellEnd"/>
      <w:r>
        <w:rPr>
          <w:i/>
        </w:rPr>
        <w:t>.</w:t>
      </w:r>
    </w:p>
    <w:p w:rsidR="00C01970" w:rsidRDefault="00C01970" w:rsidP="00C01970">
      <w:pPr>
        <w:rPr>
          <w:lang w:val="es-ES_tradnl"/>
        </w:rPr>
      </w:pPr>
      <w:r w:rsidRPr="006B3AF6">
        <w:rPr>
          <w:lang w:val="es-ES_tradnl"/>
        </w:rPr>
        <w:t>Palomares Amat</w:t>
      </w:r>
      <w:r>
        <w:rPr>
          <w:lang w:val="es-ES_tradnl"/>
        </w:rPr>
        <w:t xml:space="preserve">, Miguel. 2002. </w:t>
      </w:r>
      <w:r w:rsidRPr="006B3AF6">
        <w:rPr>
          <w:lang w:val="es-ES_tradnl"/>
        </w:rPr>
        <w:t xml:space="preserve">Los Acuerdos internacionales concluidos entre las Comunidades Europeas y los países terceros </w:t>
      </w:r>
      <w:r>
        <w:rPr>
          <w:lang w:val="es-ES_tradnl"/>
        </w:rPr>
        <w:t xml:space="preserve">Mediterráneos. Málaga: </w:t>
      </w:r>
      <w:proofErr w:type="spellStart"/>
      <w:r>
        <w:rPr>
          <w:lang w:val="es-ES_tradnl"/>
        </w:rPr>
        <w:t>Cedecs</w:t>
      </w:r>
      <w:proofErr w:type="spellEnd"/>
      <w:r>
        <w:rPr>
          <w:lang w:val="es-ES_tradnl"/>
        </w:rPr>
        <w:t>.</w:t>
      </w:r>
    </w:p>
    <w:p w:rsidR="00C01970" w:rsidRPr="006B3AF6" w:rsidRDefault="00C01970" w:rsidP="00C01970">
      <w:r>
        <w:rPr>
          <w:lang w:val="es-ES_tradnl"/>
        </w:rPr>
        <w:t xml:space="preserve">Robles Piquer, Carlos. 2006. Europa y el drama de África. Madrid: </w:t>
      </w:r>
      <w:proofErr w:type="spellStart"/>
      <w:r>
        <w:rPr>
          <w:lang w:val="es-ES_tradnl"/>
        </w:rPr>
        <w:t>Taurus</w:t>
      </w:r>
      <w:proofErr w:type="spellEnd"/>
      <w:r>
        <w:rPr>
          <w:lang w:val="es-ES_tradnl"/>
        </w:rPr>
        <w:t>.</w:t>
      </w:r>
    </w:p>
    <w:p w:rsidR="00C01970" w:rsidRDefault="00C01970" w:rsidP="00C01970">
      <w:pPr>
        <w:rPr>
          <w:lang w:val="es-ES_tradnl"/>
        </w:rPr>
      </w:pPr>
      <w:proofErr w:type="spellStart"/>
      <w:r>
        <w:rPr>
          <w:lang w:val="es-ES_tradnl"/>
        </w:rPr>
        <w:t>Tozy</w:t>
      </w:r>
      <w:proofErr w:type="spellEnd"/>
      <w:r>
        <w:rPr>
          <w:lang w:val="es-ES_tradnl"/>
        </w:rPr>
        <w:t xml:space="preserve">, Mohammed. 1999. “Reformas </w:t>
      </w:r>
      <w:proofErr w:type="spellStart"/>
      <w:r>
        <w:rPr>
          <w:lang w:val="es-ES_tradnl"/>
        </w:rPr>
        <w:t>políticasy</w:t>
      </w:r>
      <w:proofErr w:type="spellEnd"/>
      <w:r>
        <w:rPr>
          <w:lang w:val="es-ES_tradnl"/>
        </w:rPr>
        <w:t xml:space="preserve"> transición democrática en Marruecos” en </w:t>
      </w:r>
      <w:r w:rsidRPr="00EF4B43">
        <w:rPr>
          <w:i/>
          <w:lang w:val="es-ES_tradnl"/>
        </w:rPr>
        <w:t>Las políticas mediterráneas: nuevos escenarios de cooperación</w:t>
      </w:r>
      <w:r>
        <w:rPr>
          <w:lang w:val="es-ES_tradnl"/>
        </w:rPr>
        <w:t xml:space="preserve">. </w:t>
      </w:r>
    </w:p>
    <w:p w:rsidR="00C01970" w:rsidRPr="006B3AF6" w:rsidRDefault="00C01970" w:rsidP="00C01970">
      <w:r>
        <w:rPr>
          <w:lang w:val="es-ES_tradnl"/>
        </w:rPr>
        <w:t xml:space="preserve">2010. </w:t>
      </w:r>
      <w:r w:rsidRPr="006B3AF6">
        <w:rPr>
          <w:lang w:val="es-ES_tradnl"/>
        </w:rPr>
        <w:t>El estado del mundo. Anuario Eco</w:t>
      </w:r>
      <w:r>
        <w:rPr>
          <w:lang w:val="es-ES_tradnl"/>
        </w:rPr>
        <w:t>nómico geopolítico mundial:</w:t>
      </w:r>
      <w:r w:rsidRPr="006B3AF6">
        <w:rPr>
          <w:lang w:val="es-ES_tradnl"/>
        </w:rPr>
        <w:t xml:space="preserve"> </w:t>
      </w:r>
      <w:proofErr w:type="spellStart"/>
      <w:r w:rsidRPr="006B3AF6">
        <w:rPr>
          <w:lang w:val="es-ES_tradnl"/>
        </w:rPr>
        <w:t>Akal</w:t>
      </w:r>
      <w:proofErr w:type="spellEnd"/>
      <w:r w:rsidRPr="006B3AF6">
        <w:rPr>
          <w:lang w:val="es-ES_tradnl"/>
        </w:rPr>
        <w:t xml:space="preserve"> </w:t>
      </w:r>
    </w:p>
    <w:p w:rsidR="00C01970" w:rsidRDefault="00C01970" w:rsidP="00C01970">
      <w:pPr>
        <w:rPr>
          <w:lang w:val="fr-FR"/>
        </w:rPr>
      </w:pPr>
      <w:r>
        <w:t xml:space="preserve">VVAA. </w:t>
      </w:r>
      <w:r w:rsidRPr="006B3AF6">
        <w:rPr>
          <w:lang w:val="fr-FR"/>
        </w:rPr>
        <w:t>2008</w:t>
      </w:r>
      <w:r>
        <w:rPr>
          <w:lang w:val="fr-FR"/>
        </w:rPr>
        <w:t>.</w:t>
      </w:r>
      <w:r>
        <w:t xml:space="preserve"> </w:t>
      </w:r>
      <w:proofErr w:type="spellStart"/>
      <w:r w:rsidRPr="006B3AF6">
        <w:t>Union</w:t>
      </w:r>
      <w:proofErr w:type="spellEnd"/>
      <w:r w:rsidRPr="006B3AF6">
        <w:t xml:space="preserve"> </w:t>
      </w:r>
      <w:proofErr w:type="spellStart"/>
      <w:r w:rsidRPr="006B3AF6">
        <w:t>pour</w:t>
      </w:r>
      <w:proofErr w:type="spellEnd"/>
      <w:r w:rsidRPr="006B3AF6">
        <w:t xml:space="preserve"> la </w:t>
      </w:r>
      <w:proofErr w:type="spellStart"/>
      <w:r w:rsidRPr="006B3AF6">
        <w:t>Méditerranée</w:t>
      </w:r>
      <w:proofErr w:type="spellEnd"/>
      <w:r w:rsidRPr="006B3AF6">
        <w:t xml:space="preserve"> Le </w:t>
      </w:r>
      <w:proofErr w:type="spellStart"/>
      <w:r w:rsidRPr="006B3AF6">
        <w:t>potentiel</w:t>
      </w:r>
      <w:proofErr w:type="spellEnd"/>
      <w:r w:rsidRPr="006B3AF6">
        <w:t xml:space="preserve"> de </w:t>
      </w:r>
      <w:proofErr w:type="spellStart"/>
      <w:r w:rsidRPr="006B3AF6">
        <w:t>l’acquis</w:t>
      </w:r>
      <w:proofErr w:type="spellEnd"/>
      <w:r w:rsidRPr="006B3AF6">
        <w:t xml:space="preserve"> de </w:t>
      </w:r>
      <w:proofErr w:type="spellStart"/>
      <w:r w:rsidRPr="006B3AF6">
        <w:t>Barcelone</w:t>
      </w:r>
      <w:proofErr w:type="spellEnd"/>
      <w:r w:rsidRPr="006B3AF6">
        <w:t xml:space="preserve">, </w:t>
      </w:r>
      <w:r w:rsidRPr="006B3AF6">
        <w:rPr>
          <w:lang w:val="fr-FR"/>
        </w:rPr>
        <w:t xml:space="preserve">Institut d’Etudes de Sécurité </w:t>
      </w:r>
      <w:r>
        <w:rPr>
          <w:lang w:val="fr-FR"/>
        </w:rPr>
        <w:t>de l’Union européenne.</w:t>
      </w:r>
    </w:p>
    <w:p w:rsidR="00E522C6" w:rsidRPr="006B3AF6" w:rsidRDefault="00E522C6" w:rsidP="00C01970">
      <w:r>
        <w:rPr>
          <w:lang w:val="fr-FR"/>
        </w:rPr>
        <w:t xml:space="preserve">2010. </w:t>
      </w:r>
      <w:proofErr w:type="spellStart"/>
      <w:r>
        <w:rPr>
          <w:lang w:val="fr-FR"/>
        </w:rPr>
        <w:t>Ministerio</w:t>
      </w:r>
      <w:proofErr w:type="spellEnd"/>
      <w:r>
        <w:rPr>
          <w:lang w:val="fr-FR"/>
        </w:rPr>
        <w:t xml:space="preserve"> de </w:t>
      </w:r>
      <w:proofErr w:type="spellStart"/>
      <w:r>
        <w:rPr>
          <w:lang w:val="fr-FR"/>
        </w:rPr>
        <w:t>Defensa</w:t>
      </w:r>
      <w:proofErr w:type="spellEnd"/>
      <w:r>
        <w:rPr>
          <w:lang w:val="fr-FR"/>
        </w:rPr>
        <w:t xml:space="preserve">. </w:t>
      </w:r>
      <w:proofErr w:type="spellStart"/>
      <w:r w:rsidRPr="00E522C6">
        <w:rPr>
          <w:i/>
          <w:lang w:val="fr-FR"/>
        </w:rPr>
        <w:t>Respuesta</w:t>
      </w:r>
      <w:proofErr w:type="spellEnd"/>
      <w:r w:rsidRPr="00E522C6">
        <w:rPr>
          <w:i/>
          <w:lang w:val="fr-FR"/>
        </w:rPr>
        <w:t xml:space="preserve"> </w:t>
      </w:r>
      <w:proofErr w:type="spellStart"/>
      <w:r w:rsidRPr="00E522C6">
        <w:rPr>
          <w:i/>
          <w:lang w:val="fr-FR"/>
        </w:rPr>
        <w:t>europea</w:t>
      </w:r>
      <w:proofErr w:type="spellEnd"/>
      <w:r w:rsidRPr="00E522C6">
        <w:rPr>
          <w:i/>
          <w:lang w:val="fr-FR"/>
        </w:rPr>
        <w:t xml:space="preserve"> y </w:t>
      </w:r>
      <w:proofErr w:type="spellStart"/>
      <w:r w:rsidRPr="00E522C6">
        <w:rPr>
          <w:i/>
          <w:lang w:val="fr-FR"/>
        </w:rPr>
        <w:t>africana</w:t>
      </w:r>
      <w:proofErr w:type="spellEnd"/>
      <w:r w:rsidRPr="00E522C6">
        <w:rPr>
          <w:i/>
          <w:lang w:val="fr-FR"/>
        </w:rPr>
        <w:t xml:space="preserve"> a los </w:t>
      </w:r>
      <w:proofErr w:type="spellStart"/>
      <w:r w:rsidRPr="00E522C6">
        <w:rPr>
          <w:i/>
          <w:lang w:val="fr-FR"/>
        </w:rPr>
        <w:t>problemas</w:t>
      </w:r>
      <w:proofErr w:type="spellEnd"/>
      <w:r w:rsidRPr="00E522C6">
        <w:rPr>
          <w:i/>
          <w:lang w:val="fr-FR"/>
        </w:rPr>
        <w:t xml:space="preserve"> de </w:t>
      </w:r>
      <w:proofErr w:type="spellStart"/>
      <w:r w:rsidRPr="00E522C6">
        <w:rPr>
          <w:i/>
          <w:lang w:val="fr-FR"/>
        </w:rPr>
        <w:t>seguridad</w:t>
      </w:r>
      <w:proofErr w:type="spellEnd"/>
      <w:r w:rsidRPr="00E522C6">
        <w:rPr>
          <w:i/>
          <w:lang w:val="fr-FR"/>
        </w:rPr>
        <w:t xml:space="preserve"> en </w:t>
      </w:r>
      <w:proofErr w:type="spellStart"/>
      <w:r w:rsidRPr="00E522C6">
        <w:rPr>
          <w:i/>
          <w:lang w:val="fr-FR"/>
        </w:rPr>
        <w:t>África</w:t>
      </w:r>
      <w:proofErr w:type="spellEnd"/>
      <w:r>
        <w:rPr>
          <w:lang w:val="fr-FR"/>
        </w:rPr>
        <w:t xml:space="preserve">. </w:t>
      </w:r>
      <w:proofErr w:type="spellStart"/>
      <w:r>
        <w:rPr>
          <w:lang w:val="fr-FR"/>
        </w:rPr>
        <w:t>Cuadernos</w:t>
      </w:r>
      <w:proofErr w:type="spellEnd"/>
      <w:r>
        <w:rPr>
          <w:lang w:val="fr-FR"/>
        </w:rPr>
        <w:t xml:space="preserve"> </w:t>
      </w:r>
      <w:proofErr w:type="gramStart"/>
      <w:r>
        <w:rPr>
          <w:lang w:val="fr-FR"/>
        </w:rPr>
        <w:t xml:space="preserve">de </w:t>
      </w:r>
      <w:proofErr w:type="spellStart"/>
      <w:r>
        <w:rPr>
          <w:lang w:val="fr-FR"/>
        </w:rPr>
        <w:t>estrategia</w:t>
      </w:r>
      <w:proofErr w:type="spellEnd"/>
      <w:proofErr w:type="gramEnd"/>
      <w:r>
        <w:rPr>
          <w:lang w:val="fr-FR"/>
        </w:rPr>
        <w:t>, 146.</w:t>
      </w:r>
      <w:proofErr w:type="spellStart"/>
      <w:r>
        <w:rPr>
          <w:lang w:val="fr-FR"/>
        </w:rPr>
        <w:t>Instituto</w:t>
      </w:r>
      <w:proofErr w:type="spellEnd"/>
      <w:r>
        <w:rPr>
          <w:lang w:val="fr-FR"/>
        </w:rPr>
        <w:t xml:space="preserve"> </w:t>
      </w:r>
      <w:proofErr w:type="spellStart"/>
      <w:r>
        <w:rPr>
          <w:lang w:val="fr-FR"/>
        </w:rPr>
        <w:t>español</w:t>
      </w:r>
      <w:proofErr w:type="spellEnd"/>
      <w:r>
        <w:rPr>
          <w:lang w:val="fr-FR"/>
        </w:rPr>
        <w:t xml:space="preserve"> de </w:t>
      </w:r>
      <w:proofErr w:type="spellStart"/>
      <w:r>
        <w:rPr>
          <w:lang w:val="fr-FR"/>
        </w:rPr>
        <w:t>estudios</w:t>
      </w:r>
      <w:proofErr w:type="spellEnd"/>
      <w:r>
        <w:rPr>
          <w:lang w:val="fr-FR"/>
        </w:rPr>
        <w:t xml:space="preserve"> </w:t>
      </w:r>
      <w:proofErr w:type="spellStart"/>
      <w:r>
        <w:rPr>
          <w:lang w:val="fr-FR"/>
        </w:rPr>
        <w:t>estratégicos</w:t>
      </w:r>
      <w:proofErr w:type="spellEnd"/>
      <w:r>
        <w:rPr>
          <w:lang w:val="fr-FR"/>
        </w:rPr>
        <w:t xml:space="preserve"> Casa África.</w:t>
      </w:r>
    </w:p>
    <w:p w:rsidR="00C605C1" w:rsidRDefault="00C605C1"/>
    <w:sectPr w:rsidR="00C605C1" w:rsidSect="004014E0">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3914" w:rsidRDefault="00A53914" w:rsidP="00C01970">
      <w:pPr>
        <w:spacing w:after="0" w:line="240" w:lineRule="auto"/>
      </w:pPr>
      <w:r>
        <w:separator/>
      </w:r>
    </w:p>
  </w:endnote>
  <w:endnote w:type="continuationSeparator" w:id="0">
    <w:p w:rsidR="00A53914" w:rsidRDefault="00A53914" w:rsidP="00C019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3914" w:rsidRDefault="00A53914" w:rsidP="00C01970">
      <w:pPr>
        <w:spacing w:after="0" w:line="240" w:lineRule="auto"/>
      </w:pPr>
      <w:r>
        <w:separator/>
      </w:r>
    </w:p>
  </w:footnote>
  <w:footnote w:type="continuationSeparator" w:id="0">
    <w:p w:rsidR="00A53914" w:rsidRDefault="00A53914" w:rsidP="00C01970">
      <w:pPr>
        <w:spacing w:after="0" w:line="240" w:lineRule="auto"/>
      </w:pPr>
      <w:r>
        <w:continuationSeparator/>
      </w:r>
    </w:p>
  </w:footnote>
  <w:footnote w:id="1">
    <w:p w:rsidR="00C01970" w:rsidRPr="008B048C" w:rsidRDefault="00C01970" w:rsidP="00C01970">
      <w:pPr>
        <w:pStyle w:val="Textonotapie"/>
        <w:rPr>
          <w:lang w:val="es-ES_tradnl"/>
        </w:rPr>
      </w:pPr>
      <w:r w:rsidRPr="008B048C">
        <w:rPr>
          <w:rStyle w:val="Refdenotaalpie"/>
          <w:rFonts w:cs="Arial"/>
          <w:sz w:val="24"/>
          <w:szCs w:val="24"/>
        </w:rPr>
        <w:footnoteRef/>
      </w:r>
      <w:r w:rsidRPr="008B048C">
        <w:t xml:space="preserve"> Guillaume, Gilbert. “Sahara Occidental”. </w:t>
      </w:r>
      <w:r w:rsidRPr="008B048C">
        <w:rPr>
          <w:i/>
          <w:iCs/>
        </w:rPr>
        <w:t xml:space="preserve">Las Grandes Crisis Internacionales y el Derecho, </w:t>
      </w:r>
      <w:r w:rsidRPr="008B048C">
        <w:t>1995. p. 103.</w:t>
      </w:r>
    </w:p>
  </w:footnote>
  <w:footnote w:id="2">
    <w:p w:rsidR="00C01970" w:rsidRPr="008B048C" w:rsidRDefault="00C01970" w:rsidP="00C01970">
      <w:pPr>
        <w:pStyle w:val="Textonotapie"/>
        <w:rPr>
          <w:lang w:val="es-ES_tradnl"/>
        </w:rPr>
      </w:pPr>
      <w:r w:rsidRPr="008B048C">
        <w:rPr>
          <w:rStyle w:val="Refdenotaalpie"/>
          <w:rFonts w:cs="Arial"/>
          <w:sz w:val="24"/>
          <w:szCs w:val="24"/>
        </w:rPr>
        <w:footnoteRef/>
      </w:r>
      <w:r w:rsidRPr="008B048C">
        <w:t xml:space="preserve"> </w:t>
      </w:r>
      <w:r w:rsidRPr="008B048C">
        <w:rPr>
          <w:lang w:val="es-ES_tradnl"/>
        </w:rPr>
        <w:t>España la ocupa en 1884, según indagaciones del TIJ.</w:t>
      </w:r>
    </w:p>
  </w:footnote>
  <w:footnote w:id="3">
    <w:p w:rsidR="00C01970" w:rsidRPr="008B048C" w:rsidRDefault="00C01970" w:rsidP="00C01970">
      <w:pPr>
        <w:pStyle w:val="Textonotapie"/>
        <w:rPr>
          <w:rStyle w:val="Refdenotaalpie"/>
          <w:rFonts w:cs="Arial"/>
          <w:sz w:val="24"/>
          <w:szCs w:val="24"/>
        </w:rPr>
      </w:pPr>
      <w:r w:rsidRPr="008B048C">
        <w:rPr>
          <w:rStyle w:val="Refdenotaalpie"/>
          <w:rFonts w:cs="Arial"/>
          <w:sz w:val="24"/>
          <w:szCs w:val="24"/>
        </w:rPr>
        <w:footnoteRef/>
      </w:r>
      <w:r w:rsidRPr="008B048C">
        <w:rPr>
          <w:rStyle w:val="Refdenotaalpie"/>
          <w:rFonts w:cs="Arial"/>
          <w:sz w:val="24"/>
          <w:szCs w:val="24"/>
        </w:rPr>
        <w:t xml:space="preserve"> La Resolución 1514 (XV), de 14 de diciembre de 1960 declara que: </w:t>
      </w:r>
    </w:p>
    <w:p w:rsidR="00C01970" w:rsidRPr="008B048C" w:rsidRDefault="00C01970" w:rsidP="00C01970">
      <w:pPr>
        <w:pStyle w:val="Textonotapie"/>
        <w:rPr>
          <w:rStyle w:val="Refdenotaalpie"/>
          <w:rFonts w:cs="Arial"/>
          <w:sz w:val="24"/>
          <w:szCs w:val="24"/>
        </w:rPr>
      </w:pPr>
      <w:r w:rsidRPr="008B048C">
        <w:rPr>
          <w:rStyle w:val="Refdenotaalpie"/>
          <w:rFonts w:cs="Arial"/>
          <w:sz w:val="24"/>
          <w:szCs w:val="24"/>
        </w:rPr>
        <w:t>La sujeción de pueblos a una subyugación, dominación y explotación extranjeras constituye una negación de los derechos humanos fundamentales, es contraria a la Carta de las Naciones Unidas y compromete la causa de la paz y de la cooperación mundiales.</w:t>
      </w:r>
    </w:p>
    <w:p w:rsidR="00C01970" w:rsidRPr="008B048C" w:rsidRDefault="00C01970" w:rsidP="00C01970">
      <w:pPr>
        <w:pStyle w:val="Textonotapie"/>
        <w:rPr>
          <w:rStyle w:val="Refdenotaalpie"/>
          <w:rFonts w:cs="Arial"/>
          <w:sz w:val="24"/>
          <w:szCs w:val="24"/>
        </w:rPr>
      </w:pPr>
      <w:r w:rsidRPr="008B048C">
        <w:rPr>
          <w:rStyle w:val="Refdenotaalpie"/>
          <w:rFonts w:cs="Arial"/>
          <w:sz w:val="24"/>
          <w:szCs w:val="24"/>
        </w:rPr>
        <w:t>Todos los pueblos tienen el derecho de libre determinación; en virtud de este derecho, determinan libremente su condición política y persiguen libremente su desarrollo económico, social y cultural.</w:t>
      </w:r>
    </w:p>
    <w:p w:rsidR="00C01970" w:rsidRPr="008B048C" w:rsidRDefault="00C01970" w:rsidP="00C01970">
      <w:pPr>
        <w:pStyle w:val="Textonotapie"/>
        <w:rPr>
          <w:rStyle w:val="Refdenotaalpie"/>
          <w:rFonts w:cs="Arial"/>
          <w:sz w:val="24"/>
          <w:szCs w:val="24"/>
        </w:rPr>
      </w:pPr>
      <w:r w:rsidRPr="008B048C">
        <w:rPr>
          <w:rStyle w:val="Refdenotaalpie"/>
          <w:rFonts w:cs="Arial"/>
          <w:sz w:val="24"/>
          <w:szCs w:val="24"/>
        </w:rPr>
        <w:t>La falta de preparación en el orden político, económico, social o educativo no deberá servir nunca de pretexto para retrasar la independencia.</w:t>
      </w:r>
    </w:p>
    <w:p w:rsidR="00C01970" w:rsidRPr="008B048C" w:rsidRDefault="00C01970" w:rsidP="00C01970">
      <w:pPr>
        <w:pStyle w:val="Textonotapie"/>
        <w:rPr>
          <w:rStyle w:val="Refdenotaalpie"/>
          <w:rFonts w:cs="Arial"/>
          <w:sz w:val="24"/>
          <w:szCs w:val="24"/>
        </w:rPr>
      </w:pPr>
      <w:r w:rsidRPr="008B048C">
        <w:rPr>
          <w:rStyle w:val="Refdenotaalpie"/>
          <w:rFonts w:cs="Arial"/>
          <w:sz w:val="24"/>
          <w:szCs w:val="24"/>
        </w:rPr>
        <w:t>A fin de que los pueblos dependientes puedan ejercer pacíficamente y libre mente su derecho a la independencia completa, deberá cesar toda acción armada o toda medida represiva de cualquier índole dirigida contra ellos, y deberá respetarse la integridad de su territorio nacional.</w:t>
      </w:r>
    </w:p>
    <w:p w:rsidR="00C01970" w:rsidRPr="008B048C" w:rsidRDefault="00C01970" w:rsidP="00C01970">
      <w:pPr>
        <w:pStyle w:val="Textonotapie"/>
        <w:rPr>
          <w:rStyle w:val="Refdenotaalpie"/>
          <w:rFonts w:cs="Arial"/>
          <w:sz w:val="24"/>
          <w:szCs w:val="24"/>
        </w:rPr>
      </w:pPr>
      <w:r w:rsidRPr="008B048C">
        <w:rPr>
          <w:rStyle w:val="Refdenotaalpie"/>
          <w:rFonts w:cs="Arial"/>
          <w:sz w:val="24"/>
          <w:szCs w:val="24"/>
        </w:rPr>
        <w:t>En los territorios en fideicomiso y no autónomos y en todos los demás territorios que no han logrado aún su independencia deberán tomarse inmediatamente medidas para traspasar todos los poderes a los pueblos de esos territorios, sin condiciones ni reservas, en conformidad con su voluntad y sus deseos libremente expresa dos, y sin distinción de raza, credo ni color, para permitirles gozar de una libertad y una independencia absolutas.</w:t>
      </w:r>
    </w:p>
    <w:p w:rsidR="00C01970" w:rsidRPr="008B048C" w:rsidRDefault="00C01970" w:rsidP="00C01970">
      <w:pPr>
        <w:pStyle w:val="Textonotapie"/>
        <w:rPr>
          <w:rStyle w:val="Refdenotaalpie"/>
          <w:rFonts w:cs="Arial"/>
          <w:sz w:val="24"/>
          <w:szCs w:val="24"/>
        </w:rPr>
      </w:pPr>
      <w:r w:rsidRPr="008B048C">
        <w:rPr>
          <w:rStyle w:val="Refdenotaalpie"/>
          <w:rFonts w:cs="Arial"/>
          <w:sz w:val="24"/>
          <w:szCs w:val="24"/>
        </w:rPr>
        <w:t>Todo intento encaminado a quebrantar total o parcialmente la unidad nacional y la integridad territorial de un país es incompatible con los propósitos y principios de la Carta de las Naciones Unidas.</w:t>
      </w:r>
    </w:p>
    <w:p w:rsidR="00C01970" w:rsidRPr="008B048C" w:rsidRDefault="00C01970" w:rsidP="00C01970">
      <w:pPr>
        <w:pStyle w:val="Textonotapie"/>
        <w:rPr>
          <w:rStyle w:val="Refdenotaalpie"/>
          <w:rFonts w:cs="Arial"/>
          <w:sz w:val="24"/>
          <w:szCs w:val="24"/>
        </w:rPr>
      </w:pPr>
      <w:r w:rsidRPr="008B048C">
        <w:rPr>
          <w:rStyle w:val="Refdenotaalpie"/>
          <w:rFonts w:cs="Arial"/>
          <w:sz w:val="24"/>
          <w:szCs w:val="24"/>
        </w:rPr>
        <w:t>Todos los Estados deberán observar fiel y estrictamente las disposiciones de la Carta de las Naciones Unidas, de la Declaración Universal de Derechos Humanos y de la presente Declaración sobre la base de la igualdad, de la no intervención en los asuntos internos de los demás Estados y del respeto de los derechos soberanos de todos los pueblos y de su integridad territorial.</w:t>
      </w:r>
    </w:p>
  </w:footnote>
  <w:footnote w:id="4">
    <w:p w:rsidR="00C01970" w:rsidRPr="008B048C" w:rsidRDefault="00C01970" w:rsidP="00C01970">
      <w:pPr>
        <w:pStyle w:val="Textonotapie"/>
        <w:rPr>
          <w:rStyle w:val="Refdenotaalpie"/>
          <w:rFonts w:cs="Arial"/>
          <w:sz w:val="24"/>
          <w:szCs w:val="24"/>
        </w:rPr>
      </w:pPr>
      <w:r w:rsidRPr="008B048C">
        <w:rPr>
          <w:rStyle w:val="Refdenotaalpie"/>
          <w:rFonts w:cs="Arial"/>
          <w:sz w:val="24"/>
          <w:szCs w:val="24"/>
        </w:rPr>
        <w:footnoteRef/>
      </w:r>
      <w:r w:rsidRPr="008B048C">
        <w:rPr>
          <w:rStyle w:val="Refdenotaalpie"/>
          <w:rFonts w:cs="Arial"/>
          <w:sz w:val="24"/>
          <w:szCs w:val="24"/>
        </w:rPr>
        <w:t xml:space="preserve"> En virtud del principio de la igualdad de derechos y de la libre determinación de los pueblos, consagrado en la Carta, todos los pueblos tienen el derecho de determinar libremente, sin injerencia externa, su condición política y de proseguir su desarrollo económico, social y cultural, y todo Estado tiene el deber de respetar este derecho de conformidad con las disposiciones de la Carta.</w:t>
      </w:r>
    </w:p>
    <w:p w:rsidR="00C01970" w:rsidRPr="008B048C" w:rsidRDefault="00C01970" w:rsidP="00C01970">
      <w:pPr>
        <w:pStyle w:val="Textonotapie"/>
        <w:rPr>
          <w:rStyle w:val="Refdenotaalpie"/>
          <w:rFonts w:cs="Arial"/>
          <w:sz w:val="24"/>
          <w:szCs w:val="24"/>
        </w:rPr>
      </w:pPr>
      <w:r w:rsidRPr="008B048C">
        <w:rPr>
          <w:rStyle w:val="Refdenotaalpie"/>
          <w:rFonts w:cs="Arial"/>
          <w:sz w:val="24"/>
          <w:szCs w:val="24"/>
        </w:rPr>
        <w:t>Todo Estado tiene el deber de promover, mediante acción conjunta o individual, la aplicación del principio de la igualdad soberana de derechos y de la libre determinación de los pueblos, de conformidad con las disposiciones de la Carta, y de prestar asistencia a las Naciones Unidas en el cumplimiento de las obligaciones que se le encomiendan por la Carta respecto de la aplicación de dicho principio, a fin de:</w:t>
      </w:r>
    </w:p>
    <w:p w:rsidR="00C01970" w:rsidRPr="008B048C" w:rsidRDefault="00C01970" w:rsidP="00C01970">
      <w:pPr>
        <w:pStyle w:val="Textonotapie"/>
        <w:rPr>
          <w:rStyle w:val="Refdenotaalpie"/>
          <w:rFonts w:cs="Arial"/>
          <w:sz w:val="24"/>
          <w:szCs w:val="24"/>
        </w:rPr>
      </w:pPr>
      <w:r w:rsidRPr="008B048C">
        <w:rPr>
          <w:rStyle w:val="Refdenotaalpie"/>
          <w:rFonts w:cs="Arial"/>
          <w:sz w:val="24"/>
          <w:szCs w:val="24"/>
        </w:rPr>
        <w:t>fomentar las relaciones de amistad y la cooperación entre los Estados; y</w:t>
      </w:r>
    </w:p>
    <w:p w:rsidR="00C01970" w:rsidRPr="008B048C" w:rsidRDefault="00C01970" w:rsidP="00C01970">
      <w:pPr>
        <w:pStyle w:val="Textonotapie"/>
        <w:rPr>
          <w:rStyle w:val="Refdenotaalpie"/>
          <w:rFonts w:cs="Arial"/>
          <w:sz w:val="24"/>
          <w:szCs w:val="24"/>
        </w:rPr>
      </w:pPr>
      <w:r w:rsidRPr="008B048C">
        <w:rPr>
          <w:rStyle w:val="Refdenotaalpie"/>
          <w:rFonts w:cs="Arial"/>
          <w:sz w:val="24"/>
          <w:szCs w:val="24"/>
        </w:rPr>
        <w:t>poner fin rápidamente al colonialismo, teniendo debidamente en cuenta la voluntad libremente expresada de los pueblos a la subyugación de que se trate; y teniendo presente que el sometimiento de los pueblos a la subyugación, dominación y explotación extranjeras constituye una violación del principio, así como una denegación de los derechos humanos fundamentales, y es contraria a la Carta de las Naciones Unidas.</w:t>
      </w:r>
    </w:p>
    <w:p w:rsidR="00C01970" w:rsidRPr="008B048C" w:rsidRDefault="00C01970" w:rsidP="00C01970">
      <w:pPr>
        <w:pStyle w:val="Textonotapie"/>
        <w:rPr>
          <w:rStyle w:val="Refdenotaalpie"/>
          <w:rFonts w:cs="Arial"/>
          <w:sz w:val="24"/>
          <w:szCs w:val="24"/>
        </w:rPr>
      </w:pPr>
      <w:r w:rsidRPr="008B048C">
        <w:rPr>
          <w:rStyle w:val="Refdenotaalpie"/>
          <w:rFonts w:cs="Arial"/>
          <w:sz w:val="24"/>
          <w:szCs w:val="24"/>
        </w:rPr>
        <w:t>Todo Estado tiene el deber de promover, mediante acción conjunta o individual, el respeto universal a los derechos humanos y a las libertades fundamentales y la efectividad de tales derechos y libertades de conformidad con la Carta de las Naciones Unidas.</w:t>
      </w:r>
    </w:p>
    <w:p w:rsidR="00C01970" w:rsidRPr="008B048C" w:rsidRDefault="00C01970" w:rsidP="00C01970">
      <w:pPr>
        <w:pStyle w:val="Textonotapie"/>
        <w:rPr>
          <w:rStyle w:val="Refdenotaalpie"/>
          <w:rFonts w:cs="Arial"/>
          <w:sz w:val="24"/>
          <w:szCs w:val="24"/>
        </w:rPr>
      </w:pPr>
      <w:r w:rsidRPr="008B048C">
        <w:rPr>
          <w:rStyle w:val="Refdenotaalpie"/>
          <w:rFonts w:cs="Arial"/>
          <w:sz w:val="24"/>
          <w:szCs w:val="24"/>
        </w:rPr>
        <w:t>El establecimiento de un Estado soberano e independiente, la libre asociación o integración con un Estado independiente o la adquisición de cualquier otra condición</w:t>
      </w:r>
      <w:r w:rsidRPr="008B048C">
        <w:rPr>
          <w:rFonts w:eastAsia="Times New Roman" w:cs="Arial"/>
          <w:szCs w:val="24"/>
          <w:lang w:eastAsia="es-ES"/>
        </w:rPr>
        <w:t xml:space="preserve"> </w:t>
      </w:r>
      <w:r w:rsidRPr="008B048C">
        <w:rPr>
          <w:rStyle w:val="Refdenotaalpie"/>
          <w:rFonts w:cs="Arial"/>
          <w:sz w:val="24"/>
          <w:szCs w:val="24"/>
        </w:rPr>
        <w:t>política libremente decidida por un pueblo constituyen formas del ejercicio del derecho de libre determinación de ese pueblo.</w:t>
      </w:r>
    </w:p>
    <w:p w:rsidR="00C01970" w:rsidRPr="008B048C" w:rsidRDefault="00C01970" w:rsidP="00C01970">
      <w:pPr>
        <w:pStyle w:val="Textonotapie"/>
        <w:rPr>
          <w:rStyle w:val="Refdenotaalpie"/>
          <w:rFonts w:cs="Arial"/>
          <w:sz w:val="24"/>
          <w:szCs w:val="24"/>
        </w:rPr>
      </w:pPr>
      <w:r w:rsidRPr="008B048C">
        <w:rPr>
          <w:rStyle w:val="Refdenotaalpie"/>
          <w:rFonts w:cs="Arial"/>
          <w:sz w:val="24"/>
          <w:szCs w:val="24"/>
        </w:rPr>
        <w:t>Todo Estado tiene el deber de abstenerse de recurrir a cualquier medida de fuerza que prive a los pueblos antes aludidos en la formulación de presente principio de su derecho a la libre determinación y a la libertad y a la independencia. En los actos que realicen y en la resistencia que opongan contra esas medidas de fuerza con el fin de ejercer su derecho a la libre determinación, tales pueblos podrán pedir y recibir apoyo de conformidad con los propósitos y principios de la Carta de las Naciones Unidas.</w:t>
      </w:r>
    </w:p>
    <w:p w:rsidR="00C01970" w:rsidRPr="008B048C" w:rsidRDefault="00C01970" w:rsidP="00C01970">
      <w:pPr>
        <w:pStyle w:val="Textonotapie"/>
        <w:rPr>
          <w:rStyle w:val="Refdenotaalpie"/>
          <w:rFonts w:cs="Arial"/>
          <w:sz w:val="24"/>
          <w:szCs w:val="24"/>
        </w:rPr>
      </w:pPr>
      <w:r w:rsidRPr="008B048C">
        <w:rPr>
          <w:rStyle w:val="Refdenotaalpie"/>
          <w:rFonts w:cs="Arial"/>
          <w:sz w:val="24"/>
          <w:szCs w:val="24"/>
        </w:rPr>
        <w:t>El territorio de una colonia u otro territorio no autónomo tiene, en virtud de la Carta de las Naciones Unidas, una condición jurídica distinta y separada de la del territorio del Estado que lo administra, y esa condición jurídica distinta y separada conforme a la Carta existirá hasta que el pueblo de la colonia o territorio no autónomo haya ejercido su derecho de libre determinación de conformidad con la Carta y, en particular, con sus propósitos y principios.</w:t>
      </w:r>
    </w:p>
    <w:p w:rsidR="00C01970" w:rsidRPr="008B048C" w:rsidRDefault="00C01970" w:rsidP="00C01970">
      <w:pPr>
        <w:pStyle w:val="Textonotapie"/>
        <w:rPr>
          <w:rStyle w:val="Refdenotaalpie"/>
          <w:rFonts w:cs="Arial"/>
          <w:sz w:val="24"/>
          <w:szCs w:val="24"/>
        </w:rPr>
      </w:pPr>
      <w:r w:rsidRPr="008B048C">
        <w:rPr>
          <w:rStyle w:val="Refdenotaalpie"/>
          <w:rFonts w:cs="Arial"/>
          <w:sz w:val="24"/>
          <w:szCs w:val="24"/>
        </w:rPr>
        <w:t>Ninguna de las disposiciones de los párrafos precedentes se entenderá en el sentido de que autoriza o fomenta cualquier acción encaminada a quebrantar o menospreciar, total o parcialmente, la integridad territorial de Estados soberanos e independientes que se conduzcan de conformidad con el principio de la igualdad de derechos y de la libre determinación de los pueblos antes descritos y estén, por tanto dotados de un gobierno que represente a la totalidad del pueblo perteneciente al territorio, sin distinción por motivo de raza, credo o color.</w:t>
      </w:r>
    </w:p>
    <w:p w:rsidR="00C01970" w:rsidRPr="008B048C" w:rsidRDefault="00C01970" w:rsidP="00C01970">
      <w:pPr>
        <w:pStyle w:val="Textonotapie"/>
      </w:pPr>
      <w:r w:rsidRPr="008B048C">
        <w:rPr>
          <w:rStyle w:val="Refdenotaalpie"/>
          <w:rFonts w:cs="Arial"/>
          <w:sz w:val="24"/>
          <w:szCs w:val="24"/>
        </w:rPr>
        <w:t>Todo Estado se abstendrá de cualquier acción dirigida al quebrantamiento parcial o total de la unidad nacional e integridad territorial de cualquier otro Estado o país.</w:t>
      </w:r>
    </w:p>
  </w:footnote>
  <w:footnote w:id="5">
    <w:p w:rsidR="00C01970" w:rsidRPr="008B048C" w:rsidRDefault="00C01970" w:rsidP="00C01970">
      <w:pPr>
        <w:pStyle w:val="Textonotapie"/>
      </w:pPr>
      <w:r w:rsidRPr="008B048C">
        <w:rPr>
          <w:rStyle w:val="Refdenotaalpie"/>
          <w:vertAlign w:val="baseline"/>
        </w:rPr>
        <w:footnoteRef/>
      </w:r>
      <w:r w:rsidRPr="008B048C">
        <w:t xml:space="preserve"> </w:t>
      </w:r>
      <w:proofErr w:type="spellStart"/>
      <w:r w:rsidRPr="008B048C">
        <w:t>Badía</w:t>
      </w:r>
      <w:proofErr w:type="spellEnd"/>
      <w:r w:rsidRPr="008B048C">
        <w:t xml:space="preserve"> (Dir.) Fernández/Carranza; La cuestión del Sahara occidental ante la descolonización de las Naciones Unidas, Instituto de Estudios Internacionales y europeos “Francisco de Vitoria”, Madrid, 1999, pp.17.</w:t>
      </w:r>
    </w:p>
  </w:footnote>
  <w:footnote w:id="6">
    <w:p w:rsidR="00C01970" w:rsidRPr="008B048C" w:rsidRDefault="00C01970" w:rsidP="00C01970">
      <w:pPr>
        <w:pStyle w:val="Textonotapie"/>
      </w:pPr>
      <w:r w:rsidRPr="008B048C">
        <w:rPr>
          <w:rStyle w:val="Refdenotaalpie"/>
          <w:vertAlign w:val="baseline"/>
        </w:rPr>
        <w:footnoteRef/>
      </w:r>
      <w:r w:rsidRPr="008B048C">
        <w:t xml:space="preserve"> La Res. 2229 (XXI), de 20 de diciembre de 1966 expone que con el fin de ejercer este derecho de autodeterminación, la Potencia administradora deberá “tomar todas las medidas necesarias a fin de asegurar que sólo la población autóctona del Territorio participe en el referéndum” y además, deberá “prestar todas las facilidades necesarias a la Misión de Naciones Unidas para que pueda participar activamente en la organización y celebración del referéndum”. Finalmente, además, “Pide al secretario general que, en consulta con la Potencia Administradora y con el Comité Especial, nombre inmediatamente una misión especial que se enviará al Sáhara Español a fin de que recomiende medidas prácticas para la plena aplicación de las Resoluciones pertinentes de la Asamblea General y, en particular, de que determine el alcance de la participación de las Naciones Unidas en la preparación y supervisión del referéndum y le presente a la mayor brevedad posible un informe para su transmisión al Comité Especial”. </w:t>
      </w:r>
    </w:p>
  </w:footnote>
  <w:footnote w:id="7">
    <w:p w:rsidR="00C01970" w:rsidRPr="008B048C" w:rsidRDefault="00C01970" w:rsidP="00C01970">
      <w:pPr>
        <w:pStyle w:val="Textonotapie"/>
      </w:pPr>
      <w:r w:rsidRPr="008B048C">
        <w:rPr>
          <w:rStyle w:val="Refdenotaalpie"/>
          <w:vertAlign w:val="baseline"/>
        </w:rPr>
        <w:footnoteRef/>
      </w:r>
      <w:r w:rsidRPr="008B048C">
        <w:t xml:space="preserve"> Otras Resoluciones de la AG de la ONU importantes en las que se invita a España a organizar un referéndum son: las resoluciones 2428 (XXIII), 2591 (XXIV), 2711 (XXV), 2983 (XXVII) y 3162 (XXVIII).</w:t>
      </w:r>
    </w:p>
  </w:footnote>
  <w:footnote w:id="8">
    <w:p w:rsidR="00C01970" w:rsidRPr="008B048C" w:rsidRDefault="00C01970" w:rsidP="00C01970">
      <w:pPr>
        <w:pStyle w:val="Textonotapie"/>
      </w:pPr>
      <w:r w:rsidRPr="008B048C">
        <w:rPr>
          <w:rStyle w:val="Refdenotaalpie"/>
          <w:vertAlign w:val="baseline"/>
        </w:rPr>
        <w:footnoteRef/>
      </w:r>
      <w:r w:rsidRPr="008B048C">
        <w:t xml:space="preserve"> El Art. 73 de la Carta de Naciones Unidas expone que los territorios no autónomos son territorios cuyos pueblos no hayan alcanzado todavía la plenitud del gobierno propio.</w:t>
      </w:r>
    </w:p>
  </w:footnote>
  <w:footnote w:id="9">
    <w:p w:rsidR="00C01970" w:rsidRPr="008B048C" w:rsidRDefault="00C01970" w:rsidP="00C01970">
      <w:pPr>
        <w:pStyle w:val="Textonotapie"/>
      </w:pPr>
      <w:r w:rsidRPr="008B048C">
        <w:rPr>
          <w:rStyle w:val="Refdenotaalpie"/>
          <w:vertAlign w:val="baseline"/>
        </w:rPr>
        <w:footnoteRef/>
      </w:r>
      <w:r w:rsidRPr="008B048C">
        <w:t xml:space="preserve"> Este artículo 34 se enmarca dentro del Capítulo VI –Arreglo pacífico de las controversias, y declara que: “El Consejo de Seguridad podrá investigar toda controversia, o toda situación susceptible de conducir a fricción internacional o dar origen a una controversia, a fin de determinar si la prolongación de tal controversia o situación puede poner en peligro el mantenimiento de la paz y la seguridad internacionales”.</w:t>
      </w:r>
    </w:p>
  </w:footnote>
  <w:footnote w:id="10">
    <w:p w:rsidR="00C01970" w:rsidRPr="008B048C" w:rsidRDefault="00C01970" w:rsidP="00C01970">
      <w:pPr>
        <w:pStyle w:val="Textonotapie"/>
      </w:pPr>
      <w:r w:rsidRPr="008B048C">
        <w:rPr>
          <w:rStyle w:val="Refdenotaalpie"/>
          <w:vertAlign w:val="baseline"/>
        </w:rPr>
        <w:footnoteRef/>
      </w:r>
      <w:r w:rsidRPr="008B048C">
        <w:t xml:space="preserve"> Ver </w:t>
      </w:r>
      <w:proofErr w:type="spellStart"/>
      <w:r w:rsidRPr="008B048C">
        <w:t>Badía</w:t>
      </w:r>
      <w:proofErr w:type="spellEnd"/>
      <w:r w:rsidRPr="008B048C">
        <w:t xml:space="preserve"> (Dir.), Fernández/Carranza La Cuestión del Sáhara Occidental ante la organización de las Naciones Unidas, UC3M, Madrid, 1999. P.28.</w:t>
      </w:r>
    </w:p>
  </w:footnote>
  <w:footnote w:id="11">
    <w:p w:rsidR="00C01970" w:rsidRPr="008B048C" w:rsidRDefault="00C01970" w:rsidP="00C01970">
      <w:pPr>
        <w:pStyle w:val="Textonotapie"/>
      </w:pPr>
      <w:r w:rsidRPr="008B048C">
        <w:rPr>
          <w:rStyle w:val="Refdenotaalpie"/>
          <w:vertAlign w:val="baseline"/>
        </w:rPr>
        <w:footnoteRef/>
      </w:r>
      <w:r w:rsidRPr="008B048C">
        <w:t xml:space="preserve"> Declaración de principios entre España, Marruecos y Mauritania sobre el Sáhara occidental, firmado en Madrid el 14 de noviembre de 1975 y en el que se indica expresamente la terminación de la presencia española antes del 28 de febrero de 1976. </w:t>
      </w:r>
      <w:proofErr w:type="spellStart"/>
      <w:r w:rsidRPr="008B048C">
        <w:t>United</w:t>
      </w:r>
      <w:proofErr w:type="spellEnd"/>
      <w:r w:rsidRPr="008B048C">
        <w:t xml:space="preserve"> </w:t>
      </w:r>
      <w:proofErr w:type="spellStart"/>
      <w:r w:rsidRPr="008B048C">
        <w:t>Nations</w:t>
      </w:r>
      <w:proofErr w:type="spellEnd"/>
      <w:r w:rsidRPr="008B048C">
        <w:t xml:space="preserve"> </w:t>
      </w:r>
      <w:proofErr w:type="spellStart"/>
      <w:r w:rsidRPr="008B048C">
        <w:t>traty</w:t>
      </w:r>
      <w:proofErr w:type="spellEnd"/>
      <w:r w:rsidRPr="008B048C">
        <w:t xml:space="preserve"> series, Vol.988, Núm. 14450, 1975, pp. 257—260. Declaración de principios firmada por Carlos Arias Navarro, Ahmed </w:t>
      </w:r>
      <w:proofErr w:type="spellStart"/>
      <w:r w:rsidRPr="008B048C">
        <w:t>Osman</w:t>
      </w:r>
      <w:proofErr w:type="spellEnd"/>
      <w:r w:rsidRPr="008B048C">
        <w:t xml:space="preserve"> y </w:t>
      </w:r>
      <w:proofErr w:type="spellStart"/>
      <w:r w:rsidRPr="008B048C">
        <w:t>Hamdi</w:t>
      </w:r>
      <w:proofErr w:type="spellEnd"/>
      <w:r w:rsidRPr="008B048C">
        <w:t xml:space="preserve"> </w:t>
      </w:r>
      <w:proofErr w:type="spellStart"/>
      <w:r w:rsidRPr="008B048C">
        <w:t>Mouknass</w:t>
      </w:r>
      <w:proofErr w:type="spellEnd"/>
      <w:r w:rsidRPr="008B048C">
        <w:t>.</w:t>
      </w:r>
    </w:p>
  </w:footnote>
  <w:footnote w:id="12">
    <w:p w:rsidR="00C01970" w:rsidRPr="008B048C" w:rsidRDefault="00C01970" w:rsidP="00C01970">
      <w:pPr>
        <w:pStyle w:val="Textonotapie"/>
      </w:pPr>
      <w:r w:rsidRPr="008B048C">
        <w:rPr>
          <w:rStyle w:val="Refdenotaalpie"/>
          <w:vertAlign w:val="baseline"/>
        </w:rPr>
        <w:footnoteRef/>
      </w:r>
      <w:r w:rsidRPr="008B048C">
        <w:t xml:space="preserve"> Hans </w:t>
      </w:r>
      <w:proofErr w:type="spellStart"/>
      <w:r w:rsidRPr="008B048C">
        <w:t>Correl</w:t>
      </w:r>
      <w:proofErr w:type="spellEnd"/>
      <w:r w:rsidRPr="008B048C">
        <w:t xml:space="preserve"> fue Subsecretario General de Asuntos Jurídicos y Asesor Jurídico de las Naciones Unidas desde 1994 a 2004.</w:t>
      </w:r>
    </w:p>
  </w:footnote>
  <w:footnote w:id="13">
    <w:p w:rsidR="00C01970" w:rsidRPr="008B048C" w:rsidRDefault="00C01970" w:rsidP="00C01970">
      <w:pPr>
        <w:pStyle w:val="Textonotapie"/>
      </w:pPr>
      <w:r w:rsidRPr="008B048C">
        <w:rPr>
          <w:rStyle w:val="Refdenotaalpie"/>
          <w:vertAlign w:val="baseline"/>
        </w:rPr>
        <w:footnoteRef/>
      </w:r>
      <w:r w:rsidRPr="008B048C">
        <w:t xml:space="preserve"> Apartado 6º del Dictamen.</w:t>
      </w:r>
    </w:p>
  </w:footnote>
  <w:footnote w:id="14">
    <w:p w:rsidR="00C01970" w:rsidRPr="008B048C" w:rsidRDefault="00C01970" w:rsidP="00C01970">
      <w:pPr>
        <w:pStyle w:val="Textonotapie"/>
      </w:pPr>
      <w:r w:rsidRPr="008B048C">
        <w:rPr>
          <w:rStyle w:val="Refdenotaalpie"/>
          <w:vertAlign w:val="baseline"/>
        </w:rPr>
        <w:footnoteRef/>
      </w:r>
      <w:r w:rsidRPr="008B048C">
        <w:t xml:space="preserve"> Apartado 7º del Dictamen.</w:t>
      </w:r>
    </w:p>
  </w:footnote>
  <w:footnote w:id="15">
    <w:p w:rsidR="00C01970" w:rsidRPr="008B048C" w:rsidRDefault="00C01970" w:rsidP="00C01970">
      <w:pPr>
        <w:pStyle w:val="Textonotapie"/>
      </w:pPr>
      <w:r w:rsidRPr="008B048C">
        <w:rPr>
          <w:rStyle w:val="Refdenotaalpie"/>
          <w:vertAlign w:val="baseline"/>
        </w:rPr>
        <w:footnoteRef/>
      </w:r>
      <w:r w:rsidRPr="008B048C">
        <w:t xml:space="preserve"> El presidente de la RASD desde 1976 hasta la actualidad es Mohamed </w:t>
      </w:r>
      <w:proofErr w:type="spellStart"/>
      <w:r w:rsidRPr="008B048C">
        <w:t>Abdelaziz</w:t>
      </w:r>
      <w:proofErr w:type="spellEnd"/>
      <w:r w:rsidRPr="008B048C">
        <w:t xml:space="preserve">. </w:t>
      </w:r>
    </w:p>
  </w:footnote>
  <w:footnote w:id="16">
    <w:p w:rsidR="00C01970" w:rsidRPr="008B048C" w:rsidRDefault="00C01970" w:rsidP="00C01970">
      <w:pPr>
        <w:pStyle w:val="Textonotapie"/>
      </w:pPr>
      <w:r w:rsidRPr="008B048C">
        <w:rPr>
          <w:rStyle w:val="Refdenotaalpie"/>
          <w:vertAlign w:val="baseline"/>
        </w:rPr>
        <w:footnoteRef/>
      </w:r>
      <w:r w:rsidRPr="008B048C">
        <w:t xml:space="preserve"> Carta de 26 de febrero de 1976 dirigida al Secretario General por el Representante Permanente de España ante las Naciones Unidas, D. Jaime de </w:t>
      </w:r>
      <w:proofErr w:type="spellStart"/>
      <w:r w:rsidRPr="008B048C">
        <w:t>Pinies</w:t>
      </w:r>
      <w:proofErr w:type="spellEnd"/>
      <w:r w:rsidRPr="008B048C">
        <w:t>, Embajador Representante Permanente.</w:t>
      </w:r>
    </w:p>
  </w:footnote>
  <w:footnote w:id="17">
    <w:p w:rsidR="00C01970" w:rsidRPr="008B048C" w:rsidRDefault="00C01970" w:rsidP="00C01970">
      <w:pPr>
        <w:pStyle w:val="Textonotapie"/>
      </w:pPr>
      <w:r w:rsidRPr="008B048C">
        <w:rPr>
          <w:rStyle w:val="Refdenotaalpie"/>
          <w:vertAlign w:val="baseline"/>
        </w:rPr>
        <w:footnoteRef/>
      </w:r>
      <w:r w:rsidRPr="008B048C">
        <w:t xml:space="preserve"> Argelia permitirá la instauración de miles de saharauis y el Frente Polisario en la región de </w:t>
      </w:r>
      <w:proofErr w:type="spellStart"/>
      <w:r w:rsidRPr="008B048C">
        <w:t>Tinduf</w:t>
      </w:r>
      <w:proofErr w:type="spellEnd"/>
      <w:r w:rsidRPr="008B048C">
        <w:t xml:space="preserve"> a causa de la ocupación de Marruecos y Mauritania, por lo que de aquí en adelante el gobierno argelino constituye el mayor apoyo político del Sáhara Occidental.</w:t>
      </w:r>
    </w:p>
  </w:footnote>
  <w:footnote w:id="18">
    <w:p w:rsidR="00C01970" w:rsidRPr="008B048C" w:rsidRDefault="00C01970" w:rsidP="00C01970">
      <w:pPr>
        <w:pStyle w:val="Textonotapie"/>
      </w:pPr>
      <w:r w:rsidRPr="008B048C">
        <w:rPr>
          <w:rStyle w:val="Refdenotaalpie"/>
          <w:vertAlign w:val="baseline"/>
        </w:rPr>
        <w:footnoteRef/>
      </w:r>
      <w:r w:rsidRPr="008B048C">
        <w:t xml:space="preserve"> Anuario procesos de Paz, </w:t>
      </w:r>
      <w:proofErr w:type="spellStart"/>
      <w:r w:rsidRPr="008B048C">
        <w:t>Vicenç</w:t>
      </w:r>
      <w:proofErr w:type="spellEnd"/>
      <w:r w:rsidRPr="008B048C">
        <w:t xml:space="preserve"> </w:t>
      </w:r>
      <w:proofErr w:type="spellStart"/>
      <w:r w:rsidRPr="008B048C">
        <w:t>Fisas</w:t>
      </w:r>
      <w:proofErr w:type="spellEnd"/>
      <w:r w:rsidRPr="008B048C">
        <w:t xml:space="preserve">, 2009, Icaria </w:t>
      </w:r>
      <w:proofErr w:type="spellStart"/>
      <w:r w:rsidRPr="008B048C">
        <w:t>Editorial.Pág</w:t>
      </w:r>
      <w:proofErr w:type="spellEnd"/>
      <w:r w:rsidRPr="008B048C">
        <w:t>. 105.</w:t>
      </w:r>
    </w:p>
  </w:footnote>
  <w:footnote w:id="19">
    <w:p w:rsidR="00C01970" w:rsidRPr="008B048C" w:rsidRDefault="00C01970" w:rsidP="00C01970">
      <w:pPr>
        <w:pStyle w:val="Textonotapie"/>
      </w:pPr>
      <w:r w:rsidRPr="008B048C">
        <w:rPr>
          <w:rStyle w:val="Refdenotaalpie"/>
          <w:vertAlign w:val="baseline"/>
        </w:rPr>
        <w:footnoteRef/>
      </w:r>
      <w:r w:rsidRPr="008B048C">
        <w:t xml:space="preserve"> Ministerio de Asuntos extranjeros y de la Cooperación de Marruecos. </w:t>
      </w:r>
    </w:p>
  </w:footnote>
  <w:footnote w:id="20">
    <w:p w:rsidR="00C01970" w:rsidRPr="008B048C" w:rsidRDefault="00C01970" w:rsidP="00C01970">
      <w:pPr>
        <w:pStyle w:val="Textonotapie"/>
        <w:rPr>
          <w:lang w:val="en-US"/>
        </w:rPr>
      </w:pPr>
      <w:r w:rsidRPr="008B048C">
        <w:rPr>
          <w:rStyle w:val="Refdenotaalpie"/>
          <w:vertAlign w:val="baseline"/>
        </w:rPr>
        <w:footnoteRef/>
      </w:r>
      <w:r w:rsidRPr="008B048C">
        <w:t xml:space="preserve"> La Cuestión del Sáhara Occidental ante la organización de las Naciones Unidas, </w:t>
      </w:r>
      <w:proofErr w:type="spellStart"/>
      <w:r w:rsidRPr="008B048C">
        <w:t>Badía</w:t>
      </w:r>
      <w:proofErr w:type="spellEnd"/>
      <w:r w:rsidRPr="008B048C">
        <w:t xml:space="preserve"> (Dir.), Fernández/Carranza, UC3M, Madrid, 1999. </w:t>
      </w:r>
      <w:r w:rsidRPr="008B048C">
        <w:rPr>
          <w:lang w:val="en-US"/>
        </w:rPr>
        <w:t>P.17</w:t>
      </w:r>
    </w:p>
  </w:footnote>
  <w:footnote w:id="21">
    <w:p w:rsidR="00C01970" w:rsidRPr="008B048C" w:rsidRDefault="00C01970" w:rsidP="00C01970">
      <w:pPr>
        <w:pStyle w:val="Textonotapie"/>
        <w:rPr>
          <w:lang w:val="en-US"/>
        </w:rPr>
      </w:pPr>
      <w:r w:rsidRPr="008B048C">
        <w:rPr>
          <w:rStyle w:val="Refdenotaalpie"/>
          <w:vertAlign w:val="baseline"/>
        </w:rPr>
        <w:footnoteRef/>
      </w:r>
      <w:r w:rsidRPr="008B048C">
        <w:rPr>
          <w:lang w:val="en-US"/>
        </w:rPr>
        <w:t xml:space="preserve"> </w:t>
      </w:r>
      <w:proofErr w:type="gramStart"/>
      <w:r w:rsidRPr="008B048C">
        <w:rPr>
          <w:lang w:val="en-US"/>
        </w:rPr>
        <w:t xml:space="preserve">The future of Western Sahara, by Stephen </w:t>
      </w:r>
      <w:proofErr w:type="spellStart"/>
      <w:r w:rsidRPr="008B048C">
        <w:rPr>
          <w:lang w:val="en-US"/>
        </w:rPr>
        <w:t>Zunes</w:t>
      </w:r>
      <w:proofErr w:type="spellEnd"/>
      <w:r w:rsidRPr="008B048C">
        <w:rPr>
          <w:lang w:val="en-US"/>
        </w:rPr>
        <w:t>.</w:t>
      </w:r>
      <w:proofErr w:type="gramEnd"/>
      <w:r w:rsidRPr="008B048C">
        <w:rPr>
          <w:lang w:val="en-US"/>
        </w:rPr>
        <w:t xml:space="preserve"> July 20, 2007. Foreign Policy </w:t>
      </w:r>
      <w:proofErr w:type="gramStart"/>
      <w:r w:rsidRPr="008B048C">
        <w:rPr>
          <w:lang w:val="en-US"/>
        </w:rPr>
        <w:t>In</w:t>
      </w:r>
      <w:proofErr w:type="gramEnd"/>
      <w:r w:rsidRPr="008B048C">
        <w:rPr>
          <w:lang w:val="en-US"/>
        </w:rPr>
        <w:t xml:space="preserve"> Focus (FPIF). </w:t>
      </w:r>
    </w:p>
  </w:footnote>
  <w:footnote w:id="22">
    <w:p w:rsidR="00C01970" w:rsidRPr="00571CE1" w:rsidRDefault="00C01970" w:rsidP="00C01970">
      <w:pPr>
        <w:pStyle w:val="Textonotapie"/>
      </w:pPr>
      <w:r w:rsidRPr="008B048C">
        <w:rPr>
          <w:rStyle w:val="Refdenotaalpie"/>
        </w:rPr>
        <w:footnoteRef/>
      </w:r>
      <w:r w:rsidRPr="00571CE1">
        <w:t xml:space="preserve"> Marruecos, Argelia, Túnez y Mauritania. </w:t>
      </w:r>
    </w:p>
  </w:footnote>
  <w:footnote w:id="23">
    <w:p w:rsidR="00C01970" w:rsidRPr="008B048C" w:rsidRDefault="00C01970" w:rsidP="00C01970">
      <w:pPr>
        <w:pStyle w:val="Textonotapie"/>
        <w:rPr>
          <w:lang w:val="es-ES_tradnl"/>
        </w:rPr>
      </w:pPr>
      <w:r w:rsidRPr="008B048C">
        <w:rPr>
          <w:rStyle w:val="Refdenotaalpie"/>
        </w:rPr>
        <w:footnoteRef/>
      </w:r>
      <w:r w:rsidRPr="008B048C">
        <w:t xml:space="preserve"> </w:t>
      </w:r>
      <w:r w:rsidRPr="008B048C">
        <w:rPr>
          <w:lang w:val="es-ES_tradnl"/>
        </w:rPr>
        <w:t xml:space="preserve">Sus intercambios comerciales con el resto del continentes, sobre todo con Asía va a gran ritmo, especialmente con la India, Malasia y China, países que refuerzan sus posiciones en materias primas como la madera, los minerales o el petróleo.  Ver El estado del mundo, Anuario económico geopolítico mundial, </w:t>
      </w:r>
      <w:proofErr w:type="spellStart"/>
      <w:r w:rsidRPr="008B048C">
        <w:rPr>
          <w:lang w:val="es-ES_tradnl"/>
        </w:rPr>
        <w:t>Akal</w:t>
      </w:r>
      <w:proofErr w:type="spellEnd"/>
      <w:r w:rsidRPr="008B048C">
        <w:rPr>
          <w:lang w:val="es-ES_tradnl"/>
        </w:rPr>
        <w:t>, 2010, pág.259.</w:t>
      </w:r>
    </w:p>
  </w:footnote>
  <w:footnote w:id="24">
    <w:p w:rsidR="00C01970" w:rsidRPr="008B048C" w:rsidRDefault="00C01970" w:rsidP="00C01970">
      <w:pPr>
        <w:pStyle w:val="Textonotapie"/>
        <w:rPr>
          <w:lang w:val="es-ES_tradnl"/>
        </w:rPr>
      </w:pPr>
      <w:r w:rsidRPr="008B048C">
        <w:rPr>
          <w:rStyle w:val="Refdenotaalpie"/>
        </w:rPr>
        <w:footnoteRef/>
      </w:r>
      <w:r w:rsidRPr="008B048C">
        <w:t xml:space="preserve"> </w:t>
      </w:r>
      <w:r w:rsidRPr="008B048C">
        <w:rPr>
          <w:lang w:val="es-ES_tradnl"/>
        </w:rPr>
        <w:t>Especialmente Arabia Saudí, libia, Irán, Iraq, Argelia y Kuwait.</w:t>
      </w:r>
    </w:p>
  </w:footnote>
  <w:footnote w:id="25">
    <w:p w:rsidR="00C01970" w:rsidRPr="008B048C" w:rsidRDefault="00C01970" w:rsidP="00C01970">
      <w:pPr>
        <w:pStyle w:val="Textonotapie"/>
        <w:rPr>
          <w:lang w:val="es-ES_tradnl"/>
        </w:rPr>
      </w:pPr>
      <w:r w:rsidRPr="008B048C">
        <w:rPr>
          <w:rStyle w:val="Refdenotaalpie"/>
        </w:rPr>
        <w:footnoteRef/>
      </w:r>
      <w:r w:rsidRPr="008B048C">
        <w:t xml:space="preserve"> </w:t>
      </w:r>
      <w:r w:rsidRPr="008B048C">
        <w:rPr>
          <w:lang w:val="es-ES_tradnl"/>
        </w:rPr>
        <w:t xml:space="preserve">Estos exportan preferentemente materias primas agrícolas y energéticas. </w:t>
      </w:r>
    </w:p>
  </w:footnote>
  <w:footnote w:id="26">
    <w:p w:rsidR="00C01970" w:rsidRPr="008B048C" w:rsidRDefault="00C01970" w:rsidP="00C01970">
      <w:pPr>
        <w:pStyle w:val="Textonotapie"/>
        <w:rPr>
          <w:rFonts w:cs="Arial"/>
        </w:rPr>
      </w:pPr>
      <w:r w:rsidRPr="008B048C">
        <w:rPr>
          <w:rStyle w:val="Refdenotaalpie"/>
          <w:rFonts w:cs="Arial"/>
        </w:rPr>
        <w:footnoteRef/>
      </w:r>
      <w:r w:rsidRPr="008B048C">
        <w:rPr>
          <w:rFonts w:cs="Arial"/>
        </w:rPr>
        <w:t xml:space="preserve"> </w:t>
      </w:r>
      <w:r w:rsidRPr="008B048C">
        <w:rPr>
          <w:lang w:val="es-ES_tradnl"/>
        </w:rPr>
        <w:t xml:space="preserve">El Sáhara Occidental es un territorio ubicado en el Norte de África que cuenta con una extensión de 266.000 km². Se sitúa entre el Océano Atlántico, Argelia, Marruecos y Mauritania, y está habitado principalmente por los saharauis un pueblo de origen nómada. Ver </w:t>
      </w:r>
      <w:proofErr w:type="spellStart"/>
      <w:r w:rsidRPr="008B048C">
        <w:rPr>
          <w:lang w:val="es-ES_tradnl"/>
        </w:rPr>
        <w:t>Penagos</w:t>
      </w:r>
      <w:proofErr w:type="spellEnd"/>
      <w:r w:rsidRPr="008B048C">
        <w:rPr>
          <w:lang w:val="es-ES_tradnl"/>
        </w:rPr>
        <w:t xml:space="preserve"> </w:t>
      </w:r>
      <w:proofErr w:type="spellStart"/>
      <w:r w:rsidRPr="008B048C">
        <w:rPr>
          <w:lang w:val="es-ES_tradnl"/>
        </w:rPr>
        <w:t>Chavarrio</w:t>
      </w:r>
      <w:proofErr w:type="spellEnd"/>
      <w:r w:rsidRPr="008B048C">
        <w:rPr>
          <w:lang w:val="es-ES_tradnl"/>
        </w:rPr>
        <w:t>, Lisandro. “Sahara Occidental, entre la invisibilidad y el reconocimiento internacional”. En Sistemas Políticos Africanos, Debates Contemporáneos en Colombia desde la Ciencia Política. 2007. p. 79</w:t>
      </w:r>
      <w:r w:rsidRPr="008B048C">
        <w:rPr>
          <w:rFonts w:cs="Arial"/>
        </w:rPr>
        <w:t>.</w:t>
      </w:r>
    </w:p>
  </w:footnote>
  <w:footnote w:id="27">
    <w:p w:rsidR="00C01970" w:rsidRPr="008B048C" w:rsidRDefault="00C01970" w:rsidP="00C01970">
      <w:pPr>
        <w:pStyle w:val="Textonotapie"/>
        <w:rPr>
          <w:rFonts w:cs="Arial"/>
          <w:lang w:val="es-ES_tradnl"/>
        </w:rPr>
      </w:pPr>
      <w:r w:rsidRPr="008B048C">
        <w:rPr>
          <w:rStyle w:val="Refdenotaalpie"/>
          <w:rFonts w:cs="Arial"/>
        </w:rPr>
        <w:footnoteRef/>
      </w:r>
      <w:r w:rsidRPr="008B048C">
        <w:rPr>
          <w:rFonts w:cs="Arial"/>
        </w:rPr>
        <w:t xml:space="preserve"> </w:t>
      </w:r>
      <w:r w:rsidRPr="008B048C">
        <w:rPr>
          <w:lang w:val="es-ES_tradnl"/>
        </w:rPr>
        <w:t>La posición de la UE en el conflicto del Sáhara Occidental, una muestra palpable (más) de la primacía de sus intereses económicos y políticos sobre la promoción de la democracia y de los derechos humanos. En Revista de Derecho Comunitario Europeo, núm. 34, Madrid, Septiembre-diciembre (2009). P. 847-848.</w:t>
      </w:r>
    </w:p>
  </w:footnote>
  <w:footnote w:id="28">
    <w:p w:rsidR="00C01970" w:rsidRPr="008B048C" w:rsidRDefault="00C01970" w:rsidP="00C01970">
      <w:pPr>
        <w:pStyle w:val="Textonotapie"/>
      </w:pPr>
      <w:r w:rsidRPr="008B048C">
        <w:rPr>
          <w:rStyle w:val="Refdenotaalpie"/>
        </w:rPr>
        <w:footnoteRef/>
      </w:r>
      <w:r w:rsidRPr="008B048C">
        <w:t xml:space="preserve"> El informe suministra con detalle, además de una información general, información minuciosa relativa a la libertad de expresión, represión o disidencia, tortura y malos tratos, derechos de las personas migrantes, seguridad y medidas antiterroristas, libertad de religión, pena de muerte y campos del frente Polisario.  </w:t>
      </w:r>
    </w:p>
  </w:footnote>
  <w:footnote w:id="29">
    <w:p w:rsidR="00C01970" w:rsidRPr="008B048C" w:rsidRDefault="00C01970" w:rsidP="00C01970">
      <w:pPr>
        <w:pStyle w:val="Textonotapie"/>
        <w:rPr>
          <w:lang w:val="es-ES_tradnl"/>
        </w:rPr>
      </w:pPr>
      <w:r w:rsidRPr="008B048C">
        <w:rPr>
          <w:rStyle w:val="Refdenotaalpie"/>
        </w:rPr>
        <w:footnoteRef/>
      </w:r>
      <w:r w:rsidRPr="008B048C">
        <w:t xml:space="preserve"> </w:t>
      </w:r>
      <w:r w:rsidRPr="008B048C">
        <w:rPr>
          <w:lang w:val="es-ES_tradnl"/>
        </w:rPr>
        <w:t>Fecha de publicación el 13 de mayo de 2011. Ver página web: www.amnesty.org.</w:t>
      </w:r>
    </w:p>
  </w:footnote>
  <w:footnote w:id="30">
    <w:p w:rsidR="00C01970" w:rsidRPr="008B048C" w:rsidRDefault="00C01970" w:rsidP="00C01970">
      <w:pPr>
        <w:pStyle w:val="Textonotapie"/>
        <w:rPr>
          <w:lang w:val="es-ES_tradnl"/>
        </w:rPr>
      </w:pPr>
      <w:r w:rsidRPr="008B048C">
        <w:rPr>
          <w:rStyle w:val="Refdenotaalpie"/>
        </w:rPr>
        <w:footnoteRef/>
      </w:r>
      <w:r w:rsidRPr="008B048C">
        <w:t xml:space="preserve"> </w:t>
      </w:r>
      <w:r w:rsidRPr="008B048C">
        <w:rPr>
          <w:lang w:val="es-ES_tradnl"/>
        </w:rPr>
        <w:t xml:space="preserve">Ver noticias de Marruecos. Boletín informativo de la Embajada de Marruecos en </w:t>
      </w:r>
      <w:proofErr w:type="spellStart"/>
      <w:r w:rsidRPr="008B048C">
        <w:rPr>
          <w:lang w:val="es-ES_tradnl"/>
        </w:rPr>
        <w:t>perú</w:t>
      </w:r>
      <w:proofErr w:type="spellEnd"/>
      <w:r w:rsidRPr="008B048C">
        <w:rPr>
          <w:lang w:val="es-ES_tradnl"/>
        </w:rPr>
        <w:t xml:space="preserve">, julio 2011. Pág. Web: </w:t>
      </w:r>
      <w:hyperlink r:id="rId1" w:history="1">
        <w:r w:rsidRPr="008B048C">
          <w:rPr>
            <w:rStyle w:val="Hipervnculo"/>
            <w:lang w:val="es-ES_tradnl"/>
          </w:rPr>
          <w:t>www.embajadamarruecoslima.com</w:t>
        </w:r>
      </w:hyperlink>
      <w:r w:rsidRPr="008B048C">
        <w:rPr>
          <w:lang w:val="es-ES_tradnl"/>
        </w:rPr>
        <w:t>.</w:t>
      </w:r>
    </w:p>
    <w:p w:rsidR="00C01970" w:rsidRPr="008B048C" w:rsidRDefault="00C01970" w:rsidP="00C01970">
      <w:pPr>
        <w:pStyle w:val="Textonotapie"/>
        <w:rPr>
          <w:lang w:val="es-ES_tradnl"/>
        </w:rPr>
      </w:pPr>
    </w:p>
  </w:footnote>
  <w:footnote w:id="31">
    <w:p w:rsidR="00C01970" w:rsidRPr="008B048C" w:rsidRDefault="00C01970" w:rsidP="00C01970">
      <w:pPr>
        <w:pStyle w:val="Textonotapie"/>
        <w:rPr>
          <w:lang w:val="es-ES_tradnl"/>
        </w:rPr>
      </w:pPr>
      <w:r w:rsidRPr="008B048C">
        <w:rPr>
          <w:rStyle w:val="Refdenotaalpie"/>
        </w:rPr>
        <w:footnoteRef/>
      </w:r>
      <w:r w:rsidRPr="008B048C">
        <w:t xml:space="preserve"> </w:t>
      </w:r>
      <w:r w:rsidRPr="008B048C">
        <w:rPr>
          <w:lang w:val="es-ES_tradnl"/>
        </w:rPr>
        <w:t xml:space="preserve">Ver El Estado del Mundo. Anuario económico geopolítico mundial, </w:t>
      </w:r>
      <w:proofErr w:type="spellStart"/>
      <w:r w:rsidRPr="008B048C">
        <w:rPr>
          <w:lang w:val="es-ES_tradnl"/>
        </w:rPr>
        <w:t>Akal</w:t>
      </w:r>
      <w:proofErr w:type="spellEnd"/>
      <w:r w:rsidRPr="008B048C">
        <w:rPr>
          <w:lang w:val="es-ES_tradnl"/>
        </w:rPr>
        <w:t xml:space="preserve">, 2010. </w:t>
      </w:r>
      <w:proofErr w:type="spellStart"/>
      <w:r w:rsidRPr="008B048C">
        <w:rPr>
          <w:lang w:val="es-ES_tradnl"/>
        </w:rPr>
        <w:t>Págs</w:t>
      </w:r>
      <w:proofErr w:type="spellEnd"/>
      <w:r w:rsidRPr="008B048C">
        <w:rPr>
          <w:lang w:val="es-ES_tradnl"/>
        </w:rPr>
        <w:t xml:space="preserve">: 273-274. </w:t>
      </w:r>
    </w:p>
  </w:footnote>
  <w:footnote w:id="32">
    <w:p w:rsidR="00C01970" w:rsidRPr="008B048C" w:rsidRDefault="00C01970" w:rsidP="00C01970">
      <w:pPr>
        <w:pStyle w:val="Textonotapie"/>
        <w:rPr>
          <w:rFonts w:cs="Arial"/>
        </w:rPr>
      </w:pPr>
      <w:r w:rsidRPr="008B048C">
        <w:rPr>
          <w:rStyle w:val="Refdenotaalpie"/>
          <w:rFonts w:cs="Arial"/>
        </w:rPr>
        <w:footnoteRef/>
      </w:r>
      <w:r w:rsidRPr="008B048C">
        <w:rPr>
          <w:rFonts w:cs="Arial"/>
        </w:rPr>
        <w:t xml:space="preserve"> África-</w:t>
      </w:r>
      <w:proofErr w:type="spellStart"/>
      <w:r w:rsidRPr="008B048C">
        <w:rPr>
          <w:rFonts w:cs="Arial"/>
        </w:rPr>
        <w:t>Europe</w:t>
      </w:r>
      <w:proofErr w:type="spellEnd"/>
      <w:r w:rsidRPr="008B048C">
        <w:rPr>
          <w:rFonts w:cs="Arial"/>
        </w:rPr>
        <w:t xml:space="preserve">: </w:t>
      </w:r>
      <w:proofErr w:type="spellStart"/>
      <w:r w:rsidRPr="008B048C">
        <w:rPr>
          <w:rFonts w:cs="Arial"/>
        </w:rPr>
        <w:t>The</w:t>
      </w:r>
      <w:proofErr w:type="spellEnd"/>
      <w:r w:rsidRPr="008B048C">
        <w:rPr>
          <w:rFonts w:cs="Arial"/>
        </w:rPr>
        <w:t xml:space="preserve"> indispensable Alliance, Louis MICHEL, </w:t>
      </w:r>
      <w:proofErr w:type="spellStart"/>
      <w:r w:rsidRPr="008B048C">
        <w:rPr>
          <w:rFonts w:cs="Arial"/>
        </w:rPr>
        <w:t>European</w:t>
      </w:r>
      <w:proofErr w:type="spellEnd"/>
      <w:r w:rsidRPr="008B048C">
        <w:rPr>
          <w:rFonts w:cs="Arial"/>
        </w:rPr>
        <w:t xml:space="preserve"> </w:t>
      </w:r>
      <w:proofErr w:type="spellStart"/>
      <w:r w:rsidRPr="008B048C">
        <w:rPr>
          <w:rFonts w:cs="Arial"/>
        </w:rPr>
        <w:t>Commission</w:t>
      </w:r>
      <w:proofErr w:type="spellEnd"/>
      <w:r w:rsidRPr="008B048C">
        <w:rPr>
          <w:rFonts w:cs="Arial"/>
        </w:rPr>
        <w:t>, 2008.</w:t>
      </w:r>
    </w:p>
  </w:footnote>
  <w:footnote w:id="33">
    <w:p w:rsidR="00C01970" w:rsidRPr="008B048C" w:rsidRDefault="00C01970" w:rsidP="00C01970">
      <w:pPr>
        <w:pStyle w:val="Textonotapie"/>
      </w:pPr>
      <w:r w:rsidRPr="008B048C">
        <w:rPr>
          <w:rStyle w:val="Refdenotaalpie"/>
        </w:rPr>
        <w:footnoteRef/>
      </w:r>
      <w:r w:rsidRPr="008B048C">
        <w:t xml:space="preserve"> Para el desarrollo de este apartado se ha seguido muy de cerca el trabajo correspondiente a </w:t>
      </w:r>
      <w:proofErr w:type="spellStart"/>
      <w:r w:rsidRPr="008B048C">
        <w:t>Vicenç</w:t>
      </w:r>
      <w:proofErr w:type="spellEnd"/>
      <w:r w:rsidRPr="008B048C">
        <w:t xml:space="preserve"> </w:t>
      </w:r>
      <w:proofErr w:type="spellStart"/>
      <w:r w:rsidRPr="008B048C">
        <w:t>Fisas</w:t>
      </w:r>
      <w:proofErr w:type="spellEnd"/>
      <w:r w:rsidRPr="008B048C">
        <w:t xml:space="preserve">, Anuario Procesos de Paz, Icaria editorial, 2009. </w:t>
      </w:r>
      <w:proofErr w:type="spellStart"/>
      <w:r w:rsidRPr="008B048C">
        <w:t>Págs</w:t>
      </w:r>
      <w:proofErr w:type="spellEnd"/>
      <w:r w:rsidRPr="008B048C">
        <w:t>: 105110.</w:t>
      </w:r>
    </w:p>
  </w:footnote>
  <w:footnote w:id="34">
    <w:p w:rsidR="00C01970" w:rsidRPr="008B048C" w:rsidRDefault="00C01970" w:rsidP="00C01970">
      <w:pPr>
        <w:pStyle w:val="Textonotapie"/>
      </w:pPr>
      <w:r w:rsidRPr="008B048C">
        <w:rPr>
          <w:rStyle w:val="Refdenotaalpie"/>
        </w:rPr>
        <w:footnoteRef/>
      </w:r>
      <w:r w:rsidRPr="008B048C">
        <w:t xml:space="preserve"> La confección del censo es complejo al ser la población nómada, con una estructura social compuesta de numerosas tribus, y la importancia de los movimientos de refugiados existentes hacia países vecinos. Por tanto, es difícil conocer quién es población autóctona.</w:t>
      </w:r>
    </w:p>
  </w:footnote>
  <w:footnote w:id="35">
    <w:p w:rsidR="00C01970" w:rsidRPr="008B048C" w:rsidRDefault="00C01970" w:rsidP="00C01970">
      <w:pPr>
        <w:pStyle w:val="Textonotapie"/>
      </w:pPr>
      <w:r w:rsidRPr="008B048C">
        <w:rPr>
          <w:rStyle w:val="Refdenotaalpie"/>
        </w:rPr>
        <w:footnoteRef/>
      </w:r>
      <w:r w:rsidRPr="008B048C">
        <w:t xml:space="preserve"> </w:t>
      </w:r>
      <w:proofErr w:type="spellStart"/>
      <w:r w:rsidRPr="008B048C">
        <w:t>Badía</w:t>
      </w:r>
      <w:proofErr w:type="spellEnd"/>
      <w:r w:rsidRPr="008B048C">
        <w:t>. Pág. 38.</w:t>
      </w:r>
    </w:p>
  </w:footnote>
  <w:footnote w:id="36">
    <w:p w:rsidR="00C01970" w:rsidRPr="008B048C" w:rsidRDefault="00C01970" w:rsidP="00C01970">
      <w:pPr>
        <w:pStyle w:val="Textonotapie"/>
      </w:pPr>
      <w:r w:rsidRPr="008B048C">
        <w:rPr>
          <w:rStyle w:val="Refdenotaalpie"/>
        </w:rPr>
        <w:footnoteRef/>
      </w:r>
      <w:r w:rsidRPr="008B048C">
        <w:t xml:space="preserve"> </w:t>
      </w:r>
      <w:proofErr w:type="spellStart"/>
      <w:r w:rsidRPr="008B048C">
        <w:t>Badía</w:t>
      </w:r>
      <w:proofErr w:type="spellEnd"/>
      <w:r w:rsidRPr="008B048C">
        <w:t xml:space="preserve"> </w:t>
      </w:r>
      <w:proofErr w:type="spellStart"/>
      <w:r w:rsidRPr="008B048C">
        <w:t>pág</w:t>
      </w:r>
      <w:proofErr w:type="spellEnd"/>
      <w:r w:rsidRPr="008B048C">
        <w:t xml:space="preserve"> 42.</w:t>
      </w:r>
    </w:p>
  </w:footnote>
  <w:footnote w:id="37">
    <w:p w:rsidR="00C01970" w:rsidRPr="008B048C" w:rsidRDefault="00C01970" w:rsidP="00C01970">
      <w:pPr>
        <w:pStyle w:val="Textonotapie"/>
        <w:rPr>
          <w:lang w:val="es-ES_tradnl"/>
        </w:rPr>
      </w:pPr>
      <w:r w:rsidRPr="008B048C">
        <w:rPr>
          <w:rStyle w:val="Refdenotaalpie"/>
        </w:rPr>
        <w:footnoteRef/>
      </w:r>
      <w:r w:rsidRPr="008B048C">
        <w:t xml:space="preserve"> </w:t>
      </w:r>
      <w:proofErr w:type="spellStart"/>
      <w:r w:rsidRPr="008B048C">
        <w:rPr>
          <w:lang w:val="es-ES_tradnl"/>
        </w:rPr>
        <w:t>Badía</w:t>
      </w:r>
      <w:proofErr w:type="spellEnd"/>
      <w:r w:rsidRPr="008B048C">
        <w:rPr>
          <w:lang w:val="es-ES_tradnl"/>
        </w:rPr>
        <w:t>, Obra citada, pág. 57</w:t>
      </w:r>
    </w:p>
  </w:footnote>
  <w:footnote w:id="38">
    <w:p w:rsidR="00C01970" w:rsidRPr="008B048C" w:rsidRDefault="00C01970" w:rsidP="00C01970">
      <w:pPr>
        <w:pStyle w:val="Textonotapie"/>
      </w:pPr>
      <w:r w:rsidRPr="008B048C">
        <w:rPr>
          <w:rStyle w:val="Refdenotaalpie"/>
        </w:rPr>
        <w:footnoteRef/>
      </w:r>
      <w:r w:rsidRPr="008B048C">
        <w:t xml:space="preserve"> En diciembre de2010 el Consejo Real Consultivo para el Sáhara adoptó por unanimidad el plan de autonomía sobre el Sáhara y lo sometió al monarca para su aprobación. El documento presentado por el saharaui </w:t>
      </w:r>
      <w:proofErr w:type="spellStart"/>
      <w:r w:rsidRPr="008B048C">
        <w:t>promarroquí</w:t>
      </w:r>
      <w:proofErr w:type="spellEnd"/>
      <w:r w:rsidRPr="008B048C">
        <w:t xml:space="preserve"> Sr. K. </w:t>
      </w:r>
      <w:proofErr w:type="spellStart"/>
      <w:r w:rsidRPr="008B048C">
        <w:t>Ould</w:t>
      </w:r>
      <w:proofErr w:type="spellEnd"/>
      <w:r w:rsidRPr="008B048C">
        <w:t xml:space="preserve"> </w:t>
      </w:r>
      <w:proofErr w:type="spellStart"/>
      <w:r w:rsidRPr="008B048C">
        <w:t>Errachid</w:t>
      </w:r>
      <w:proofErr w:type="spellEnd"/>
      <w:r w:rsidRPr="008B048C">
        <w:t xml:space="preserve"> se proponía para el Sáhara una reforma constitucional y dicha propuesta estaba inspirada en las autonomías españolas.</w:t>
      </w:r>
    </w:p>
  </w:footnote>
  <w:footnote w:id="39">
    <w:p w:rsidR="00C01970" w:rsidRPr="008B048C" w:rsidRDefault="00C01970" w:rsidP="00C01970">
      <w:pPr>
        <w:pStyle w:val="Textonotapie"/>
        <w:rPr>
          <w:lang w:val="es-ES_tradnl"/>
        </w:rPr>
      </w:pPr>
      <w:r w:rsidRPr="008B048C">
        <w:rPr>
          <w:rStyle w:val="Refdenotaalpie"/>
        </w:rPr>
        <w:footnoteRef/>
      </w:r>
      <w:r w:rsidRPr="008B048C">
        <w:t xml:space="preserve"> </w:t>
      </w:r>
      <w:r w:rsidRPr="008B048C">
        <w:rPr>
          <w:lang w:val="es-ES_tradnl"/>
        </w:rPr>
        <w:t xml:space="preserve">El papel de la MINURSO  en este proceso, a través de su unidad militar, consiste en verificar </w:t>
      </w:r>
      <w:proofErr w:type="spellStart"/>
      <w:r w:rsidRPr="008B048C">
        <w:rPr>
          <w:lang w:val="es-ES_tradnl"/>
        </w:rPr>
        <w:t>ekl</w:t>
      </w:r>
      <w:proofErr w:type="spellEnd"/>
      <w:r w:rsidRPr="008B048C">
        <w:rPr>
          <w:lang w:val="es-ES_tradnl"/>
        </w:rPr>
        <w:t xml:space="preserve"> número  de efectivos de cada una de las tropas –una vez se estableciese el número exacto por el Representante especial-y vigilar el acantonamiento en los lugares fijados para ambas partes en el territorio del Sáhara y para los efectivos del Frente Polisario en Mauritania y Argelia. Pág. 65 </w:t>
      </w:r>
      <w:proofErr w:type="spellStart"/>
      <w:r w:rsidRPr="008B048C">
        <w:rPr>
          <w:lang w:val="es-ES_tradnl"/>
        </w:rPr>
        <w:t>Badía</w:t>
      </w:r>
      <w:proofErr w:type="spellEnd"/>
      <w:r w:rsidRPr="008B048C">
        <w:rPr>
          <w:lang w:val="es-ES_tradnl"/>
        </w:rPr>
        <w:t>.</w:t>
      </w:r>
    </w:p>
  </w:footnote>
  <w:footnote w:id="40">
    <w:p w:rsidR="00C01970" w:rsidRPr="008B048C" w:rsidRDefault="00C01970" w:rsidP="00C01970">
      <w:pPr>
        <w:pStyle w:val="Textonotapie"/>
      </w:pPr>
      <w:r w:rsidRPr="008B048C">
        <w:rPr>
          <w:rStyle w:val="Refdenotaalpie"/>
        </w:rPr>
        <w:footnoteRef/>
      </w:r>
      <w:r w:rsidRPr="008B048C">
        <w:t xml:space="preserve"> </w:t>
      </w:r>
      <w:proofErr w:type="spellStart"/>
      <w:r w:rsidRPr="008B048C">
        <w:t>Badía</w:t>
      </w:r>
      <w:proofErr w:type="spellEnd"/>
      <w:r w:rsidRPr="008B048C">
        <w:t xml:space="preserve"> Págs. 55-56</w:t>
      </w:r>
    </w:p>
  </w:footnote>
  <w:footnote w:id="41">
    <w:p w:rsidR="00C01970" w:rsidRPr="008B048C" w:rsidRDefault="00C01970" w:rsidP="00C01970">
      <w:pPr>
        <w:pStyle w:val="Textonotapie"/>
      </w:pPr>
      <w:r w:rsidRPr="008B048C">
        <w:rPr>
          <w:rStyle w:val="Refdenotaalpie"/>
        </w:rPr>
        <w:footnoteRef/>
      </w:r>
      <w:r w:rsidRPr="008B048C">
        <w:t xml:space="preserve"> Informe del Secretario General de 19 de octubre de 2007 (S/2007/619).</w:t>
      </w:r>
    </w:p>
  </w:footnote>
  <w:footnote w:id="42">
    <w:p w:rsidR="00C01970" w:rsidRPr="008B048C" w:rsidRDefault="00C01970" w:rsidP="00C01970">
      <w:pPr>
        <w:pStyle w:val="Textonotapie"/>
        <w:rPr>
          <w:rFonts w:cs="Arial"/>
        </w:rPr>
      </w:pPr>
      <w:r w:rsidRPr="008B048C">
        <w:rPr>
          <w:rStyle w:val="Refdenotaalpie"/>
          <w:rFonts w:cs="Arial"/>
        </w:rPr>
        <w:footnoteRef/>
      </w:r>
      <w:r w:rsidRPr="008B048C">
        <w:rPr>
          <w:rFonts w:cs="Arial"/>
        </w:rPr>
        <w:t xml:space="preserve"> Es importante reseñar la firma de la carta Africana de 1981 y la firma de la Convención de la Unión Africana para la Protección y la asistencia de los desplazados internos en África (Convención de Kampala, Uganda, Adoptada el 22 de octubre de 2009).</w:t>
      </w:r>
    </w:p>
  </w:footnote>
  <w:footnote w:id="43">
    <w:p w:rsidR="00C01970" w:rsidRPr="008B048C" w:rsidRDefault="00C01970" w:rsidP="00C01970">
      <w:pPr>
        <w:pStyle w:val="Textonotapie"/>
        <w:rPr>
          <w:rFonts w:cs="Arial"/>
          <w:lang w:val="en-US"/>
        </w:rPr>
      </w:pPr>
      <w:r w:rsidRPr="008B048C">
        <w:rPr>
          <w:rStyle w:val="Refdenotaalpie"/>
          <w:rFonts w:cs="Arial"/>
        </w:rPr>
        <w:footnoteRef/>
      </w:r>
      <w:r w:rsidRPr="008B048C">
        <w:rPr>
          <w:rFonts w:cs="Arial"/>
          <w:lang w:val="en-US"/>
        </w:rPr>
        <w:t xml:space="preserve"> </w:t>
      </w:r>
      <w:r w:rsidRPr="008B048C">
        <w:rPr>
          <w:rFonts w:cs="Arial"/>
          <w:bCs/>
          <w:lang w:val="en-US"/>
        </w:rPr>
        <w:t>URGES the parties to the conflict, the Kingdom of Morocco and the POLISARIO Front, to undertake direct negotiations with a view to bringing about a ceasefire to create the necessary condition for a peaceful and fair referendum for self-determination of the people of Western Sahara, a referendum without any administrative or military constraints, under the auspices of the OAU and the UN and CALLS on the Implementation Committee to ensure the observance of the ceasefire.</w:t>
      </w:r>
    </w:p>
  </w:footnote>
  <w:footnote w:id="44">
    <w:p w:rsidR="00C01970" w:rsidRPr="008B048C" w:rsidRDefault="00C01970" w:rsidP="00C01970">
      <w:pPr>
        <w:pStyle w:val="Textonotapie"/>
        <w:rPr>
          <w:rFonts w:cs="Arial"/>
          <w:lang w:val="es-ES_tradnl"/>
        </w:rPr>
      </w:pPr>
      <w:r w:rsidRPr="008B048C">
        <w:rPr>
          <w:rStyle w:val="Refdenotaalpie"/>
          <w:rFonts w:cs="Arial"/>
        </w:rPr>
        <w:footnoteRef/>
      </w:r>
      <w:r w:rsidRPr="008B048C">
        <w:rPr>
          <w:rFonts w:cs="Arial"/>
        </w:rPr>
        <w:t xml:space="preserve"> </w:t>
      </w:r>
      <w:proofErr w:type="spellStart"/>
      <w:r w:rsidRPr="008B048C">
        <w:rPr>
          <w:rFonts w:cs="Arial"/>
          <w:lang w:val="es-ES_tradnl"/>
        </w:rPr>
        <w:t>Badía</w:t>
      </w:r>
      <w:proofErr w:type="spellEnd"/>
      <w:r w:rsidRPr="008B048C">
        <w:rPr>
          <w:rFonts w:cs="Arial"/>
          <w:lang w:val="es-ES_tradnl"/>
        </w:rPr>
        <w:t>. Obra citada. Pág. 32.</w:t>
      </w:r>
    </w:p>
  </w:footnote>
  <w:footnote w:id="45">
    <w:p w:rsidR="00C01970" w:rsidRPr="008B048C" w:rsidRDefault="00C01970" w:rsidP="00C01970">
      <w:pPr>
        <w:pStyle w:val="Textonotapie"/>
        <w:rPr>
          <w:rFonts w:cs="Arial"/>
          <w:lang w:val="es-ES_tradnl"/>
        </w:rPr>
      </w:pPr>
      <w:r w:rsidRPr="008B048C">
        <w:rPr>
          <w:rStyle w:val="Refdenotaalpie"/>
          <w:rFonts w:cs="Arial"/>
        </w:rPr>
        <w:footnoteRef/>
      </w:r>
      <w:r w:rsidRPr="008B048C">
        <w:rPr>
          <w:rFonts w:cs="Arial"/>
        </w:rPr>
        <w:t xml:space="preserve"> Además, según  noticias de ACNUR, El Alto Comisionado de las Naciones Unidas para los Refugiados, </w:t>
      </w:r>
      <w:proofErr w:type="spellStart"/>
      <w:r w:rsidRPr="008B048C">
        <w:rPr>
          <w:rFonts w:cs="Arial"/>
        </w:rPr>
        <w:t>António</w:t>
      </w:r>
      <w:proofErr w:type="spellEnd"/>
      <w:r w:rsidRPr="008B048C">
        <w:rPr>
          <w:rFonts w:cs="Arial"/>
        </w:rPr>
        <w:t xml:space="preserve"> </w:t>
      </w:r>
      <w:proofErr w:type="spellStart"/>
      <w:r w:rsidRPr="008B048C">
        <w:rPr>
          <w:rFonts w:cs="Arial"/>
        </w:rPr>
        <w:t>Guterres</w:t>
      </w:r>
      <w:proofErr w:type="spellEnd"/>
      <w:r w:rsidRPr="008B048C">
        <w:rPr>
          <w:rFonts w:cs="Arial"/>
        </w:rPr>
        <w:t xml:space="preserve">, que participó en la cumbre de la Unión Africana en Kampala en representación del Secretario General de la ONU </w:t>
      </w:r>
      <w:proofErr w:type="spellStart"/>
      <w:r w:rsidRPr="008B048C">
        <w:rPr>
          <w:rFonts w:cs="Arial"/>
        </w:rPr>
        <w:t>Ban</w:t>
      </w:r>
      <w:proofErr w:type="spellEnd"/>
      <w:r w:rsidRPr="008B048C">
        <w:rPr>
          <w:rFonts w:cs="Arial"/>
        </w:rPr>
        <w:t xml:space="preserve"> </w:t>
      </w:r>
      <w:proofErr w:type="spellStart"/>
      <w:r w:rsidRPr="008B048C">
        <w:rPr>
          <w:rFonts w:cs="Arial"/>
        </w:rPr>
        <w:t>Ki-moon</w:t>
      </w:r>
      <w:proofErr w:type="spellEnd"/>
      <w:r w:rsidRPr="008B048C">
        <w:rPr>
          <w:rFonts w:cs="Arial"/>
        </w:rPr>
        <w:t>, destacó que con la Convención el concepto de "responsabilidad de proteger" se convierte en acción, agregando que la Convención nos recuerda que le pertenece en primer lugar a cada Estado la responsabilidad de proteger a sus propios ciudadanos y cuando un Estado no cumpla con ese deber, existe ahora una responsabilidad colectiva, en África, para tomar acción.</w:t>
      </w:r>
    </w:p>
  </w:footnote>
  <w:footnote w:id="46">
    <w:p w:rsidR="00C01970" w:rsidRPr="008B048C" w:rsidRDefault="00C01970" w:rsidP="00C01970">
      <w:pPr>
        <w:pStyle w:val="Textonotapie"/>
        <w:rPr>
          <w:rFonts w:cs="Arial"/>
          <w:lang w:val="es-ES_tradnl"/>
        </w:rPr>
      </w:pPr>
      <w:r w:rsidRPr="008B048C">
        <w:rPr>
          <w:rStyle w:val="Refdenotaalpie"/>
          <w:rFonts w:cs="Arial"/>
        </w:rPr>
        <w:footnoteRef/>
      </w:r>
      <w:r w:rsidRPr="008B048C">
        <w:rPr>
          <w:rFonts w:cs="Arial"/>
        </w:rPr>
        <w:t xml:space="preserve"> </w:t>
      </w:r>
      <w:r w:rsidRPr="008B048C">
        <w:rPr>
          <w:rFonts w:cs="Arial"/>
          <w:lang w:val="es-ES_tradnl"/>
        </w:rPr>
        <w:t xml:space="preserve">Ver FAO: La </w:t>
      </w:r>
      <w:proofErr w:type="spellStart"/>
      <w:r w:rsidRPr="008B048C">
        <w:rPr>
          <w:rFonts w:cs="Arial"/>
          <w:lang w:val="es-ES_tradnl"/>
        </w:rPr>
        <w:t>stratègie</w:t>
      </w:r>
      <w:proofErr w:type="spellEnd"/>
      <w:r w:rsidRPr="008B048C">
        <w:rPr>
          <w:rFonts w:cs="Arial"/>
          <w:lang w:val="es-ES_tradnl"/>
        </w:rPr>
        <w:t xml:space="preserve"> de </w:t>
      </w:r>
      <w:proofErr w:type="spellStart"/>
      <w:r w:rsidRPr="008B048C">
        <w:rPr>
          <w:rFonts w:cs="Arial"/>
          <w:lang w:val="es-ES_tradnl"/>
        </w:rPr>
        <w:t>l’Union</w:t>
      </w:r>
      <w:proofErr w:type="spellEnd"/>
      <w:r w:rsidRPr="008B048C">
        <w:rPr>
          <w:rFonts w:cs="Arial"/>
          <w:lang w:val="es-ES_tradnl"/>
        </w:rPr>
        <w:t xml:space="preserve"> </w:t>
      </w:r>
      <w:proofErr w:type="spellStart"/>
      <w:r w:rsidRPr="008B048C">
        <w:rPr>
          <w:rFonts w:cs="Arial"/>
          <w:lang w:val="es-ES_tradnl"/>
        </w:rPr>
        <w:t>Africaine</w:t>
      </w:r>
      <w:proofErr w:type="spellEnd"/>
      <w:r w:rsidRPr="008B048C">
        <w:rPr>
          <w:rFonts w:cs="Arial"/>
          <w:lang w:val="es-ES_tradnl"/>
        </w:rPr>
        <w:t xml:space="preserve"> </w:t>
      </w:r>
      <w:proofErr w:type="spellStart"/>
      <w:r w:rsidRPr="008B048C">
        <w:rPr>
          <w:rFonts w:cs="Arial"/>
          <w:lang w:val="es-ES_tradnl"/>
        </w:rPr>
        <w:t>pour</w:t>
      </w:r>
      <w:proofErr w:type="spellEnd"/>
      <w:r w:rsidRPr="008B048C">
        <w:rPr>
          <w:rFonts w:cs="Arial"/>
          <w:lang w:val="es-ES_tradnl"/>
        </w:rPr>
        <w:t xml:space="preserve"> </w:t>
      </w:r>
      <w:proofErr w:type="spellStart"/>
      <w:r w:rsidRPr="008B048C">
        <w:rPr>
          <w:rFonts w:cs="Arial"/>
          <w:lang w:val="es-ES_tradnl"/>
        </w:rPr>
        <w:t>l’integration</w:t>
      </w:r>
      <w:proofErr w:type="spellEnd"/>
      <w:r w:rsidRPr="008B048C">
        <w:rPr>
          <w:rFonts w:cs="Arial"/>
          <w:lang w:val="es-ES_tradnl"/>
        </w:rPr>
        <w:t>”</w:t>
      </w:r>
    </w:p>
  </w:footnote>
  <w:footnote w:id="47">
    <w:p w:rsidR="00C01970" w:rsidRPr="008B048C" w:rsidRDefault="00C01970" w:rsidP="00C01970">
      <w:pPr>
        <w:pStyle w:val="Textonotapie"/>
        <w:rPr>
          <w:rFonts w:cs="Arial"/>
          <w:lang w:val="es-ES_tradnl"/>
        </w:rPr>
      </w:pPr>
      <w:r w:rsidRPr="008B048C">
        <w:rPr>
          <w:rStyle w:val="Refdenotaalpie"/>
          <w:rFonts w:cs="Arial"/>
        </w:rPr>
        <w:footnoteRef/>
      </w:r>
      <w:r w:rsidRPr="008B048C">
        <w:rPr>
          <w:rFonts w:cs="Arial"/>
        </w:rPr>
        <w:t xml:space="preserve"> </w:t>
      </w:r>
      <w:r w:rsidRPr="008B048C">
        <w:rPr>
          <w:rFonts w:cs="Arial"/>
          <w:lang w:val="es-ES_tradnl"/>
        </w:rPr>
        <w:t xml:space="preserve">Ya desde 2004 a 2006 el Rey de Marruecos visitó </w:t>
      </w:r>
      <w:r w:rsidRPr="008B048C">
        <w:rPr>
          <w:rFonts w:cs="Arial"/>
        </w:rPr>
        <w:t>Benín, Camerún, Nigeria, Gabón y Senegal; la segunda gira se realiza en el 2005 en Mauritania, Burkina Faso y nuevamente en Senegal y Gabón; y finalmente, en el 2006 el gobierno marroquí visita a Gambia, Congo y la República Democrática del Congo.</w:t>
      </w:r>
      <w:r w:rsidRPr="008B048C">
        <w:rPr>
          <w:rFonts w:cs="Arial"/>
          <w:lang w:val="es-ES_tradnl"/>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4952CA"/>
    <w:multiLevelType w:val="hybridMultilevel"/>
    <w:tmpl w:val="881ACE10"/>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4FE5385E"/>
    <w:multiLevelType w:val="hybridMultilevel"/>
    <w:tmpl w:val="6C162712"/>
    <w:lvl w:ilvl="0" w:tplc="2C94AAE0">
      <w:start w:val="1"/>
      <w:numFmt w:val="bullet"/>
      <w:lvlText w:val="•"/>
      <w:lvlJc w:val="left"/>
      <w:pPr>
        <w:tabs>
          <w:tab w:val="num" w:pos="720"/>
        </w:tabs>
        <w:ind w:left="720" w:hanging="360"/>
      </w:pPr>
      <w:rPr>
        <w:rFonts w:ascii="Arial" w:hAnsi="Arial" w:hint="default"/>
      </w:rPr>
    </w:lvl>
    <w:lvl w:ilvl="1" w:tplc="C6BA4344" w:tentative="1">
      <w:start w:val="1"/>
      <w:numFmt w:val="bullet"/>
      <w:lvlText w:val="•"/>
      <w:lvlJc w:val="left"/>
      <w:pPr>
        <w:tabs>
          <w:tab w:val="num" w:pos="1440"/>
        </w:tabs>
        <w:ind w:left="1440" w:hanging="360"/>
      </w:pPr>
      <w:rPr>
        <w:rFonts w:ascii="Arial" w:hAnsi="Arial" w:hint="default"/>
      </w:rPr>
    </w:lvl>
    <w:lvl w:ilvl="2" w:tplc="DAE044CE" w:tentative="1">
      <w:start w:val="1"/>
      <w:numFmt w:val="bullet"/>
      <w:lvlText w:val="•"/>
      <w:lvlJc w:val="left"/>
      <w:pPr>
        <w:tabs>
          <w:tab w:val="num" w:pos="2160"/>
        </w:tabs>
        <w:ind w:left="2160" w:hanging="360"/>
      </w:pPr>
      <w:rPr>
        <w:rFonts w:ascii="Arial" w:hAnsi="Arial" w:hint="default"/>
      </w:rPr>
    </w:lvl>
    <w:lvl w:ilvl="3" w:tplc="280A7B3A" w:tentative="1">
      <w:start w:val="1"/>
      <w:numFmt w:val="bullet"/>
      <w:lvlText w:val="•"/>
      <w:lvlJc w:val="left"/>
      <w:pPr>
        <w:tabs>
          <w:tab w:val="num" w:pos="2880"/>
        </w:tabs>
        <w:ind w:left="2880" w:hanging="360"/>
      </w:pPr>
      <w:rPr>
        <w:rFonts w:ascii="Arial" w:hAnsi="Arial" w:hint="default"/>
      </w:rPr>
    </w:lvl>
    <w:lvl w:ilvl="4" w:tplc="F1585CC2" w:tentative="1">
      <w:start w:val="1"/>
      <w:numFmt w:val="bullet"/>
      <w:lvlText w:val="•"/>
      <w:lvlJc w:val="left"/>
      <w:pPr>
        <w:tabs>
          <w:tab w:val="num" w:pos="3600"/>
        </w:tabs>
        <w:ind w:left="3600" w:hanging="360"/>
      </w:pPr>
      <w:rPr>
        <w:rFonts w:ascii="Arial" w:hAnsi="Arial" w:hint="default"/>
      </w:rPr>
    </w:lvl>
    <w:lvl w:ilvl="5" w:tplc="0A801CE0" w:tentative="1">
      <w:start w:val="1"/>
      <w:numFmt w:val="bullet"/>
      <w:lvlText w:val="•"/>
      <w:lvlJc w:val="left"/>
      <w:pPr>
        <w:tabs>
          <w:tab w:val="num" w:pos="4320"/>
        </w:tabs>
        <w:ind w:left="4320" w:hanging="360"/>
      </w:pPr>
      <w:rPr>
        <w:rFonts w:ascii="Arial" w:hAnsi="Arial" w:hint="default"/>
      </w:rPr>
    </w:lvl>
    <w:lvl w:ilvl="6" w:tplc="22AEBF2E" w:tentative="1">
      <w:start w:val="1"/>
      <w:numFmt w:val="bullet"/>
      <w:lvlText w:val="•"/>
      <w:lvlJc w:val="left"/>
      <w:pPr>
        <w:tabs>
          <w:tab w:val="num" w:pos="5040"/>
        </w:tabs>
        <w:ind w:left="5040" w:hanging="360"/>
      </w:pPr>
      <w:rPr>
        <w:rFonts w:ascii="Arial" w:hAnsi="Arial" w:hint="default"/>
      </w:rPr>
    </w:lvl>
    <w:lvl w:ilvl="7" w:tplc="DF68286A" w:tentative="1">
      <w:start w:val="1"/>
      <w:numFmt w:val="bullet"/>
      <w:lvlText w:val="•"/>
      <w:lvlJc w:val="left"/>
      <w:pPr>
        <w:tabs>
          <w:tab w:val="num" w:pos="5760"/>
        </w:tabs>
        <w:ind w:left="5760" w:hanging="360"/>
      </w:pPr>
      <w:rPr>
        <w:rFonts w:ascii="Arial" w:hAnsi="Arial" w:hint="default"/>
      </w:rPr>
    </w:lvl>
    <w:lvl w:ilvl="8" w:tplc="EAA8BE9A" w:tentative="1">
      <w:start w:val="1"/>
      <w:numFmt w:val="bullet"/>
      <w:lvlText w:val="•"/>
      <w:lvlJc w:val="left"/>
      <w:pPr>
        <w:tabs>
          <w:tab w:val="num" w:pos="6480"/>
        </w:tabs>
        <w:ind w:left="6480" w:hanging="360"/>
      </w:pPr>
      <w:rPr>
        <w:rFonts w:ascii="Arial" w:hAnsi="Arial" w:hint="default"/>
      </w:rPr>
    </w:lvl>
  </w:abstractNum>
  <w:abstractNum w:abstractNumId="2">
    <w:nsid w:val="5EAB7EAF"/>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7D1C7A16"/>
    <w:multiLevelType w:val="hybridMultilevel"/>
    <w:tmpl w:val="4DE0DA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C01970"/>
    <w:rsid w:val="00196CD7"/>
    <w:rsid w:val="001D5181"/>
    <w:rsid w:val="0020286A"/>
    <w:rsid w:val="00205BD9"/>
    <w:rsid w:val="002B1107"/>
    <w:rsid w:val="003B18D2"/>
    <w:rsid w:val="004434E4"/>
    <w:rsid w:val="004955E6"/>
    <w:rsid w:val="004A7037"/>
    <w:rsid w:val="00544BB8"/>
    <w:rsid w:val="00556E1D"/>
    <w:rsid w:val="00571CE1"/>
    <w:rsid w:val="005C15FE"/>
    <w:rsid w:val="00632F05"/>
    <w:rsid w:val="00637714"/>
    <w:rsid w:val="00673EA6"/>
    <w:rsid w:val="00696917"/>
    <w:rsid w:val="00761AE9"/>
    <w:rsid w:val="007C70EC"/>
    <w:rsid w:val="00904058"/>
    <w:rsid w:val="009C39CE"/>
    <w:rsid w:val="00A05AE1"/>
    <w:rsid w:val="00A53914"/>
    <w:rsid w:val="00A77727"/>
    <w:rsid w:val="00B01ED5"/>
    <w:rsid w:val="00C01970"/>
    <w:rsid w:val="00C605C1"/>
    <w:rsid w:val="00C7677E"/>
    <w:rsid w:val="00CB5A20"/>
    <w:rsid w:val="00CD47BC"/>
    <w:rsid w:val="00D2245A"/>
    <w:rsid w:val="00D5597D"/>
    <w:rsid w:val="00D626D0"/>
    <w:rsid w:val="00D806C6"/>
    <w:rsid w:val="00DA02F9"/>
    <w:rsid w:val="00DB3C8D"/>
    <w:rsid w:val="00E522C6"/>
    <w:rsid w:val="00EC6101"/>
    <w:rsid w:val="00F1718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970"/>
    <w:pPr>
      <w:jc w:val="both"/>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01970"/>
    <w:pPr>
      <w:ind w:left="720"/>
      <w:contextualSpacing/>
    </w:pPr>
  </w:style>
  <w:style w:type="paragraph" w:styleId="Textonotapie">
    <w:name w:val="footnote text"/>
    <w:basedOn w:val="Normal"/>
    <w:link w:val="TextonotapieCar"/>
    <w:uiPriority w:val="99"/>
    <w:unhideWhenUsed/>
    <w:rsid w:val="00C01970"/>
    <w:pPr>
      <w:spacing w:after="0" w:line="240" w:lineRule="auto"/>
    </w:pPr>
    <w:rPr>
      <w:sz w:val="20"/>
      <w:szCs w:val="20"/>
    </w:rPr>
  </w:style>
  <w:style w:type="character" w:customStyle="1" w:styleId="TextonotapieCar">
    <w:name w:val="Texto nota pie Car"/>
    <w:basedOn w:val="Fuentedeprrafopredeter"/>
    <w:link w:val="Textonotapie"/>
    <w:uiPriority w:val="99"/>
    <w:rsid w:val="00C01970"/>
    <w:rPr>
      <w:sz w:val="20"/>
      <w:szCs w:val="20"/>
    </w:rPr>
  </w:style>
  <w:style w:type="character" w:styleId="Refdenotaalpie">
    <w:name w:val="footnote reference"/>
    <w:basedOn w:val="Fuentedeprrafopredeter"/>
    <w:uiPriority w:val="99"/>
    <w:semiHidden/>
    <w:unhideWhenUsed/>
    <w:rsid w:val="00C01970"/>
    <w:rPr>
      <w:vertAlign w:val="superscript"/>
    </w:rPr>
  </w:style>
  <w:style w:type="character" w:styleId="Hipervnculo">
    <w:name w:val="Hyperlink"/>
    <w:basedOn w:val="Fuentedeprrafopredeter"/>
    <w:uiPriority w:val="99"/>
    <w:unhideWhenUsed/>
    <w:rsid w:val="00C01970"/>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www.embajadamarruecoslim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21</Pages>
  <Words>7078</Words>
  <Characters>38932</Characters>
  <Application>Microsoft Office Word</Application>
  <DocSecurity>0</DocSecurity>
  <Lines>324</Lines>
  <Paragraphs>91</Paragraphs>
  <ScaleCrop>false</ScaleCrop>
  <Company/>
  <LinksUpToDate>false</LinksUpToDate>
  <CharactersWithSpaces>45919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Maribel</dc:creator>
  <cp:lastModifiedBy>Maribel</cp:lastModifiedBy>
  <cp:revision>33</cp:revision>
  <dcterms:created xsi:type="dcterms:W3CDTF">2011-09-07T17:12:00Z</dcterms:created>
  <dcterms:modified xsi:type="dcterms:W3CDTF">2011-09-08T10:10:00Z</dcterms:modified>
</cp:coreProperties>
</file>