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F5D" w:rsidRPr="008E5597" w:rsidRDefault="00AC2F5D" w:rsidP="00AC2F5D">
      <w:pPr>
        <w:pStyle w:val="Ttulo3"/>
        <w:jc w:val="both"/>
        <w:rPr>
          <w:sz w:val="24"/>
          <w:szCs w:val="24"/>
        </w:rPr>
      </w:pPr>
      <w:r w:rsidRPr="008E5597">
        <w:rPr>
          <w:sz w:val="24"/>
          <w:szCs w:val="24"/>
        </w:rPr>
        <w:t>Universidades y crecimiento potencial de la economía española</w:t>
      </w:r>
    </w:p>
    <w:p w:rsidR="00AC2F5D" w:rsidRPr="008E5597" w:rsidRDefault="00AC2F5D" w:rsidP="00AC2F5D">
      <w:pPr>
        <w:jc w:val="both"/>
      </w:pPr>
    </w:p>
    <w:p w:rsidR="00AC2F5D" w:rsidRPr="008E5597" w:rsidRDefault="00AC2F5D" w:rsidP="00AC2F5D">
      <w:pPr>
        <w:jc w:val="both"/>
      </w:pPr>
      <w:r w:rsidRPr="008E5597">
        <w:t xml:space="preserve">Martí Parellada, </w:t>
      </w:r>
      <w:proofErr w:type="spellStart"/>
      <w:r w:rsidRPr="008E5597">
        <w:t>Universitat</w:t>
      </w:r>
      <w:proofErr w:type="spellEnd"/>
      <w:r w:rsidRPr="008E5597">
        <w:t xml:space="preserve"> de Barcelona y Fundación Conocimiento y Desarrollo</w:t>
      </w:r>
    </w:p>
    <w:p w:rsidR="00AC2F5D" w:rsidRPr="008E5597" w:rsidRDefault="00AC2F5D" w:rsidP="00AC2F5D">
      <w:pPr>
        <w:jc w:val="both"/>
      </w:pPr>
    </w:p>
    <w:p w:rsidR="00AC2F5D" w:rsidRPr="008E5597" w:rsidRDefault="00076DEE" w:rsidP="00AC2F5D">
      <w:pPr>
        <w:jc w:val="both"/>
      </w:pPr>
      <w:hyperlink r:id="rId7" w:history="1">
        <w:r w:rsidR="00AC2F5D" w:rsidRPr="008E5597">
          <w:rPr>
            <w:rStyle w:val="Hipervnculo"/>
          </w:rPr>
          <w:t>marti.parellada@fundacioncyd.org</w:t>
        </w:r>
      </w:hyperlink>
      <w:r w:rsidR="00AC2F5D" w:rsidRPr="008E5597">
        <w:t xml:space="preserve"> ; </w:t>
      </w:r>
      <w:hyperlink r:id="rId8" w:history="1">
        <w:r w:rsidR="00AC2F5D" w:rsidRPr="008E5597">
          <w:rPr>
            <w:rStyle w:val="Hipervnculo"/>
          </w:rPr>
          <w:t>mparellada@ub.edu</w:t>
        </w:r>
      </w:hyperlink>
    </w:p>
    <w:p w:rsidR="00AC2F5D" w:rsidRPr="008E5597" w:rsidRDefault="00AC2F5D" w:rsidP="00AC2F5D">
      <w:pPr>
        <w:jc w:val="both"/>
      </w:pPr>
    </w:p>
    <w:p w:rsidR="00AC2F5D" w:rsidRPr="008E5597" w:rsidRDefault="00AC2F5D" w:rsidP="00AC2F5D">
      <w:pPr>
        <w:pStyle w:val="NormalWeb"/>
        <w:jc w:val="both"/>
      </w:pPr>
      <w:r w:rsidRPr="008E5597">
        <w:rPr>
          <w:b/>
        </w:rPr>
        <w:t>Resumen</w:t>
      </w:r>
      <w:r w:rsidRPr="008E5597">
        <w:t xml:space="preserve">: El objetivo que se persigue en la ponencia es triple. En primer lugar, describir la evidencia disponible que permita evaluar el impacto del sistema universitario en la economía española en términos de PIB, ocupación, </w:t>
      </w:r>
      <w:proofErr w:type="spellStart"/>
      <w:r w:rsidRPr="008E5597">
        <w:t>I+D+i</w:t>
      </w:r>
      <w:proofErr w:type="spellEnd"/>
      <w:r w:rsidRPr="008E5597">
        <w:t>.... En segundo lugar, se tratará de analizar cómo ha afectado el proceso de consolidación fiscal llevado a cabo por el sector público español al sistema universitario público y, en tercer lugar, se trataría de argumentar la importancia de priorizar las políticas presupuestaria públicas en relación al sistema universitario español como uno de los aspectos más relevantes para garantizar la competitividad de la economía española y la sostenibilidad de su crecimiento futuro. Todo ello, además, describiendo a partir de lo sucedido en los sistemas universitarios europeos más relevantes, las tendencias más representativas de sus reformas y la necesidad, en consecuencia, de llevar a cabo dichas reformas en el sistema universitario español.</w:t>
      </w:r>
    </w:p>
    <w:p w:rsidR="00AC2F5D" w:rsidRDefault="00AC2F5D" w:rsidP="00AC2F5D">
      <w:pPr>
        <w:outlineLvl w:val="0"/>
        <w:rPr>
          <w:b/>
          <w:bCs/>
          <w:sz w:val="28"/>
          <w:szCs w:val="28"/>
        </w:rPr>
      </w:pPr>
    </w:p>
    <w:p w:rsidR="00AC2F5D" w:rsidRPr="003F79A7" w:rsidRDefault="00AC2F5D" w:rsidP="00AC2F5D">
      <w:pPr>
        <w:outlineLvl w:val="0"/>
        <w:rPr>
          <w:b/>
          <w:bCs/>
          <w:sz w:val="28"/>
          <w:szCs w:val="28"/>
        </w:rPr>
      </w:pPr>
    </w:p>
    <w:p w:rsidR="00AC2F5D" w:rsidRPr="003F79A7" w:rsidRDefault="00AC2F5D" w:rsidP="00AC2F5D">
      <w:pPr>
        <w:outlineLvl w:val="0"/>
      </w:pPr>
      <w:r>
        <w:rPr>
          <w:b/>
          <w:bCs/>
        </w:rPr>
        <w:t xml:space="preserve">MARTI PARELLADA SABATA, </w:t>
      </w:r>
      <w:r w:rsidRPr="003F79A7">
        <w:t xml:space="preserve">Catedrático de Economía Aplicada de </w:t>
      </w:r>
      <w:smartTag w:uri="urn:schemas-microsoft-com:office:smarttags" w:element="PersonName">
        <w:smartTagPr>
          <w:attr w:name="ProductID" w:val="la Facultad"/>
        </w:smartTagPr>
        <w:r w:rsidRPr="003F79A7">
          <w:t>la Facultad</w:t>
        </w:r>
      </w:smartTag>
      <w:r w:rsidRPr="003F79A7">
        <w:t xml:space="preserve"> de Economía y Empresa de </w:t>
      </w:r>
      <w:smartTag w:uri="urn:schemas-microsoft-com:office:smarttags" w:element="PersonName">
        <w:smartTagPr>
          <w:attr w:name="ProductID" w:val="la Universidad"/>
        </w:smartTagPr>
        <w:r w:rsidRPr="003F79A7">
          <w:t>la Universidad</w:t>
        </w:r>
      </w:smartTag>
      <w:r w:rsidRPr="003F79A7">
        <w:t xml:space="preserve"> de Barcelona.  Ha sido vicerrector  de </w:t>
      </w:r>
      <w:smartTag w:uri="urn:schemas-microsoft-com:office:smarttags" w:element="PersonName">
        <w:smartTagPr>
          <w:attr w:name="ProductID" w:val="la Universidad"/>
        </w:smartTagPr>
        <w:r w:rsidRPr="003F79A7">
          <w:t>la Universidad</w:t>
        </w:r>
      </w:smartTag>
      <w:r w:rsidRPr="003F79A7">
        <w:t xml:space="preserve"> de Barcelona (1986-1990) y profesor invitado en </w:t>
      </w:r>
      <w:smartTag w:uri="urn:schemas-microsoft-com:office:smarttags" w:element="PersonName">
        <w:smartTagPr>
          <w:attr w:name="ProductID" w:val="la Johns Hopkins"/>
        </w:smartTagPr>
        <w:r w:rsidRPr="003F79A7">
          <w:t>la Johns Hopkins</w:t>
        </w:r>
      </w:smartTag>
      <w:r w:rsidRPr="003F79A7">
        <w:t xml:space="preserve"> </w:t>
      </w:r>
      <w:proofErr w:type="spellStart"/>
      <w:r w:rsidRPr="003F79A7">
        <w:t>Univers</w:t>
      </w:r>
      <w:r>
        <w:t>ity</w:t>
      </w:r>
      <w:proofErr w:type="spellEnd"/>
      <w:r>
        <w:t xml:space="preserve"> of</w:t>
      </w:r>
      <w:r w:rsidRPr="003F79A7">
        <w:t xml:space="preserve"> Baltimore (Estados Unidos). Es d</w:t>
      </w:r>
      <w:r>
        <w:t>irector del Informe anual sobre la contribución de las universidades españolas al desarrollo regional</w:t>
      </w:r>
      <w:r w:rsidRPr="003F79A7">
        <w:t xml:space="preserve"> de </w:t>
      </w:r>
      <w:smartTag w:uri="urn:schemas-microsoft-com:office:smarttags" w:element="PersonName">
        <w:smartTagPr>
          <w:attr w:name="ProductID" w:val="la Fundaci￳n Conocimiento"/>
        </w:smartTagPr>
        <w:r w:rsidRPr="003F79A7">
          <w:t>la Fundación Conocimiento</w:t>
        </w:r>
      </w:smartTag>
      <w:r w:rsidRPr="003F79A7">
        <w:t xml:space="preserve"> y Desarrollo (Fundación </w:t>
      </w:r>
      <w:proofErr w:type="spellStart"/>
      <w:r w:rsidRPr="003F79A7">
        <w:t>CyD</w:t>
      </w:r>
      <w:proofErr w:type="spellEnd"/>
      <w:r w:rsidRPr="003F79A7">
        <w:t>) y del Instituto de Economía de Barcelona. Autor de numerosos trabajos sobre el papel de las universidades y economía regional.</w:t>
      </w:r>
    </w:p>
    <w:p w:rsidR="00AC2F5D" w:rsidRPr="008E5597" w:rsidRDefault="00AC2F5D" w:rsidP="00AC2F5D">
      <w:pPr>
        <w:pStyle w:val="NormalWeb"/>
        <w:jc w:val="both"/>
      </w:pPr>
      <w:r w:rsidRPr="008E5597">
        <w:rPr>
          <w:rStyle w:val="Textoennegrita"/>
        </w:rPr>
        <w:t>Palabras clave:</w:t>
      </w:r>
      <w:r w:rsidRPr="008E5597">
        <w:t xml:space="preserve"> universidades, crisis, economía española, reforma, gobernanza</w:t>
      </w:r>
    </w:p>
    <w:p w:rsidR="00AC2F5D" w:rsidRPr="008E5597" w:rsidRDefault="00AC2F5D" w:rsidP="00AC2F5D">
      <w:pPr>
        <w:pStyle w:val="NormalWeb"/>
        <w:jc w:val="both"/>
        <w:rPr>
          <w:b/>
        </w:rPr>
      </w:pPr>
      <w:r w:rsidRPr="008E5597">
        <w:br w:type="page"/>
      </w:r>
      <w:r w:rsidRPr="008E5597">
        <w:rPr>
          <w:b/>
        </w:rPr>
        <w:lastRenderedPageBreak/>
        <w:t>1. Sistema universitario y economía española</w:t>
      </w:r>
    </w:p>
    <w:p w:rsidR="00AC2F5D" w:rsidRPr="008E5597" w:rsidRDefault="00AC2F5D" w:rsidP="00AC2F5D">
      <w:pPr>
        <w:pStyle w:val="NormalWeb"/>
        <w:jc w:val="both"/>
      </w:pPr>
      <w:r w:rsidRPr="008E5597">
        <w:t>El sistema universitario contribuye al desarrollo y al crecimiento económico de un país a través de diversas vías. En primer lugar</w:t>
      </w:r>
      <w:r>
        <w:t>,</w:t>
      </w:r>
      <w:r w:rsidRPr="008E5597">
        <w:t xml:space="preserve"> </w:t>
      </w:r>
      <w:r>
        <w:t>mediante</w:t>
      </w:r>
      <w:r w:rsidRPr="008E5597">
        <w:t xml:space="preserve"> la función de docencia, formando a un conjunto de personas con conocimientos y competencias de alto nivel de cualificación</w:t>
      </w:r>
      <w:r>
        <w:t xml:space="preserve"> (</w:t>
      </w:r>
      <w:r w:rsidRPr="008E5597">
        <w:t>formación de capital humano</w:t>
      </w:r>
      <w:r>
        <w:t>)</w:t>
      </w:r>
      <w:r w:rsidRPr="008E5597">
        <w:t>,</w:t>
      </w:r>
      <w:r>
        <w:t xml:space="preserve"> personas</w:t>
      </w:r>
      <w:r w:rsidRPr="008E5597">
        <w:t xml:space="preserve"> que ha</w:t>
      </w:r>
      <w:r>
        <w:t>n</w:t>
      </w:r>
      <w:r w:rsidRPr="008E5597">
        <w:t xml:space="preserve"> de emplearse en el sistema económico y ayudar al aumento</w:t>
      </w:r>
      <w:r w:rsidR="002320E2">
        <w:t xml:space="preserve"> de la productividad de un país</w:t>
      </w:r>
      <w:r>
        <w:t>. En</w:t>
      </w:r>
      <w:r w:rsidRPr="008E5597">
        <w:t xml:space="preserve"> segundo lugar, a través de la investigación básica y aplicada  y de la transferencia de tecnología y conocimientos a las empresas y al sistema productivo</w:t>
      </w:r>
      <w:r>
        <w:t xml:space="preserve"> de un país</w:t>
      </w:r>
      <w:r w:rsidRPr="008E5597">
        <w:t>, lo que también coadyuvará a hacer c</w:t>
      </w:r>
      <w:r>
        <w:t xml:space="preserve">recer la productividad y el PIB del mismo. </w:t>
      </w:r>
      <w:r w:rsidRPr="008E5597">
        <w:t xml:space="preserve">Además, no se puede obviar el impacto directo e inducido que la actividad económica relacionada con el sistema universitario tiene en la producción de un país. </w:t>
      </w:r>
    </w:p>
    <w:p w:rsidR="00AC2F5D" w:rsidRDefault="00AC2F5D" w:rsidP="00AC2F5D">
      <w:pPr>
        <w:pStyle w:val="NormalWeb"/>
        <w:jc w:val="both"/>
      </w:pPr>
      <w:r>
        <w:t>Respecto a</w:t>
      </w:r>
      <w:r w:rsidRPr="008E5597">
        <w:t xml:space="preserve"> este último aspecto,</w:t>
      </w:r>
      <w:r>
        <w:t xml:space="preserve"> en el caso español, y</w:t>
      </w:r>
      <w:r w:rsidRPr="008E5597">
        <w:t xml:space="preserve"> tal y como se contempla en el Informe CYD 2011 sobre la contribución de las universidades</w:t>
      </w:r>
      <w:r>
        <w:t xml:space="preserve"> españolas</w:t>
      </w:r>
      <w:r w:rsidRPr="008E5597">
        <w:t xml:space="preserve"> al desarrollo (Fundación CYD, 2012)</w:t>
      </w:r>
      <w:r>
        <w:t>,</w:t>
      </w:r>
      <w:r w:rsidRPr="008E5597">
        <w:t xml:space="preserve"> la demanda relacionada con </w:t>
      </w:r>
      <w:r>
        <w:t>las</w:t>
      </w:r>
      <w:r w:rsidRPr="008E5597">
        <w:t xml:space="preserve"> universidades públicas dio lugar en </w:t>
      </w:r>
      <w:smartTag w:uri="urn:schemas-microsoft-com:office:smarttags" w:element="metricconverter">
        <w:smartTagPr>
          <w:attr w:name="ProductID" w:val="2008 a"/>
        </w:smartTagPr>
        <w:r w:rsidRPr="008E5597">
          <w:t>2008 a</w:t>
        </w:r>
      </w:smartTag>
      <w:r w:rsidRPr="008E5597">
        <w:t xml:space="preserve"> un impacto económico </w:t>
      </w:r>
      <w:r>
        <w:t>sobre el</w:t>
      </w:r>
      <w:r w:rsidRPr="008E5597">
        <w:t xml:space="preserve"> valor añadido bruto de casi 5.000 millones de euros, equivalente al 0,5% del VAB. Por su parte, el empleo (equivalente a tiempo completo) generado por esta demanda </w:t>
      </w:r>
      <w:r>
        <w:t>fue</w:t>
      </w:r>
      <w:r w:rsidRPr="008E5597">
        <w:t xml:space="preserve"> de </w:t>
      </w:r>
      <w:r>
        <w:t>más de 100.000</w:t>
      </w:r>
      <w:r w:rsidRPr="008E5597">
        <w:t xml:space="preserve"> ocupados, lo que </w:t>
      </w:r>
      <w:r>
        <w:t>significaba</w:t>
      </w:r>
      <w:r w:rsidRPr="008E5597">
        <w:t xml:space="preserve"> </w:t>
      </w:r>
      <w:r>
        <w:t xml:space="preserve">en aquel momento </w:t>
      </w:r>
      <w:r w:rsidRPr="008E5597">
        <w:t>el 0,6% del total de</w:t>
      </w:r>
      <w:r>
        <w:t>l</w:t>
      </w:r>
      <w:r w:rsidRPr="008E5597">
        <w:t xml:space="preserve"> empleo. Estos porcentajes se han mantenido bastante e</w:t>
      </w:r>
      <w:r w:rsidR="002320E2">
        <w:t>stables en el periodo 1998-2008.</w:t>
      </w:r>
      <w:r w:rsidRPr="008E5597">
        <w:t xml:space="preserve"> </w:t>
      </w:r>
    </w:p>
    <w:p w:rsidR="00AC2F5D" w:rsidRDefault="00AC2F5D" w:rsidP="00AC2F5D">
      <w:pPr>
        <w:pStyle w:val="NormalWeb"/>
        <w:jc w:val="both"/>
      </w:pPr>
      <w:r>
        <w:t>Por otro lado, respecto a la función de docencia, hay que indicar que en España</w:t>
      </w:r>
      <w:r w:rsidRPr="008E5597">
        <w:t>, actualmente</w:t>
      </w:r>
      <w:r>
        <w:t>,</w:t>
      </w:r>
      <w:r w:rsidRPr="008E5597">
        <w:t xml:space="preserve"> terminan los estudios universitarios de grado algo más de 200.000 alumnos </w:t>
      </w:r>
      <w:r>
        <w:t>cada año</w:t>
      </w:r>
      <w:r w:rsidRPr="008E5597">
        <w:t xml:space="preserve">, a los que hay que añadir los </w:t>
      </w:r>
      <w:r>
        <w:t>casi</w:t>
      </w:r>
      <w:r w:rsidRPr="008E5597">
        <w:t xml:space="preserve"> </w:t>
      </w:r>
      <w:r>
        <w:t>6</w:t>
      </w:r>
      <w:r w:rsidRPr="008E5597">
        <w:t xml:space="preserve">0.000 que acaban los </w:t>
      </w:r>
      <w:proofErr w:type="spellStart"/>
      <w:r w:rsidRPr="008E5597">
        <w:t>másters</w:t>
      </w:r>
      <w:proofErr w:type="spellEnd"/>
      <w:r w:rsidRPr="008E5597">
        <w:t xml:space="preserve"> oficiales</w:t>
      </w:r>
      <w:r>
        <w:t xml:space="preserve"> (curso 2011-2012)</w:t>
      </w:r>
      <w:r w:rsidRPr="008E5597">
        <w:t xml:space="preserve"> y los </w:t>
      </w:r>
      <w:r>
        <w:t>más de</w:t>
      </w:r>
      <w:r w:rsidRPr="008E5597">
        <w:t xml:space="preserve"> 10.000 doctorandos que leen y aprueban su tesis doctoral</w:t>
      </w:r>
      <w:r>
        <w:t xml:space="preserve"> (gráfico 1)</w:t>
      </w:r>
      <w:r w:rsidRPr="008E5597">
        <w:t>. La evolución en el tiempo ha sido positiva</w:t>
      </w:r>
      <w:r>
        <w:t xml:space="preserve"> para los </w:t>
      </w:r>
      <w:proofErr w:type="spellStart"/>
      <w:r>
        <w:t>másters</w:t>
      </w:r>
      <w:proofErr w:type="spellEnd"/>
      <w:r>
        <w:t xml:space="preserve"> oficiales, creados en el curso 2006-2007, y para las tesis doctorales</w:t>
      </w:r>
      <w:r w:rsidRPr="008E5597">
        <w:t xml:space="preserve">. En el caso de los egresados </w:t>
      </w:r>
      <w:r w:rsidR="002320E2">
        <w:t>con el</w:t>
      </w:r>
      <w:r w:rsidRPr="008E5597">
        <w:t xml:space="preserve"> grado universitario, la tendencia al descenso que se venía observando desde finales de la década de los noventa del siglo pasado, especialmente </w:t>
      </w:r>
      <w:r>
        <w:t>en</w:t>
      </w:r>
      <w:r w:rsidRPr="008E5597">
        <w:t xml:space="preserve"> el caso de las universidades públicas,</w:t>
      </w:r>
      <w:r>
        <w:t xml:space="preserve"> se</w:t>
      </w:r>
      <w:r w:rsidRPr="008E5597">
        <w:t xml:space="preserve"> revertió a partir de 2008. </w:t>
      </w:r>
      <w:r>
        <w:t>E</w:t>
      </w:r>
      <w:r w:rsidRPr="008E5597">
        <w:t xml:space="preserve">n </w:t>
      </w:r>
      <w:r>
        <w:t>la</w:t>
      </w:r>
      <w:r w:rsidRPr="008E5597">
        <w:t xml:space="preserve"> </w:t>
      </w:r>
      <w:r>
        <w:t xml:space="preserve">anterior </w:t>
      </w:r>
      <w:r w:rsidRPr="008E5597">
        <w:t>etapa de expansión</w:t>
      </w:r>
      <w:r>
        <w:t>, periodo 1994-2007</w:t>
      </w:r>
      <w:r w:rsidRPr="008E5597">
        <w:t xml:space="preserve">, con un comportamiento muy </w:t>
      </w:r>
      <w:r>
        <w:t>positivo</w:t>
      </w:r>
      <w:r w:rsidRPr="008E5597">
        <w:t xml:space="preserve"> del mercado de trabajo, en forma de altas tasas de creación de empleo, el coste de oportunid</w:t>
      </w:r>
      <w:r>
        <w:t>ad de estudiar se había elevado</w:t>
      </w:r>
      <w:r w:rsidRPr="008E5597">
        <w:t>, por lo cual muchos jóvenes optaron por dejar los estudios</w:t>
      </w:r>
      <w:r>
        <w:t>, no graduarse</w:t>
      </w:r>
      <w:r w:rsidRPr="008E5597">
        <w:t xml:space="preserve"> y buscar empleo</w:t>
      </w:r>
      <w:r>
        <w:t xml:space="preserve"> directamente. La situación ha cambiado de manera radical</w:t>
      </w:r>
      <w:r w:rsidRPr="008E5597">
        <w:t xml:space="preserve"> </w:t>
      </w:r>
      <w:r>
        <w:t>debido al impacto de la crisis en la economía española.</w:t>
      </w:r>
    </w:p>
    <w:p w:rsidR="00AC2F5D" w:rsidRDefault="00AC2F5D" w:rsidP="00AC2F5D">
      <w:pPr>
        <w:pStyle w:val="NormalWeb"/>
        <w:jc w:val="both"/>
      </w:pPr>
      <w:r>
        <w:t xml:space="preserve">El resultado de este ritmo de graduación es que </w:t>
      </w:r>
      <w:r w:rsidRPr="008E5597">
        <w:t xml:space="preserve">el porcentaje </w:t>
      </w:r>
      <w:r>
        <w:t xml:space="preserve">actual </w:t>
      </w:r>
      <w:r w:rsidRPr="008E5597">
        <w:t xml:space="preserve">de población adulta, de </w:t>
      </w:r>
      <w:smartTag w:uri="urn:schemas-microsoft-com:office:smarttags" w:element="metricconverter">
        <w:smartTagPr>
          <w:attr w:name="ProductID" w:val="25 a"/>
        </w:smartTagPr>
        <w:r w:rsidRPr="008E5597">
          <w:t>25 a</w:t>
        </w:r>
      </w:smartTag>
      <w:r w:rsidRPr="008E5597">
        <w:t xml:space="preserve"> 64 años, que está en posesión de est</w:t>
      </w:r>
      <w:r>
        <w:t xml:space="preserve">udios universitarios en España </w:t>
      </w:r>
      <w:r w:rsidRPr="008E5597">
        <w:t>e</w:t>
      </w:r>
      <w:r>
        <w:t>s</w:t>
      </w:r>
      <w:r w:rsidRPr="008E5597">
        <w:t xml:space="preserve">  similar, e incluso superior, al dato para los países más avanzados del mundo: 23,8% en España a finales de 2012, llegando a prácticamente un tercio si se le suma los egresados superiores no universitarios (esto es, básicamente de ciclos formativos de grado superior), cuando el dato para el conjunto de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8E5597">
            <w:t xml:space="preserve">la </w:t>
          </w:r>
          <w:r>
            <w:t>Unión</w:t>
          </w:r>
        </w:smartTag>
        <w:r>
          <w:t xml:space="preserve"> Europea</w:t>
        </w:r>
      </w:smartTag>
      <w:r w:rsidRPr="008E5597">
        <w:t xml:space="preserve"> es inferior al 30%.</w:t>
      </w:r>
      <w:r>
        <w:t xml:space="preserve"> Paradójicamente, el porcentaje de población adulta española con solo estudios obligatorios casi dobla al de la UE, y oc</w:t>
      </w:r>
      <w:r w:rsidR="002320E2">
        <w:t>urre justo lo</w:t>
      </w:r>
      <w:r>
        <w:t xml:space="preserve"> contrario en el caso de la proporción de población con estudios post-obligatorios no terciarios (gráfico 2).</w:t>
      </w:r>
    </w:p>
    <w:p w:rsidR="00AC2F5D" w:rsidRDefault="00AC2F5D" w:rsidP="00AC2F5D">
      <w:pPr>
        <w:pStyle w:val="NormalWeb"/>
        <w:spacing w:before="0" w:beforeAutospacing="0" w:after="0" w:afterAutospacing="0"/>
        <w:jc w:val="both"/>
        <w:rPr>
          <w:b/>
          <w:i/>
          <w:sz w:val="20"/>
          <w:szCs w:val="20"/>
        </w:rPr>
      </w:pPr>
    </w:p>
    <w:p w:rsidR="00AC2F5D" w:rsidRDefault="00AC2F5D" w:rsidP="00AC2F5D">
      <w:pPr>
        <w:pStyle w:val="NormalWeb"/>
        <w:spacing w:before="0" w:beforeAutospacing="0" w:after="0" w:afterAutospacing="0"/>
        <w:jc w:val="both"/>
        <w:rPr>
          <w:b/>
          <w:i/>
          <w:sz w:val="20"/>
          <w:szCs w:val="20"/>
        </w:rPr>
      </w:pPr>
    </w:p>
    <w:p w:rsidR="002320E2" w:rsidRDefault="002320E2" w:rsidP="00AC2F5D">
      <w:pPr>
        <w:pStyle w:val="NormalWeb"/>
        <w:spacing w:before="0" w:beforeAutospacing="0" w:after="0" w:afterAutospacing="0"/>
        <w:jc w:val="both"/>
        <w:rPr>
          <w:b/>
          <w:i/>
          <w:sz w:val="20"/>
          <w:szCs w:val="20"/>
        </w:rPr>
      </w:pPr>
    </w:p>
    <w:p w:rsidR="002320E2" w:rsidRDefault="002320E2" w:rsidP="00AC2F5D">
      <w:pPr>
        <w:pStyle w:val="NormalWeb"/>
        <w:spacing w:before="0" w:beforeAutospacing="0" w:after="0" w:afterAutospacing="0"/>
        <w:jc w:val="both"/>
        <w:rPr>
          <w:b/>
          <w:i/>
          <w:sz w:val="20"/>
          <w:szCs w:val="20"/>
        </w:rPr>
      </w:pPr>
    </w:p>
    <w:p w:rsidR="00AC2F5D" w:rsidRPr="00B56CE6" w:rsidRDefault="00AC2F5D" w:rsidP="00AC2F5D">
      <w:pPr>
        <w:pStyle w:val="NormalWeb"/>
        <w:spacing w:before="0" w:beforeAutospacing="0" w:after="0" w:afterAutospacing="0"/>
        <w:jc w:val="both"/>
        <w:rPr>
          <w:b/>
          <w:i/>
          <w:sz w:val="20"/>
          <w:szCs w:val="20"/>
        </w:rPr>
      </w:pPr>
      <w:r w:rsidRPr="00B56CE6">
        <w:rPr>
          <w:b/>
          <w:i/>
          <w:sz w:val="20"/>
          <w:szCs w:val="20"/>
        </w:rPr>
        <w:lastRenderedPageBreak/>
        <w:t>Gráfico 1: Egresados en el sistema universitario español, estudios oficiales</w:t>
      </w:r>
    </w:p>
    <w:p w:rsidR="00AC2F5D" w:rsidRPr="00B56CE6" w:rsidRDefault="00AC2F5D" w:rsidP="00AC2F5D">
      <w:pPr>
        <w:pStyle w:val="NormalWeb"/>
        <w:spacing w:before="0" w:beforeAutospacing="0" w:after="0" w:afterAutospacing="0"/>
        <w:jc w:val="both"/>
      </w:pPr>
      <w:r>
        <w:rPr>
          <w:noProof/>
        </w:rPr>
        <w:drawing>
          <wp:inline distT="0" distB="0" distL="0" distR="0">
            <wp:extent cx="5405120" cy="2600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405120" cy="2600960"/>
                    </a:xfrm>
                    <a:prstGeom prst="rect">
                      <a:avLst/>
                    </a:prstGeom>
                    <a:noFill/>
                    <a:ln w="9525">
                      <a:noFill/>
                      <a:miter lim="800000"/>
                      <a:headEnd/>
                      <a:tailEnd/>
                    </a:ln>
                  </pic:spPr>
                </pic:pic>
              </a:graphicData>
            </a:graphic>
          </wp:inline>
        </w:drawing>
      </w:r>
    </w:p>
    <w:p w:rsidR="00AC2F5D" w:rsidRPr="00B56CE6" w:rsidRDefault="00AC2F5D" w:rsidP="00AC2F5D">
      <w:pPr>
        <w:pStyle w:val="NormalWeb"/>
        <w:spacing w:before="0" w:beforeAutospacing="0" w:after="0" w:afterAutospacing="0"/>
        <w:jc w:val="both"/>
        <w:rPr>
          <w:i/>
          <w:sz w:val="20"/>
          <w:szCs w:val="20"/>
        </w:rPr>
      </w:pPr>
      <w:r w:rsidRPr="00B56CE6">
        <w:rPr>
          <w:i/>
          <w:sz w:val="20"/>
          <w:szCs w:val="20"/>
        </w:rPr>
        <w:t>Fuente: INE y Ministerio de Educación, Cultura y Deporte, para el curso 2011-2012</w:t>
      </w:r>
    </w:p>
    <w:p w:rsidR="00AC2F5D" w:rsidRDefault="00AC2F5D" w:rsidP="00AC2F5D">
      <w:pPr>
        <w:pStyle w:val="NormalWeb"/>
        <w:spacing w:before="0" w:beforeAutospacing="0" w:after="0" w:afterAutospacing="0"/>
        <w:jc w:val="both"/>
        <w:rPr>
          <w:b/>
          <w:i/>
          <w:sz w:val="20"/>
          <w:szCs w:val="20"/>
        </w:rPr>
      </w:pPr>
    </w:p>
    <w:p w:rsidR="00AC2F5D" w:rsidRPr="00D45AA1" w:rsidRDefault="00AC2F5D" w:rsidP="00AC2F5D">
      <w:pPr>
        <w:pStyle w:val="NormalWeb"/>
        <w:spacing w:before="0" w:beforeAutospacing="0" w:after="0" w:afterAutospacing="0"/>
        <w:jc w:val="both"/>
        <w:rPr>
          <w:b/>
          <w:i/>
          <w:sz w:val="20"/>
          <w:szCs w:val="20"/>
        </w:rPr>
      </w:pPr>
      <w:r w:rsidRPr="00D45AA1">
        <w:rPr>
          <w:b/>
          <w:i/>
          <w:sz w:val="20"/>
          <w:szCs w:val="20"/>
        </w:rPr>
        <w:t xml:space="preserve">Gráfico 2: Porcentaje de la población española y de </w:t>
      </w:r>
      <w:smartTag w:uri="urn:schemas-microsoft-com:office:smarttags" w:element="PersonName">
        <w:smartTagPr>
          <w:attr w:name="ProductID" w:val="la UE-27"/>
        </w:smartTagPr>
        <w:r w:rsidRPr="00D45AA1">
          <w:rPr>
            <w:b/>
            <w:i/>
            <w:sz w:val="20"/>
            <w:szCs w:val="20"/>
          </w:rPr>
          <w:t>la UE-27</w:t>
        </w:r>
      </w:smartTag>
      <w:r w:rsidRPr="00D45AA1">
        <w:rPr>
          <w:b/>
          <w:i/>
          <w:sz w:val="20"/>
          <w:szCs w:val="20"/>
        </w:rPr>
        <w:t xml:space="preserve"> entre 25 y 64 años según niv</w:t>
      </w:r>
      <w:r>
        <w:rPr>
          <w:b/>
          <w:i/>
          <w:sz w:val="20"/>
          <w:szCs w:val="20"/>
        </w:rPr>
        <w:t>el de estudios, año 2012 (en %)</w:t>
      </w:r>
    </w:p>
    <w:p w:rsidR="00AC2F5D" w:rsidRPr="00514475" w:rsidRDefault="00AC2F5D" w:rsidP="00AC2F5D">
      <w:pPr>
        <w:jc w:val="both"/>
        <w:rPr>
          <w:rFonts w:ascii="Arial" w:hAnsi="Arial" w:cs="Arial"/>
          <w:b/>
          <w:sz w:val="20"/>
          <w:szCs w:val="20"/>
        </w:rPr>
      </w:pPr>
      <w:r>
        <w:rPr>
          <w:noProof/>
        </w:rPr>
        <w:drawing>
          <wp:inline distT="0" distB="0" distL="0" distR="0">
            <wp:extent cx="5405120" cy="24993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405120" cy="2499360"/>
                    </a:xfrm>
                    <a:prstGeom prst="rect">
                      <a:avLst/>
                    </a:prstGeom>
                    <a:noFill/>
                    <a:ln w="9525">
                      <a:noFill/>
                      <a:miter lim="800000"/>
                      <a:headEnd/>
                      <a:tailEnd/>
                    </a:ln>
                  </pic:spPr>
                </pic:pic>
              </a:graphicData>
            </a:graphic>
          </wp:inline>
        </w:drawing>
      </w:r>
    </w:p>
    <w:p w:rsidR="00AC2F5D" w:rsidRPr="00D45AA1" w:rsidRDefault="00AC2F5D" w:rsidP="00AC2F5D">
      <w:pPr>
        <w:pStyle w:val="NormalWeb"/>
        <w:spacing w:before="0" w:beforeAutospacing="0" w:after="0" w:afterAutospacing="0"/>
        <w:jc w:val="both"/>
        <w:rPr>
          <w:i/>
          <w:sz w:val="20"/>
          <w:szCs w:val="20"/>
        </w:rPr>
      </w:pPr>
      <w:r w:rsidRPr="00D45AA1">
        <w:rPr>
          <w:i/>
          <w:sz w:val="20"/>
          <w:szCs w:val="20"/>
        </w:rPr>
        <w:t>Nota: datos de cuarto trimestre</w:t>
      </w:r>
    </w:p>
    <w:p w:rsidR="00AC2F5D" w:rsidRPr="00D45AA1" w:rsidRDefault="00AC2F5D" w:rsidP="00AC2F5D">
      <w:pPr>
        <w:pStyle w:val="NormalWeb"/>
        <w:spacing w:before="0" w:beforeAutospacing="0" w:after="0" w:afterAutospacing="0"/>
        <w:jc w:val="both"/>
        <w:rPr>
          <w:i/>
          <w:sz w:val="20"/>
          <w:szCs w:val="20"/>
        </w:rPr>
      </w:pPr>
      <w:r w:rsidRPr="00D45AA1">
        <w:rPr>
          <w:i/>
          <w:sz w:val="20"/>
          <w:szCs w:val="20"/>
        </w:rPr>
        <w:t xml:space="preserve">Fuente: </w:t>
      </w:r>
      <w:proofErr w:type="spellStart"/>
      <w:r w:rsidRPr="00D45AA1">
        <w:rPr>
          <w:i/>
          <w:sz w:val="20"/>
          <w:szCs w:val="20"/>
        </w:rPr>
        <w:t>Eurostat</w:t>
      </w:r>
      <w:proofErr w:type="spellEnd"/>
    </w:p>
    <w:p w:rsidR="00AC2F5D" w:rsidRDefault="00AC2F5D" w:rsidP="00AC2F5D">
      <w:pPr>
        <w:pStyle w:val="NormalWeb"/>
        <w:jc w:val="both"/>
      </w:pPr>
      <w:r>
        <w:t>En parte como consecuencia de ello</w:t>
      </w:r>
      <w:r w:rsidRPr="008E5597">
        <w:t xml:space="preserve"> el problema de </w:t>
      </w:r>
      <w:proofErr w:type="spellStart"/>
      <w:r w:rsidRPr="008E5597">
        <w:t>sobreeducación</w:t>
      </w:r>
      <w:proofErr w:type="spellEnd"/>
      <w:r w:rsidRPr="008E5597">
        <w:t xml:space="preserve"> en España parece claramente más acuciante que en otros países europeos</w:t>
      </w:r>
      <w:r>
        <w:t>. Así, por ejemplo, se puede apuntar que</w:t>
      </w:r>
      <w:r w:rsidRPr="005C2EE3">
        <w:t xml:space="preserve"> </w:t>
      </w:r>
      <w:r>
        <w:t>a finales d</w:t>
      </w:r>
      <w:r w:rsidRPr="008E5597">
        <w:t xml:space="preserve">el año 2012 únicamente el </w:t>
      </w:r>
      <w:r>
        <w:t>64,2</w:t>
      </w:r>
      <w:r w:rsidRPr="008E5597">
        <w:t>% de los graduados superiores españoles que estaban trabajando lo hacían en ocupaciones de alta cualificación (directores y gerentes, técnicos y profesionales científicos e intelectuales, y técnicos y profesional</w:t>
      </w:r>
      <w:r>
        <w:t xml:space="preserve">es de apoyo). Este porcentaje, como se puede observar en el gráfico 3, </w:t>
      </w:r>
      <w:r w:rsidRPr="008E5597">
        <w:t xml:space="preserve">en comparación con el resto de los países de </w:t>
      </w:r>
      <w:smartTag w:uri="urn:schemas-microsoft-com:office:smarttags" w:element="PersonName">
        <w:smartTagPr>
          <w:attr w:name="ProductID" w:val="la Uni￳n Europea"/>
        </w:smartTagPr>
        <w:r w:rsidRPr="008E5597">
          <w:t>la Unión Europea</w:t>
        </w:r>
      </w:smartTag>
      <w:r w:rsidRPr="008E5597">
        <w:t xml:space="preserve">, era el más reducido de todos (el dato para el conjunto de </w:t>
      </w:r>
      <w:smartTag w:uri="urn:schemas-microsoft-com:office:smarttags" w:element="PersonName">
        <w:smartTagPr>
          <w:attr w:name="ProductID" w:val="la UE"/>
        </w:smartTagPr>
        <w:r w:rsidRPr="008E5597">
          <w:t>la UE</w:t>
        </w:r>
      </w:smartTag>
      <w:r w:rsidRPr="008E5597">
        <w:t>27 era del 78,</w:t>
      </w:r>
      <w:r>
        <w:t xml:space="preserve">8%). El hecho de que el problema de la </w:t>
      </w:r>
      <w:proofErr w:type="spellStart"/>
      <w:r>
        <w:t>sobreeducación</w:t>
      </w:r>
      <w:proofErr w:type="spellEnd"/>
      <w:r>
        <w:t xml:space="preserve"> sea más intenso en nuestro país es debido a que si bien España tiene una ligera mayor proporción de población que es graduada superior, su sistema productivo no es capaz de ofrecer un porcentaje suficientemente elevado de ocupaciones de alto nivel de cualificación, que serían las proclives a ser desempeñadas por los egresados en estudios de nivel terciario. La </w:t>
      </w:r>
      <w:proofErr w:type="spellStart"/>
      <w:r>
        <w:t>sobreeducación</w:t>
      </w:r>
      <w:proofErr w:type="spellEnd"/>
      <w:r>
        <w:t xml:space="preserve"> española</w:t>
      </w:r>
      <w:r w:rsidRPr="008E5597">
        <w:t xml:space="preserve"> también </w:t>
      </w:r>
      <w:r>
        <w:t xml:space="preserve">se vería reflejada, asimismo, en </w:t>
      </w:r>
      <w:r w:rsidRPr="008E5597">
        <w:t xml:space="preserve">la menor diferencia relativa de ingresos de los graduados </w:t>
      </w:r>
      <w:r w:rsidRPr="008E5597">
        <w:lastRenderedPageBreak/>
        <w:t>universitarios en España</w:t>
      </w:r>
      <w:r>
        <w:t xml:space="preserve"> en comparación con aquellos con un nivel inmediatamente inferior de estudios (postobligatorios no terciarios),</w:t>
      </w:r>
      <w:r w:rsidRPr="008E5597">
        <w:t xml:space="preserve"> en relación </w:t>
      </w:r>
      <w:r>
        <w:t xml:space="preserve">a lo que ocurre para el conjunto de los </w:t>
      </w:r>
      <w:r w:rsidRPr="008E5597">
        <w:t>países de la OCDE</w:t>
      </w:r>
      <w:r>
        <w:t xml:space="preserve"> (ganancias un 55% superiores</w:t>
      </w:r>
      <w:r w:rsidR="002320E2">
        <w:t xml:space="preserve"> en España y un 65% mayores en </w:t>
      </w:r>
      <w:r>
        <w:t xml:space="preserve"> la OCDE)</w:t>
      </w:r>
      <w:r w:rsidRPr="008E5597">
        <w:t>.</w:t>
      </w:r>
      <w:r>
        <w:t xml:space="preserve"> </w:t>
      </w:r>
    </w:p>
    <w:p w:rsidR="00AC2F5D" w:rsidRDefault="002320E2" w:rsidP="00AC2F5D">
      <w:pPr>
        <w:pStyle w:val="NormalWeb"/>
        <w:jc w:val="both"/>
      </w:pPr>
      <w:r>
        <w:t xml:space="preserve">La reducción del </w:t>
      </w:r>
      <w:r w:rsidR="00AC2F5D" w:rsidRPr="008E5597">
        <w:t xml:space="preserve"> problema</w:t>
      </w:r>
      <w:r w:rsidR="00AC2F5D">
        <w:t xml:space="preserve"> de </w:t>
      </w:r>
      <w:proofErr w:type="spellStart"/>
      <w:r w:rsidR="00AC2F5D">
        <w:t>sobreeducación</w:t>
      </w:r>
      <w:proofErr w:type="spellEnd"/>
      <w:r w:rsidR="00AC2F5D" w:rsidRPr="008E5597">
        <w:t xml:space="preserve"> s</w:t>
      </w:r>
      <w:r>
        <w:t>upone</w:t>
      </w:r>
      <w:r w:rsidR="00AC2F5D" w:rsidRPr="008E5597">
        <w:t>, además de un cambio en la estructura productiva española y en su especialización, a partir de una apuesta decidida por el apoyo a sectores intensivos tecnológicamente y basados en el conocimiento, una reestructuración de la oferta de estudios, reduciendo el peso relativo de las ramas con mayores</w:t>
      </w:r>
      <w:r w:rsidR="00AC2F5D">
        <w:t xml:space="preserve"> problemas de inserción laboral;</w:t>
      </w:r>
      <w:r w:rsidR="00AC2F5D" w:rsidRPr="008E5597">
        <w:t xml:space="preserve"> una mayor interrelación entre el sistema económico y social y las universidades a la hora de diseñar programas y actividades</w:t>
      </w:r>
      <w:r w:rsidR="00AC2F5D">
        <w:t>;</w:t>
      </w:r>
      <w:r w:rsidR="00AC2F5D" w:rsidRPr="008E5597">
        <w:t xml:space="preserve"> y cambios en los métodos didácticos que posibilitaran un mejor ajuste de las competencias y aptitudes de los egresados universitarios con las demandas de las empresas e instituciones para las que habrán de trabajar.</w:t>
      </w:r>
    </w:p>
    <w:p w:rsidR="00AC2F5D" w:rsidRPr="00C02CEB" w:rsidRDefault="00AC2F5D" w:rsidP="00AC2F5D">
      <w:pPr>
        <w:pStyle w:val="NormalWeb"/>
        <w:spacing w:before="0" w:beforeAutospacing="0" w:after="0" w:afterAutospacing="0"/>
        <w:jc w:val="both"/>
        <w:rPr>
          <w:b/>
          <w:i/>
          <w:sz w:val="20"/>
          <w:szCs w:val="20"/>
        </w:rPr>
      </w:pPr>
      <w:r w:rsidRPr="00D45AA1">
        <w:rPr>
          <w:b/>
          <w:i/>
          <w:sz w:val="20"/>
          <w:szCs w:val="20"/>
        </w:rPr>
        <w:t xml:space="preserve">Gráfico </w:t>
      </w:r>
      <w:r>
        <w:rPr>
          <w:b/>
          <w:i/>
          <w:sz w:val="20"/>
          <w:szCs w:val="20"/>
        </w:rPr>
        <w:t>3</w:t>
      </w:r>
      <w:r w:rsidRPr="00D45AA1">
        <w:rPr>
          <w:b/>
          <w:i/>
          <w:sz w:val="20"/>
          <w:szCs w:val="20"/>
        </w:rPr>
        <w:t xml:space="preserve">: </w:t>
      </w:r>
      <w:r w:rsidRPr="00C02CEB">
        <w:rPr>
          <w:b/>
          <w:i/>
          <w:sz w:val="20"/>
          <w:szCs w:val="20"/>
        </w:rPr>
        <w:t>Graduados superiores ocupados que están desempeñando un puesto de trabajo de alta cualificación (en % del total de ocupados</w:t>
      </w:r>
      <w:r>
        <w:rPr>
          <w:b/>
          <w:i/>
          <w:sz w:val="20"/>
          <w:szCs w:val="20"/>
        </w:rPr>
        <w:t xml:space="preserve"> con estudios superiores</w:t>
      </w:r>
      <w:r w:rsidRPr="00C02CEB">
        <w:rPr>
          <w:b/>
          <w:i/>
          <w:sz w:val="20"/>
          <w:szCs w:val="20"/>
        </w:rPr>
        <w:t>)</w:t>
      </w:r>
    </w:p>
    <w:p w:rsidR="00AC2F5D" w:rsidRPr="003B372D" w:rsidRDefault="00AC2F5D" w:rsidP="00AC2F5D">
      <w:pPr>
        <w:pStyle w:val="NormalWeb"/>
        <w:spacing w:before="0" w:beforeAutospacing="0" w:after="0" w:afterAutospacing="0"/>
        <w:jc w:val="both"/>
      </w:pPr>
      <w:r>
        <w:rPr>
          <w:noProof/>
        </w:rPr>
        <w:drawing>
          <wp:inline distT="0" distB="0" distL="0" distR="0">
            <wp:extent cx="5405120" cy="249936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405120" cy="2499360"/>
                    </a:xfrm>
                    <a:prstGeom prst="rect">
                      <a:avLst/>
                    </a:prstGeom>
                    <a:noFill/>
                    <a:ln w="9525">
                      <a:noFill/>
                      <a:miter lim="800000"/>
                      <a:headEnd/>
                      <a:tailEnd/>
                    </a:ln>
                  </pic:spPr>
                </pic:pic>
              </a:graphicData>
            </a:graphic>
          </wp:inline>
        </w:drawing>
      </w:r>
    </w:p>
    <w:p w:rsidR="00AC2F5D" w:rsidRPr="00D45AA1" w:rsidRDefault="00AC2F5D" w:rsidP="00AC2F5D">
      <w:pPr>
        <w:pStyle w:val="NormalWeb"/>
        <w:spacing w:before="0" w:beforeAutospacing="0" w:after="0" w:afterAutospacing="0"/>
        <w:jc w:val="both"/>
        <w:rPr>
          <w:i/>
          <w:sz w:val="20"/>
          <w:szCs w:val="20"/>
        </w:rPr>
      </w:pPr>
      <w:r w:rsidRPr="00D45AA1">
        <w:rPr>
          <w:i/>
          <w:sz w:val="20"/>
          <w:szCs w:val="20"/>
        </w:rPr>
        <w:t>Nota: datos de cuarto trimestre</w:t>
      </w:r>
    </w:p>
    <w:p w:rsidR="00AC2F5D" w:rsidRPr="00D45AA1" w:rsidRDefault="00AC2F5D" w:rsidP="00AC2F5D">
      <w:pPr>
        <w:pStyle w:val="NormalWeb"/>
        <w:spacing w:before="0" w:beforeAutospacing="0" w:after="0" w:afterAutospacing="0"/>
        <w:jc w:val="both"/>
        <w:rPr>
          <w:i/>
          <w:sz w:val="20"/>
          <w:szCs w:val="20"/>
        </w:rPr>
      </w:pPr>
      <w:r w:rsidRPr="00D45AA1">
        <w:rPr>
          <w:i/>
          <w:sz w:val="20"/>
          <w:szCs w:val="20"/>
        </w:rPr>
        <w:t xml:space="preserve">Fuente: </w:t>
      </w:r>
      <w:proofErr w:type="spellStart"/>
      <w:r w:rsidRPr="00D45AA1">
        <w:rPr>
          <w:i/>
          <w:sz w:val="20"/>
          <w:szCs w:val="20"/>
        </w:rPr>
        <w:t>Eurostat</w:t>
      </w:r>
      <w:proofErr w:type="spellEnd"/>
    </w:p>
    <w:p w:rsidR="00AC2F5D" w:rsidRPr="008E5597" w:rsidRDefault="00AC2F5D" w:rsidP="00AC2F5D">
      <w:pPr>
        <w:pStyle w:val="NormalWeb"/>
        <w:jc w:val="both"/>
      </w:pPr>
      <w:r w:rsidRPr="008E5597">
        <w:t xml:space="preserve">En el apartado de investigación y transferencia de tecnología el papel de la universidad española también es relevante. Así, por ejemplo, por lo que respecta a los recursos, </w:t>
      </w:r>
      <w:r>
        <w:t xml:space="preserve">en el año 2011 y según </w:t>
      </w:r>
      <w:smartTag w:uri="urn:schemas-microsoft-com:office:smarttags" w:element="PersonName">
        <w:smartTagPr>
          <w:attr w:name="ProductID" w:val="la Encuesta"/>
        </w:smartTagPr>
        <w:r>
          <w:t>la Encuesta</w:t>
        </w:r>
      </w:smartTag>
      <w:r>
        <w:t xml:space="preserve"> sobre Actividades de I+D del INE, el 37,6%</w:t>
      </w:r>
      <w:r w:rsidRPr="008E5597">
        <w:t xml:space="preserve"> del personal dedicado a actividades de I+D se ubica</w:t>
      </w:r>
      <w:r>
        <w:t>ba</w:t>
      </w:r>
      <w:r w:rsidRPr="008E5597">
        <w:t xml:space="preserve"> en el sector de la enseñanza superior y </w:t>
      </w:r>
      <w:r>
        <w:t>el 28,2</w:t>
      </w:r>
      <w:r w:rsidRPr="008E5597">
        <w:t xml:space="preserve">% del gasto interno en I+D </w:t>
      </w:r>
      <w:r>
        <w:t>era</w:t>
      </w:r>
      <w:r w:rsidRPr="008E5597">
        <w:t xml:space="preserve"> también realizado por universidades. </w:t>
      </w:r>
      <w:r>
        <w:t>Además,</w:t>
      </w:r>
      <w:r w:rsidRPr="008E5597">
        <w:t xml:space="preserve"> casi la mitad de los investigadores en I+D</w:t>
      </w:r>
      <w:r>
        <w:t xml:space="preserve"> </w:t>
      </w:r>
      <w:r w:rsidRPr="008E5597">
        <w:t>(el 4</w:t>
      </w:r>
      <w:r>
        <w:t>7,7</w:t>
      </w:r>
      <w:r w:rsidRPr="008E5597">
        <w:t xml:space="preserve">%) </w:t>
      </w:r>
      <w:r>
        <w:t>desempeñaba</w:t>
      </w:r>
      <w:r w:rsidRPr="008E5597">
        <w:t xml:space="preserve"> su actividad en la enseñanza superior, por el dato inferior al 42% en </w:t>
      </w:r>
      <w:smartTag w:uri="urn:schemas-microsoft-com:office:smarttags" w:element="PersonName">
        <w:smartTagPr>
          <w:attr w:name="ProductID" w:val="la UE-15"/>
        </w:smartTagPr>
        <w:r w:rsidRPr="008E5597">
          <w:t>la UE-15</w:t>
        </w:r>
      </w:smartTag>
      <w:r w:rsidRPr="008E5597">
        <w:t>.</w:t>
      </w:r>
    </w:p>
    <w:p w:rsidR="00AC2F5D" w:rsidRDefault="00AC2F5D" w:rsidP="00AC2F5D">
      <w:pPr>
        <w:pStyle w:val="NormalWeb"/>
        <w:jc w:val="both"/>
      </w:pPr>
      <w:r w:rsidRPr="008E5597">
        <w:t xml:space="preserve">En relación a los resultados de esa investigación sería de destacar el papel de la universidad en la publicación de documentos científicos: prácticamente el 70% de la producción científica proviene, en ese sentido, del sistema de educación superior. También la universidad cada vez participa más en la solicitud de patentes nacionales, generando el 17% del total por el 8% de principios de </w:t>
      </w:r>
      <w:r>
        <w:t xml:space="preserve">este </w:t>
      </w:r>
      <w:r w:rsidRPr="008E5597">
        <w:t>siglo</w:t>
      </w:r>
      <w:r>
        <w:t xml:space="preserve"> (gráfico 4)</w:t>
      </w:r>
      <w:r w:rsidRPr="008E5597">
        <w:t xml:space="preserve">; asimismo, el número de licencias de las universidades, los ingresos por las mismas o el número de spin </w:t>
      </w:r>
      <w:proofErr w:type="spellStart"/>
      <w:r w:rsidRPr="008E5597">
        <w:t>offs</w:t>
      </w:r>
      <w:proofErr w:type="spellEnd"/>
      <w:r w:rsidRPr="008E5597">
        <w:t xml:space="preserve"> serían otros indicadores que han mostrado un crecimiento importante </w:t>
      </w:r>
      <w:r>
        <w:t>en los últimos años (tabla 1)</w:t>
      </w:r>
      <w:r w:rsidRPr="008E5597">
        <w:t xml:space="preserve">. Del mismo modo, han aumentado </w:t>
      </w:r>
      <w:r>
        <w:t xml:space="preserve">los valores alcanzados en </w:t>
      </w:r>
      <w:r w:rsidRPr="008E5597">
        <w:t xml:space="preserve">los indicadores de cooperación entre universidades y empresas, la financiación empresarial </w:t>
      </w:r>
      <w:r w:rsidRPr="008E5597">
        <w:lastRenderedPageBreak/>
        <w:t xml:space="preserve">de </w:t>
      </w:r>
      <w:smartTag w:uri="urn:schemas-microsoft-com:office:smarttags" w:element="PersonName">
        <w:smartTagPr>
          <w:attr w:name="ProductID" w:val="la I"/>
        </w:smartTagPr>
        <w:r w:rsidRPr="008E5597">
          <w:t>la I</w:t>
        </w:r>
      </w:smartTag>
      <w:r w:rsidRPr="008E5597">
        <w:t>+D universitaria o</w:t>
      </w:r>
      <w:r>
        <w:t>, como se observa en el gráfico 5,</w:t>
      </w:r>
      <w:r w:rsidRPr="008E5597">
        <w:t xml:space="preserve"> el monto de los contratos de transferencia de tecnología firmados por la red de oficinas de transferencia de </w:t>
      </w:r>
      <w:r>
        <w:t>de los resultados de investigación de las universidades españolas (</w:t>
      </w:r>
      <w:proofErr w:type="spellStart"/>
      <w:r>
        <w:t>OTRIs</w:t>
      </w:r>
      <w:proofErr w:type="spellEnd"/>
      <w:r>
        <w:t>).</w:t>
      </w:r>
      <w:r w:rsidRPr="008E5597">
        <w:t xml:space="preserve"> </w:t>
      </w:r>
    </w:p>
    <w:p w:rsidR="00AC2F5D" w:rsidRPr="00B51522" w:rsidRDefault="00AC2F5D" w:rsidP="00AC2F5D">
      <w:pPr>
        <w:pStyle w:val="NormalWeb"/>
        <w:spacing w:before="0" w:beforeAutospacing="0" w:after="0" w:afterAutospacing="0"/>
        <w:jc w:val="both"/>
        <w:rPr>
          <w:b/>
          <w:i/>
          <w:sz w:val="20"/>
          <w:szCs w:val="20"/>
        </w:rPr>
      </w:pPr>
      <w:r>
        <w:rPr>
          <w:b/>
          <w:i/>
          <w:sz w:val="20"/>
          <w:szCs w:val="20"/>
        </w:rPr>
        <w:t>Gráfico 4</w:t>
      </w:r>
      <w:r w:rsidRPr="00B51522">
        <w:rPr>
          <w:b/>
          <w:i/>
          <w:sz w:val="20"/>
          <w:szCs w:val="20"/>
        </w:rPr>
        <w:t>. Evolución de las solicitudes de patentes nacionales realizadas por las universidades y del porcentaje sobre el total español. Periodo 2000–2011</w:t>
      </w:r>
    </w:p>
    <w:p w:rsidR="00AC2F5D" w:rsidRPr="008439BC" w:rsidRDefault="00AC2F5D" w:rsidP="00AC2F5D">
      <w:pPr>
        <w:pStyle w:val="NormalWeb"/>
        <w:spacing w:before="0" w:beforeAutospacing="0" w:after="0" w:afterAutospacing="0"/>
        <w:jc w:val="both"/>
      </w:pPr>
      <w:r>
        <w:rPr>
          <w:noProof/>
        </w:rPr>
        <w:drawing>
          <wp:inline distT="0" distB="0" distL="0" distR="0">
            <wp:extent cx="5405120" cy="30480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5405120" cy="3048000"/>
                    </a:xfrm>
                    <a:prstGeom prst="rect">
                      <a:avLst/>
                    </a:prstGeom>
                    <a:noFill/>
                    <a:ln w="9525">
                      <a:noFill/>
                      <a:miter lim="800000"/>
                      <a:headEnd/>
                      <a:tailEnd/>
                    </a:ln>
                  </pic:spPr>
                </pic:pic>
              </a:graphicData>
            </a:graphic>
          </wp:inline>
        </w:drawing>
      </w:r>
    </w:p>
    <w:p w:rsidR="00AC2F5D" w:rsidRDefault="00AC2F5D" w:rsidP="00AC2F5D">
      <w:pPr>
        <w:pStyle w:val="NormalWeb"/>
        <w:spacing w:before="0" w:beforeAutospacing="0" w:after="0" w:afterAutospacing="0"/>
        <w:jc w:val="both"/>
        <w:rPr>
          <w:i/>
          <w:sz w:val="20"/>
          <w:szCs w:val="20"/>
        </w:rPr>
      </w:pPr>
      <w:r w:rsidRPr="005B535E">
        <w:rPr>
          <w:i/>
          <w:sz w:val="20"/>
          <w:szCs w:val="20"/>
        </w:rPr>
        <w:t>Fuente: OEPM</w:t>
      </w:r>
    </w:p>
    <w:p w:rsidR="00AC2F5D" w:rsidRDefault="00AC2F5D" w:rsidP="00AC2F5D">
      <w:pPr>
        <w:pStyle w:val="NormalWeb"/>
        <w:spacing w:before="0" w:beforeAutospacing="0" w:after="0" w:afterAutospacing="0"/>
        <w:jc w:val="both"/>
        <w:rPr>
          <w:i/>
          <w:sz w:val="20"/>
          <w:szCs w:val="20"/>
        </w:rPr>
      </w:pPr>
    </w:p>
    <w:p w:rsidR="00AC2F5D" w:rsidRDefault="00AC2F5D" w:rsidP="00AC2F5D">
      <w:pPr>
        <w:pStyle w:val="NormalWeb"/>
        <w:spacing w:before="0" w:beforeAutospacing="0" w:after="0" w:afterAutospacing="0"/>
        <w:jc w:val="both"/>
        <w:rPr>
          <w:i/>
          <w:sz w:val="20"/>
          <w:szCs w:val="20"/>
        </w:rPr>
      </w:pPr>
    </w:p>
    <w:p w:rsidR="00AC2F5D" w:rsidRPr="00E562F5" w:rsidRDefault="00AC2F5D" w:rsidP="00AC2F5D">
      <w:pPr>
        <w:pStyle w:val="Epgrafe"/>
        <w:spacing w:after="0"/>
        <w:jc w:val="both"/>
        <w:rPr>
          <w:rFonts w:ascii="Times New Roman" w:hAnsi="Times New Roman"/>
          <w:bCs w:val="0"/>
          <w:i/>
          <w:color w:val="auto"/>
          <w:sz w:val="20"/>
          <w:szCs w:val="20"/>
          <w:lang w:eastAsia="es-ES"/>
        </w:rPr>
      </w:pPr>
      <w:r w:rsidRPr="00E562F5">
        <w:rPr>
          <w:rFonts w:ascii="Times New Roman" w:hAnsi="Times New Roman"/>
          <w:bCs w:val="0"/>
          <w:i/>
          <w:color w:val="auto"/>
          <w:sz w:val="20"/>
          <w:szCs w:val="20"/>
          <w:lang w:eastAsia="es-ES"/>
        </w:rPr>
        <w:t>Tabla 1: Evolución de las licencias, sus ingresos medios, y el número de spin-</w:t>
      </w:r>
      <w:proofErr w:type="spellStart"/>
      <w:r w:rsidRPr="00E562F5">
        <w:rPr>
          <w:rFonts w:ascii="Times New Roman" w:hAnsi="Times New Roman"/>
          <w:bCs w:val="0"/>
          <w:i/>
          <w:color w:val="auto"/>
          <w:sz w:val="20"/>
          <w:szCs w:val="20"/>
          <w:lang w:eastAsia="es-ES"/>
        </w:rPr>
        <w:t>offs</w:t>
      </w:r>
      <w:proofErr w:type="spellEnd"/>
      <w:r w:rsidRPr="00E562F5">
        <w:rPr>
          <w:rFonts w:ascii="Times New Roman" w:hAnsi="Times New Roman"/>
          <w:bCs w:val="0"/>
          <w:i/>
          <w:color w:val="auto"/>
          <w:sz w:val="20"/>
          <w:szCs w:val="20"/>
          <w:lang w:eastAsia="es-ES"/>
        </w:rPr>
        <w:t xml:space="preserve"> de las universidades españolas</w:t>
      </w:r>
      <w:r>
        <w:rPr>
          <w:rFonts w:ascii="Times New Roman" w:hAnsi="Times New Roman"/>
          <w:bCs w:val="0"/>
          <w:i/>
          <w:color w:val="auto"/>
          <w:sz w:val="20"/>
          <w:szCs w:val="20"/>
          <w:lang w:eastAsia="es-ES"/>
        </w:rPr>
        <w:t>,  periodo 2004-2011</w:t>
      </w:r>
    </w:p>
    <w:tbl>
      <w:tblPr>
        <w:tblW w:w="5000" w:type="pct"/>
        <w:tblCellMar>
          <w:left w:w="70" w:type="dxa"/>
          <w:right w:w="70" w:type="dxa"/>
        </w:tblCellMar>
        <w:tblLook w:val="0000"/>
      </w:tblPr>
      <w:tblGrid>
        <w:gridCol w:w="1726"/>
        <w:gridCol w:w="1727"/>
        <w:gridCol w:w="3464"/>
        <w:gridCol w:w="1727"/>
      </w:tblGrid>
      <w:tr w:rsidR="00AC2F5D" w:rsidTr="0085653E">
        <w:trPr>
          <w:trHeight w:val="300"/>
        </w:trPr>
        <w:tc>
          <w:tcPr>
            <w:tcW w:w="1250" w:type="pct"/>
            <w:tcBorders>
              <w:top w:val="single" w:sz="4" w:space="0" w:color="auto"/>
              <w:left w:val="single" w:sz="4" w:space="0" w:color="auto"/>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p>
        </w:tc>
        <w:tc>
          <w:tcPr>
            <w:tcW w:w="1250" w:type="pct"/>
            <w:tcBorders>
              <w:top w:val="single" w:sz="4" w:space="0" w:color="auto"/>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Licencias</w:t>
            </w:r>
          </w:p>
        </w:tc>
        <w:tc>
          <w:tcPr>
            <w:tcW w:w="1250" w:type="pct"/>
            <w:tcBorders>
              <w:top w:val="single" w:sz="4" w:space="0" w:color="auto"/>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Ingresos por licencia (miles de euros)</w:t>
            </w:r>
          </w:p>
        </w:tc>
        <w:tc>
          <w:tcPr>
            <w:tcW w:w="1250" w:type="pct"/>
            <w:tcBorders>
              <w:top w:val="single" w:sz="4" w:space="0" w:color="auto"/>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Calibri" w:hAnsi="Calibri" w:cs="Arial"/>
                <w:bCs/>
                <w:color w:val="000000"/>
              </w:rPr>
            </w:pPr>
            <w:r w:rsidRPr="00365AEC">
              <w:rPr>
                <w:rFonts w:ascii="Calibri" w:hAnsi="Calibri" w:cs="Arial"/>
                <w:bCs/>
                <w:color w:val="000000"/>
                <w:sz w:val="22"/>
                <w:szCs w:val="22"/>
              </w:rPr>
              <w:t>Spin-</w:t>
            </w:r>
            <w:proofErr w:type="spellStart"/>
            <w:r w:rsidRPr="00365AEC">
              <w:rPr>
                <w:rFonts w:ascii="Calibri" w:hAnsi="Calibri" w:cs="Arial"/>
                <w:bCs/>
                <w:color w:val="000000"/>
                <w:sz w:val="22"/>
                <w:szCs w:val="22"/>
              </w:rPr>
              <w:t>offs</w:t>
            </w:r>
            <w:proofErr w:type="spellEnd"/>
          </w:p>
        </w:tc>
      </w:tr>
      <w:tr w:rsidR="00AC2F5D" w:rsidTr="0085653E">
        <w:trPr>
          <w:trHeight w:val="255"/>
        </w:trPr>
        <w:tc>
          <w:tcPr>
            <w:tcW w:w="1250" w:type="pct"/>
            <w:tcBorders>
              <w:top w:val="nil"/>
              <w:left w:val="single" w:sz="4" w:space="0" w:color="auto"/>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2004</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143</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13,3</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90</w:t>
            </w:r>
          </w:p>
        </w:tc>
      </w:tr>
      <w:tr w:rsidR="00AC2F5D" w:rsidTr="0085653E">
        <w:trPr>
          <w:trHeight w:val="255"/>
        </w:trPr>
        <w:tc>
          <w:tcPr>
            <w:tcW w:w="1250" w:type="pct"/>
            <w:tcBorders>
              <w:top w:val="nil"/>
              <w:left w:val="single" w:sz="4" w:space="0" w:color="auto"/>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2005</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106</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15,8</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88</w:t>
            </w:r>
          </w:p>
        </w:tc>
      </w:tr>
      <w:tr w:rsidR="00AC2F5D" w:rsidTr="0085653E">
        <w:trPr>
          <w:trHeight w:val="255"/>
        </w:trPr>
        <w:tc>
          <w:tcPr>
            <w:tcW w:w="1250" w:type="pct"/>
            <w:tcBorders>
              <w:top w:val="nil"/>
              <w:left w:val="single" w:sz="4" w:space="0" w:color="auto"/>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2006</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192</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12,5</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143</w:t>
            </w:r>
          </w:p>
        </w:tc>
      </w:tr>
      <w:tr w:rsidR="00AC2F5D" w:rsidTr="0085653E">
        <w:trPr>
          <w:trHeight w:val="255"/>
        </w:trPr>
        <w:tc>
          <w:tcPr>
            <w:tcW w:w="1250" w:type="pct"/>
            <w:tcBorders>
              <w:top w:val="nil"/>
              <w:left w:val="single" w:sz="4" w:space="0" w:color="auto"/>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2007</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190</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10,4</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120</w:t>
            </w:r>
          </w:p>
        </w:tc>
      </w:tr>
      <w:tr w:rsidR="00AC2F5D" w:rsidTr="0085653E">
        <w:trPr>
          <w:trHeight w:val="255"/>
        </w:trPr>
        <w:tc>
          <w:tcPr>
            <w:tcW w:w="1250" w:type="pct"/>
            <w:tcBorders>
              <w:top w:val="nil"/>
              <w:left w:val="single" w:sz="4" w:space="0" w:color="auto"/>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2008</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172</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13,9</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100</w:t>
            </w:r>
          </w:p>
        </w:tc>
      </w:tr>
      <w:tr w:rsidR="00AC2F5D" w:rsidTr="0085653E">
        <w:trPr>
          <w:trHeight w:val="255"/>
        </w:trPr>
        <w:tc>
          <w:tcPr>
            <w:tcW w:w="1250" w:type="pct"/>
            <w:tcBorders>
              <w:top w:val="nil"/>
              <w:left w:val="single" w:sz="4" w:space="0" w:color="auto"/>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2009</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182</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14,5</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118</w:t>
            </w:r>
          </w:p>
        </w:tc>
      </w:tr>
      <w:tr w:rsidR="00AC2F5D" w:rsidTr="0085653E">
        <w:trPr>
          <w:trHeight w:val="255"/>
        </w:trPr>
        <w:tc>
          <w:tcPr>
            <w:tcW w:w="1250" w:type="pct"/>
            <w:tcBorders>
              <w:top w:val="nil"/>
              <w:left w:val="single" w:sz="4" w:space="0" w:color="auto"/>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2010</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209</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11,3</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131</w:t>
            </w:r>
          </w:p>
        </w:tc>
      </w:tr>
      <w:tr w:rsidR="00AC2F5D" w:rsidTr="0085653E">
        <w:trPr>
          <w:trHeight w:val="70"/>
        </w:trPr>
        <w:tc>
          <w:tcPr>
            <w:tcW w:w="1250" w:type="pct"/>
            <w:tcBorders>
              <w:top w:val="nil"/>
              <w:left w:val="single" w:sz="4" w:space="0" w:color="auto"/>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2011</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Calibri" w:hAnsi="Calibri" w:cs="Arial"/>
                <w:color w:val="000000"/>
              </w:rPr>
            </w:pPr>
            <w:r w:rsidRPr="00365AEC">
              <w:rPr>
                <w:rFonts w:ascii="Calibri" w:hAnsi="Calibri" w:cs="Arial"/>
                <w:color w:val="000000"/>
                <w:sz w:val="22"/>
                <w:szCs w:val="22"/>
              </w:rPr>
              <w:t>230</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10,6</w:t>
            </w:r>
          </w:p>
        </w:tc>
        <w:tc>
          <w:tcPr>
            <w:tcW w:w="1250" w:type="pct"/>
            <w:tcBorders>
              <w:top w:val="nil"/>
              <w:left w:val="nil"/>
              <w:bottom w:val="single" w:sz="4" w:space="0" w:color="auto"/>
              <w:right w:val="single" w:sz="4" w:space="0" w:color="auto"/>
            </w:tcBorders>
            <w:shd w:val="clear" w:color="auto" w:fill="auto"/>
            <w:noWrap/>
            <w:vAlign w:val="bottom"/>
          </w:tcPr>
          <w:p w:rsidR="00AC2F5D" w:rsidRPr="00365AEC" w:rsidRDefault="00AC2F5D" w:rsidP="0085653E">
            <w:pPr>
              <w:jc w:val="center"/>
              <w:rPr>
                <w:rFonts w:ascii="Arial" w:hAnsi="Arial" w:cs="Arial"/>
                <w:sz w:val="20"/>
                <w:szCs w:val="20"/>
              </w:rPr>
            </w:pPr>
            <w:r w:rsidRPr="00365AEC">
              <w:rPr>
                <w:rFonts w:ascii="Arial" w:hAnsi="Arial" w:cs="Arial"/>
                <w:sz w:val="20"/>
                <w:szCs w:val="20"/>
              </w:rPr>
              <w:t>111</w:t>
            </w:r>
          </w:p>
        </w:tc>
      </w:tr>
    </w:tbl>
    <w:p w:rsidR="00AC2F5D" w:rsidRPr="003F672F" w:rsidRDefault="00AC2F5D" w:rsidP="00AC2F5D">
      <w:pPr>
        <w:pStyle w:val="NormalWeb"/>
        <w:spacing w:before="0" w:beforeAutospacing="0" w:after="0" w:afterAutospacing="0"/>
        <w:jc w:val="both"/>
        <w:rPr>
          <w:i/>
          <w:sz w:val="20"/>
          <w:szCs w:val="20"/>
        </w:rPr>
      </w:pPr>
      <w:r w:rsidRPr="003F672F">
        <w:rPr>
          <w:i/>
          <w:sz w:val="20"/>
          <w:szCs w:val="20"/>
        </w:rPr>
        <w:t xml:space="preserve">Fuente: Encuesta </w:t>
      </w:r>
      <w:proofErr w:type="spellStart"/>
      <w:r w:rsidRPr="003F672F">
        <w:rPr>
          <w:i/>
          <w:sz w:val="20"/>
          <w:szCs w:val="20"/>
        </w:rPr>
        <w:t>RedOTRI</w:t>
      </w:r>
      <w:proofErr w:type="spellEnd"/>
      <w:r w:rsidRPr="003F672F">
        <w:rPr>
          <w:i/>
          <w:sz w:val="20"/>
          <w:szCs w:val="20"/>
        </w:rPr>
        <w:t>, varios años, y Encuesta de investigación y Transferencia de Conocimiento 2011 de las Universidades Españolas.</w:t>
      </w:r>
    </w:p>
    <w:p w:rsidR="00AC2F5D" w:rsidRDefault="00AC2F5D" w:rsidP="00AC2F5D">
      <w:pPr>
        <w:pStyle w:val="NormalWeb"/>
        <w:spacing w:before="0" w:beforeAutospacing="0" w:after="0" w:afterAutospacing="0"/>
      </w:pPr>
      <w:r>
        <w:rPr>
          <w:b/>
          <w:i/>
          <w:sz w:val="20"/>
          <w:szCs w:val="20"/>
        </w:rPr>
        <w:lastRenderedPageBreak/>
        <w:t xml:space="preserve">Gráfico 5: </w:t>
      </w:r>
      <w:r w:rsidRPr="003F672F">
        <w:rPr>
          <w:b/>
          <w:i/>
          <w:sz w:val="20"/>
          <w:szCs w:val="20"/>
        </w:rPr>
        <w:t xml:space="preserve">Captación </w:t>
      </w:r>
      <w:r>
        <w:rPr>
          <w:b/>
          <w:i/>
          <w:sz w:val="20"/>
          <w:szCs w:val="20"/>
        </w:rPr>
        <w:t xml:space="preserve">por parte de las universidades </w:t>
      </w:r>
      <w:r w:rsidRPr="003F672F">
        <w:rPr>
          <w:b/>
          <w:i/>
          <w:sz w:val="20"/>
          <w:szCs w:val="20"/>
        </w:rPr>
        <w:t xml:space="preserve">de recursos de </w:t>
      </w:r>
      <w:proofErr w:type="spellStart"/>
      <w:r w:rsidRPr="003F672F">
        <w:rPr>
          <w:b/>
          <w:i/>
          <w:sz w:val="20"/>
          <w:szCs w:val="20"/>
        </w:rPr>
        <w:t>I+D+i</w:t>
      </w:r>
      <w:proofErr w:type="spellEnd"/>
      <w:r w:rsidRPr="003F672F">
        <w:rPr>
          <w:b/>
          <w:i/>
          <w:sz w:val="20"/>
          <w:szCs w:val="20"/>
        </w:rPr>
        <w:t xml:space="preserve"> con empresas y otras entidades en millones de euros.</w:t>
      </w:r>
      <w:r>
        <w:rPr>
          <w:b/>
          <w:i/>
          <w:sz w:val="20"/>
          <w:szCs w:val="20"/>
        </w:rPr>
        <w:t xml:space="preserve"> Periodo 2003-2011</w:t>
      </w:r>
      <w:r w:rsidRPr="003F672F">
        <w:rPr>
          <w:b/>
          <w:i/>
          <w:sz w:val="20"/>
          <w:szCs w:val="20"/>
        </w:rPr>
        <w:t xml:space="preserve"> </w:t>
      </w:r>
      <w:r>
        <w:rPr>
          <w:noProof/>
        </w:rPr>
        <w:drawing>
          <wp:inline distT="0" distB="0" distL="0" distR="0">
            <wp:extent cx="5405120" cy="286512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5405120" cy="2865120"/>
                    </a:xfrm>
                    <a:prstGeom prst="rect">
                      <a:avLst/>
                    </a:prstGeom>
                    <a:noFill/>
                    <a:ln w="9525">
                      <a:noFill/>
                      <a:miter lim="800000"/>
                      <a:headEnd/>
                      <a:tailEnd/>
                    </a:ln>
                  </pic:spPr>
                </pic:pic>
              </a:graphicData>
            </a:graphic>
          </wp:inline>
        </w:drawing>
      </w:r>
    </w:p>
    <w:p w:rsidR="00AC2F5D" w:rsidRPr="003F672F" w:rsidRDefault="00AC2F5D" w:rsidP="00AC2F5D">
      <w:pPr>
        <w:pStyle w:val="NormalWeb"/>
        <w:spacing w:before="0" w:beforeAutospacing="0" w:after="0" w:afterAutospacing="0"/>
        <w:jc w:val="both"/>
        <w:rPr>
          <w:i/>
          <w:sz w:val="20"/>
          <w:szCs w:val="20"/>
        </w:rPr>
      </w:pPr>
      <w:r w:rsidRPr="003F672F">
        <w:rPr>
          <w:i/>
          <w:sz w:val="20"/>
          <w:szCs w:val="20"/>
        </w:rPr>
        <w:t xml:space="preserve">Fuente: Encuesta </w:t>
      </w:r>
      <w:proofErr w:type="spellStart"/>
      <w:r w:rsidRPr="003F672F">
        <w:rPr>
          <w:i/>
          <w:sz w:val="20"/>
          <w:szCs w:val="20"/>
        </w:rPr>
        <w:t>RedOTRI</w:t>
      </w:r>
      <w:proofErr w:type="spellEnd"/>
      <w:r w:rsidRPr="003F672F">
        <w:rPr>
          <w:i/>
          <w:sz w:val="20"/>
          <w:szCs w:val="20"/>
        </w:rPr>
        <w:t>, varios años, y Encuesta de investigación y Transferencia de Conocimiento 2011 de las Universidades Españolas.</w:t>
      </w:r>
    </w:p>
    <w:p w:rsidR="00AC2F5D" w:rsidRDefault="00AC2F5D" w:rsidP="00AC2F5D">
      <w:pPr>
        <w:pStyle w:val="NormalWeb"/>
        <w:jc w:val="both"/>
      </w:pPr>
      <w:r w:rsidRPr="00AD06A4">
        <w:t>L</w:t>
      </w:r>
      <w:r w:rsidR="002320E2">
        <w:t>os aspectos menos positivos de este proceso</w:t>
      </w:r>
      <w:r w:rsidR="004845EA">
        <w:t xml:space="preserve"> </w:t>
      </w:r>
      <w:r w:rsidR="004845EA" w:rsidRPr="00AD06A4">
        <w:t>tendrían que ver</w:t>
      </w:r>
      <w:r w:rsidR="004845EA">
        <w:t>,</w:t>
      </w:r>
      <w:r w:rsidRPr="00AD06A4">
        <w:t xml:space="preserve"> en términos generales, con el tradicional nivel relativamente reducido del gasto en I+D sobre el PIB en el conjunto de España, esto es, el escaso esfuerzo tecnológico que se realiza, en el contexto de los países avanzados del mundo. Así, el indicador español, del 1,3% en 2011 (similar </w:t>
      </w:r>
      <w:r>
        <w:t>al del año</w:t>
      </w:r>
      <w:r w:rsidRPr="00AD06A4">
        <w:t xml:space="preserve"> 2008, por el 0,95% del año 2001) es muy parecido al de Italia o Portugal, pero está muy alejado del de los países líderes de la OCDE como </w:t>
      </w:r>
      <w:r>
        <w:t>Israel o los países nórdicos –Finlandia,</w:t>
      </w:r>
      <w:r w:rsidRPr="00AD06A4">
        <w:t xml:space="preserve"> Suecia</w:t>
      </w:r>
      <w:r>
        <w:t>, Din</w:t>
      </w:r>
      <w:r w:rsidR="004845EA">
        <w:t>a</w:t>
      </w:r>
      <w:r>
        <w:t>marca</w:t>
      </w:r>
      <w:r w:rsidRPr="00AD06A4">
        <w:t>- donde el indicador correspondiente está por encima del 3% y también es inferior al dato para Alemania,</w:t>
      </w:r>
      <w:r>
        <w:t xml:space="preserve"> Austria o Estados Unidos,</w:t>
      </w:r>
      <w:r w:rsidRPr="00AD06A4">
        <w:t xml:space="preserve"> cercano al 3% o de Francia, que está por encima del 2% (gráfico 6). Además </w:t>
      </w:r>
      <w:r>
        <w:t xml:space="preserve">este esfuerzo tecnológico reducido impacta de manera débil, a efectos prácticos, en el tejido productivo español: </w:t>
      </w:r>
      <w:r w:rsidRPr="00AD06A4">
        <w:t xml:space="preserve">así, por ejemplo, el peso de las patentes españolas </w:t>
      </w:r>
      <w:proofErr w:type="spellStart"/>
      <w:r w:rsidRPr="00AD06A4">
        <w:t>triádicas</w:t>
      </w:r>
      <w:proofErr w:type="spellEnd"/>
      <w:r w:rsidRPr="00AD06A4">
        <w:t xml:space="preserve"> (esto es, las invenciones patentadas tanto en Estado</w:t>
      </w:r>
      <w:r w:rsidR="004845EA">
        <w:t>s Unidos, como en Japón y</w:t>
      </w:r>
      <w:r w:rsidRPr="00AD06A4">
        <w:t xml:space="preserve"> Europa) en las del conjunto de la Unión Europea es inferior al 2%, mientras que su participación en el PIB o en la población se acerca al 10%.</w:t>
      </w:r>
    </w:p>
    <w:p w:rsidR="00AC2F5D" w:rsidRPr="008E5597" w:rsidRDefault="00AC2F5D" w:rsidP="00AC2F5D">
      <w:pPr>
        <w:pStyle w:val="NormalWeb"/>
        <w:jc w:val="both"/>
      </w:pPr>
      <w:r w:rsidRPr="008E5597">
        <w:t xml:space="preserve">En la universidad, la transferencia de tecnología se ha dado de una forma más efectiva </w:t>
      </w:r>
      <w:r w:rsidR="004845EA">
        <w:t>bajo la forma de</w:t>
      </w:r>
      <w:r w:rsidRPr="008E5597">
        <w:t xml:space="preserve"> “</w:t>
      </w:r>
      <w:proofErr w:type="spellStart"/>
      <w:r w:rsidRPr="008E5597">
        <w:t>market-pull</w:t>
      </w:r>
      <w:proofErr w:type="spellEnd"/>
      <w:r w:rsidRPr="008E5597">
        <w:t xml:space="preserve">”, esto es, cuando es el mercado, la demanda, el que “tira” de los resultados de la investigación, que </w:t>
      </w:r>
      <w:r w:rsidR="004845EA">
        <w:t>bajo la forma</w:t>
      </w:r>
      <w:r w:rsidRPr="008E5597">
        <w:t xml:space="preserve"> de “</w:t>
      </w:r>
      <w:proofErr w:type="spellStart"/>
      <w:r w:rsidRPr="008E5597">
        <w:t>science</w:t>
      </w:r>
      <w:proofErr w:type="spellEnd"/>
      <w:r w:rsidRPr="008E5597">
        <w:t>/</w:t>
      </w:r>
      <w:proofErr w:type="spellStart"/>
      <w:r w:rsidRPr="008E5597">
        <w:t>technology</w:t>
      </w:r>
      <w:proofErr w:type="spellEnd"/>
      <w:r w:rsidRPr="008E5597">
        <w:t xml:space="preserve"> </w:t>
      </w:r>
      <w:proofErr w:type="spellStart"/>
      <w:r w:rsidRPr="008E5597">
        <w:t>push</w:t>
      </w:r>
      <w:proofErr w:type="spellEnd"/>
      <w:r w:rsidRPr="008E5597">
        <w:t>”, cuando es la ciencia la que “empuja” para llegar al mercado. Así, por ejemplo,</w:t>
      </w:r>
      <w:r>
        <w:t xml:space="preserve"> lo muestra el hecho señalado anteriormente de que l</w:t>
      </w:r>
      <w:r w:rsidRPr="008E5597">
        <w:t>a participación de la universidad en solicitudes de patentes no llega al 20% del total, mientras que en publicaciones científicas su participación relativa está casi en el 70%, por tanto, habría una reducida capacidad de translación al tejido productivo de los resultados de la investigación</w:t>
      </w:r>
      <w:r>
        <w:t>. Otros problemas serían t</w:t>
      </w:r>
      <w:r w:rsidRPr="008E5597">
        <w:t xml:space="preserve">ambién una capacidad reducida de licenciar las patentes generadas, lo que resulta en un importe muy bajo de los retornos por licencia, así como una baja capitalización de la mayoría de las spin-off creadas, cuyo número </w:t>
      </w:r>
      <w:r>
        <w:t>aumenta</w:t>
      </w:r>
      <w:r w:rsidRPr="008E5597">
        <w:t xml:space="preserve">, pero sin que muchas de ellas muestren un crecimiento suficiente que les permita alcanzar su plena consolidación </w:t>
      </w:r>
      <w:r>
        <w:t>o</w:t>
      </w:r>
      <w:r w:rsidRPr="008E5597">
        <w:t xml:space="preserve"> competir en mercados internacionales (Testar</w:t>
      </w:r>
      <w:r>
        <w:t>,</w:t>
      </w:r>
      <w:r w:rsidRPr="008E5597">
        <w:t xml:space="preserve"> 2012).</w:t>
      </w:r>
    </w:p>
    <w:p w:rsidR="00AC2F5D" w:rsidRPr="003716C9" w:rsidRDefault="00AC2F5D" w:rsidP="00AC2F5D">
      <w:r w:rsidRPr="000A463F">
        <w:rPr>
          <w:b/>
          <w:i/>
          <w:sz w:val="20"/>
          <w:szCs w:val="20"/>
        </w:rPr>
        <w:lastRenderedPageBreak/>
        <w:t xml:space="preserve">Gráfico </w:t>
      </w:r>
      <w:r>
        <w:rPr>
          <w:b/>
          <w:i/>
          <w:sz w:val="20"/>
          <w:szCs w:val="20"/>
        </w:rPr>
        <w:t>6</w:t>
      </w:r>
      <w:r w:rsidRPr="000A463F">
        <w:rPr>
          <w:b/>
          <w:i/>
          <w:sz w:val="20"/>
          <w:szCs w:val="20"/>
        </w:rPr>
        <w:t>: Comparación internacional del gasto interno</w:t>
      </w:r>
      <w:r>
        <w:rPr>
          <w:b/>
          <w:i/>
          <w:sz w:val="20"/>
          <w:szCs w:val="20"/>
        </w:rPr>
        <w:t xml:space="preserve"> en I+D en relación con el PIB, </w:t>
      </w:r>
      <w:r w:rsidRPr="000A463F">
        <w:rPr>
          <w:b/>
          <w:i/>
          <w:sz w:val="20"/>
          <w:szCs w:val="20"/>
        </w:rPr>
        <w:t>2011 (en %)</w:t>
      </w:r>
      <w:r w:rsidRPr="003716C9">
        <w:t xml:space="preserve"> </w:t>
      </w:r>
      <w:r>
        <w:rPr>
          <w:noProof/>
        </w:rPr>
        <w:drawing>
          <wp:inline distT="0" distB="0" distL="0" distR="0">
            <wp:extent cx="5405120" cy="361696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srcRect/>
                    <a:stretch>
                      <a:fillRect/>
                    </a:stretch>
                  </pic:blipFill>
                  <pic:spPr bwMode="auto">
                    <a:xfrm>
                      <a:off x="0" y="0"/>
                      <a:ext cx="5405120" cy="3616960"/>
                    </a:xfrm>
                    <a:prstGeom prst="rect">
                      <a:avLst/>
                    </a:prstGeom>
                    <a:noFill/>
                    <a:ln w="9525">
                      <a:noFill/>
                      <a:miter lim="800000"/>
                      <a:headEnd/>
                      <a:tailEnd/>
                    </a:ln>
                  </pic:spPr>
                </pic:pic>
              </a:graphicData>
            </a:graphic>
          </wp:inline>
        </w:drawing>
      </w:r>
    </w:p>
    <w:p w:rsidR="00AC2F5D" w:rsidRDefault="00AC2F5D" w:rsidP="00AC2F5D">
      <w:pPr>
        <w:pStyle w:val="NormalWeb"/>
        <w:spacing w:before="0" w:beforeAutospacing="0" w:after="0" w:afterAutospacing="0"/>
        <w:jc w:val="both"/>
        <w:rPr>
          <w:i/>
          <w:sz w:val="20"/>
          <w:szCs w:val="20"/>
        </w:rPr>
      </w:pPr>
      <w:r w:rsidRPr="000A463F">
        <w:rPr>
          <w:i/>
          <w:sz w:val="20"/>
          <w:szCs w:val="20"/>
        </w:rPr>
        <w:t xml:space="preserve">Fuente: </w:t>
      </w:r>
      <w:proofErr w:type="spellStart"/>
      <w:r w:rsidRPr="000A463F">
        <w:rPr>
          <w:i/>
          <w:sz w:val="20"/>
          <w:szCs w:val="20"/>
        </w:rPr>
        <w:t>Main</w:t>
      </w:r>
      <w:proofErr w:type="spellEnd"/>
      <w:r w:rsidRPr="000A463F">
        <w:rPr>
          <w:i/>
          <w:sz w:val="20"/>
          <w:szCs w:val="20"/>
        </w:rPr>
        <w:t xml:space="preserve"> </w:t>
      </w:r>
      <w:proofErr w:type="spellStart"/>
      <w:r w:rsidRPr="000A463F">
        <w:rPr>
          <w:i/>
          <w:sz w:val="20"/>
          <w:szCs w:val="20"/>
        </w:rPr>
        <w:t>Science</w:t>
      </w:r>
      <w:proofErr w:type="spellEnd"/>
      <w:r w:rsidRPr="000A463F">
        <w:rPr>
          <w:i/>
          <w:sz w:val="20"/>
          <w:szCs w:val="20"/>
        </w:rPr>
        <w:t xml:space="preserve"> and </w:t>
      </w:r>
      <w:proofErr w:type="spellStart"/>
      <w:r w:rsidRPr="000A463F">
        <w:rPr>
          <w:i/>
          <w:sz w:val="20"/>
          <w:szCs w:val="20"/>
        </w:rPr>
        <w:t>Technology</w:t>
      </w:r>
      <w:proofErr w:type="spellEnd"/>
      <w:r w:rsidRPr="000A463F">
        <w:rPr>
          <w:i/>
          <w:sz w:val="20"/>
          <w:szCs w:val="20"/>
        </w:rPr>
        <w:t xml:space="preserve"> </w:t>
      </w:r>
      <w:proofErr w:type="spellStart"/>
      <w:r w:rsidRPr="000A463F">
        <w:rPr>
          <w:i/>
          <w:sz w:val="20"/>
          <w:szCs w:val="20"/>
        </w:rPr>
        <w:t>indicators</w:t>
      </w:r>
      <w:proofErr w:type="spellEnd"/>
      <w:r w:rsidRPr="000A463F">
        <w:rPr>
          <w:i/>
          <w:sz w:val="20"/>
          <w:szCs w:val="20"/>
        </w:rPr>
        <w:t xml:space="preserve">. </w:t>
      </w:r>
      <w:r>
        <w:rPr>
          <w:i/>
          <w:sz w:val="20"/>
          <w:szCs w:val="20"/>
        </w:rPr>
        <w:t>OCDE</w:t>
      </w:r>
      <w:r w:rsidRPr="000A463F">
        <w:rPr>
          <w:i/>
          <w:sz w:val="20"/>
          <w:szCs w:val="20"/>
        </w:rPr>
        <w:t>.</w:t>
      </w:r>
    </w:p>
    <w:p w:rsidR="00AC2F5D" w:rsidRPr="000A463F" w:rsidRDefault="00AC2F5D" w:rsidP="00AC2F5D">
      <w:pPr>
        <w:pStyle w:val="NormalWeb"/>
        <w:spacing w:before="0" w:beforeAutospacing="0" w:after="0" w:afterAutospacing="0"/>
        <w:jc w:val="both"/>
        <w:rPr>
          <w:i/>
          <w:sz w:val="20"/>
          <w:szCs w:val="20"/>
        </w:rPr>
      </w:pPr>
    </w:p>
    <w:p w:rsidR="00AC2F5D" w:rsidRDefault="00AC2F5D" w:rsidP="00AC2F5D">
      <w:pPr>
        <w:pStyle w:val="Epgrafe"/>
        <w:spacing w:after="0"/>
        <w:jc w:val="both"/>
        <w:rPr>
          <w:rFonts w:ascii="Times New Roman" w:hAnsi="Times New Roman"/>
          <w:bCs w:val="0"/>
          <w:i/>
          <w:color w:val="auto"/>
          <w:sz w:val="20"/>
          <w:szCs w:val="20"/>
          <w:lang w:eastAsia="es-ES"/>
        </w:rPr>
      </w:pPr>
    </w:p>
    <w:p w:rsidR="00AC2F5D" w:rsidRPr="00437426" w:rsidRDefault="00AC2F5D" w:rsidP="00AC2F5D">
      <w:pPr>
        <w:pStyle w:val="Epgrafe"/>
        <w:spacing w:after="0"/>
        <w:jc w:val="both"/>
        <w:rPr>
          <w:rFonts w:ascii="Times New Roman" w:hAnsi="Times New Roman"/>
          <w:bCs w:val="0"/>
          <w:i/>
          <w:color w:val="auto"/>
          <w:sz w:val="20"/>
          <w:szCs w:val="20"/>
          <w:lang w:eastAsia="es-ES"/>
        </w:rPr>
      </w:pPr>
      <w:r w:rsidRPr="00437426">
        <w:rPr>
          <w:rFonts w:ascii="Times New Roman" w:hAnsi="Times New Roman"/>
          <w:bCs w:val="0"/>
          <w:i/>
          <w:color w:val="auto"/>
          <w:sz w:val="20"/>
          <w:szCs w:val="20"/>
          <w:lang w:eastAsia="es-ES"/>
        </w:rPr>
        <w:t xml:space="preserve">Gráfico  </w:t>
      </w:r>
      <w:r>
        <w:rPr>
          <w:rFonts w:ascii="Times New Roman" w:hAnsi="Times New Roman"/>
          <w:bCs w:val="0"/>
          <w:i/>
          <w:color w:val="auto"/>
          <w:sz w:val="20"/>
          <w:szCs w:val="20"/>
          <w:lang w:eastAsia="es-ES"/>
        </w:rPr>
        <w:t>7</w:t>
      </w:r>
      <w:r w:rsidRPr="00437426">
        <w:rPr>
          <w:rFonts w:ascii="Times New Roman" w:hAnsi="Times New Roman"/>
          <w:bCs w:val="0"/>
          <w:i/>
          <w:color w:val="auto"/>
          <w:sz w:val="20"/>
          <w:szCs w:val="20"/>
          <w:lang w:eastAsia="es-ES"/>
        </w:rPr>
        <w:t xml:space="preserve">.  Evolución temporal de la producción científica española en </w:t>
      </w:r>
      <w:proofErr w:type="spellStart"/>
      <w:r w:rsidRPr="00437426">
        <w:rPr>
          <w:rFonts w:ascii="Times New Roman" w:hAnsi="Times New Roman"/>
          <w:bCs w:val="0"/>
          <w:i/>
          <w:color w:val="auto"/>
          <w:sz w:val="20"/>
          <w:szCs w:val="20"/>
          <w:lang w:eastAsia="es-ES"/>
        </w:rPr>
        <w:t>Scopus</w:t>
      </w:r>
      <w:proofErr w:type="spellEnd"/>
      <w:r w:rsidRPr="00437426">
        <w:rPr>
          <w:rFonts w:ascii="Times New Roman" w:hAnsi="Times New Roman"/>
          <w:bCs w:val="0"/>
          <w:i/>
          <w:color w:val="auto"/>
          <w:sz w:val="20"/>
          <w:szCs w:val="20"/>
          <w:lang w:eastAsia="es-ES"/>
        </w:rPr>
        <w:t xml:space="preserve"> y su aportación relativa al total de la producción de Europa Occidental y del mundo, 2000-2011</w:t>
      </w:r>
    </w:p>
    <w:p w:rsidR="00AC2F5D" w:rsidRPr="009E3E5C" w:rsidRDefault="00AC2F5D" w:rsidP="00AC2F5D">
      <w:pPr>
        <w:jc w:val="both"/>
      </w:pPr>
      <w:r>
        <w:rPr>
          <w:noProof/>
        </w:rPr>
        <w:drawing>
          <wp:inline distT="0" distB="0" distL="0" distR="0">
            <wp:extent cx="5466080" cy="3413760"/>
            <wp:effectExtent l="19050" t="0" r="1270" b="0"/>
            <wp:docPr id="7" name="Objeto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to 39"/>
                    <pic:cNvPicPr>
                      <a:picLocks noChangeAspect="1" noChangeArrowheads="1"/>
                    </pic:cNvPicPr>
                  </pic:nvPicPr>
                  <pic:blipFill>
                    <a:blip r:embed="rId15" cstate="print"/>
                    <a:srcRect/>
                    <a:stretch>
                      <a:fillRect/>
                    </a:stretch>
                  </pic:blipFill>
                  <pic:spPr bwMode="auto">
                    <a:xfrm>
                      <a:off x="0" y="0"/>
                      <a:ext cx="5466080" cy="3413760"/>
                    </a:xfrm>
                    <a:prstGeom prst="rect">
                      <a:avLst/>
                    </a:prstGeom>
                    <a:noFill/>
                    <a:ln w="9525">
                      <a:noFill/>
                      <a:miter lim="800000"/>
                      <a:headEnd/>
                      <a:tailEnd/>
                    </a:ln>
                  </pic:spPr>
                </pic:pic>
              </a:graphicData>
            </a:graphic>
          </wp:inline>
        </w:drawing>
      </w:r>
    </w:p>
    <w:p w:rsidR="00AC2F5D" w:rsidRDefault="00AC2F5D" w:rsidP="00AC2F5D">
      <w:pPr>
        <w:pStyle w:val="NormalWeb"/>
        <w:spacing w:before="0" w:beforeAutospacing="0" w:after="0" w:afterAutospacing="0"/>
        <w:jc w:val="both"/>
        <w:rPr>
          <w:i/>
          <w:sz w:val="20"/>
          <w:szCs w:val="20"/>
        </w:rPr>
      </w:pPr>
      <w:r w:rsidRPr="00437426">
        <w:rPr>
          <w:i/>
          <w:sz w:val="20"/>
          <w:szCs w:val="20"/>
        </w:rPr>
        <w:t xml:space="preserve">Fuente: </w:t>
      </w:r>
      <w:proofErr w:type="spellStart"/>
      <w:r w:rsidRPr="00437426">
        <w:rPr>
          <w:i/>
          <w:sz w:val="20"/>
          <w:szCs w:val="20"/>
        </w:rPr>
        <w:t>SCImago</w:t>
      </w:r>
      <w:proofErr w:type="spellEnd"/>
      <w:r w:rsidRPr="00437426">
        <w:rPr>
          <w:i/>
          <w:sz w:val="20"/>
          <w:szCs w:val="20"/>
        </w:rPr>
        <w:t xml:space="preserve"> </w:t>
      </w:r>
      <w:proofErr w:type="spellStart"/>
      <w:r w:rsidRPr="00437426">
        <w:rPr>
          <w:i/>
          <w:sz w:val="20"/>
          <w:szCs w:val="20"/>
        </w:rPr>
        <w:t>Journal</w:t>
      </w:r>
      <w:proofErr w:type="spellEnd"/>
      <w:r w:rsidRPr="00437426">
        <w:rPr>
          <w:i/>
          <w:sz w:val="20"/>
          <w:szCs w:val="20"/>
        </w:rPr>
        <w:t xml:space="preserve"> &amp; Country Rank a partir de datos </w:t>
      </w:r>
      <w:proofErr w:type="spellStart"/>
      <w:r w:rsidRPr="00437426">
        <w:rPr>
          <w:i/>
          <w:sz w:val="20"/>
          <w:szCs w:val="20"/>
        </w:rPr>
        <w:t>Scopus</w:t>
      </w:r>
      <w:proofErr w:type="spellEnd"/>
      <w:r w:rsidRPr="00437426">
        <w:rPr>
          <w:i/>
          <w:sz w:val="20"/>
          <w:szCs w:val="20"/>
        </w:rPr>
        <w:t xml:space="preserve">. Elaboración Grupo </w:t>
      </w:r>
      <w:proofErr w:type="spellStart"/>
      <w:r w:rsidRPr="00437426">
        <w:rPr>
          <w:i/>
          <w:sz w:val="20"/>
          <w:szCs w:val="20"/>
        </w:rPr>
        <w:t>SCImago</w:t>
      </w:r>
      <w:proofErr w:type="spellEnd"/>
      <w:r w:rsidRPr="00437426">
        <w:rPr>
          <w:i/>
          <w:sz w:val="20"/>
          <w:szCs w:val="20"/>
        </w:rPr>
        <w:t>, Instituto de Políticas y Bienes Públicos del CSIC</w:t>
      </w:r>
    </w:p>
    <w:p w:rsidR="00AC2F5D" w:rsidRDefault="00AC2F5D" w:rsidP="00AC2F5D">
      <w:pPr>
        <w:pStyle w:val="NormalWeb"/>
        <w:spacing w:before="0" w:beforeAutospacing="0" w:after="0" w:afterAutospacing="0"/>
        <w:jc w:val="both"/>
        <w:rPr>
          <w:i/>
          <w:sz w:val="20"/>
          <w:szCs w:val="20"/>
        </w:rPr>
      </w:pPr>
    </w:p>
    <w:p w:rsidR="00AC2F5D" w:rsidRDefault="00AC2F5D" w:rsidP="00AC2F5D">
      <w:pPr>
        <w:jc w:val="both"/>
        <w:rPr>
          <w:b/>
        </w:rPr>
      </w:pPr>
    </w:p>
    <w:p w:rsidR="00AC2F5D" w:rsidRDefault="00AC2F5D" w:rsidP="00AC2F5D">
      <w:pPr>
        <w:pStyle w:val="NormalWeb"/>
        <w:jc w:val="both"/>
      </w:pPr>
      <w:r w:rsidRPr="008E5597">
        <w:lastRenderedPageBreak/>
        <w:t>En cualquier caso, el papel</w:t>
      </w:r>
      <w:r>
        <w:t xml:space="preserve"> positivo</w:t>
      </w:r>
      <w:r w:rsidRPr="008E5597">
        <w:t xml:space="preserve"> de la universidad</w:t>
      </w:r>
      <w:r>
        <w:t xml:space="preserve"> en la economía española</w:t>
      </w:r>
      <w:r w:rsidRPr="008E5597">
        <w:t xml:space="preserve"> ha sido importante y ha tenido un protagonismo creciente y a ello ayudó sobremanera la expansión de los recursos puestos a disposición de las universidades</w:t>
      </w:r>
      <w:r>
        <w:t xml:space="preserve">. Así, por ejemplo, el gasto en educación superior por alumno creció en España entre 1995 y 2010 un 93,6%, por el 16% del promedio de </w:t>
      </w:r>
      <w:smartTag w:uri="urn:schemas-microsoft-com:office:smarttags" w:element="PersonName">
        <w:smartTagPr>
          <w:attr w:name="ProductID" w:val="la OCDE"/>
        </w:smartTagPr>
        <w:r>
          <w:t>la OCDE</w:t>
        </w:r>
      </w:smartTag>
      <w:r>
        <w:t xml:space="preserve"> o el 19% de los 21 países europeos de dicha organización, con datos de la publicación de </w:t>
      </w:r>
      <w:smartTag w:uri="urn:schemas-microsoft-com:office:smarttags" w:element="PersonName">
        <w:smartTagPr>
          <w:attr w:name="ProductID" w:val="la OCDE"/>
        </w:smartTagPr>
        <w:r>
          <w:t>la OCDE</w:t>
        </w:r>
      </w:smartTag>
      <w:r>
        <w:t xml:space="preserve">, </w:t>
      </w:r>
      <w:proofErr w:type="spellStart"/>
      <w:r w:rsidRPr="00DC5193">
        <w:rPr>
          <w:i/>
        </w:rPr>
        <w:t>Education</w:t>
      </w:r>
      <w:proofErr w:type="spellEnd"/>
      <w:r w:rsidRPr="00DC5193">
        <w:rPr>
          <w:i/>
        </w:rPr>
        <w:t xml:space="preserve"> at a </w:t>
      </w:r>
      <w:proofErr w:type="spellStart"/>
      <w:r w:rsidRPr="00DC5193">
        <w:rPr>
          <w:i/>
        </w:rPr>
        <w:t>Glance</w:t>
      </w:r>
      <w:proofErr w:type="spellEnd"/>
      <w:r w:rsidRPr="00DC5193">
        <w:rPr>
          <w:i/>
        </w:rPr>
        <w:t>, 2013</w:t>
      </w:r>
      <w:r>
        <w:t xml:space="preserve">, o visto de otra manera, el gasto en educación superior sobre el PIB pasó del 1% al 1,3% en este mismo periodo (el 80% de los recursos destinados son de carácter público), un crecimiento de tres décimas, exactamente igual que al se dio en </w:t>
      </w:r>
      <w:smartTag w:uri="urn:schemas-microsoft-com:office:smarttags" w:element="PersonName">
        <w:smartTagPr>
          <w:attr w:name="ProductID" w:val="la OCDE-21. Tambi￩n"/>
        </w:smartTagPr>
        <w:r>
          <w:t xml:space="preserve">la OCDE-21. </w:t>
        </w:r>
        <w:r w:rsidRPr="00366A96">
          <w:t>También</w:t>
        </w:r>
      </w:smartTag>
      <w:r w:rsidRPr="00366A96">
        <w:t xml:space="preserve"> fue clave la existencia de un sistema claro de incentivos, un ejemplo relevante de los cuales serían los sexenios de investigación, que motivó el despegue de las publicaciones </w:t>
      </w:r>
      <w:r>
        <w:t xml:space="preserve">(gráfico 7) </w:t>
      </w:r>
      <w:r w:rsidRPr="00366A96">
        <w:t>o el avance en las solicitudes de patentes.</w:t>
      </w:r>
    </w:p>
    <w:p w:rsidR="00AC2F5D" w:rsidRPr="008E5597" w:rsidRDefault="00AC2F5D" w:rsidP="00AC2F5D">
      <w:pPr>
        <w:jc w:val="both"/>
        <w:rPr>
          <w:b/>
        </w:rPr>
      </w:pPr>
      <w:r w:rsidRPr="008E5597">
        <w:rPr>
          <w:b/>
        </w:rPr>
        <w:t>2. Crisis y sistema universitario</w:t>
      </w:r>
    </w:p>
    <w:p w:rsidR="00AC2F5D" w:rsidRPr="008E5597" w:rsidRDefault="00AC2F5D" w:rsidP="00AC2F5D">
      <w:pPr>
        <w:jc w:val="both"/>
        <w:rPr>
          <w:b/>
        </w:rPr>
      </w:pPr>
    </w:p>
    <w:p w:rsidR="00AC2F5D" w:rsidRPr="008E5597" w:rsidRDefault="00AC2F5D" w:rsidP="00AC2F5D">
      <w:pPr>
        <w:jc w:val="both"/>
      </w:pPr>
      <w:r w:rsidRPr="008E5597">
        <w:t xml:space="preserve">La crisis económica actual, que comenzó con el colapso financiero de verano de 2007 en Estados Unidos relacionado con las hipotecas </w:t>
      </w:r>
      <w:proofErr w:type="spellStart"/>
      <w:r w:rsidRPr="008E5597">
        <w:t>subprime</w:t>
      </w:r>
      <w:proofErr w:type="spellEnd"/>
      <w:r w:rsidRPr="008E5597">
        <w:t xml:space="preserve"> y que se transformó en una crisis económica profunda de alcance internacional a partir de </w:t>
      </w:r>
      <w:smartTag w:uri="urn:schemas-microsoft-com:office:smarttags" w:element="metricconverter">
        <w:smartTagPr>
          <w:attr w:name="ProductID" w:val="2008, ha"/>
        </w:smartTagPr>
        <w:r w:rsidRPr="008E5597">
          <w:t>2008, ha</w:t>
        </w:r>
      </w:smartTag>
      <w:r w:rsidRPr="008E5597">
        <w:t xml:space="preserve"> afectado también al sistema universitario español. En un primer momento, a partir de la reducción de los fondos privados que llegan a la universidad en forma, por ejemplo, de financiación privada de la investigación universitaria; el volumen de recursos de </w:t>
      </w:r>
      <w:proofErr w:type="spellStart"/>
      <w:r w:rsidRPr="008E5597">
        <w:t>I+D+i</w:t>
      </w:r>
      <w:proofErr w:type="spellEnd"/>
      <w:r w:rsidRPr="008E5597">
        <w:t xml:space="preserve"> que las </w:t>
      </w:r>
      <w:proofErr w:type="spellStart"/>
      <w:r w:rsidRPr="008E5597">
        <w:t>OTRI</w:t>
      </w:r>
      <w:r>
        <w:t>s</w:t>
      </w:r>
      <w:proofErr w:type="spellEnd"/>
      <w:r w:rsidRPr="008E5597">
        <w:t xml:space="preserve"> </w:t>
      </w:r>
      <w:r>
        <w:t>de las u</w:t>
      </w:r>
      <w:r w:rsidRPr="008E5597">
        <w:t>niversidades captan a través de las relaciones con empresas y otras entidades</w:t>
      </w:r>
      <w:r>
        <w:t xml:space="preserve"> (véase gráfico 5)</w:t>
      </w:r>
      <w:r w:rsidRPr="008E5597">
        <w:t xml:space="preserve"> o la incorporación de personal científico a las empresas (</w:t>
      </w:r>
      <w:r w:rsidR="004845EA">
        <w:t xml:space="preserve">con una disminución ininterrumpida </w:t>
      </w:r>
      <w:r w:rsidRPr="008E5597">
        <w:t xml:space="preserve">desde 2008). Otro de los efectos de la crisis también fue el incremento del número de matriculados en las universidades españolas (a partir del curso 2008-2009), rompiendo la tendencia que se venía observando en la última década hacia la reducción del alumnado. </w:t>
      </w:r>
      <w:r>
        <w:t>Esta inflexión viene motivada porque la</w:t>
      </w:r>
      <w:r w:rsidRPr="008E5597">
        <w:t xml:space="preserve"> crisis ha conllevado un deterioro extre</w:t>
      </w:r>
      <w:r>
        <w:t>mo del mercado laboral español,</w:t>
      </w:r>
      <w:r w:rsidRPr="008E5597">
        <w:t xml:space="preserve"> especialmente para los jóvenes,</w:t>
      </w:r>
      <w:r>
        <w:t xml:space="preserve"> con destrucción de empleo y aumento de la tasa de paro,</w:t>
      </w:r>
      <w:r w:rsidRPr="008E5597">
        <w:t xml:space="preserve"> y una </w:t>
      </w:r>
      <w:r>
        <w:t>disminución</w:t>
      </w:r>
      <w:r w:rsidRPr="008E5597">
        <w:t>, por lo tanto, del coste de oportunidad de estudiar. Asimismo, una parte de la población que ha perdido su empleo ha optado por volver a estudiar ante las negativas perspectivas de poder volver a ser contratado, en un entorno cada vez más exigente respecto a los conocimientos, aptitudes y competencias de la fuerza laboral</w:t>
      </w:r>
      <w:r>
        <w:t>. Todo ello debido en buena parte a</w:t>
      </w:r>
      <w:r w:rsidRPr="008E5597">
        <w:t xml:space="preserve"> una estructura productiva en la que la especialización observada en la etapa de expansión previa en los sectores de la construcción y los servicios más ligados al consumo de las familias, que exigían una mano de obra de baja cualificación, habría de dar paso al protagonismo de otros sectores productivos más intensivos en conocimiento. </w:t>
      </w:r>
      <w:r>
        <w:t>Estas circunstancias están provocando, como efecto colateral, un</w:t>
      </w:r>
      <w:r w:rsidRPr="008E5597">
        <w:t xml:space="preserve"> aumento de la edad media del alumnado matriculado en la universidad.</w:t>
      </w:r>
    </w:p>
    <w:p w:rsidR="00AC2F5D" w:rsidRPr="008E5597" w:rsidRDefault="00AC2F5D" w:rsidP="00AC2F5D">
      <w:pPr>
        <w:jc w:val="both"/>
      </w:pPr>
    </w:p>
    <w:p w:rsidR="00AC2F5D" w:rsidRDefault="00AC2F5D" w:rsidP="00AC2F5D">
      <w:pPr>
        <w:jc w:val="both"/>
      </w:pPr>
      <w:r w:rsidRPr="008E5597">
        <w:t xml:space="preserve">Sin embargo, lo que más ha afectado al sistema universitario español, mayoritariamente público (más del 85% del alumnado matriculado </w:t>
      </w:r>
      <w:r>
        <w:t>lo está</w:t>
      </w:r>
      <w:r w:rsidRPr="008E5597">
        <w:t xml:space="preserve"> en universidades públicas) ha sido la crisis de la deuda soberana, la prima de riesgo y el euro, en el contexto de </w:t>
      </w:r>
      <w:smartTag w:uri="urn:schemas-microsoft-com:office:smarttags" w:element="PersonName">
        <w:smartTagPr>
          <w:attr w:name="ProductID" w:val="la Uni￳n Econ￳mica"/>
        </w:smartTagPr>
        <w:smartTag w:uri="urn:schemas-microsoft-com:office:smarttags" w:element="PersonName">
          <w:smartTagPr>
            <w:attr w:name="ProductID" w:val="la Uni￳n"/>
          </w:smartTagPr>
          <w:r w:rsidRPr="008E5597">
            <w:t>la Unión</w:t>
          </w:r>
        </w:smartTag>
        <w:r w:rsidRPr="008E5597">
          <w:t xml:space="preserve"> Económica</w:t>
        </w:r>
      </w:smartTag>
      <w:r w:rsidRPr="008E5597">
        <w:t xml:space="preserve"> y Monetaria. Efectivamente, a la crisis financiera y económica se le sumó también ya en el año 2010 la </w:t>
      </w:r>
      <w:r>
        <w:t>necesidad de reducir el déficit público</w:t>
      </w:r>
      <w:r w:rsidRPr="008E5597">
        <w:t xml:space="preserve">. A partir de mayo de 2010, y para intentar reducir las tensiones en los mercados financieros que estaban poniendo en peligro la propia zona euro, se les exigió a los países con más déficit público y más endeudados, particularmente los países del sur de Europa, como España, la realización de un esfuerzo significativo en términos de reducción </w:t>
      </w:r>
      <w:r>
        <w:t>de los gastos públicos</w:t>
      </w:r>
      <w:r w:rsidRPr="008E5597">
        <w:t xml:space="preserve"> y aumento de los ingresos para hacer frente a la necesidad de reducir el </w:t>
      </w:r>
      <w:r w:rsidRPr="008E5597">
        <w:lastRenderedPageBreak/>
        <w:t xml:space="preserve">déficit público y calmar así las tensiones financieras que se estaban produciendo. Al estar en un contexto de crisis, no obstante, las medidas tomadas al respecto, de una magnitud notablemente intensa, han tenido un impacto atenuado en el objetivo de reducción del déficit público y han </w:t>
      </w:r>
      <w:r>
        <w:t>contribuido, en el corto plazo, a un mayor estancamiento de la economía.</w:t>
      </w:r>
      <w:r w:rsidRPr="008E5597">
        <w:t xml:space="preserve"> </w:t>
      </w:r>
    </w:p>
    <w:p w:rsidR="00AC2F5D" w:rsidRDefault="00AC2F5D" w:rsidP="00AC2F5D">
      <w:pPr>
        <w:jc w:val="both"/>
      </w:pPr>
    </w:p>
    <w:p w:rsidR="00AC2F5D" w:rsidRDefault="00AC2F5D" w:rsidP="00AC2F5D">
      <w:pPr>
        <w:jc w:val="both"/>
      </w:pPr>
      <w:r w:rsidRPr="008E5597">
        <w:t>En cualquier caso, la reducción de gastos y el incremento de ingresos públicos ha sido el objetivo de las administraciones públicas españolas desde mayo</w:t>
      </w:r>
      <w:r>
        <w:t xml:space="preserve"> de 2010 y hasta la actualidad, y</w:t>
      </w:r>
      <w:r w:rsidRPr="008E5597">
        <w:t xml:space="preserve"> a ese objetivo no se han escapado las universidades públicas españolas. Además de la reducción de los fondos dispuestos para financiar la investigación y </w:t>
      </w:r>
      <w:smartTag w:uri="urn:schemas-microsoft-com:office:smarttags" w:element="PersonName">
        <w:smartTagPr>
          <w:attr w:name="ProductID" w:val="la I"/>
        </w:smartTagPr>
        <w:r w:rsidRPr="008E5597">
          <w:t xml:space="preserve">la </w:t>
        </w:r>
        <w:proofErr w:type="spellStart"/>
        <w:r w:rsidRPr="008E5597">
          <w:t>I</w:t>
        </w:r>
      </w:smartTag>
      <w:r w:rsidRPr="008E5597">
        <w:t>+D+i</w:t>
      </w:r>
      <w:proofErr w:type="spellEnd"/>
      <w:r w:rsidRPr="008E5597">
        <w:t>, se ha producido una gran reducción de la financiación básica que reciben las universidades públicas españolas de sus comunidades autónomas para financiar sus gastos corrientes y de capital (que han estado significando últimamente en torno al 80% de su financiación</w:t>
      </w:r>
      <w:r>
        <w:t xml:space="preserve"> total</w:t>
      </w:r>
      <w:r w:rsidRPr="008E5597">
        <w:t xml:space="preserve">). </w:t>
      </w:r>
    </w:p>
    <w:p w:rsidR="00AC2F5D" w:rsidRDefault="00AC2F5D" w:rsidP="00AC2F5D">
      <w:pPr>
        <w:jc w:val="both"/>
      </w:pPr>
    </w:p>
    <w:p w:rsidR="00AC2F5D" w:rsidRDefault="00AC2F5D" w:rsidP="00AC2F5D">
      <w:pPr>
        <w:jc w:val="both"/>
      </w:pPr>
      <w:r w:rsidRPr="008E5597">
        <w:t xml:space="preserve">Según una encuesta contestada por las propias universidades públicas presenciales españolas acerca de sus presupuestos liquidados de 2009, 2010 y 2011 y que fue realizada por </w:t>
      </w:r>
      <w:smartTag w:uri="urn:schemas-microsoft-com:office:smarttags" w:element="PersonName">
        <w:smartTagPr>
          <w:attr w:name="ProductID" w:val="la Fundaci￳n Conocimiento"/>
        </w:smartTagPr>
        <w:smartTag w:uri="urn:schemas-microsoft-com:office:smarttags" w:element="PersonName">
          <w:smartTagPr>
            <w:attr w:name="ProductID" w:val="la Fundaci￳n"/>
          </w:smartTagPr>
          <w:r w:rsidRPr="008E5597">
            <w:t>la Fundación</w:t>
          </w:r>
        </w:smartTag>
        <w:r w:rsidRPr="008E5597">
          <w:t xml:space="preserve"> Conocimiento</w:t>
        </w:r>
      </w:smartTag>
      <w:r w:rsidRPr="008E5597">
        <w:t xml:space="preserve"> y Desarrollo (Fundación CYD), los ingresos no financieros de dichas universidades en ese periodo se redujeron un 8%, las transferencias corrientes, en concreto, bajaron un 9,4% y las de capital un 11,1%. </w:t>
      </w:r>
      <w:r>
        <w:t>La reducción adicional que se ha producido en 2012 y 2013 hace prever que cuando se dispongan de los datos correspondientes, la situación presupuestaria de las universidades públicas españolas será aun más negativa</w:t>
      </w:r>
      <w:r w:rsidRPr="008E5597">
        <w:t xml:space="preserve">. Por comunidades autónomas, la </w:t>
      </w:r>
      <w:r w:rsidR="004845EA">
        <w:t>dispersión</w:t>
      </w:r>
      <w:r w:rsidRPr="008E5597">
        <w:t xml:space="preserve"> ha sido considerable, aunque es de destacar que entre las más afectadas se encuentran Madrid o Cataluña, donde se localizan las universidades español</w:t>
      </w:r>
      <w:r>
        <w:t>a</w:t>
      </w:r>
      <w:r w:rsidRPr="008E5597">
        <w:t>s que mejor puntúan en los rankings internacionales</w:t>
      </w:r>
      <w:r>
        <w:t xml:space="preserve"> (gráfico 8)</w:t>
      </w:r>
      <w:r w:rsidRPr="008E5597">
        <w:t>. La contrapartida a estos recortes sustanciales, que rompen con los años de aumentos presupuestarios vividos en la última expansión e incluso anteriormente, en los años ochenta del siglo pasado, ha sido la de reducir la partida de gastos de personal, la más voluminosa, puesto que supone en torno al 60% del presupuesto de gastos, a través de la reducción de salarios e incluso, recientemente</w:t>
      </w:r>
      <w:r>
        <w:t>,</w:t>
      </w:r>
      <w:r w:rsidRPr="008E5597">
        <w:t xml:space="preserve"> la reducción de personal, a través de la no renovación de contratos a profesores, especialmente los </w:t>
      </w:r>
      <w:r>
        <w:t>asociados y</w:t>
      </w:r>
      <w:r w:rsidRPr="008E5597">
        <w:t xml:space="preserve"> la no reposición de las plazas vacantes</w:t>
      </w:r>
      <w:r>
        <w:t>.</w:t>
      </w:r>
      <w:r w:rsidRPr="008E5597">
        <w:t xml:space="preserve"> Asimismo también se han producido reducciones en el capítulo de gastos destinado a las inversiones reales (entre 2009 y 2011 se </w:t>
      </w:r>
      <w:r>
        <w:t>registró</w:t>
      </w:r>
      <w:r w:rsidRPr="008E5597">
        <w:t xml:space="preserve"> una disminución del 7%) y recientemente se observan ajustes en el capítulo 2 relacionado con los gastos c</w:t>
      </w:r>
      <w:r>
        <w:t>orrientes en bienes y servicios.</w:t>
      </w:r>
      <w:r w:rsidRPr="008E5597">
        <w:t xml:space="preserve"> </w:t>
      </w:r>
    </w:p>
    <w:p w:rsidR="00AC2F5D" w:rsidRDefault="00AC2F5D" w:rsidP="00AC2F5D">
      <w:pPr>
        <w:jc w:val="both"/>
      </w:pPr>
    </w:p>
    <w:p w:rsidR="00AC2F5D" w:rsidRPr="008E5597" w:rsidRDefault="00AC2F5D" w:rsidP="00AC2F5D">
      <w:pPr>
        <w:jc w:val="both"/>
      </w:pPr>
      <w:r w:rsidRPr="008E5597">
        <w:t xml:space="preserve">Paralelamente también se están produciendo </w:t>
      </w:r>
      <w:r>
        <w:t>elevados</w:t>
      </w:r>
      <w:r w:rsidRPr="008E5597">
        <w:t xml:space="preserve"> aumentos e</w:t>
      </w:r>
      <w:r>
        <w:t>n las matrículas universitarias</w:t>
      </w:r>
      <w:r w:rsidRPr="008E5597">
        <w:t xml:space="preserve">, especialmente intensos en </w:t>
      </w:r>
      <w:r>
        <w:t>el curso 2012</w:t>
      </w:r>
      <w:r w:rsidRPr="008E5597">
        <w:t xml:space="preserve">-2013. Mientras que en el curso 2011-2012 el ascenso fue de poco más del 4%, en promedio, en 2012-2013 este incremento fue del 17% en el grado (con máximos del 66,6% en Cataluña y en el </w:t>
      </w:r>
      <w:r>
        <w:t>en</w:t>
      </w:r>
      <w:r w:rsidRPr="008E5597">
        <w:t>torno del 40% en Canarias, Castilla y León y Madrid) y de más del 70% en el caso de los estudios</w:t>
      </w:r>
      <w:r>
        <w:t xml:space="preserve"> de </w:t>
      </w:r>
      <w:proofErr w:type="spellStart"/>
      <w:r>
        <w:t>másters</w:t>
      </w:r>
      <w:proofErr w:type="spellEnd"/>
      <w:r>
        <w:t xml:space="preserve"> oficiales (más que </w:t>
      </w:r>
      <w:proofErr w:type="spellStart"/>
      <w:r>
        <w:t>doblandose</w:t>
      </w:r>
      <w:proofErr w:type="spellEnd"/>
      <w:r w:rsidRPr="008E5597">
        <w:t xml:space="preserve"> en Andalucía, Canarias, Cataluña y Madrid). Esto, junto a la reducción de las becas concedidas, en el contexto de consolidación fiscal actual, y las mayores exigencias para su concesión y mantenimiento</w:t>
      </w:r>
      <w:r>
        <w:t>,</w:t>
      </w:r>
      <w:r w:rsidRPr="008E5597">
        <w:t xml:space="preserve"> </w:t>
      </w:r>
      <w:r>
        <w:t>junto al poco desarrollo</w:t>
      </w:r>
      <w:r w:rsidRPr="00204004">
        <w:t xml:space="preserve"> </w:t>
      </w:r>
      <w:r>
        <w:t xml:space="preserve">en España de los préstamos universitarios a bajo interés, </w:t>
      </w:r>
      <w:r w:rsidRPr="008E5597">
        <w:t xml:space="preserve">puede plantear problemas para la realización y continuación de la carrera universitaria a algunos alumnos, máximo si se tiene en cuenta que en el actual sistema de Bolonia, del Espacio Europeo de Educación Superior, es </w:t>
      </w:r>
      <w:r>
        <w:t>básica</w:t>
      </w:r>
      <w:r w:rsidRPr="008E5597">
        <w:t xml:space="preserve"> la implicación del alumnado a tiempo completo para el buen seguimiento de los estudios universitarios, </w:t>
      </w:r>
      <w:r>
        <w:lastRenderedPageBreak/>
        <w:t>dificultando así la compaginación de los</w:t>
      </w:r>
      <w:r w:rsidRPr="008E5597">
        <w:t xml:space="preserve"> estudios y un trabajo para poder costear dichos estudios. En algunas universidades ya se están produciendo</w:t>
      </w:r>
      <w:r>
        <w:t>, en este marco,</w:t>
      </w:r>
      <w:r w:rsidRPr="008E5597">
        <w:t xml:space="preserve"> o bien</w:t>
      </w:r>
      <w:r>
        <w:t xml:space="preserve"> la</w:t>
      </w:r>
      <w:r w:rsidRPr="008E5597">
        <w:t xml:space="preserve"> reducción del número de matriculados, especialmente en </w:t>
      </w:r>
      <w:proofErr w:type="spellStart"/>
      <w:r w:rsidRPr="008E5597">
        <w:t>másters</w:t>
      </w:r>
      <w:proofErr w:type="spellEnd"/>
      <w:r w:rsidRPr="008E5597">
        <w:t xml:space="preserve"> oficiales, los que más se han encarecido, o, lo que es más común, </w:t>
      </w:r>
      <w:r>
        <w:t xml:space="preserve">la </w:t>
      </w:r>
      <w:r w:rsidRPr="008E5597">
        <w:t xml:space="preserve">disminución del número de créditos matriculados por alumno, lo que llevaría aparejado una imposibilidad para acabar la carrera en el periodo mínimo estipulado (normalmente de 4 años, 240 créditos ECTS, para los estudios de grado). También la reducción de las becas se da en el ámbito </w:t>
      </w:r>
      <w:proofErr w:type="spellStart"/>
      <w:r w:rsidRPr="008E5597">
        <w:t>predoctoral</w:t>
      </w:r>
      <w:proofErr w:type="spellEnd"/>
      <w:r w:rsidRPr="008E5597">
        <w:t xml:space="preserve"> y postdoctoral, lo que unido a la dificultad para continuar la carrera académica, </w:t>
      </w:r>
      <w:r>
        <w:t>dada</w:t>
      </w:r>
      <w:r w:rsidRPr="008E5597">
        <w:t xml:space="preserve"> la amortización de puestos de </w:t>
      </w:r>
      <w:r>
        <w:t>trabajo que se está produciendo y</w:t>
      </w:r>
      <w:r w:rsidRPr="008E5597">
        <w:t xml:space="preserve"> la drástica reducción de financiación para la ciencia e investigación, está </w:t>
      </w:r>
      <w:r>
        <w:t>provocando un aumento de la emigración al extranjero de graduados españoles.</w:t>
      </w:r>
    </w:p>
    <w:p w:rsidR="00AC2F5D" w:rsidRDefault="00AC2F5D" w:rsidP="00AC2F5D">
      <w:pPr>
        <w:jc w:val="both"/>
      </w:pPr>
    </w:p>
    <w:p w:rsidR="00AC2F5D" w:rsidRPr="00E5544F" w:rsidRDefault="00AC2F5D" w:rsidP="00AC2F5D">
      <w:pPr>
        <w:jc w:val="both"/>
        <w:rPr>
          <w:b/>
          <w:i/>
          <w:sz w:val="20"/>
          <w:szCs w:val="20"/>
        </w:rPr>
      </w:pPr>
      <w:r>
        <w:rPr>
          <w:b/>
          <w:i/>
          <w:sz w:val="20"/>
          <w:szCs w:val="20"/>
        </w:rPr>
        <w:t xml:space="preserve">Gráfico 8: </w:t>
      </w:r>
      <w:r w:rsidRPr="00E5544F">
        <w:rPr>
          <w:b/>
          <w:i/>
          <w:sz w:val="20"/>
          <w:szCs w:val="20"/>
        </w:rPr>
        <w:t>Variación 2009-2011 (en %). Presupuestos liquidados. Total ingresos no financieros y transferencias corrientes.</w:t>
      </w:r>
    </w:p>
    <w:p w:rsidR="00AC2F5D" w:rsidRPr="00CA0DAE" w:rsidRDefault="00AC2F5D" w:rsidP="00AC2F5D">
      <w:pPr>
        <w:rPr>
          <w:b/>
        </w:rPr>
      </w:pPr>
      <w:r>
        <w:rPr>
          <w:noProof/>
        </w:rPr>
        <w:drawing>
          <wp:inline distT="0" distB="0" distL="0" distR="0">
            <wp:extent cx="5405120" cy="249936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srcRect/>
                    <a:stretch>
                      <a:fillRect/>
                    </a:stretch>
                  </pic:blipFill>
                  <pic:spPr bwMode="auto">
                    <a:xfrm>
                      <a:off x="0" y="0"/>
                      <a:ext cx="5405120" cy="2499360"/>
                    </a:xfrm>
                    <a:prstGeom prst="rect">
                      <a:avLst/>
                    </a:prstGeom>
                    <a:noFill/>
                    <a:ln w="9525">
                      <a:noFill/>
                      <a:miter lim="800000"/>
                      <a:headEnd/>
                      <a:tailEnd/>
                    </a:ln>
                  </pic:spPr>
                </pic:pic>
              </a:graphicData>
            </a:graphic>
          </wp:inline>
        </w:drawing>
      </w:r>
    </w:p>
    <w:p w:rsidR="00AC2F5D" w:rsidRPr="00E5544F" w:rsidRDefault="00AC2F5D" w:rsidP="00AC2F5D">
      <w:pPr>
        <w:pStyle w:val="NormalWeb"/>
        <w:spacing w:before="0" w:beforeAutospacing="0" w:after="0" w:afterAutospacing="0"/>
        <w:jc w:val="both"/>
        <w:rPr>
          <w:i/>
          <w:sz w:val="20"/>
          <w:szCs w:val="20"/>
        </w:rPr>
      </w:pPr>
      <w:r w:rsidRPr="00E5544F">
        <w:rPr>
          <w:i/>
          <w:sz w:val="20"/>
          <w:szCs w:val="20"/>
        </w:rPr>
        <w:t xml:space="preserve">Fuente: </w:t>
      </w:r>
      <w:r>
        <w:rPr>
          <w:i/>
          <w:sz w:val="20"/>
          <w:szCs w:val="20"/>
        </w:rPr>
        <w:t>Elaboración propia, Fundación CYD</w:t>
      </w:r>
    </w:p>
    <w:p w:rsidR="00AC2F5D" w:rsidRPr="008E5597" w:rsidRDefault="00AC2F5D" w:rsidP="00AC2F5D">
      <w:pPr>
        <w:jc w:val="both"/>
      </w:pPr>
    </w:p>
    <w:p w:rsidR="00AC2F5D" w:rsidRDefault="00AC2F5D" w:rsidP="00AC2F5D">
      <w:pPr>
        <w:jc w:val="both"/>
      </w:pPr>
      <w:r w:rsidRPr="008E5597">
        <w:t xml:space="preserve">Los recortes producidos se están haciendo notar en algunos indicadores. Así, por ejemplo, tal como analiza el último Informe CYD </w:t>
      </w:r>
      <w:r>
        <w:t xml:space="preserve">2012 </w:t>
      </w:r>
      <w:r w:rsidRPr="008E5597">
        <w:t>sobre la contribución de las universidades</w:t>
      </w:r>
      <w:r>
        <w:t xml:space="preserve"> españolas</w:t>
      </w:r>
      <w:r w:rsidRPr="008E5597">
        <w:t xml:space="preserve"> al desarrollo</w:t>
      </w:r>
      <w:r>
        <w:t xml:space="preserve"> (Fundación CYD, 2013)</w:t>
      </w:r>
      <w:r w:rsidRPr="008E5597">
        <w:t xml:space="preserve">, en el año 2011 ya se </w:t>
      </w:r>
      <w:r>
        <w:t>observaba</w:t>
      </w:r>
      <w:r w:rsidRPr="008E5597">
        <w:t xml:space="preserve"> una caída del gasto interno en I+D realizado por el sector de la enseñanza superior en España, así como </w:t>
      </w:r>
      <w:r>
        <w:t>del</w:t>
      </w:r>
      <w:r w:rsidRPr="008E5597">
        <w:t xml:space="preserve"> personal </w:t>
      </w:r>
      <w:r>
        <w:t>que éste dedica a actividades de I+D y de los investigadores,</w:t>
      </w:r>
      <w:r w:rsidRPr="008E5597">
        <w:t xml:space="preserve"> cosa que no había ocurrido </w:t>
      </w:r>
      <w:r>
        <w:t>en los últimos años (gráfico 9)</w:t>
      </w:r>
      <w:r w:rsidRPr="008E5597">
        <w:t xml:space="preserve">. Asimismo, la  transferencia de tecnología a la sociedad se está </w:t>
      </w:r>
      <w:r>
        <w:t>viendo afectada</w:t>
      </w:r>
      <w:r w:rsidRPr="008E5597">
        <w:t>, como lo probaría indicadores tales como la creación de spin-</w:t>
      </w:r>
      <w:proofErr w:type="spellStart"/>
      <w:r w:rsidRPr="008E5597">
        <w:t>offs</w:t>
      </w:r>
      <w:proofErr w:type="spellEnd"/>
      <w:r>
        <w:t>, que cay</w:t>
      </w:r>
      <w:r w:rsidRPr="008E5597">
        <w:t>ó un 15,3% en 2011, después de lograr su máximo en 2007 y haber mostrado desde entonces un comportamiento en cierto modo estable, aun con algunos altibajo</w:t>
      </w:r>
      <w:r>
        <w:t>s</w:t>
      </w:r>
      <w:r w:rsidRPr="008E5597">
        <w:t xml:space="preserve">, o los ingresos por licencias, que se han reducido más de un 7% de su máximo alcanzado en 2009. No ha sido el caso, sin embargo, de las publicaciones científicas o de las solicitudes de patentes, que han seguido una inercia positiva incluso en estos años de crisis y recortes presupuestarios y de investigación, seguramente debido al hecho de que son el resultado final de una </w:t>
      </w:r>
      <w:r>
        <w:t>actividad investigadora que viene</w:t>
      </w:r>
      <w:r w:rsidRPr="008E5597">
        <w:t xml:space="preserve"> de  varios años atrás.</w:t>
      </w:r>
    </w:p>
    <w:p w:rsidR="00AC2F5D" w:rsidRDefault="00AC2F5D" w:rsidP="00AC2F5D">
      <w:pPr>
        <w:jc w:val="both"/>
      </w:pPr>
    </w:p>
    <w:p w:rsidR="00AC2F5D" w:rsidRDefault="00AC2F5D" w:rsidP="00AC2F5D">
      <w:pPr>
        <w:jc w:val="both"/>
        <w:rPr>
          <w:b/>
          <w:i/>
          <w:sz w:val="20"/>
          <w:szCs w:val="20"/>
        </w:rPr>
      </w:pPr>
    </w:p>
    <w:p w:rsidR="00AC2F5D" w:rsidRDefault="00AC2F5D" w:rsidP="00AC2F5D">
      <w:pPr>
        <w:jc w:val="both"/>
        <w:rPr>
          <w:b/>
          <w:i/>
          <w:sz w:val="20"/>
          <w:szCs w:val="20"/>
        </w:rPr>
      </w:pPr>
    </w:p>
    <w:p w:rsidR="00AC2F5D" w:rsidRDefault="00AC2F5D" w:rsidP="00AC2F5D">
      <w:pPr>
        <w:jc w:val="both"/>
        <w:rPr>
          <w:b/>
          <w:i/>
          <w:sz w:val="20"/>
          <w:szCs w:val="20"/>
        </w:rPr>
      </w:pPr>
    </w:p>
    <w:p w:rsidR="00AC2F5D" w:rsidRDefault="00AC2F5D" w:rsidP="00AC2F5D">
      <w:pPr>
        <w:jc w:val="both"/>
        <w:rPr>
          <w:b/>
          <w:i/>
          <w:sz w:val="20"/>
          <w:szCs w:val="20"/>
        </w:rPr>
      </w:pPr>
    </w:p>
    <w:p w:rsidR="00AC2F5D" w:rsidRDefault="00AC2F5D" w:rsidP="00AC2F5D">
      <w:pPr>
        <w:jc w:val="both"/>
        <w:rPr>
          <w:b/>
          <w:i/>
          <w:sz w:val="20"/>
          <w:szCs w:val="20"/>
        </w:rPr>
      </w:pPr>
    </w:p>
    <w:p w:rsidR="00AC2F5D" w:rsidRPr="00BE58CD" w:rsidRDefault="00AC2F5D" w:rsidP="00AC2F5D">
      <w:pPr>
        <w:jc w:val="both"/>
        <w:rPr>
          <w:b/>
          <w:i/>
          <w:sz w:val="20"/>
          <w:szCs w:val="20"/>
        </w:rPr>
      </w:pPr>
      <w:r>
        <w:rPr>
          <w:b/>
          <w:i/>
          <w:sz w:val="20"/>
          <w:szCs w:val="20"/>
        </w:rPr>
        <w:lastRenderedPageBreak/>
        <w:t xml:space="preserve">Gráfico 9: </w:t>
      </w:r>
      <w:r w:rsidRPr="00BE58CD">
        <w:rPr>
          <w:b/>
          <w:i/>
          <w:sz w:val="20"/>
          <w:szCs w:val="20"/>
        </w:rPr>
        <w:t>Evolución 2003-2011 de los gastos en I+D, el personal dedicado a I+D y los investigadores en el sector de la enseñanza superior (variación anual, en %)</w:t>
      </w:r>
    </w:p>
    <w:p w:rsidR="00AC2F5D" w:rsidRPr="00E90C79" w:rsidRDefault="00AC2F5D" w:rsidP="00AC2F5D">
      <w:pPr>
        <w:jc w:val="both"/>
      </w:pPr>
      <w:r>
        <w:rPr>
          <w:noProof/>
        </w:rPr>
        <w:drawing>
          <wp:inline distT="0" distB="0" distL="0" distR="0">
            <wp:extent cx="5405120" cy="249936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srcRect/>
                    <a:stretch>
                      <a:fillRect/>
                    </a:stretch>
                  </pic:blipFill>
                  <pic:spPr bwMode="auto">
                    <a:xfrm>
                      <a:off x="0" y="0"/>
                      <a:ext cx="5405120" cy="2499360"/>
                    </a:xfrm>
                    <a:prstGeom prst="rect">
                      <a:avLst/>
                    </a:prstGeom>
                    <a:noFill/>
                    <a:ln w="9525">
                      <a:noFill/>
                      <a:miter lim="800000"/>
                      <a:headEnd/>
                      <a:tailEnd/>
                    </a:ln>
                  </pic:spPr>
                </pic:pic>
              </a:graphicData>
            </a:graphic>
          </wp:inline>
        </w:drawing>
      </w:r>
    </w:p>
    <w:p w:rsidR="00AC2F5D" w:rsidRPr="00D730A0" w:rsidRDefault="00AC2F5D" w:rsidP="00AC2F5D">
      <w:pPr>
        <w:pStyle w:val="NormalWeb"/>
        <w:spacing w:before="0" w:beforeAutospacing="0" w:after="0" w:afterAutospacing="0"/>
        <w:jc w:val="both"/>
        <w:rPr>
          <w:i/>
          <w:sz w:val="20"/>
          <w:szCs w:val="20"/>
        </w:rPr>
      </w:pPr>
      <w:r w:rsidRPr="00D730A0">
        <w:rPr>
          <w:i/>
          <w:sz w:val="20"/>
          <w:szCs w:val="20"/>
        </w:rPr>
        <w:t>Fuente: Encuesta sobre Actividades de I+D del INE</w:t>
      </w:r>
    </w:p>
    <w:p w:rsidR="00AC2F5D" w:rsidRPr="008E5597" w:rsidRDefault="00AC2F5D" w:rsidP="00AC2F5D">
      <w:pPr>
        <w:jc w:val="both"/>
      </w:pPr>
    </w:p>
    <w:p w:rsidR="00AC2F5D" w:rsidRDefault="00AC2F5D" w:rsidP="00AC2F5D">
      <w:pPr>
        <w:jc w:val="both"/>
      </w:pPr>
    </w:p>
    <w:p w:rsidR="00AC2F5D" w:rsidRPr="008E5597" w:rsidRDefault="00AC2F5D" w:rsidP="00AC2F5D">
      <w:pPr>
        <w:jc w:val="both"/>
      </w:pPr>
      <w:r w:rsidRPr="008E5597">
        <w:t xml:space="preserve">De igual modo, en este contexto de recortes, que han afectado a ámbitos como la educación, sanidad, la ciencia y la investigación, todos ellos ámbitos en los que la mano de obra empleada es altamente cualificada, se ha producido un evidente deterioro de la inserción laboral de los graduados superiores universitarios. Resulta especialmente claro en el caso de los doctores universitarios, puesto que si bien en </w:t>
      </w:r>
      <w:r>
        <w:t xml:space="preserve">los tres primeros años de la crisis, 2007-2009, se redujo su tasa de paro y apenas lo hizo la de </w:t>
      </w:r>
      <w:r w:rsidR="00A565D6">
        <w:t>ocupación. A partir de entonces</w:t>
      </w:r>
      <w:r>
        <w:t xml:space="preserve">, </w:t>
      </w:r>
      <w:r w:rsidR="00A565D6">
        <w:t xml:space="preserve">y hasta el año 2012, </w:t>
      </w:r>
      <w:r>
        <w:t xml:space="preserve">con el impacto del agudo proceso de consolidación fiscal del sector público, se ha incrementado en  cuatro puntos porcentuales </w:t>
      </w:r>
      <w:r w:rsidRPr="008E5597">
        <w:t xml:space="preserve"> su tasa de paro y </w:t>
      </w:r>
      <w:proofErr w:type="gramStart"/>
      <w:r>
        <w:t>a</w:t>
      </w:r>
      <w:proofErr w:type="gramEnd"/>
      <w:r>
        <w:t xml:space="preserve"> dismin</w:t>
      </w:r>
      <w:r w:rsidRPr="008E5597">
        <w:t>u</w:t>
      </w:r>
      <w:r>
        <w:t xml:space="preserve">ido en </w:t>
      </w:r>
      <w:r w:rsidRPr="008E5597">
        <w:t xml:space="preserve"> siete puntos su tasa de ocupación. Igualmente los </w:t>
      </w:r>
      <w:r w:rsidR="00A565D6">
        <w:t>titulados</w:t>
      </w:r>
      <w:r w:rsidRPr="008E5597">
        <w:t xml:space="preserve"> universitarios de grado observaron un peor comportamiento de la tasa de paro y de ocupación en el periodo 2009-2012 que en el 2007-2009, en comparación con el total poblacional. El empeoramiento de la inserción laboral de los graduados universitarios también queda de manifiesto en las encuestas de inserción que realizan las propias universi</w:t>
      </w:r>
      <w:r>
        <w:t>dades: en las últimas ediciones</w:t>
      </w:r>
      <w:r w:rsidR="00A565D6">
        <w:t>. S</w:t>
      </w:r>
      <w:r>
        <w:t>obre</w:t>
      </w:r>
      <w:r w:rsidRPr="008E5597">
        <w:t xml:space="preserve"> aquellos que </w:t>
      </w:r>
      <w:r w:rsidR="00A565D6">
        <w:t>se licenciaron</w:t>
      </w:r>
      <w:r w:rsidRPr="008E5597">
        <w:t xml:space="preserve"> </w:t>
      </w:r>
      <w:r>
        <w:t>en los últimos 2-3 años, se observa</w:t>
      </w:r>
      <w:r w:rsidRPr="008E5597">
        <w:t xml:space="preserve"> un mayor tiempo de búsqueda del primer empleo después de graduarse, en comparación con los egresados en </w:t>
      </w:r>
      <w:r>
        <w:t>épocas anteriores</w:t>
      </w:r>
      <w:r w:rsidRPr="008E5597">
        <w:t xml:space="preserve">, menor porcentaje de trabajo estable (contratados indefinidamente) o a jornada completa, menor salario y, obviamente, </w:t>
      </w:r>
      <w:r>
        <w:t xml:space="preserve">hay </w:t>
      </w:r>
      <w:r w:rsidRPr="008E5597">
        <w:t xml:space="preserve">un mayor porcentaje de </w:t>
      </w:r>
      <w:r>
        <w:t>ellos</w:t>
      </w:r>
      <w:r w:rsidRPr="008E5597">
        <w:t xml:space="preserve"> que no están empleados 2-3 años después de haberse graduado. Finalmente, el grado de </w:t>
      </w:r>
      <w:proofErr w:type="spellStart"/>
      <w:r w:rsidRPr="008E5597">
        <w:t>sobreeducación</w:t>
      </w:r>
      <w:proofErr w:type="spellEnd"/>
      <w:r w:rsidRPr="008E5597">
        <w:t xml:space="preserve"> de la fuerza laboral también ha empeorado: así, en el año 2012, con datos del Servicio Público de Empleo Estatal se observa que el 32% de los contratos que se firmaron con graduados universitarios fueron para desempeñar un puesto </w:t>
      </w:r>
      <w:r w:rsidR="00A565D6">
        <w:t xml:space="preserve">de trabajo </w:t>
      </w:r>
      <w:r w:rsidRPr="008E5597">
        <w:t>que no era de alta cualificación. Este porcentaje creció en los últimos tres años, esto es desde 2010 hasta la actualidad en prácticamente dos puntos porcentuales. O visto, de otro modo,</w:t>
      </w:r>
      <w:r w:rsidR="00A565D6">
        <w:t xml:space="preserve"> y</w:t>
      </w:r>
      <w:r w:rsidRPr="008E5597">
        <w:t xml:space="preserve"> </w:t>
      </w:r>
      <w:r w:rsidR="00A565D6">
        <w:t xml:space="preserve">como ya se ha indicado anteriormente, </w:t>
      </w:r>
      <w:r w:rsidR="00A565D6" w:rsidRPr="008E5597">
        <w:t xml:space="preserve"> </w:t>
      </w:r>
      <w:r w:rsidRPr="008E5597">
        <w:t xml:space="preserve">en el año 2012 únicamente el </w:t>
      </w:r>
      <w:r>
        <w:t>64</w:t>
      </w:r>
      <w:r w:rsidRPr="008E5597">
        <w:t>% de los graduados superiores españoles que estaban trabajando lo hacían en ocupaciones de alta cualificación</w:t>
      </w:r>
      <w:r>
        <w:t>, lo que implica una reducción respecto del 2010 de</w:t>
      </w:r>
      <w:r w:rsidRPr="008E5597">
        <w:t xml:space="preserve"> casi tres puntos porcentuales, lo que contrasta con la evolución positiva producida en </w:t>
      </w:r>
      <w:r>
        <w:t>el conjunto de la</w:t>
      </w:r>
      <w:r w:rsidRPr="008E5597">
        <w:t xml:space="preserve"> UE.</w:t>
      </w:r>
    </w:p>
    <w:p w:rsidR="00AC2F5D" w:rsidRPr="008E5597" w:rsidRDefault="00AC2F5D" w:rsidP="00AC2F5D">
      <w:pPr>
        <w:jc w:val="both"/>
      </w:pPr>
    </w:p>
    <w:p w:rsidR="00AC2F5D" w:rsidRDefault="00AC2F5D" w:rsidP="00AC2F5D">
      <w:pPr>
        <w:jc w:val="both"/>
      </w:pPr>
      <w:r w:rsidRPr="008E5597">
        <w:lastRenderedPageBreak/>
        <w:t xml:space="preserve">En </w:t>
      </w:r>
      <w:r>
        <w:t xml:space="preserve">relación con los recortes de los recursos públicos destinados al sistema de educación superior, en </w:t>
      </w:r>
      <w:r w:rsidRPr="008E5597">
        <w:t xml:space="preserve">el contexto de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8E5597">
            <w:t>la Unión</w:t>
          </w:r>
        </w:smartTag>
        <w:r w:rsidRPr="008E5597">
          <w:t xml:space="preserve"> Europea</w:t>
        </w:r>
      </w:smartTag>
      <w:r>
        <w:t xml:space="preserve"> (mapa 1),</w:t>
      </w:r>
      <w:r w:rsidRPr="008E5597">
        <w:t xml:space="preserve"> </w:t>
      </w:r>
      <w:r>
        <w:t>se observa que se han producido, en</w:t>
      </w:r>
      <w:r w:rsidRPr="008E5597">
        <w:t xml:space="preserve"> el periodo 2008-2012, aumentos de la financiación pública de la educación superior en muchos países, particularmente en Francia, Alemania (donde también se ha acompañado </w:t>
      </w:r>
      <w:r>
        <w:t>de</w:t>
      </w:r>
      <w:r w:rsidRPr="008E5597">
        <w:t xml:space="preserve"> la eliminación de las matriculas por parte de los </w:t>
      </w:r>
      <w:proofErr w:type="spellStart"/>
      <w:r w:rsidRPr="008E5597">
        <w:t>länder</w:t>
      </w:r>
      <w:proofErr w:type="spellEnd"/>
      <w:r w:rsidRPr="008E5597">
        <w:t>) y en los países nórdicos, mientras que las reducciones más elevadas han tenido lugar en los países más afectados por la crisis de la deuda soberana, notablemente el sur de Europa (Portugal, Italia, Grecia, España), además de otros países en dificultades graves o que directamente han tenido que ser rescatados como Islandia, Irlanda o Chipre.</w:t>
      </w:r>
      <w:r>
        <w:t xml:space="preserve"> Esto está haciendo que la distancia entre los sistemas universitarios del norte de Europa, mejor dotados tradicionalmente desde un punto de vista financiero, y los de sur de Europa se amplíe.</w:t>
      </w:r>
    </w:p>
    <w:p w:rsidR="00AC2F5D" w:rsidRDefault="00AC2F5D" w:rsidP="00AC2F5D">
      <w:pPr>
        <w:jc w:val="both"/>
      </w:pPr>
    </w:p>
    <w:p w:rsidR="00AC2F5D" w:rsidRPr="004C3224" w:rsidRDefault="00AC2F5D" w:rsidP="00AC2F5D">
      <w:pPr>
        <w:jc w:val="both"/>
        <w:rPr>
          <w:b/>
          <w:i/>
          <w:sz w:val="20"/>
          <w:szCs w:val="20"/>
        </w:rPr>
      </w:pPr>
      <w:r>
        <w:rPr>
          <w:b/>
          <w:noProof/>
        </w:rPr>
        <w:drawing>
          <wp:anchor distT="0" distB="0" distL="114300" distR="114300" simplePos="0" relativeHeight="251660288" behindDoc="1" locked="0" layoutInCell="1" allowOverlap="1">
            <wp:simplePos x="0" y="0"/>
            <wp:positionH relativeFrom="column">
              <wp:posOffset>-228600</wp:posOffset>
            </wp:positionH>
            <wp:positionV relativeFrom="paragraph">
              <wp:posOffset>251460</wp:posOffset>
            </wp:positionV>
            <wp:extent cx="5715000" cy="6400800"/>
            <wp:effectExtent l="19050" t="0" r="0" b="0"/>
            <wp:wrapTight wrapText="bothSides">
              <wp:wrapPolygon edited="0">
                <wp:start x="-72" y="0"/>
                <wp:lineTo x="-72" y="21536"/>
                <wp:lineTo x="21600" y="21536"/>
                <wp:lineTo x="21600" y="0"/>
                <wp:lineTo x="-72" y="0"/>
              </wp:wrapPolygon>
            </wp:wrapTight>
            <wp:docPr id="10" name="Picture 0" descr="Public funding observatory 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Public funding observatory map.jpg"/>
                    <pic:cNvPicPr>
                      <a:picLocks noChangeAspect="1" noChangeArrowheads="1"/>
                    </pic:cNvPicPr>
                  </pic:nvPicPr>
                  <pic:blipFill>
                    <a:blip r:embed="rId18" cstate="print"/>
                    <a:srcRect/>
                    <a:stretch>
                      <a:fillRect/>
                    </a:stretch>
                  </pic:blipFill>
                  <pic:spPr bwMode="auto">
                    <a:xfrm>
                      <a:off x="0" y="0"/>
                      <a:ext cx="5715000" cy="6400800"/>
                    </a:xfrm>
                    <a:prstGeom prst="rect">
                      <a:avLst/>
                    </a:prstGeom>
                    <a:noFill/>
                    <a:ln w="9525">
                      <a:noFill/>
                      <a:miter lim="800000"/>
                      <a:headEnd/>
                      <a:tailEnd/>
                    </a:ln>
                  </pic:spPr>
                </pic:pic>
              </a:graphicData>
            </a:graphic>
          </wp:anchor>
        </w:drawing>
      </w:r>
      <w:r w:rsidRPr="004C3224">
        <w:rPr>
          <w:b/>
          <w:i/>
          <w:sz w:val="20"/>
          <w:szCs w:val="20"/>
        </w:rPr>
        <w:t>Mapa 1: Tendencias en la financiación pública de la educaci</w:t>
      </w:r>
      <w:r>
        <w:rPr>
          <w:b/>
          <w:i/>
          <w:sz w:val="20"/>
          <w:szCs w:val="20"/>
        </w:rPr>
        <w:t xml:space="preserve">ón superior europea, </w:t>
      </w:r>
      <w:r w:rsidRPr="004C3224">
        <w:rPr>
          <w:b/>
          <w:i/>
          <w:sz w:val="20"/>
          <w:szCs w:val="20"/>
        </w:rPr>
        <w:t xml:space="preserve"> periodo 2008-2012</w:t>
      </w:r>
    </w:p>
    <w:p w:rsidR="00AC2F5D" w:rsidRDefault="00AC2F5D" w:rsidP="00AC2F5D">
      <w:pPr>
        <w:pStyle w:val="NormalWeb"/>
        <w:spacing w:before="0" w:beforeAutospacing="0" w:after="0" w:afterAutospacing="0"/>
        <w:jc w:val="both"/>
        <w:rPr>
          <w:rFonts w:ascii="Calibri" w:hAnsi="Calibri"/>
          <w:sz w:val="22"/>
          <w:szCs w:val="22"/>
          <w:lang w:val="en-GB" w:eastAsia="en-US"/>
        </w:rPr>
      </w:pPr>
      <w:r w:rsidRPr="00D50DDD">
        <w:rPr>
          <w:i/>
          <w:sz w:val="20"/>
          <w:szCs w:val="20"/>
        </w:rPr>
        <w:lastRenderedPageBreak/>
        <w:t xml:space="preserve">Fuente: </w:t>
      </w:r>
      <w:proofErr w:type="spellStart"/>
      <w:r w:rsidRPr="00D50DDD">
        <w:rPr>
          <w:i/>
          <w:sz w:val="20"/>
          <w:szCs w:val="20"/>
        </w:rPr>
        <w:t>EUA’s</w:t>
      </w:r>
      <w:proofErr w:type="spellEnd"/>
      <w:r w:rsidRPr="00D50DDD">
        <w:rPr>
          <w:i/>
          <w:sz w:val="20"/>
          <w:szCs w:val="20"/>
        </w:rPr>
        <w:t xml:space="preserve"> </w:t>
      </w:r>
      <w:proofErr w:type="spellStart"/>
      <w:r w:rsidRPr="00D50DDD">
        <w:rPr>
          <w:i/>
          <w:sz w:val="20"/>
          <w:szCs w:val="20"/>
        </w:rPr>
        <w:t>Public</w:t>
      </w:r>
      <w:proofErr w:type="spellEnd"/>
      <w:r w:rsidRPr="00D50DDD">
        <w:rPr>
          <w:i/>
          <w:sz w:val="20"/>
          <w:szCs w:val="20"/>
        </w:rPr>
        <w:t xml:space="preserve"> </w:t>
      </w:r>
      <w:proofErr w:type="spellStart"/>
      <w:r w:rsidRPr="00D50DDD">
        <w:rPr>
          <w:i/>
          <w:sz w:val="20"/>
          <w:szCs w:val="20"/>
        </w:rPr>
        <w:t>Funding</w:t>
      </w:r>
      <w:proofErr w:type="spellEnd"/>
      <w:r w:rsidRPr="00D50DDD">
        <w:rPr>
          <w:i/>
          <w:sz w:val="20"/>
          <w:szCs w:val="20"/>
        </w:rPr>
        <w:t xml:space="preserve"> </w:t>
      </w:r>
      <w:proofErr w:type="spellStart"/>
      <w:r w:rsidRPr="00D50DDD">
        <w:rPr>
          <w:i/>
          <w:sz w:val="20"/>
          <w:szCs w:val="20"/>
        </w:rPr>
        <w:t>Observatory</w:t>
      </w:r>
      <w:proofErr w:type="spellEnd"/>
      <w:r w:rsidRPr="00D50DDD">
        <w:rPr>
          <w:i/>
          <w:sz w:val="20"/>
          <w:szCs w:val="20"/>
        </w:rPr>
        <w:t xml:space="preserve"> </w:t>
      </w:r>
      <w:proofErr w:type="spellStart"/>
      <w:r w:rsidRPr="00D50DDD">
        <w:rPr>
          <w:i/>
          <w:sz w:val="20"/>
          <w:szCs w:val="20"/>
        </w:rPr>
        <w:t>report</w:t>
      </w:r>
      <w:proofErr w:type="spellEnd"/>
      <w:r w:rsidRPr="00D50DDD">
        <w:rPr>
          <w:i/>
          <w:sz w:val="20"/>
          <w:szCs w:val="20"/>
        </w:rPr>
        <w:t xml:space="preserve"> </w:t>
      </w:r>
      <w:hyperlink r:id="rId19" w:history="1">
        <w:r w:rsidRPr="00D50DDD">
          <w:rPr>
            <w:i/>
            <w:sz w:val="20"/>
            <w:szCs w:val="20"/>
          </w:rPr>
          <w:t>http://www.eua.be/eua-work-and-policy-area/governance-autonomy-and-funding/public-funding-observatory.aspx</w:t>
        </w:r>
      </w:hyperlink>
      <w:r w:rsidRPr="0052633F">
        <w:rPr>
          <w:rFonts w:ascii="Calibri" w:hAnsi="Calibri"/>
          <w:sz w:val="22"/>
          <w:szCs w:val="22"/>
          <w:lang w:val="en-GB" w:eastAsia="en-US"/>
        </w:rPr>
        <w:t xml:space="preserve"> </w:t>
      </w:r>
    </w:p>
    <w:p w:rsidR="00AC2F5D" w:rsidRDefault="00AC2F5D" w:rsidP="00AC2F5D">
      <w:pPr>
        <w:spacing w:after="120"/>
        <w:jc w:val="both"/>
        <w:rPr>
          <w:rFonts w:ascii="Calibri" w:hAnsi="Calibri"/>
          <w:sz w:val="22"/>
          <w:szCs w:val="22"/>
          <w:lang w:val="en-GB" w:eastAsia="en-US"/>
        </w:rPr>
      </w:pPr>
    </w:p>
    <w:p w:rsidR="00AC2F5D" w:rsidRPr="008E5597" w:rsidRDefault="00AC2F5D" w:rsidP="00AC2F5D">
      <w:pPr>
        <w:jc w:val="both"/>
        <w:rPr>
          <w:b/>
        </w:rPr>
      </w:pPr>
      <w:r w:rsidRPr="008E5597">
        <w:rPr>
          <w:b/>
        </w:rPr>
        <w:t>3. Futuro: necesidad de una reforma universitaria</w:t>
      </w:r>
    </w:p>
    <w:p w:rsidR="00AC2F5D" w:rsidRPr="008E5597" w:rsidRDefault="00AC2F5D" w:rsidP="00AC2F5D">
      <w:pPr>
        <w:jc w:val="both"/>
        <w:rPr>
          <w:b/>
        </w:rPr>
      </w:pPr>
    </w:p>
    <w:p w:rsidR="00AC2F5D" w:rsidRDefault="00AC2F5D" w:rsidP="00AC2F5D">
      <w:pPr>
        <w:jc w:val="both"/>
      </w:pPr>
      <w:r w:rsidRPr="008E5597">
        <w:t xml:space="preserve">Tal </w:t>
      </w:r>
      <w:r>
        <w:t xml:space="preserve">y </w:t>
      </w:r>
      <w:r w:rsidRPr="008E5597">
        <w:t xml:space="preserve">como diversos estudios han demostrado, entre ellos el de </w:t>
      </w:r>
      <w:proofErr w:type="spellStart"/>
      <w:r w:rsidRPr="008E5597">
        <w:t>Aghion</w:t>
      </w:r>
      <w:proofErr w:type="spellEnd"/>
      <w:r w:rsidRPr="008E5597">
        <w:t xml:space="preserve"> et al (2007), es esencial para las universidades</w:t>
      </w:r>
      <w:r>
        <w:t>,</w:t>
      </w:r>
      <w:r w:rsidRPr="008E5597">
        <w:t xml:space="preserve"> </w:t>
      </w:r>
      <w:r>
        <w:t>si el objetivo es conseguir</w:t>
      </w:r>
      <w:r w:rsidRPr="008E5597">
        <w:t xml:space="preserve"> unos buenos resultados de docencia, investigación y de transferencia de conocimiento a la sociedad y ser una universidad </w:t>
      </w:r>
      <w:r>
        <w:t xml:space="preserve">particularmente bien situada </w:t>
      </w:r>
      <w:r w:rsidRPr="008E5597">
        <w:t>en los rankings internacionales</w:t>
      </w:r>
      <w:r>
        <w:t>,</w:t>
      </w:r>
      <w:r w:rsidRPr="008E5597">
        <w:t xml:space="preserve"> dos elementos: 1) </w:t>
      </w:r>
      <w:r>
        <w:t>que se invierta</w:t>
      </w:r>
      <w:r w:rsidR="00A565D6">
        <w:t xml:space="preserve">n recursos </w:t>
      </w:r>
      <w:r w:rsidRPr="008E5597">
        <w:t xml:space="preserve">de manera suficiente en la educación superior; 2) dotar a las universidades de gran autonomía, en financiación, política de profesorado u oferta de titulaciones y docencia. De hecho, se observa que si se incrementan los recursos por estudiante, esto impacta positivamente en los resultados universitarios, pero si se hace en un contexto de gran autonomía universitaria el impacto positivo </w:t>
      </w:r>
      <w:r>
        <w:t>aumenta notablemente</w:t>
      </w:r>
      <w:r w:rsidRPr="008E5597">
        <w:t>. Una mayor inversión en educación superior y una mayor autonomía universitaria es lo que explicaría de ese modo que las universidades estadounidenses copen las primeras posiciones del ranking universitario más conoci</w:t>
      </w:r>
      <w:r>
        <w:t xml:space="preserve">do mundialmente, el de </w:t>
      </w:r>
      <w:proofErr w:type="spellStart"/>
      <w:r>
        <w:t>Shanghai</w:t>
      </w:r>
      <w:proofErr w:type="spellEnd"/>
      <w:r>
        <w:t xml:space="preserve"> (ARWU: </w:t>
      </w:r>
      <w:proofErr w:type="spellStart"/>
      <w:r w:rsidRPr="008E5597">
        <w:t>Academic</w:t>
      </w:r>
      <w:proofErr w:type="spellEnd"/>
      <w:r w:rsidRPr="008E5597">
        <w:t xml:space="preserve"> Ranking of </w:t>
      </w:r>
      <w:proofErr w:type="spellStart"/>
      <w:r w:rsidRPr="008E5597">
        <w:t>World</w:t>
      </w:r>
      <w:proofErr w:type="spellEnd"/>
      <w:r w:rsidRPr="008E5597">
        <w:t xml:space="preserve"> </w:t>
      </w:r>
      <w:proofErr w:type="spellStart"/>
      <w:r w:rsidRPr="008E5597">
        <w:t>Universities</w:t>
      </w:r>
      <w:proofErr w:type="spellEnd"/>
      <w:r>
        <w:t>),</w:t>
      </w:r>
      <w:r w:rsidR="00A565D6">
        <w:t xml:space="preserve"> mientras que las europeas quede</w:t>
      </w:r>
      <w:r w:rsidRPr="008E5597">
        <w:t xml:space="preserve">n más </w:t>
      </w:r>
      <w:r>
        <w:t>rezagadas</w:t>
      </w:r>
      <w:r w:rsidRPr="008E5597">
        <w:t xml:space="preserve">. </w:t>
      </w:r>
    </w:p>
    <w:p w:rsidR="00AC2F5D" w:rsidRDefault="00AC2F5D" w:rsidP="00AC2F5D">
      <w:pPr>
        <w:jc w:val="both"/>
      </w:pPr>
    </w:p>
    <w:p w:rsidR="00AC2F5D" w:rsidRDefault="00AC2F5D" w:rsidP="00AC2F5D">
      <w:pPr>
        <w:jc w:val="both"/>
      </w:pPr>
      <w:r>
        <w:t xml:space="preserve">En este sentido se ha replicado la tabla de </w:t>
      </w:r>
      <w:proofErr w:type="spellStart"/>
      <w:r>
        <w:t>Aghion</w:t>
      </w:r>
      <w:proofErr w:type="spellEnd"/>
      <w:r>
        <w:t xml:space="preserve"> et al (2007), sobre el índice de rendimiento de cada país a través de sus universidades, en comparación con Estados Unidos, actualizándola con datos del ARWU para 2012 (tabla 2). La forma de calcular los valores de la columna de top 50 es la siguiente: a la primera universidad en el top 50 se le da una puntuación de </w:t>
      </w:r>
      <w:smartTag w:uri="urn:schemas-microsoft-com:office:smarttags" w:element="metricconverter">
        <w:smartTagPr>
          <w:attr w:name="ProductID" w:val="50, a"/>
        </w:smartTagPr>
        <w:r>
          <w:t>50, a</w:t>
        </w:r>
      </w:smartTag>
      <w:r>
        <w:t xml:space="preserve"> la segunda una de 49 y así sucesivamente, hasta que a la que ocupa la posición 50 se le da una puntuación de 1. Por cada país, se computa la suma de las puntuaciones así obtenidas, se divide por la población del país y finalmente, el resultado de cada país se divide por el resultado de Estados Unidos, así que cada entrada en la columna del top 50 de cada país se puede interpretar como una fracción del comportamiento per cápita de Estados Unidos para las primeras 50 universidades del ARWU. La misma lógica se aplica al resto de las columnas. En el top 50 la hegemonía de las universidades de Estados Unidos sobre Europa es total, solo Suiza, sobre todo, y el Reino Unido en menor medida, destacan frente a Estados Unidos en esta base per cápita. Las diferencias en el índice de rendimiento se hacen menores a medida que se pasa de considerar las primeras 50 universidades a las primeras 100, 200 o 500, ya que si bien Estados Unidos domina claramente a Europa y particularmente a </w:t>
      </w:r>
      <w:smartTag w:uri="urn:schemas-microsoft-com:office:smarttags" w:element="PersonName">
        <w:smartTagPr>
          <w:attr w:name="ProductID" w:val="la Uni￳n Europea-15"/>
        </w:smartTagPr>
        <w:smartTag w:uri="urn:schemas-microsoft-com:office:smarttags" w:element="PersonName">
          <w:smartTagPr>
            <w:attr w:name="ProductID" w:val="la Uni￳n"/>
          </w:smartTagPr>
          <w:r>
            <w:t>la Unión</w:t>
          </w:r>
        </w:smartTag>
        <w:r>
          <w:t xml:space="preserve"> Europea-15</w:t>
        </w:r>
      </w:smartTag>
      <w:r>
        <w:t xml:space="preserve"> en las primeras posiciones del ranking (top 50 o top 100), </w:t>
      </w:r>
      <w:smartTag w:uri="urn:schemas-microsoft-com:office:smarttags" w:element="PersonName">
        <w:smartTagPr>
          <w:attr w:name="ProductID" w:val="la UE-15"/>
        </w:smartTagPr>
        <w:r>
          <w:t>la UE-15</w:t>
        </w:r>
      </w:smartTag>
      <w:r>
        <w:t xml:space="preserve"> tiene bastantes universidades entre la posición 100 y 200 o entre la 200 y la 500. Dentro de los países europeos hay diferencias: Reino Unido, Suiza, Noruega y Suecia tienen un rendimiento relativamente bueno respecto a Estados Unidos en una base per cápita incluso en el top 100, mientras que también destacan otros países nórdicos como Dinamarca o Finlandia, además de Bélgica u Holanda en el top 200 o top 500. Sin embargo, España, junto a otros países del sur de Europa, como Grecia y Portugal solo tiene presencia y poco significativa en el top 500. </w:t>
      </w:r>
      <w:r w:rsidRPr="008E5597">
        <w:t xml:space="preserve"> </w:t>
      </w:r>
      <w:r>
        <w:t xml:space="preserve">Además, desde </w:t>
      </w:r>
      <w:smartTag w:uri="urn:schemas-microsoft-com:office:smarttags" w:element="metricconverter">
        <w:smartTagPr>
          <w:attr w:name="ProductID" w:val="2006 a"/>
        </w:smartTagPr>
        <w:r>
          <w:t>2006 a</w:t>
        </w:r>
      </w:smartTag>
      <w:r>
        <w:t xml:space="preserve"> 2012 la mejora de la posición relativa de las universidades españolas ha sido pequeña (el índice pasó de </w:t>
      </w:r>
      <w:smartTag w:uri="urn:schemas-microsoft-com:office:smarttags" w:element="metricconverter">
        <w:smartTagPr>
          <w:attr w:name="ProductID" w:val="14 a"/>
        </w:smartTagPr>
        <w:r>
          <w:t>14 a</w:t>
        </w:r>
      </w:smartTag>
      <w:r>
        <w:t xml:space="preserve"> 23 en el top 500 y sigue sin presencia en el top 200), mientras que la ganancia relativa respecto a Estados Unidos de otros países en este índice de rendimiento ha sido superior.</w:t>
      </w:r>
    </w:p>
    <w:p w:rsidR="00AC2F5D" w:rsidRDefault="00AC2F5D" w:rsidP="00AC2F5D">
      <w:pPr>
        <w:jc w:val="both"/>
      </w:pPr>
    </w:p>
    <w:p w:rsidR="00AC2F5D" w:rsidRDefault="00AC2F5D" w:rsidP="00AC2F5D">
      <w:pPr>
        <w:jc w:val="both"/>
      </w:pPr>
    </w:p>
    <w:p w:rsidR="00AC2F5D" w:rsidRDefault="00AC2F5D" w:rsidP="00AC2F5D">
      <w:pPr>
        <w:jc w:val="both"/>
      </w:pPr>
    </w:p>
    <w:p w:rsidR="00AC2F5D" w:rsidRDefault="00AC2F5D" w:rsidP="00AC2F5D">
      <w:pPr>
        <w:jc w:val="both"/>
      </w:pPr>
    </w:p>
    <w:p w:rsidR="00AC2F5D" w:rsidRDefault="00AC2F5D" w:rsidP="00AC2F5D">
      <w:pPr>
        <w:jc w:val="both"/>
      </w:pPr>
    </w:p>
    <w:p w:rsidR="00AC2F5D" w:rsidRDefault="00AC2F5D" w:rsidP="00AC2F5D">
      <w:pPr>
        <w:jc w:val="both"/>
      </w:pPr>
    </w:p>
    <w:p w:rsidR="00AC2F5D" w:rsidRDefault="00AC2F5D" w:rsidP="00AC2F5D">
      <w:pPr>
        <w:jc w:val="both"/>
      </w:pPr>
      <w:r w:rsidRPr="00D50DDD">
        <w:rPr>
          <w:b/>
          <w:i/>
          <w:sz w:val="20"/>
          <w:szCs w:val="20"/>
        </w:rPr>
        <w:t xml:space="preserve">Tabla </w:t>
      </w:r>
      <w:r>
        <w:rPr>
          <w:b/>
          <w:i/>
          <w:sz w:val="20"/>
          <w:szCs w:val="20"/>
        </w:rPr>
        <w:t>2</w:t>
      </w:r>
      <w:r w:rsidRPr="00D50DDD">
        <w:rPr>
          <w:b/>
          <w:i/>
          <w:sz w:val="20"/>
          <w:szCs w:val="20"/>
        </w:rPr>
        <w:t>: Índice de rendimiento de los países según sus universidades, año 2012</w:t>
      </w:r>
      <w:r>
        <w:rPr>
          <w:b/>
          <w:i/>
          <w:sz w:val="20"/>
          <w:szCs w:val="20"/>
        </w:rPr>
        <w:t xml:space="preserve"> (comparación con Estados Unidos = 100)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79"/>
        <w:gridCol w:w="1715"/>
        <w:gridCol w:w="1584"/>
        <w:gridCol w:w="1584"/>
        <w:gridCol w:w="1582"/>
      </w:tblGrid>
      <w:tr w:rsidR="00AC2F5D" w:rsidRPr="00D50DDD" w:rsidTr="0085653E">
        <w:trPr>
          <w:trHeight w:val="255"/>
        </w:trPr>
        <w:tc>
          <w:tcPr>
            <w:tcW w:w="1261" w:type="pct"/>
            <w:shd w:val="clear" w:color="auto" w:fill="auto"/>
            <w:noWrap/>
            <w:vAlign w:val="bottom"/>
          </w:tcPr>
          <w:p w:rsidR="00AC2F5D" w:rsidRDefault="00AC2F5D" w:rsidP="0085653E">
            <w:pPr>
              <w:rPr>
                <w:rFonts w:ascii="Arial" w:hAnsi="Arial" w:cs="Arial"/>
                <w:b/>
                <w:bCs/>
                <w:sz w:val="20"/>
                <w:szCs w:val="20"/>
              </w:rPr>
            </w:pPr>
          </w:p>
        </w:tc>
        <w:tc>
          <w:tcPr>
            <w:tcW w:w="992" w:type="pct"/>
            <w:shd w:val="clear" w:color="auto" w:fill="CCFFFF"/>
            <w:noWrap/>
            <w:vAlign w:val="bottom"/>
          </w:tcPr>
          <w:p w:rsidR="00AC2F5D" w:rsidRPr="008C6EA5" w:rsidRDefault="00AC2F5D" w:rsidP="0085653E">
            <w:pPr>
              <w:jc w:val="center"/>
              <w:rPr>
                <w:rFonts w:ascii="Arial" w:hAnsi="Arial" w:cs="Arial"/>
                <w:b/>
                <w:bCs/>
                <w:sz w:val="20"/>
                <w:szCs w:val="20"/>
              </w:rPr>
            </w:pPr>
            <w:r w:rsidRPr="008C6EA5">
              <w:rPr>
                <w:rFonts w:ascii="Arial" w:hAnsi="Arial" w:cs="Arial"/>
                <w:b/>
                <w:bCs/>
                <w:sz w:val="20"/>
                <w:szCs w:val="20"/>
              </w:rPr>
              <w:t>top 50</w:t>
            </w:r>
          </w:p>
        </w:tc>
        <w:tc>
          <w:tcPr>
            <w:tcW w:w="916" w:type="pct"/>
            <w:shd w:val="clear" w:color="auto" w:fill="CCFFFF"/>
            <w:noWrap/>
            <w:vAlign w:val="bottom"/>
          </w:tcPr>
          <w:p w:rsidR="00AC2F5D" w:rsidRPr="008C6EA5" w:rsidRDefault="00AC2F5D" w:rsidP="0085653E">
            <w:pPr>
              <w:jc w:val="center"/>
              <w:rPr>
                <w:rFonts w:ascii="Arial" w:hAnsi="Arial" w:cs="Arial"/>
                <w:b/>
                <w:bCs/>
                <w:sz w:val="20"/>
                <w:szCs w:val="20"/>
              </w:rPr>
            </w:pPr>
            <w:r w:rsidRPr="008C6EA5">
              <w:rPr>
                <w:rFonts w:ascii="Arial" w:hAnsi="Arial" w:cs="Arial"/>
                <w:b/>
                <w:bCs/>
                <w:sz w:val="20"/>
                <w:szCs w:val="20"/>
              </w:rPr>
              <w:t>top 100</w:t>
            </w:r>
          </w:p>
        </w:tc>
        <w:tc>
          <w:tcPr>
            <w:tcW w:w="916" w:type="pct"/>
            <w:shd w:val="clear" w:color="auto" w:fill="CCFFFF"/>
            <w:noWrap/>
            <w:vAlign w:val="bottom"/>
          </w:tcPr>
          <w:p w:rsidR="00AC2F5D" w:rsidRPr="008C6EA5" w:rsidRDefault="00AC2F5D" w:rsidP="0085653E">
            <w:pPr>
              <w:jc w:val="center"/>
              <w:rPr>
                <w:rFonts w:ascii="Arial" w:hAnsi="Arial" w:cs="Arial"/>
                <w:b/>
                <w:bCs/>
                <w:sz w:val="20"/>
                <w:szCs w:val="20"/>
              </w:rPr>
            </w:pPr>
            <w:r w:rsidRPr="008C6EA5">
              <w:rPr>
                <w:rFonts w:ascii="Arial" w:hAnsi="Arial" w:cs="Arial"/>
                <w:b/>
                <w:bCs/>
                <w:sz w:val="20"/>
                <w:szCs w:val="20"/>
              </w:rPr>
              <w:t>top 200</w:t>
            </w:r>
          </w:p>
        </w:tc>
        <w:tc>
          <w:tcPr>
            <w:tcW w:w="916" w:type="pct"/>
            <w:shd w:val="clear" w:color="auto" w:fill="CCFFFF"/>
            <w:noWrap/>
            <w:vAlign w:val="bottom"/>
          </w:tcPr>
          <w:p w:rsidR="00AC2F5D" w:rsidRPr="008C6EA5" w:rsidRDefault="00AC2F5D" w:rsidP="0085653E">
            <w:pPr>
              <w:jc w:val="center"/>
              <w:rPr>
                <w:rFonts w:ascii="Arial" w:hAnsi="Arial" w:cs="Arial"/>
                <w:b/>
                <w:bCs/>
                <w:color w:val="FF0000"/>
                <w:sz w:val="20"/>
                <w:szCs w:val="20"/>
              </w:rPr>
            </w:pPr>
            <w:r w:rsidRPr="008C6EA5">
              <w:rPr>
                <w:rFonts w:ascii="Arial" w:hAnsi="Arial" w:cs="Arial"/>
                <w:b/>
                <w:bCs/>
                <w:color w:val="FF0000"/>
                <w:sz w:val="20"/>
                <w:szCs w:val="20"/>
              </w:rPr>
              <w:t>top 500</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Alemania</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15,5</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37,9</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74,5</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Austria</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9,5</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83,1</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Bélgica</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10,7</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82,0</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125,2</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Dinamarca</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24,8</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78,9</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120,8</w:t>
            </w:r>
          </w:p>
        </w:tc>
      </w:tr>
      <w:tr w:rsidR="00AC2F5D" w:rsidTr="0085653E">
        <w:trPr>
          <w:trHeight w:val="255"/>
        </w:trPr>
        <w:tc>
          <w:tcPr>
            <w:tcW w:w="1261" w:type="pct"/>
            <w:shd w:val="clear" w:color="auto" w:fill="FFFF99"/>
            <w:noWrap/>
            <w:vAlign w:val="bottom"/>
          </w:tcPr>
          <w:p w:rsidR="00AC2F5D" w:rsidRDefault="00AC2F5D" w:rsidP="0085653E">
            <w:pPr>
              <w:rPr>
                <w:rFonts w:ascii="Arial" w:hAnsi="Arial" w:cs="Arial"/>
                <w:b/>
                <w:bCs/>
                <w:color w:val="0000FF"/>
                <w:sz w:val="20"/>
                <w:szCs w:val="20"/>
              </w:rPr>
            </w:pPr>
            <w:r>
              <w:rPr>
                <w:rFonts w:ascii="Arial" w:hAnsi="Arial" w:cs="Arial"/>
                <w:b/>
                <w:bCs/>
                <w:color w:val="0000FF"/>
                <w:sz w:val="20"/>
                <w:szCs w:val="20"/>
              </w:rPr>
              <w:t>ESPAÑA</w:t>
            </w:r>
          </w:p>
        </w:tc>
        <w:tc>
          <w:tcPr>
            <w:tcW w:w="992" w:type="pct"/>
            <w:shd w:val="clear" w:color="auto" w:fill="FFFF99"/>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FFFF99"/>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FFFF99"/>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FFFF99"/>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23,0</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Finlandia</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48,6</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73,9</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104,3</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Francia</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11,3</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22,6</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37,5</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53,0</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Grecia</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18,1</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Holanda</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43,5</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127,6</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159,8</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Irlanda</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82,1</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Italia</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10,5</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39,3</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Portugal</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16,2</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Reino Unido</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80,7</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83,7</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97,0</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120,0</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Suecia</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29,4</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109,6</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168,4</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223,2</w:t>
            </w:r>
          </w:p>
        </w:tc>
      </w:tr>
      <w:tr w:rsidR="00AC2F5D" w:rsidTr="0085653E">
        <w:trPr>
          <w:trHeight w:val="255"/>
        </w:trPr>
        <w:tc>
          <w:tcPr>
            <w:tcW w:w="1261" w:type="pct"/>
            <w:shd w:val="clear" w:color="auto" w:fill="FFFF99"/>
            <w:noWrap/>
            <w:vAlign w:val="bottom"/>
          </w:tcPr>
          <w:p w:rsidR="00AC2F5D" w:rsidRDefault="00AC2F5D" w:rsidP="0085653E">
            <w:pPr>
              <w:rPr>
                <w:rFonts w:ascii="Arial" w:hAnsi="Arial" w:cs="Arial"/>
                <w:b/>
                <w:bCs/>
                <w:sz w:val="20"/>
                <w:szCs w:val="20"/>
              </w:rPr>
            </w:pPr>
            <w:r>
              <w:rPr>
                <w:rFonts w:ascii="Arial" w:hAnsi="Arial" w:cs="Arial"/>
                <w:b/>
                <w:bCs/>
                <w:sz w:val="20"/>
                <w:szCs w:val="20"/>
              </w:rPr>
              <w:t>UE-15</w:t>
            </w:r>
          </w:p>
        </w:tc>
        <w:tc>
          <w:tcPr>
            <w:tcW w:w="992" w:type="pct"/>
            <w:shd w:val="clear" w:color="auto" w:fill="FFFF99"/>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15,2</w:t>
            </w:r>
          </w:p>
        </w:tc>
        <w:tc>
          <w:tcPr>
            <w:tcW w:w="916" w:type="pct"/>
            <w:shd w:val="clear" w:color="auto" w:fill="FFFF99"/>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25,7</w:t>
            </w:r>
          </w:p>
        </w:tc>
        <w:tc>
          <w:tcPr>
            <w:tcW w:w="916" w:type="pct"/>
            <w:shd w:val="clear" w:color="auto" w:fill="FFFF99"/>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44,6</w:t>
            </w:r>
          </w:p>
        </w:tc>
        <w:tc>
          <w:tcPr>
            <w:tcW w:w="916" w:type="pct"/>
            <w:shd w:val="clear" w:color="auto" w:fill="FFFF99"/>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73,4</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Australia</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45,2</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108,1</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145,9</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Canadá</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33,2</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51,5</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68,3</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111,2</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China</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0,5</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3,3</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Corea Sur</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4,8</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23,6</w:t>
            </w:r>
          </w:p>
        </w:tc>
      </w:tr>
      <w:tr w:rsidR="00AC2F5D" w:rsidTr="0085653E">
        <w:trPr>
          <w:trHeight w:val="255"/>
        </w:trPr>
        <w:tc>
          <w:tcPr>
            <w:tcW w:w="1261" w:type="pct"/>
            <w:shd w:val="clear" w:color="auto" w:fill="auto"/>
            <w:noWrap/>
            <w:vAlign w:val="bottom"/>
          </w:tcPr>
          <w:p w:rsidR="00AC2F5D" w:rsidRPr="00DC6F3B" w:rsidRDefault="00AC2F5D" w:rsidP="0085653E">
            <w:pPr>
              <w:rPr>
                <w:rFonts w:ascii="Arial" w:hAnsi="Arial" w:cs="Arial"/>
                <w:b/>
                <w:sz w:val="20"/>
                <w:szCs w:val="20"/>
              </w:rPr>
            </w:pPr>
            <w:r w:rsidRPr="00DC6F3B">
              <w:rPr>
                <w:rFonts w:ascii="Arial" w:hAnsi="Arial" w:cs="Arial"/>
                <w:b/>
                <w:sz w:val="20"/>
                <w:szCs w:val="20"/>
              </w:rPr>
              <w:t>Estados Unidos</w:t>
            </w:r>
          </w:p>
        </w:tc>
        <w:tc>
          <w:tcPr>
            <w:tcW w:w="992" w:type="pct"/>
            <w:shd w:val="clear" w:color="auto" w:fill="CCFFFF"/>
            <w:noWrap/>
            <w:vAlign w:val="bottom"/>
          </w:tcPr>
          <w:p w:rsidR="00AC2F5D" w:rsidRPr="00DC6F3B" w:rsidRDefault="00AC2F5D" w:rsidP="0085653E">
            <w:pPr>
              <w:jc w:val="center"/>
              <w:rPr>
                <w:rFonts w:ascii="Arial" w:hAnsi="Arial" w:cs="Arial"/>
                <w:b/>
                <w:sz w:val="20"/>
                <w:szCs w:val="20"/>
              </w:rPr>
            </w:pPr>
            <w:r w:rsidRPr="00DC6F3B">
              <w:rPr>
                <w:rFonts w:ascii="Arial" w:hAnsi="Arial" w:cs="Arial"/>
                <w:b/>
                <w:sz w:val="20"/>
                <w:szCs w:val="20"/>
              </w:rPr>
              <w:t>100,0</w:t>
            </w:r>
          </w:p>
        </w:tc>
        <w:tc>
          <w:tcPr>
            <w:tcW w:w="916" w:type="pct"/>
            <w:shd w:val="clear" w:color="auto" w:fill="CCFFFF"/>
            <w:noWrap/>
            <w:vAlign w:val="bottom"/>
          </w:tcPr>
          <w:p w:rsidR="00AC2F5D" w:rsidRPr="00DC6F3B" w:rsidRDefault="00AC2F5D" w:rsidP="0085653E">
            <w:pPr>
              <w:jc w:val="center"/>
              <w:rPr>
                <w:rFonts w:ascii="Arial" w:hAnsi="Arial" w:cs="Arial"/>
                <w:b/>
                <w:sz w:val="20"/>
                <w:szCs w:val="20"/>
              </w:rPr>
            </w:pPr>
            <w:r w:rsidRPr="00DC6F3B">
              <w:rPr>
                <w:rFonts w:ascii="Arial" w:hAnsi="Arial" w:cs="Arial"/>
                <w:b/>
                <w:sz w:val="20"/>
                <w:szCs w:val="20"/>
              </w:rPr>
              <w:t>100,0</w:t>
            </w:r>
          </w:p>
        </w:tc>
        <w:tc>
          <w:tcPr>
            <w:tcW w:w="916" w:type="pct"/>
            <w:shd w:val="clear" w:color="auto" w:fill="CCFFFF"/>
            <w:noWrap/>
            <w:vAlign w:val="bottom"/>
          </w:tcPr>
          <w:p w:rsidR="00AC2F5D" w:rsidRPr="00DC6F3B" w:rsidRDefault="00AC2F5D" w:rsidP="0085653E">
            <w:pPr>
              <w:jc w:val="center"/>
              <w:rPr>
                <w:rFonts w:ascii="Arial" w:hAnsi="Arial" w:cs="Arial"/>
                <w:b/>
                <w:sz w:val="20"/>
                <w:szCs w:val="20"/>
              </w:rPr>
            </w:pPr>
            <w:r w:rsidRPr="00DC6F3B">
              <w:rPr>
                <w:rFonts w:ascii="Arial" w:hAnsi="Arial" w:cs="Arial"/>
                <w:b/>
                <w:sz w:val="20"/>
                <w:szCs w:val="20"/>
              </w:rPr>
              <w:t>100,0</w:t>
            </w:r>
          </w:p>
        </w:tc>
        <w:tc>
          <w:tcPr>
            <w:tcW w:w="916" w:type="pct"/>
            <w:shd w:val="clear" w:color="auto" w:fill="CCFFFF"/>
            <w:noWrap/>
            <w:vAlign w:val="bottom"/>
          </w:tcPr>
          <w:p w:rsidR="00AC2F5D" w:rsidRPr="00DC6F3B" w:rsidRDefault="00AC2F5D" w:rsidP="0085653E">
            <w:pPr>
              <w:jc w:val="center"/>
              <w:rPr>
                <w:rFonts w:ascii="Arial" w:hAnsi="Arial" w:cs="Arial"/>
                <w:b/>
                <w:color w:val="FF0000"/>
                <w:sz w:val="20"/>
                <w:szCs w:val="20"/>
              </w:rPr>
            </w:pPr>
            <w:r w:rsidRPr="00DC6F3B">
              <w:rPr>
                <w:rFonts w:ascii="Arial" w:hAnsi="Arial" w:cs="Arial"/>
                <w:b/>
                <w:color w:val="FF0000"/>
                <w:sz w:val="20"/>
                <w:szCs w:val="20"/>
              </w:rPr>
              <w:t>100,0</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Japón</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14,4</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13,9</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21,2</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26,0</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Noruega</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0,0</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67,5</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84,8</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134,9</w:t>
            </w:r>
          </w:p>
        </w:tc>
      </w:tr>
      <w:tr w:rsidR="00AC2F5D" w:rsidTr="0085653E">
        <w:trPr>
          <w:trHeight w:val="255"/>
        </w:trPr>
        <w:tc>
          <w:tcPr>
            <w:tcW w:w="1261" w:type="pct"/>
            <w:shd w:val="clear" w:color="auto" w:fill="auto"/>
            <w:noWrap/>
            <w:vAlign w:val="bottom"/>
          </w:tcPr>
          <w:p w:rsidR="00AC2F5D" w:rsidRDefault="00AC2F5D" w:rsidP="0085653E">
            <w:pPr>
              <w:rPr>
                <w:rFonts w:ascii="Arial" w:hAnsi="Arial" w:cs="Arial"/>
                <w:sz w:val="20"/>
                <w:szCs w:val="20"/>
              </w:rPr>
            </w:pPr>
            <w:r>
              <w:rPr>
                <w:rFonts w:ascii="Arial" w:hAnsi="Arial" w:cs="Arial"/>
                <w:sz w:val="20"/>
                <w:szCs w:val="20"/>
              </w:rPr>
              <w:t>Suiza</w:t>
            </w:r>
          </w:p>
        </w:tc>
        <w:tc>
          <w:tcPr>
            <w:tcW w:w="992"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143,2</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277,9</w:t>
            </w:r>
          </w:p>
        </w:tc>
        <w:tc>
          <w:tcPr>
            <w:tcW w:w="916" w:type="pct"/>
            <w:shd w:val="clear" w:color="auto" w:fill="CCFFFF"/>
            <w:noWrap/>
            <w:vAlign w:val="bottom"/>
          </w:tcPr>
          <w:p w:rsidR="00AC2F5D" w:rsidRPr="008C6EA5" w:rsidRDefault="00AC2F5D" w:rsidP="0085653E">
            <w:pPr>
              <w:jc w:val="center"/>
              <w:rPr>
                <w:rFonts w:ascii="Arial" w:hAnsi="Arial" w:cs="Arial"/>
                <w:sz w:val="20"/>
                <w:szCs w:val="20"/>
              </w:rPr>
            </w:pPr>
            <w:r w:rsidRPr="008C6EA5">
              <w:rPr>
                <w:rFonts w:ascii="Arial" w:hAnsi="Arial" w:cs="Arial"/>
                <w:sz w:val="20"/>
                <w:szCs w:val="20"/>
              </w:rPr>
              <w:t>325,2</w:t>
            </w:r>
          </w:p>
        </w:tc>
        <w:tc>
          <w:tcPr>
            <w:tcW w:w="916" w:type="pct"/>
            <w:shd w:val="clear" w:color="auto" w:fill="CCFFFF"/>
            <w:noWrap/>
            <w:vAlign w:val="bottom"/>
          </w:tcPr>
          <w:p w:rsidR="00AC2F5D" w:rsidRPr="008C6EA5" w:rsidRDefault="00AC2F5D" w:rsidP="0085653E">
            <w:pPr>
              <w:jc w:val="center"/>
              <w:rPr>
                <w:rFonts w:ascii="Arial" w:hAnsi="Arial" w:cs="Arial"/>
                <w:color w:val="FF0000"/>
                <w:sz w:val="20"/>
                <w:szCs w:val="20"/>
              </w:rPr>
            </w:pPr>
            <w:r w:rsidRPr="008C6EA5">
              <w:rPr>
                <w:rFonts w:ascii="Arial" w:hAnsi="Arial" w:cs="Arial"/>
                <w:color w:val="FF0000"/>
                <w:sz w:val="20"/>
                <w:szCs w:val="20"/>
              </w:rPr>
              <w:t>269,6</w:t>
            </w:r>
          </w:p>
        </w:tc>
      </w:tr>
    </w:tbl>
    <w:p w:rsidR="00AC2F5D" w:rsidRPr="0020322A" w:rsidRDefault="00AC2F5D" w:rsidP="00AC2F5D">
      <w:pPr>
        <w:pStyle w:val="NormalWeb"/>
        <w:spacing w:before="0" w:beforeAutospacing="0" w:after="0" w:afterAutospacing="0"/>
        <w:jc w:val="both"/>
        <w:rPr>
          <w:i/>
          <w:sz w:val="20"/>
          <w:szCs w:val="20"/>
        </w:rPr>
      </w:pPr>
      <w:r w:rsidRPr="0020322A">
        <w:rPr>
          <w:i/>
          <w:sz w:val="20"/>
          <w:szCs w:val="20"/>
        </w:rPr>
        <w:t xml:space="preserve">Fuente: Elaboración propia con datos del ARWU y </w:t>
      </w:r>
      <w:r>
        <w:rPr>
          <w:i/>
          <w:sz w:val="20"/>
          <w:szCs w:val="20"/>
        </w:rPr>
        <w:t xml:space="preserve">a partir de </w:t>
      </w:r>
      <w:r w:rsidRPr="0020322A">
        <w:rPr>
          <w:i/>
          <w:sz w:val="20"/>
          <w:szCs w:val="20"/>
        </w:rPr>
        <w:t xml:space="preserve"> la metodología de </w:t>
      </w:r>
      <w:proofErr w:type="spellStart"/>
      <w:r w:rsidRPr="0020322A">
        <w:rPr>
          <w:i/>
          <w:sz w:val="20"/>
          <w:szCs w:val="20"/>
        </w:rPr>
        <w:t>Aghion</w:t>
      </w:r>
      <w:proofErr w:type="spellEnd"/>
      <w:r w:rsidRPr="0020322A">
        <w:rPr>
          <w:i/>
          <w:sz w:val="20"/>
          <w:szCs w:val="20"/>
        </w:rPr>
        <w:t xml:space="preserve"> et al (2007) </w:t>
      </w:r>
    </w:p>
    <w:p w:rsidR="00AC2F5D" w:rsidRDefault="00AC2F5D" w:rsidP="00AC2F5D">
      <w:pPr>
        <w:jc w:val="both"/>
      </w:pPr>
    </w:p>
    <w:p w:rsidR="00AC2F5D" w:rsidRPr="008E5597" w:rsidRDefault="00AC2F5D" w:rsidP="00AC2F5D">
      <w:pPr>
        <w:jc w:val="both"/>
        <w:rPr>
          <w:color w:val="000000"/>
        </w:rPr>
      </w:pPr>
      <w:r>
        <w:t>Cabe indicar que e</w:t>
      </w:r>
      <w:r w:rsidRPr="008E5597">
        <w:t>l</w:t>
      </w:r>
      <w:r>
        <w:t xml:space="preserve"> ARWU,</w:t>
      </w:r>
      <w:r w:rsidRPr="008E5597">
        <w:t xml:space="preserve"> elaborado por </w:t>
      </w:r>
      <w:smartTag w:uri="urn:schemas-microsoft-com:office:smarttags" w:element="PersonName">
        <w:smartTagPr>
          <w:attr w:name="ProductID" w:val="la Shanghai Jiao"/>
        </w:smartTagPr>
        <w:r w:rsidRPr="008E5597">
          <w:t xml:space="preserve">la </w:t>
        </w:r>
        <w:proofErr w:type="spellStart"/>
        <w:r w:rsidRPr="008E5597">
          <w:t>Shanghai</w:t>
        </w:r>
        <w:proofErr w:type="spellEnd"/>
        <w:r w:rsidRPr="008E5597">
          <w:t xml:space="preserve"> </w:t>
        </w:r>
        <w:proofErr w:type="spellStart"/>
        <w:r w:rsidRPr="008E5597">
          <w:t>Jiao</w:t>
        </w:r>
      </w:smartTag>
      <w:proofErr w:type="spellEnd"/>
      <w:r w:rsidRPr="008E5597">
        <w:t xml:space="preserve"> </w:t>
      </w:r>
      <w:proofErr w:type="spellStart"/>
      <w:r w:rsidRPr="008E5597">
        <w:t>Tong</w:t>
      </w:r>
      <w:proofErr w:type="spellEnd"/>
      <w:r w:rsidRPr="008E5597">
        <w:t xml:space="preserve"> </w:t>
      </w:r>
      <w:proofErr w:type="spellStart"/>
      <w:r w:rsidRPr="008E5597">
        <w:t>University</w:t>
      </w:r>
      <w:proofErr w:type="spellEnd"/>
      <w:r w:rsidRPr="008E5597">
        <w:t xml:space="preserve"> desde 2003</w:t>
      </w:r>
      <w:r>
        <w:t>,</w:t>
      </w:r>
      <w:r w:rsidRPr="008E5597">
        <w:t xml:space="preserve"> considera un total de seis indicadores:  a) Alumnos de una </w:t>
      </w:r>
      <w:r>
        <w:t>universidad</w:t>
      </w:r>
      <w:r w:rsidRPr="008E5597">
        <w:t xml:space="preserve"> que han conseguido un premio Nobel en física, química, medicina y economía o la medalla </w:t>
      </w:r>
      <w:proofErr w:type="spellStart"/>
      <w:r w:rsidRPr="008E5597">
        <w:t>Field</w:t>
      </w:r>
      <w:proofErr w:type="spellEnd"/>
      <w:r w:rsidRPr="008E5597">
        <w:t xml:space="preserve"> en matemáticas (ponderación sobre el total del 10%); b) Profesores </w:t>
      </w:r>
      <w:r>
        <w:t>universitarios</w:t>
      </w:r>
      <w:r w:rsidRPr="008E5597">
        <w:t xml:space="preserve"> </w:t>
      </w:r>
      <w:r>
        <w:t>con</w:t>
      </w:r>
      <w:r w:rsidRPr="008E5597">
        <w:t xml:space="preserve"> un premio Nobel en física, química, medicina y economía o la medalla </w:t>
      </w:r>
      <w:proofErr w:type="spellStart"/>
      <w:r w:rsidRPr="008E5597">
        <w:t>Field</w:t>
      </w:r>
      <w:proofErr w:type="spellEnd"/>
      <w:r w:rsidRPr="008E5597">
        <w:t xml:space="preserve"> en matemáticas (ponderación del 20%); c) Artículos pu</w:t>
      </w:r>
      <w:r>
        <w:t xml:space="preserve">blicados por los profesores de una institución en las revistas </w:t>
      </w:r>
      <w:proofErr w:type="spellStart"/>
      <w:r>
        <w:t>Nature</w:t>
      </w:r>
      <w:proofErr w:type="spellEnd"/>
      <w:r>
        <w:t xml:space="preserve"> y </w:t>
      </w:r>
      <w:proofErr w:type="spellStart"/>
      <w:r>
        <w:t>Science</w:t>
      </w:r>
      <w:proofErr w:type="spellEnd"/>
      <w:r w:rsidRPr="008E5597">
        <w:t xml:space="preserve"> </w:t>
      </w:r>
      <w:r>
        <w:t xml:space="preserve">(20%); d) Articulados indexados en el </w:t>
      </w:r>
      <w:proofErr w:type="spellStart"/>
      <w:r w:rsidRPr="008E5597">
        <w:t>el</w:t>
      </w:r>
      <w:proofErr w:type="spellEnd"/>
      <w:r w:rsidRPr="008E5597">
        <w:t xml:space="preserve"> </w:t>
      </w:r>
      <w:proofErr w:type="spellStart"/>
      <w:r w:rsidRPr="008E5597">
        <w:t>Science</w:t>
      </w:r>
      <w:proofErr w:type="spellEnd"/>
      <w:r w:rsidRPr="008E5597">
        <w:t xml:space="preserve"> </w:t>
      </w:r>
      <w:proofErr w:type="spellStart"/>
      <w:r w:rsidRPr="008E5597">
        <w:t>Citation</w:t>
      </w:r>
      <w:proofErr w:type="spellEnd"/>
      <w:r w:rsidRPr="008E5597">
        <w:t xml:space="preserve"> </w:t>
      </w:r>
      <w:proofErr w:type="spellStart"/>
      <w:r w:rsidRPr="008E5597">
        <w:t>Index-Expanded</w:t>
      </w:r>
      <w:proofErr w:type="spellEnd"/>
      <w:r w:rsidRPr="008E5597">
        <w:t xml:space="preserve"> y en el Social </w:t>
      </w:r>
      <w:proofErr w:type="spellStart"/>
      <w:r w:rsidRPr="008E5597">
        <w:t>Science</w:t>
      </w:r>
      <w:proofErr w:type="spellEnd"/>
      <w:r w:rsidRPr="008E5597">
        <w:t xml:space="preserve"> </w:t>
      </w:r>
      <w:proofErr w:type="spellStart"/>
      <w:r w:rsidRPr="008E5597">
        <w:t>Citation</w:t>
      </w:r>
      <w:proofErr w:type="spellEnd"/>
      <w:r w:rsidRPr="008E5597">
        <w:t xml:space="preserve"> </w:t>
      </w:r>
      <w:proofErr w:type="spellStart"/>
      <w:r w:rsidRPr="008E5597">
        <w:t>Index</w:t>
      </w:r>
      <w:proofErr w:type="spellEnd"/>
      <w:r w:rsidRPr="008E5597">
        <w:t xml:space="preserve"> (</w:t>
      </w:r>
      <w:r>
        <w:t xml:space="preserve">ponderación del </w:t>
      </w:r>
      <w:r w:rsidRPr="008E5597">
        <w:t>20%</w:t>
      </w:r>
      <w:r>
        <w:t>); e) N</w:t>
      </w:r>
      <w:r w:rsidRPr="00F87B07">
        <w:t xml:space="preserve">úmero de profesores de una </w:t>
      </w:r>
      <w:r>
        <w:t>universidad</w:t>
      </w:r>
      <w:r w:rsidRPr="00F87B07">
        <w:t xml:space="preserve"> que se encuentren en el </w:t>
      </w:r>
      <w:r w:rsidRPr="001C5970">
        <w:rPr>
          <w:i/>
        </w:rPr>
        <w:t>ranking</w:t>
      </w:r>
      <w:r w:rsidRPr="00F87B07">
        <w:t xml:space="preserve"> de los investigadores altamente citados en las 21 categorías definidas por </w:t>
      </w:r>
      <w:proofErr w:type="spellStart"/>
      <w:r w:rsidRPr="00F87B07">
        <w:rPr>
          <w:i/>
        </w:rPr>
        <w:t>Thomson</w:t>
      </w:r>
      <w:proofErr w:type="spellEnd"/>
      <w:r w:rsidRPr="00F87B07">
        <w:rPr>
          <w:i/>
        </w:rPr>
        <w:t xml:space="preserve"> ISI</w:t>
      </w:r>
      <w:r>
        <w:t xml:space="preserve"> </w:t>
      </w:r>
      <w:r w:rsidRPr="008E5597">
        <w:t>(20%)</w:t>
      </w:r>
      <w:r>
        <w:t xml:space="preserve">; f) </w:t>
      </w:r>
      <w:r w:rsidRPr="008E5597">
        <w:t>Rendimiento académico en relación al tamaño de la institución (</w:t>
      </w:r>
      <w:r w:rsidRPr="00F87B07">
        <w:t>promedio de los cinco indicadores anteriores relativizado por el número de profesores a tiempo completo en cada universidad</w:t>
      </w:r>
      <w:r>
        <w:t>), con una ponderación del 10%</w:t>
      </w:r>
      <w:r>
        <w:rPr>
          <w:rStyle w:val="Refdenotaalpie"/>
        </w:rPr>
        <w:footnoteReference w:id="1"/>
      </w:r>
      <w:r>
        <w:t>.</w:t>
      </w:r>
    </w:p>
    <w:p w:rsidR="00AC2F5D" w:rsidRPr="008E5597" w:rsidRDefault="00AC2F5D" w:rsidP="00AC2F5D">
      <w:pPr>
        <w:jc w:val="both"/>
        <w:rPr>
          <w:color w:val="FF0000"/>
        </w:rPr>
      </w:pPr>
    </w:p>
    <w:p w:rsidR="00AC2F5D" w:rsidRPr="008E5597" w:rsidRDefault="00AC2F5D" w:rsidP="00AC2F5D">
      <w:pPr>
        <w:jc w:val="both"/>
        <w:rPr>
          <w:color w:val="000000"/>
        </w:rPr>
      </w:pPr>
      <w:r>
        <w:rPr>
          <w:color w:val="000000"/>
        </w:rPr>
        <w:lastRenderedPageBreak/>
        <w:t xml:space="preserve">Es clave así, </w:t>
      </w:r>
      <w:r w:rsidRPr="008E5597">
        <w:rPr>
          <w:color w:val="000000"/>
        </w:rPr>
        <w:t xml:space="preserve">por lo tanto, </w:t>
      </w:r>
      <w:r>
        <w:rPr>
          <w:color w:val="000000"/>
        </w:rPr>
        <w:t>para</w:t>
      </w:r>
      <w:r w:rsidRPr="008E5597">
        <w:rPr>
          <w:color w:val="000000"/>
        </w:rPr>
        <w:t xml:space="preserve"> el sistema universitario español, </w:t>
      </w:r>
      <w:r>
        <w:rPr>
          <w:color w:val="000000"/>
        </w:rPr>
        <w:t xml:space="preserve">si se quiere mejorar el rendimiento del país a partir de sus universidades, en primer lugar, </w:t>
      </w:r>
      <w:r w:rsidRPr="008E5597">
        <w:rPr>
          <w:color w:val="000000"/>
        </w:rPr>
        <w:t xml:space="preserve">revertir la </w:t>
      </w:r>
      <w:r w:rsidR="00DA4562">
        <w:rPr>
          <w:color w:val="000000"/>
        </w:rPr>
        <w:t>política de recortes que está afectando de manera más que notable, a las universidades públicas españolas</w:t>
      </w:r>
      <w:r>
        <w:rPr>
          <w:color w:val="000000"/>
        </w:rPr>
        <w:t>,</w:t>
      </w:r>
      <w:r w:rsidRPr="008E5597">
        <w:rPr>
          <w:color w:val="000000"/>
        </w:rPr>
        <w:t xml:space="preserve"> y </w:t>
      </w:r>
      <w:r>
        <w:rPr>
          <w:color w:val="000000"/>
        </w:rPr>
        <w:t>en segundo lugar y paralelamente</w:t>
      </w:r>
      <w:r w:rsidR="00DA4562">
        <w:rPr>
          <w:color w:val="000000"/>
        </w:rPr>
        <w:t xml:space="preserve">, </w:t>
      </w:r>
      <w:r w:rsidRPr="008E5597">
        <w:rPr>
          <w:color w:val="000000"/>
        </w:rPr>
        <w:t xml:space="preserve"> llevar a cabo una reforma en profundidad de la universidad española. </w:t>
      </w:r>
      <w:r>
        <w:rPr>
          <w:color w:val="000000"/>
        </w:rPr>
        <w:t>Por un lado, es incuestionable, dadas las circunstancias, la necesidad de reducir el déficit y deuda pública que tiene el país, pero ello no debería impedir el priorizar el gasto público en la enseñanza superior y la investigación, claves para la competitividad de la economía española. Por otro lado, l</w:t>
      </w:r>
      <w:r w:rsidRPr="008E5597">
        <w:rPr>
          <w:color w:val="000000"/>
        </w:rPr>
        <w:t xml:space="preserve">as líneas maestras </w:t>
      </w:r>
      <w:r>
        <w:rPr>
          <w:color w:val="000000"/>
        </w:rPr>
        <w:t>necesarias a seguir para</w:t>
      </w:r>
      <w:r w:rsidRPr="008E5597">
        <w:rPr>
          <w:color w:val="000000"/>
        </w:rPr>
        <w:t xml:space="preserve"> </w:t>
      </w:r>
      <w:r>
        <w:rPr>
          <w:color w:val="000000"/>
        </w:rPr>
        <w:t>una</w:t>
      </w:r>
      <w:r w:rsidRPr="008E5597">
        <w:rPr>
          <w:color w:val="000000"/>
        </w:rPr>
        <w:t xml:space="preserve"> reforma </w:t>
      </w:r>
      <w:r>
        <w:rPr>
          <w:color w:val="000000"/>
        </w:rPr>
        <w:t>universitaria que sirviese para mejorar la eficiencia de nuestras universidades, se</w:t>
      </w:r>
      <w:r w:rsidRPr="008E5597">
        <w:rPr>
          <w:color w:val="000000"/>
        </w:rPr>
        <w:t xml:space="preserve"> pueden entrever en los dictámenes que </w:t>
      </w:r>
      <w:r w:rsidR="00DA4562">
        <w:rPr>
          <w:color w:val="000000"/>
        </w:rPr>
        <w:t>se han elaborado en estos dos últimos</w:t>
      </w:r>
      <w:r w:rsidRPr="008E5597">
        <w:rPr>
          <w:color w:val="000000"/>
        </w:rPr>
        <w:t xml:space="preserve"> años, acerca del diagnóstico y propuestas para mejorar el sistema </w:t>
      </w:r>
      <w:r w:rsidRPr="0019495B">
        <w:t>universitario español (</w:t>
      </w:r>
      <w:proofErr w:type="spellStart"/>
      <w:r w:rsidRPr="0019495B">
        <w:t>Tarrach</w:t>
      </w:r>
      <w:proofErr w:type="spellEnd"/>
      <w:r w:rsidRPr="0019495B">
        <w:t xml:space="preserve"> et al, 2011, elaborado por una comisión internacional en</w:t>
      </w:r>
      <w:r w:rsidRPr="00CC2A1C">
        <w:t xml:space="preserve"> el marco de la Estrategia Universidad 2015; y Miras-Portugal et al, 2013, elaborado por una comisión de expertos designada por el Ministerio de Educación, Cultura y Deporte)</w:t>
      </w:r>
      <w:r w:rsidRPr="00CC2A1C">
        <w:rPr>
          <w:rStyle w:val="Refdenotaalpie"/>
        </w:rPr>
        <w:footnoteReference w:id="2"/>
      </w:r>
      <w:r w:rsidRPr="00CC2A1C">
        <w:t xml:space="preserve">. </w:t>
      </w:r>
      <w:r>
        <w:t>A ello hay que añadir el compromiso del Gobierno en el Plan Nacional de Reformas de abordar</w:t>
      </w:r>
      <w:r w:rsidRPr="008E5597">
        <w:t xml:space="preserve"> e</w:t>
      </w:r>
      <w:r w:rsidRPr="008E5597">
        <w:rPr>
          <w:color w:val="000000"/>
        </w:rPr>
        <w:t xml:space="preserve">n el segundo semestre de 2014 la reforma de la universidad </w:t>
      </w:r>
      <w:r>
        <w:rPr>
          <w:color w:val="000000"/>
        </w:rPr>
        <w:t>iniciando</w:t>
      </w:r>
      <w:r w:rsidRPr="008E5597">
        <w:rPr>
          <w:color w:val="000000"/>
        </w:rPr>
        <w:t xml:space="preserve"> el debate parlamentario </w:t>
      </w:r>
      <w:r>
        <w:rPr>
          <w:color w:val="000000"/>
        </w:rPr>
        <w:t>correspondiente</w:t>
      </w:r>
      <w:r w:rsidRPr="008E5597">
        <w:rPr>
          <w:color w:val="000000"/>
        </w:rPr>
        <w:t>.</w:t>
      </w:r>
    </w:p>
    <w:p w:rsidR="00AC2F5D" w:rsidRPr="008E5597" w:rsidRDefault="00AC2F5D" w:rsidP="00AC2F5D">
      <w:pPr>
        <w:jc w:val="both"/>
        <w:rPr>
          <w:color w:val="000000"/>
        </w:rPr>
      </w:pPr>
    </w:p>
    <w:p w:rsidR="00AC2F5D" w:rsidRPr="008E5597" w:rsidRDefault="00AC2F5D" w:rsidP="00AC2F5D">
      <w:pPr>
        <w:jc w:val="both"/>
      </w:pPr>
      <w:r>
        <w:t>Algunas c</w:t>
      </w:r>
      <w:r w:rsidRPr="008E5597">
        <w:t xml:space="preserve">laves </w:t>
      </w:r>
      <w:r>
        <w:t>de</w:t>
      </w:r>
      <w:r w:rsidRPr="008E5597">
        <w:t xml:space="preserve"> la reforma, siguiendo </w:t>
      </w:r>
      <w:r>
        <w:t>lo realizado</w:t>
      </w:r>
      <w:r w:rsidRPr="008E5597">
        <w:t xml:space="preserve"> por los países europeos que las han llevado a cabo en los últimos años</w:t>
      </w:r>
      <w:r>
        <w:t xml:space="preserve"> como </w:t>
      </w:r>
      <w:r w:rsidRPr="00855E10">
        <w:t>Reino Unido, Holanda, Finlandia, Italia, Suecia, Dinamarca, Austria, Franc</w:t>
      </w:r>
      <w:r>
        <w:t>ia, Portugal (Samoilovich, 2007;</w:t>
      </w:r>
      <w:r w:rsidRPr="00855E10">
        <w:t xml:space="preserve"> García-Sicilia, 2009)</w:t>
      </w:r>
      <w:r>
        <w:rPr>
          <w:rStyle w:val="Refdenotaalpie"/>
        </w:rPr>
        <w:footnoteReference w:id="3"/>
      </w:r>
      <w:r>
        <w:t xml:space="preserve"> y las recomendaciones de los diversos dictámenes que al respecto se han confeccionado en España, serían las siguientes:</w:t>
      </w:r>
    </w:p>
    <w:p w:rsidR="00AC2F5D" w:rsidRPr="008E5597" w:rsidRDefault="00AC2F5D" w:rsidP="00AC2F5D">
      <w:pPr>
        <w:jc w:val="both"/>
        <w:rPr>
          <w:color w:val="FF0000"/>
        </w:rPr>
      </w:pPr>
    </w:p>
    <w:p w:rsidR="00AC2F5D" w:rsidRDefault="00AC2F5D" w:rsidP="00AC2F5D">
      <w:pPr>
        <w:pStyle w:val="Prrafodelista1"/>
        <w:numPr>
          <w:ilvl w:val="0"/>
          <w:numId w:val="1"/>
        </w:numPr>
        <w:spacing w:line="240" w:lineRule="auto"/>
        <w:jc w:val="both"/>
        <w:rPr>
          <w:rFonts w:ascii="Times New Roman" w:hAnsi="Times New Roman"/>
          <w:sz w:val="24"/>
          <w:szCs w:val="24"/>
          <w:lang w:val="es-ES"/>
        </w:rPr>
      </w:pPr>
      <w:r w:rsidRPr="008E5597">
        <w:rPr>
          <w:rFonts w:ascii="Times New Roman" w:hAnsi="Times New Roman"/>
          <w:sz w:val="24"/>
          <w:szCs w:val="24"/>
          <w:lang w:val="es-ES"/>
        </w:rPr>
        <w:t xml:space="preserve">Un </w:t>
      </w:r>
      <w:r>
        <w:rPr>
          <w:rFonts w:ascii="Times New Roman" w:hAnsi="Times New Roman"/>
          <w:sz w:val="24"/>
          <w:szCs w:val="24"/>
          <w:lang w:val="es-ES"/>
        </w:rPr>
        <w:t>órgano</w:t>
      </w:r>
      <w:r w:rsidRPr="008E5597">
        <w:rPr>
          <w:rFonts w:ascii="Times New Roman" w:hAnsi="Times New Roman"/>
          <w:sz w:val="24"/>
          <w:szCs w:val="24"/>
          <w:lang w:val="es-ES"/>
        </w:rPr>
        <w:t xml:space="preserve"> de gobierno reducido</w:t>
      </w:r>
      <w:r>
        <w:rPr>
          <w:rFonts w:ascii="Times New Roman" w:hAnsi="Times New Roman"/>
          <w:sz w:val="24"/>
          <w:szCs w:val="24"/>
          <w:lang w:val="es-ES"/>
        </w:rPr>
        <w:t>, incluyendo a</w:t>
      </w:r>
      <w:r w:rsidRPr="008E5597">
        <w:rPr>
          <w:rFonts w:ascii="Times New Roman" w:hAnsi="Times New Roman"/>
          <w:sz w:val="24"/>
          <w:szCs w:val="24"/>
          <w:lang w:val="es-ES"/>
        </w:rPr>
        <w:t xml:space="preserve"> </w:t>
      </w:r>
      <w:r>
        <w:rPr>
          <w:rFonts w:ascii="Times New Roman" w:hAnsi="Times New Roman"/>
          <w:sz w:val="24"/>
          <w:szCs w:val="24"/>
          <w:lang w:val="es-ES"/>
        </w:rPr>
        <w:t>miembros externos a la universidad, que tendría competencias para designar al rector (el cual rendiría cuentas al órgano de gobierno), aprobar las líneas estratégicas y el presupuesto.</w:t>
      </w:r>
    </w:p>
    <w:p w:rsidR="00AC2F5D" w:rsidRDefault="00AC2F5D" w:rsidP="00AC2F5D">
      <w:pPr>
        <w:pStyle w:val="Prrafodelista1"/>
        <w:numPr>
          <w:ilvl w:val="0"/>
          <w:numId w:val="1"/>
        </w:numPr>
        <w:spacing w:line="240" w:lineRule="auto"/>
        <w:jc w:val="both"/>
        <w:rPr>
          <w:rFonts w:ascii="Times New Roman" w:hAnsi="Times New Roman"/>
          <w:sz w:val="24"/>
          <w:szCs w:val="24"/>
          <w:lang w:val="es-ES"/>
        </w:rPr>
      </w:pPr>
      <w:r w:rsidRPr="008E5597">
        <w:rPr>
          <w:rFonts w:ascii="Times New Roman" w:hAnsi="Times New Roman"/>
          <w:sz w:val="24"/>
          <w:szCs w:val="24"/>
          <w:lang w:val="es-ES"/>
        </w:rPr>
        <w:t>Un fortalecimiento de la</w:t>
      </w:r>
      <w:r>
        <w:rPr>
          <w:rFonts w:ascii="Times New Roman" w:hAnsi="Times New Roman"/>
          <w:sz w:val="24"/>
          <w:szCs w:val="24"/>
          <w:lang w:val="es-ES"/>
        </w:rPr>
        <w:t xml:space="preserve"> autoridad ejecutiva del rector, que tendría </w:t>
      </w:r>
      <w:r w:rsidRPr="008E5597">
        <w:rPr>
          <w:rFonts w:ascii="Times New Roman" w:hAnsi="Times New Roman"/>
          <w:sz w:val="24"/>
          <w:szCs w:val="24"/>
          <w:lang w:val="es-ES"/>
        </w:rPr>
        <w:t xml:space="preserve">capacidad </w:t>
      </w:r>
      <w:r>
        <w:rPr>
          <w:rFonts w:ascii="Times New Roman" w:hAnsi="Times New Roman"/>
          <w:sz w:val="24"/>
          <w:szCs w:val="24"/>
          <w:lang w:val="es-ES"/>
        </w:rPr>
        <w:t>para</w:t>
      </w:r>
      <w:r w:rsidRPr="008E5597">
        <w:rPr>
          <w:rFonts w:ascii="Times New Roman" w:hAnsi="Times New Roman"/>
          <w:sz w:val="24"/>
          <w:szCs w:val="24"/>
          <w:lang w:val="es-ES"/>
        </w:rPr>
        <w:t xml:space="preserve"> designar </w:t>
      </w:r>
      <w:r>
        <w:rPr>
          <w:rFonts w:ascii="Times New Roman" w:hAnsi="Times New Roman"/>
          <w:sz w:val="24"/>
          <w:szCs w:val="24"/>
          <w:lang w:val="es-ES"/>
        </w:rPr>
        <w:t>a su</w:t>
      </w:r>
      <w:r w:rsidRPr="008E5597">
        <w:rPr>
          <w:rFonts w:ascii="Times New Roman" w:hAnsi="Times New Roman"/>
          <w:sz w:val="24"/>
          <w:szCs w:val="24"/>
          <w:lang w:val="es-ES"/>
        </w:rPr>
        <w:t xml:space="preserve"> equipo de dirección</w:t>
      </w:r>
      <w:r>
        <w:rPr>
          <w:rFonts w:ascii="Times New Roman" w:hAnsi="Times New Roman"/>
          <w:sz w:val="24"/>
          <w:szCs w:val="24"/>
          <w:lang w:val="es-ES"/>
        </w:rPr>
        <w:t>, también reducido</w:t>
      </w:r>
      <w:r w:rsidRPr="008E5597">
        <w:rPr>
          <w:rFonts w:ascii="Times New Roman" w:hAnsi="Times New Roman"/>
          <w:sz w:val="24"/>
          <w:szCs w:val="24"/>
          <w:lang w:val="es-ES"/>
        </w:rPr>
        <w:t xml:space="preserve">, a los decanos y a los responsables de las principales unidades tanto administrativas como de docencia e investigación de la universidad. </w:t>
      </w:r>
    </w:p>
    <w:p w:rsidR="00AC2F5D" w:rsidRPr="008E5597" w:rsidRDefault="00AC2F5D" w:rsidP="00AC2F5D">
      <w:pPr>
        <w:pStyle w:val="Prrafodelista1"/>
        <w:numPr>
          <w:ilvl w:val="0"/>
          <w:numId w:val="1"/>
        </w:numPr>
        <w:spacing w:line="240" w:lineRule="auto"/>
        <w:jc w:val="both"/>
        <w:rPr>
          <w:rFonts w:ascii="Times New Roman" w:hAnsi="Times New Roman"/>
          <w:sz w:val="24"/>
          <w:szCs w:val="24"/>
          <w:lang w:val="es-ES"/>
        </w:rPr>
      </w:pPr>
      <w:r w:rsidRPr="008E5597">
        <w:rPr>
          <w:rFonts w:ascii="Times New Roman" w:hAnsi="Times New Roman"/>
          <w:sz w:val="24"/>
          <w:szCs w:val="24"/>
          <w:lang w:val="es-ES"/>
        </w:rPr>
        <w:t>Una garantía de la participación de los académicos a través de un Senado o claustro</w:t>
      </w:r>
      <w:r w:rsidR="00DA4562">
        <w:rPr>
          <w:rFonts w:ascii="Times New Roman" w:hAnsi="Times New Roman"/>
          <w:sz w:val="24"/>
          <w:szCs w:val="24"/>
          <w:lang w:val="es-ES"/>
        </w:rPr>
        <w:t xml:space="preserve">, </w:t>
      </w:r>
      <w:r>
        <w:rPr>
          <w:rFonts w:ascii="Times New Roman" w:hAnsi="Times New Roman"/>
          <w:sz w:val="24"/>
          <w:szCs w:val="24"/>
          <w:lang w:val="es-ES"/>
        </w:rPr>
        <w:t xml:space="preserve">que sería el máximo órgano de consulta de la universidad, </w:t>
      </w:r>
      <w:r w:rsidR="00DA4562">
        <w:rPr>
          <w:rFonts w:ascii="Times New Roman" w:hAnsi="Times New Roman"/>
          <w:sz w:val="24"/>
          <w:szCs w:val="24"/>
          <w:lang w:val="es-ES"/>
        </w:rPr>
        <w:t>con un tamaño que debería situarse alrededor de los</w:t>
      </w:r>
      <w:r>
        <w:rPr>
          <w:rFonts w:ascii="Times New Roman" w:hAnsi="Times New Roman"/>
          <w:sz w:val="24"/>
          <w:szCs w:val="24"/>
          <w:lang w:val="es-ES"/>
        </w:rPr>
        <w:t xml:space="preserve"> 100 miembros, pero cuyas directrice</w:t>
      </w:r>
      <w:r w:rsidR="00DA4562">
        <w:rPr>
          <w:rFonts w:ascii="Times New Roman" w:hAnsi="Times New Roman"/>
          <w:sz w:val="24"/>
          <w:szCs w:val="24"/>
          <w:lang w:val="es-ES"/>
        </w:rPr>
        <w:t>s no habrían de ser vinculantes. Extendiendo, además, esta gobernanza compartida a otros órganos creados al efecto.</w:t>
      </w:r>
    </w:p>
    <w:p w:rsidR="00AC2F5D" w:rsidRPr="008E5597" w:rsidRDefault="00AC2F5D" w:rsidP="00AC2F5D">
      <w:pPr>
        <w:pStyle w:val="Prrafodelista1"/>
        <w:numPr>
          <w:ilvl w:val="0"/>
          <w:numId w:val="1"/>
        </w:numPr>
        <w:spacing w:line="240" w:lineRule="auto"/>
        <w:jc w:val="both"/>
        <w:rPr>
          <w:rFonts w:ascii="Times New Roman" w:hAnsi="Times New Roman"/>
          <w:sz w:val="24"/>
          <w:szCs w:val="24"/>
          <w:lang w:val="es-ES"/>
        </w:rPr>
      </w:pPr>
      <w:r w:rsidRPr="008E5597">
        <w:rPr>
          <w:rFonts w:ascii="Times New Roman" w:hAnsi="Times New Roman"/>
          <w:sz w:val="24"/>
          <w:szCs w:val="24"/>
          <w:lang w:val="es-ES"/>
        </w:rPr>
        <w:t xml:space="preserve">Una mayor capacidad de la universidad para desarrollar su política de profesorado: contratación, establecimiento de </w:t>
      </w:r>
      <w:r>
        <w:rPr>
          <w:rFonts w:ascii="Times New Roman" w:hAnsi="Times New Roman"/>
          <w:sz w:val="24"/>
          <w:szCs w:val="24"/>
          <w:lang w:val="es-ES"/>
        </w:rPr>
        <w:t>las</w:t>
      </w:r>
      <w:r w:rsidRPr="008E5597">
        <w:rPr>
          <w:rFonts w:ascii="Times New Roman" w:hAnsi="Times New Roman"/>
          <w:sz w:val="24"/>
          <w:szCs w:val="24"/>
          <w:lang w:val="es-ES"/>
        </w:rPr>
        <w:t xml:space="preserve"> condiciones laborales, con un adecuado equilibrio entre las posiciones permanentes y las temporales y priorizando la contratación laboral como forma de vinculación del profesorado con la universidad.</w:t>
      </w:r>
    </w:p>
    <w:p w:rsidR="00AC2F5D" w:rsidRPr="008E5597" w:rsidRDefault="00AC2F5D" w:rsidP="00AC2F5D">
      <w:pPr>
        <w:pStyle w:val="Prrafodelista1"/>
        <w:numPr>
          <w:ilvl w:val="0"/>
          <w:numId w:val="1"/>
        </w:numPr>
        <w:spacing w:line="240" w:lineRule="auto"/>
        <w:jc w:val="both"/>
        <w:rPr>
          <w:rFonts w:ascii="Times New Roman" w:hAnsi="Times New Roman"/>
          <w:sz w:val="24"/>
          <w:szCs w:val="24"/>
          <w:lang w:val="es-ES"/>
        </w:rPr>
      </w:pPr>
      <w:r w:rsidRPr="008E5597">
        <w:rPr>
          <w:rFonts w:ascii="Times New Roman" w:hAnsi="Times New Roman"/>
          <w:sz w:val="24"/>
          <w:szCs w:val="24"/>
          <w:lang w:val="es-ES"/>
        </w:rPr>
        <w:t>Una mayor intervención de la universidad en la definición de su oferta académica de grado y postgrado y en la selección de los nuevos estudiantes, así como en la fijación de los precios públicos de los estudios ofrecidos.</w:t>
      </w:r>
    </w:p>
    <w:p w:rsidR="00AC2F5D" w:rsidRDefault="00AC2F5D" w:rsidP="00AC2F5D">
      <w:pPr>
        <w:pStyle w:val="Prrafodelista1"/>
        <w:numPr>
          <w:ilvl w:val="0"/>
          <w:numId w:val="1"/>
        </w:numPr>
        <w:spacing w:line="240" w:lineRule="auto"/>
        <w:jc w:val="both"/>
        <w:rPr>
          <w:rFonts w:ascii="Times New Roman" w:hAnsi="Times New Roman"/>
          <w:sz w:val="24"/>
          <w:szCs w:val="24"/>
          <w:lang w:val="es-ES"/>
        </w:rPr>
      </w:pPr>
      <w:r w:rsidRPr="008E5597">
        <w:rPr>
          <w:rFonts w:ascii="Times New Roman" w:hAnsi="Times New Roman"/>
          <w:sz w:val="24"/>
          <w:szCs w:val="24"/>
          <w:lang w:val="es-ES"/>
        </w:rPr>
        <w:lastRenderedPageBreak/>
        <w:t>Un marco financiero más estable en el tiempo que defina las relaciones de la universidad con la administración pública competente en el que se desarrolle los contratos–programa con las universidades</w:t>
      </w:r>
      <w:r>
        <w:rPr>
          <w:rFonts w:ascii="Times New Roman" w:hAnsi="Times New Roman"/>
          <w:sz w:val="24"/>
          <w:szCs w:val="24"/>
          <w:lang w:val="es-ES"/>
        </w:rPr>
        <w:t>, para la financiación de base,</w:t>
      </w:r>
      <w:r w:rsidRPr="008E5597">
        <w:rPr>
          <w:rFonts w:ascii="Times New Roman" w:hAnsi="Times New Roman"/>
          <w:sz w:val="24"/>
          <w:szCs w:val="24"/>
          <w:lang w:val="es-ES"/>
        </w:rPr>
        <w:t xml:space="preserve"> y la </w:t>
      </w:r>
      <w:r>
        <w:rPr>
          <w:rFonts w:ascii="Times New Roman" w:hAnsi="Times New Roman"/>
          <w:sz w:val="24"/>
          <w:szCs w:val="24"/>
          <w:lang w:val="es-ES"/>
        </w:rPr>
        <w:t>p</w:t>
      </w:r>
      <w:r w:rsidRPr="008E5597">
        <w:rPr>
          <w:rFonts w:ascii="Times New Roman" w:hAnsi="Times New Roman"/>
          <w:sz w:val="24"/>
          <w:szCs w:val="24"/>
          <w:lang w:val="es-ES"/>
        </w:rPr>
        <w:t xml:space="preserve">arte de financiación </w:t>
      </w:r>
      <w:r>
        <w:rPr>
          <w:rFonts w:ascii="Times New Roman" w:hAnsi="Times New Roman"/>
          <w:sz w:val="24"/>
          <w:szCs w:val="24"/>
          <w:lang w:val="es-ES"/>
        </w:rPr>
        <w:t>que esté supeditada a la consecución de</w:t>
      </w:r>
      <w:r w:rsidRPr="008E5597">
        <w:rPr>
          <w:rFonts w:ascii="Times New Roman" w:hAnsi="Times New Roman"/>
          <w:sz w:val="24"/>
          <w:szCs w:val="24"/>
          <w:lang w:val="es-ES"/>
        </w:rPr>
        <w:t xml:space="preserve"> objetivos. De la misma manera los recursos para la investigación </w:t>
      </w:r>
      <w:r>
        <w:rPr>
          <w:rFonts w:ascii="Times New Roman" w:hAnsi="Times New Roman"/>
          <w:sz w:val="24"/>
          <w:szCs w:val="24"/>
          <w:lang w:val="es-ES"/>
        </w:rPr>
        <w:t>deberían</w:t>
      </w:r>
      <w:r w:rsidRPr="008E5597">
        <w:rPr>
          <w:rFonts w:ascii="Times New Roman" w:hAnsi="Times New Roman"/>
          <w:sz w:val="24"/>
          <w:szCs w:val="24"/>
          <w:lang w:val="es-ES"/>
        </w:rPr>
        <w:t xml:space="preserve"> cumplir también parámetros similares adaptándolos a las iniciativas que a este fin desarrollan las instituciones europeas. </w:t>
      </w:r>
    </w:p>
    <w:p w:rsidR="00AC2F5D" w:rsidRDefault="00AC2F5D" w:rsidP="00AC2F5D">
      <w:pPr>
        <w:pStyle w:val="Prrafodelista1"/>
        <w:numPr>
          <w:ilvl w:val="0"/>
          <w:numId w:val="1"/>
        </w:numPr>
        <w:spacing w:line="240" w:lineRule="auto"/>
        <w:jc w:val="both"/>
        <w:rPr>
          <w:rFonts w:ascii="Times New Roman" w:hAnsi="Times New Roman"/>
          <w:sz w:val="24"/>
          <w:szCs w:val="24"/>
          <w:lang w:val="es-ES"/>
        </w:rPr>
      </w:pPr>
      <w:r>
        <w:rPr>
          <w:rFonts w:ascii="Times New Roman" w:hAnsi="Times New Roman"/>
          <w:sz w:val="24"/>
          <w:szCs w:val="24"/>
          <w:lang w:val="es-ES"/>
        </w:rPr>
        <w:t>Una exigencia de una mayor evaluación y rendición de cuentas de la universidad hacia la sociedad en paralelo a una mayor autonomía institucional, de gobierno, de financiación, de gestión de personal y académica y de organización, con el establecimiento de indicadores claros de docencia, investigación y transferencia de conocimiento.</w:t>
      </w:r>
    </w:p>
    <w:p w:rsidR="00AC2F5D" w:rsidRPr="008E5597" w:rsidRDefault="00AC2F5D" w:rsidP="00AC2F5D">
      <w:pPr>
        <w:pStyle w:val="Prrafodelista1"/>
        <w:numPr>
          <w:ilvl w:val="0"/>
          <w:numId w:val="1"/>
        </w:numPr>
        <w:spacing w:line="240" w:lineRule="auto"/>
        <w:jc w:val="both"/>
        <w:rPr>
          <w:rFonts w:ascii="Times New Roman" w:hAnsi="Times New Roman"/>
          <w:sz w:val="24"/>
          <w:szCs w:val="24"/>
          <w:lang w:val="es-ES"/>
        </w:rPr>
      </w:pPr>
      <w:r>
        <w:rPr>
          <w:rFonts w:ascii="Times New Roman" w:hAnsi="Times New Roman"/>
          <w:sz w:val="24"/>
          <w:szCs w:val="24"/>
          <w:lang w:val="es-ES"/>
        </w:rPr>
        <w:t>Una garantía de que la autonomía universitaria también ha de suponer la posibilidad de que cada universidad escoja su camino: la reforma habría de plantear la posibilidad de la especialización y diferenciación entre universidades, así como la compatibilización de universidades que permanezcan en el statu quo con otras que opten por transitar una nueva vía, a través de los incentivos adecuados.</w:t>
      </w:r>
    </w:p>
    <w:p w:rsidR="00AC2F5D" w:rsidRPr="008E5597" w:rsidRDefault="00AC2F5D" w:rsidP="00AC2F5D">
      <w:pPr>
        <w:jc w:val="both"/>
        <w:rPr>
          <w:color w:val="000000"/>
        </w:rPr>
      </w:pPr>
      <w:r>
        <w:rPr>
          <w:color w:val="000000"/>
        </w:rPr>
        <w:t xml:space="preserve">Estos puntos resumidos de lo que podría ser la reforma del sistema universitario público español son esenciales, pues, junto a la recuperación y crecimiento de los recursos públicos que </w:t>
      </w:r>
      <w:r w:rsidR="00F01828">
        <w:rPr>
          <w:color w:val="000000"/>
        </w:rPr>
        <w:t xml:space="preserve">a ellas </w:t>
      </w:r>
      <w:r>
        <w:rPr>
          <w:color w:val="000000"/>
        </w:rPr>
        <w:t xml:space="preserve">se destinan, será la mejor garantía para que el sistema universitario español actúe </w:t>
      </w:r>
      <w:r w:rsidRPr="008E5597">
        <w:rPr>
          <w:color w:val="000000"/>
        </w:rPr>
        <w:t xml:space="preserve"> </w:t>
      </w:r>
      <w:r>
        <w:rPr>
          <w:color w:val="000000"/>
        </w:rPr>
        <w:t>en las mejores condiciones posibles como motor de desarrollo  impulsando la modernización de la estructura productiva de nuestro país</w:t>
      </w:r>
      <w:r w:rsidRPr="008E5597">
        <w:rPr>
          <w:color w:val="000000"/>
        </w:rPr>
        <w:t xml:space="preserve"> y obtener así ganancias de productividad </w:t>
      </w:r>
      <w:r>
        <w:rPr>
          <w:color w:val="000000"/>
        </w:rPr>
        <w:t>que permitan acercarnos</w:t>
      </w:r>
      <w:r w:rsidRPr="008E5597">
        <w:rPr>
          <w:color w:val="000000"/>
        </w:rPr>
        <w:t xml:space="preserve"> a nuestro potencial de crecimiento económico en el inmediato futuro. </w:t>
      </w:r>
    </w:p>
    <w:p w:rsidR="00AC2F5D" w:rsidRPr="008E5597" w:rsidRDefault="00AC2F5D" w:rsidP="00AC2F5D">
      <w:pPr>
        <w:jc w:val="both"/>
        <w:rPr>
          <w:color w:val="000000"/>
        </w:rPr>
      </w:pPr>
    </w:p>
    <w:p w:rsidR="00AC2F5D" w:rsidRDefault="00AC2F5D" w:rsidP="00AC2F5D">
      <w:pPr>
        <w:jc w:val="both"/>
      </w:pPr>
      <w:r>
        <w:t>Es interesante, en este contexto, observar cuáles eran las 40 principales instituciones españolas por la calidad de sus publicaciones científicas (impacto normalizado)</w:t>
      </w:r>
      <w:r>
        <w:rPr>
          <w:rStyle w:val="Refdenotaalpie"/>
        </w:rPr>
        <w:footnoteReference w:id="4"/>
      </w:r>
      <w:r>
        <w:t xml:space="preserve"> en el periodo 2003-2007 y compararlas con la lista para el periodo 2007-2011 (datos de </w:t>
      </w:r>
      <w:proofErr w:type="spellStart"/>
      <w:r>
        <w:t>Scimago</w:t>
      </w:r>
      <w:proofErr w:type="spellEnd"/>
      <w:r>
        <w:t xml:space="preserve">, recogidos en diversos Informes anuales de </w:t>
      </w:r>
      <w:smartTag w:uri="urn:schemas-microsoft-com:office:smarttags" w:element="PersonName">
        <w:smartTagPr>
          <w:attr w:name="ProductID" w:val="la Fundaci￳n CYD"/>
        </w:smartTagPr>
        <w:smartTag w:uri="urn:schemas-microsoft-com:office:smarttags" w:element="PersonName">
          <w:smartTagPr>
            <w:attr w:name="ProductID" w:val="la Fundaci￳n"/>
          </w:smartTagPr>
          <w:r>
            <w:t>la Fundación</w:t>
          </w:r>
        </w:smartTag>
        <w:r>
          <w:t xml:space="preserve"> CYD</w:t>
        </w:r>
      </w:smartTag>
      <w:r>
        <w:t xml:space="preserve">). Efectivamente, si se realiza dicho ejercicio se constata que en el primer caso había hasta siete universidades españolas y en el segundo solamente cuatro, y en posiciones relativas más atrasadas. En cambio, instituciones dependientes de la </w:t>
      </w:r>
      <w:r w:rsidRPr="006F1F8A">
        <w:t>administración pública pero “de nuevo cuño” (Sanz Menéndez y Cruz Castro, 2010),</w:t>
      </w:r>
      <w:r>
        <w:t xml:space="preserve"> como los institutos CERCA en Cataluña, han mantenido o reforzado su posición de liderazgo, en gran parte de los casos, incrementando la calidad de sus publicaciones y la posición relativa ocupada en el contexto español (es el caso, por ejemplo, del Institut de </w:t>
      </w:r>
      <w:proofErr w:type="spellStart"/>
      <w:r>
        <w:t>Cièncias</w:t>
      </w:r>
      <w:proofErr w:type="spellEnd"/>
      <w:r>
        <w:t xml:space="preserve"> </w:t>
      </w:r>
      <w:proofErr w:type="spellStart"/>
      <w:r>
        <w:t>Fotòniques</w:t>
      </w:r>
      <w:proofErr w:type="spellEnd"/>
      <w:r>
        <w:t xml:space="preserve">,  el Institut </w:t>
      </w:r>
      <w:proofErr w:type="spellStart"/>
      <w:r>
        <w:t>Català</w:t>
      </w:r>
      <w:proofErr w:type="spellEnd"/>
      <w:r>
        <w:t xml:space="preserve"> de </w:t>
      </w:r>
      <w:proofErr w:type="spellStart"/>
      <w:r>
        <w:t>Nanotecnologia</w:t>
      </w:r>
      <w:proofErr w:type="spellEnd"/>
      <w:r>
        <w:t xml:space="preserve"> o el Institut de Física </w:t>
      </w:r>
      <w:proofErr w:type="spellStart"/>
      <w:r>
        <w:t>d’Altes</w:t>
      </w:r>
      <w:proofErr w:type="spellEnd"/>
      <w:r>
        <w:t xml:space="preserve"> </w:t>
      </w:r>
      <w:proofErr w:type="spellStart"/>
      <w:r>
        <w:t>Energies</w:t>
      </w:r>
      <w:proofErr w:type="spellEnd"/>
      <w:r>
        <w:t xml:space="preserve">). Más allá del mayor o menor impacto de la disminución de los recursos públicos en estas instituciones, </w:t>
      </w:r>
      <w:r w:rsidRPr="0029760B">
        <w:t xml:space="preserve">parece que la  clave de sus buenos resultados relativos tendría que ver </w:t>
      </w:r>
      <w:r>
        <w:t xml:space="preserve">más </w:t>
      </w:r>
      <w:r w:rsidRPr="0029760B">
        <w:t>con su manera de organizarse, altamente autónoma, que les ha permitido tener más margen de maniobra y poder reaccionar mejor, adaptarse más convenientemente a los nuevos tiempos económicamente negativos.</w:t>
      </w:r>
      <w:r w:rsidRPr="0024647A">
        <w:rPr>
          <w:color w:val="FF0000"/>
        </w:rPr>
        <w:t xml:space="preserve"> </w:t>
      </w:r>
      <w:r>
        <w:t xml:space="preserve">Más en concreto, y </w:t>
      </w:r>
      <w:r w:rsidRPr="006F1F8A">
        <w:t>siguiendo a (Sanz Menéndez y Cruz Castro, 2010) sus principales características serían</w:t>
      </w:r>
      <w:r>
        <w:t xml:space="preserve"> las de ser centros e institutos independientes con personalidad jurídica propia (fundaciones privadas sin ánimo de lucro o consorcios), creados por iniciativa del sector </w:t>
      </w:r>
      <w:r>
        <w:lastRenderedPageBreak/>
        <w:t>público y apoyados por fondos públicos, orientados a la investigación científica de excelencia en aspectos relevantes, con una elevada autonomía tanto en sus estructuras de financiación, como en sus sistemas de carrera profesional, en la colaboración pública-privada para la definición de objetivos científicos y agendas de investigación o en la capacidad de la dirección de orientar la investigación estratégicamente a medio y largo plazo</w:t>
      </w:r>
      <w:r>
        <w:rPr>
          <w:rStyle w:val="Refdenotaalpie"/>
        </w:rPr>
        <w:footnoteReference w:id="5"/>
      </w:r>
      <w:r>
        <w:t>.</w:t>
      </w:r>
      <w:r>
        <w:tab/>
      </w:r>
    </w:p>
    <w:p w:rsidR="00AC2F5D" w:rsidRDefault="00AC2F5D" w:rsidP="00AC2F5D">
      <w:pPr>
        <w:jc w:val="both"/>
      </w:pPr>
    </w:p>
    <w:p w:rsidR="00AC2F5D" w:rsidRDefault="00AC2F5D" w:rsidP="00AC2F5D">
      <w:pPr>
        <w:jc w:val="both"/>
        <w:rPr>
          <w:sz w:val="20"/>
          <w:szCs w:val="20"/>
          <w:u w:val="single"/>
        </w:rPr>
      </w:pPr>
    </w:p>
    <w:p w:rsidR="00AC2F5D" w:rsidRDefault="00AC2F5D"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F01828" w:rsidRDefault="00F01828" w:rsidP="00AC2F5D">
      <w:pPr>
        <w:jc w:val="both"/>
        <w:rPr>
          <w:sz w:val="20"/>
          <w:szCs w:val="20"/>
          <w:u w:val="single"/>
        </w:rPr>
      </w:pPr>
    </w:p>
    <w:p w:rsidR="00AC2F5D" w:rsidRPr="00095B49" w:rsidRDefault="00AC2F5D" w:rsidP="00AC2F5D">
      <w:pPr>
        <w:jc w:val="both"/>
        <w:rPr>
          <w:sz w:val="20"/>
          <w:szCs w:val="20"/>
          <w:u w:val="single"/>
        </w:rPr>
      </w:pPr>
      <w:r w:rsidRPr="00095B49">
        <w:rPr>
          <w:sz w:val="20"/>
          <w:szCs w:val="20"/>
          <w:u w:val="single"/>
        </w:rPr>
        <w:lastRenderedPageBreak/>
        <w:t>Referencias bibliográficas</w:t>
      </w:r>
    </w:p>
    <w:p w:rsidR="00AC2F5D" w:rsidRDefault="00AC2F5D" w:rsidP="00AC2F5D">
      <w:pPr>
        <w:jc w:val="both"/>
      </w:pPr>
    </w:p>
    <w:p w:rsidR="00AC2F5D" w:rsidRPr="00095B49" w:rsidRDefault="00AC2F5D" w:rsidP="00AC2F5D">
      <w:pPr>
        <w:jc w:val="both"/>
        <w:rPr>
          <w:sz w:val="20"/>
          <w:szCs w:val="20"/>
        </w:rPr>
      </w:pPr>
    </w:p>
    <w:p w:rsidR="00AC2F5D" w:rsidRDefault="00AC2F5D" w:rsidP="00AC2F5D">
      <w:pPr>
        <w:jc w:val="both"/>
        <w:rPr>
          <w:sz w:val="20"/>
          <w:szCs w:val="20"/>
        </w:rPr>
      </w:pPr>
      <w:proofErr w:type="spellStart"/>
      <w:r w:rsidRPr="00095B49">
        <w:rPr>
          <w:sz w:val="20"/>
          <w:szCs w:val="20"/>
        </w:rPr>
        <w:t>Aghion</w:t>
      </w:r>
      <w:proofErr w:type="spellEnd"/>
      <w:r w:rsidRPr="00095B49">
        <w:rPr>
          <w:sz w:val="20"/>
          <w:szCs w:val="20"/>
        </w:rPr>
        <w:t xml:space="preserve">, </w:t>
      </w:r>
      <w:proofErr w:type="spellStart"/>
      <w:r w:rsidRPr="00095B49">
        <w:rPr>
          <w:sz w:val="20"/>
          <w:szCs w:val="20"/>
        </w:rPr>
        <w:t>Philippe</w:t>
      </w:r>
      <w:proofErr w:type="spellEnd"/>
      <w:r w:rsidRPr="00095B49">
        <w:rPr>
          <w:sz w:val="20"/>
          <w:szCs w:val="20"/>
        </w:rPr>
        <w:t xml:space="preserve">, </w:t>
      </w:r>
      <w:proofErr w:type="spellStart"/>
      <w:r w:rsidRPr="00095B49">
        <w:rPr>
          <w:sz w:val="20"/>
          <w:szCs w:val="20"/>
        </w:rPr>
        <w:t>Mathias</w:t>
      </w:r>
      <w:proofErr w:type="spellEnd"/>
      <w:r w:rsidRPr="00095B49">
        <w:rPr>
          <w:sz w:val="20"/>
          <w:szCs w:val="20"/>
        </w:rPr>
        <w:t xml:space="preserve"> </w:t>
      </w:r>
      <w:proofErr w:type="spellStart"/>
      <w:r w:rsidRPr="00095B49">
        <w:rPr>
          <w:sz w:val="20"/>
          <w:szCs w:val="20"/>
        </w:rPr>
        <w:t>Dewatripont</w:t>
      </w:r>
      <w:proofErr w:type="spellEnd"/>
      <w:r w:rsidRPr="00095B49">
        <w:rPr>
          <w:sz w:val="20"/>
          <w:szCs w:val="20"/>
        </w:rPr>
        <w:t xml:space="preserve">, </w:t>
      </w:r>
      <w:proofErr w:type="spellStart"/>
      <w:r w:rsidRPr="00095B49">
        <w:rPr>
          <w:sz w:val="20"/>
          <w:szCs w:val="20"/>
        </w:rPr>
        <w:t>Caroline</w:t>
      </w:r>
      <w:proofErr w:type="spellEnd"/>
      <w:r w:rsidRPr="00095B49">
        <w:rPr>
          <w:sz w:val="20"/>
          <w:szCs w:val="20"/>
        </w:rPr>
        <w:t xml:space="preserve"> </w:t>
      </w:r>
      <w:proofErr w:type="spellStart"/>
      <w:r w:rsidRPr="00095B49">
        <w:rPr>
          <w:sz w:val="20"/>
          <w:szCs w:val="20"/>
        </w:rPr>
        <w:t>Hoxby</w:t>
      </w:r>
      <w:proofErr w:type="spellEnd"/>
      <w:r w:rsidRPr="00095B49">
        <w:rPr>
          <w:sz w:val="20"/>
          <w:szCs w:val="20"/>
        </w:rPr>
        <w:t>, Andreu Mas-</w:t>
      </w:r>
      <w:proofErr w:type="spellStart"/>
      <w:r w:rsidRPr="00095B49">
        <w:rPr>
          <w:sz w:val="20"/>
          <w:szCs w:val="20"/>
        </w:rPr>
        <w:t>Colell</w:t>
      </w:r>
      <w:proofErr w:type="spellEnd"/>
      <w:r w:rsidRPr="00095B49">
        <w:rPr>
          <w:sz w:val="20"/>
          <w:szCs w:val="20"/>
        </w:rPr>
        <w:t>, Andr</w:t>
      </w:r>
      <w:r>
        <w:rPr>
          <w:sz w:val="20"/>
          <w:szCs w:val="20"/>
        </w:rPr>
        <w:t xml:space="preserve">é </w:t>
      </w:r>
      <w:proofErr w:type="spellStart"/>
      <w:r>
        <w:rPr>
          <w:sz w:val="20"/>
          <w:szCs w:val="20"/>
        </w:rPr>
        <w:t>Sapir</w:t>
      </w:r>
      <w:proofErr w:type="spellEnd"/>
      <w:r>
        <w:rPr>
          <w:sz w:val="20"/>
          <w:szCs w:val="20"/>
        </w:rPr>
        <w:t xml:space="preserve">. </w:t>
      </w:r>
      <w:r w:rsidRPr="00095B49">
        <w:rPr>
          <w:sz w:val="20"/>
          <w:szCs w:val="20"/>
        </w:rPr>
        <w:t>2007</w:t>
      </w:r>
      <w:r>
        <w:rPr>
          <w:sz w:val="20"/>
          <w:szCs w:val="20"/>
        </w:rPr>
        <w:t>.</w:t>
      </w:r>
      <w:r w:rsidRPr="00095B49">
        <w:rPr>
          <w:sz w:val="20"/>
          <w:szCs w:val="20"/>
        </w:rPr>
        <w:t xml:space="preserve"> </w:t>
      </w:r>
      <w:r>
        <w:rPr>
          <w:sz w:val="20"/>
          <w:szCs w:val="20"/>
        </w:rPr>
        <w:t>“</w:t>
      </w:r>
      <w:proofErr w:type="spellStart"/>
      <w:r w:rsidRPr="00095B49">
        <w:rPr>
          <w:sz w:val="20"/>
          <w:szCs w:val="20"/>
        </w:rPr>
        <w:t>Why</w:t>
      </w:r>
      <w:proofErr w:type="spellEnd"/>
      <w:r w:rsidRPr="00095B49">
        <w:rPr>
          <w:sz w:val="20"/>
          <w:szCs w:val="20"/>
        </w:rPr>
        <w:t xml:space="preserve"> </w:t>
      </w:r>
      <w:proofErr w:type="spellStart"/>
      <w:r w:rsidRPr="00095B49">
        <w:rPr>
          <w:sz w:val="20"/>
          <w:szCs w:val="20"/>
        </w:rPr>
        <w:t>reform</w:t>
      </w:r>
      <w:proofErr w:type="spellEnd"/>
      <w:r w:rsidRPr="00095B49">
        <w:rPr>
          <w:sz w:val="20"/>
          <w:szCs w:val="20"/>
        </w:rPr>
        <w:t xml:space="preserve"> </w:t>
      </w:r>
      <w:proofErr w:type="spellStart"/>
      <w:r w:rsidRPr="00095B49">
        <w:rPr>
          <w:sz w:val="20"/>
          <w:szCs w:val="20"/>
        </w:rPr>
        <w:t>Europe’s</w:t>
      </w:r>
      <w:proofErr w:type="spellEnd"/>
      <w:r w:rsidRPr="00095B49">
        <w:rPr>
          <w:sz w:val="20"/>
          <w:szCs w:val="20"/>
        </w:rPr>
        <w:t xml:space="preserve"> </w:t>
      </w:r>
      <w:proofErr w:type="spellStart"/>
      <w:r w:rsidRPr="00095B49">
        <w:rPr>
          <w:sz w:val="20"/>
          <w:szCs w:val="20"/>
        </w:rPr>
        <w:t>universities</w:t>
      </w:r>
      <w:proofErr w:type="spellEnd"/>
      <w:r w:rsidRPr="00095B49">
        <w:rPr>
          <w:sz w:val="20"/>
          <w:szCs w:val="20"/>
        </w:rPr>
        <w:t>?</w:t>
      </w:r>
      <w:r>
        <w:rPr>
          <w:sz w:val="20"/>
          <w:szCs w:val="20"/>
        </w:rPr>
        <w:t>”</w:t>
      </w:r>
      <w:r w:rsidRPr="00095B49">
        <w:rPr>
          <w:sz w:val="20"/>
          <w:szCs w:val="20"/>
        </w:rPr>
        <w:t xml:space="preserve"> </w:t>
      </w:r>
      <w:proofErr w:type="spellStart"/>
      <w:r w:rsidRPr="002465C5">
        <w:rPr>
          <w:i/>
          <w:sz w:val="20"/>
          <w:szCs w:val="20"/>
        </w:rPr>
        <w:t>Bruegel</w:t>
      </w:r>
      <w:proofErr w:type="spellEnd"/>
      <w:r w:rsidRPr="002465C5">
        <w:rPr>
          <w:i/>
          <w:sz w:val="20"/>
          <w:szCs w:val="20"/>
        </w:rPr>
        <w:t xml:space="preserve"> </w:t>
      </w:r>
      <w:proofErr w:type="spellStart"/>
      <w:r w:rsidRPr="002465C5">
        <w:rPr>
          <w:i/>
          <w:sz w:val="20"/>
          <w:szCs w:val="20"/>
        </w:rPr>
        <w:t>policy</w:t>
      </w:r>
      <w:proofErr w:type="spellEnd"/>
      <w:r w:rsidRPr="002465C5">
        <w:rPr>
          <w:i/>
          <w:sz w:val="20"/>
          <w:szCs w:val="20"/>
        </w:rPr>
        <w:t xml:space="preserve"> </w:t>
      </w:r>
      <w:proofErr w:type="spellStart"/>
      <w:r w:rsidRPr="002465C5">
        <w:rPr>
          <w:i/>
          <w:sz w:val="20"/>
          <w:szCs w:val="20"/>
        </w:rPr>
        <w:t>brief</w:t>
      </w:r>
      <w:proofErr w:type="spellEnd"/>
      <w:r w:rsidRPr="00095B49">
        <w:rPr>
          <w:sz w:val="20"/>
          <w:szCs w:val="20"/>
        </w:rPr>
        <w:t xml:space="preserve">, 2007/04, </w:t>
      </w:r>
      <w:proofErr w:type="spellStart"/>
      <w:r w:rsidRPr="00095B49">
        <w:rPr>
          <w:sz w:val="20"/>
          <w:szCs w:val="20"/>
        </w:rPr>
        <w:t>september</w:t>
      </w:r>
      <w:proofErr w:type="spellEnd"/>
      <w:r w:rsidRPr="00095B49">
        <w:rPr>
          <w:sz w:val="20"/>
          <w:szCs w:val="20"/>
        </w:rPr>
        <w:t>.</w:t>
      </w:r>
    </w:p>
    <w:p w:rsidR="00AC2F5D" w:rsidRDefault="00AC2F5D" w:rsidP="00AC2F5D">
      <w:pPr>
        <w:jc w:val="both"/>
        <w:rPr>
          <w:sz w:val="20"/>
          <w:szCs w:val="20"/>
        </w:rPr>
      </w:pPr>
    </w:p>
    <w:p w:rsidR="00AC2F5D" w:rsidRPr="00095B49" w:rsidRDefault="00AC2F5D" w:rsidP="00AC2F5D">
      <w:pPr>
        <w:jc w:val="both"/>
        <w:rPr>
          <w:sz w:val="20"/>
          <w:szCs w:val="20"/>
        </w:rPr>
      </w:pPr>
      <w:r w:rsidRPr="00095B49">
        <w:rPr>
          <w:sz w:val="20"/>
          <w:szCs w:val="20"/>
        </w:rPr>
        <w:t xml:space="preserve">Beato, Miguel, Jordi </w:t>
      </w:r>
      <w:proofErr w:type="spellStart"/>
      <w:r w:rsidRPr="00095B49">
        <w:rPr>
          <w:sz w:val="20"/>
          <w:szCs w:val="20"/>
        </w:rPr>
        <w:t>Codony</w:t>
      </w:r>
      <w:proofErr w:type="spellEnd"/>
      <w:r w:rsidRPr="00095B49">
        <w:rPr>
          <w:sz w:val="20"/>
          <w:szCs w:val="20"/>
        </w:rPr>
        <w:t xml:space="preserve">, Joaquim Coello, Francisco Longo, Martí Parellada, Gemma </w:t>
      </w:r>
      <w:proofErr w:type="spellStart"/>
      <w:r w:rsidRPr="00095B49">
        <w:rPr>
          <w:sz w:val="20"/>
          <w:szCs w:val="20"/>
        </w:rPr>
        <w:t>Rauret</w:t>
      </w:r>
      <w:proofErr w:type="spellEnd"/>
      <w:r w:rsidRPr="00095B49">
        <w:rPr>
          <w:sz w:val="20"/>
          <w:szCs w:val="20"/>
        </w:rPr>
        <w:t xml:space="preserve">, Francesc Solà, Carles </w:t>
      </w:r>
      <w:proofErr w:type="spellStart"/>
      <w:r w:rsidRPr="00095B49">
        <w:rPr>
          <w:sz w:val="20"/>
          <w:szCs w:val="20"/>
        </w:rPr>
        <w:t>Sumarroca</w:t>
      </w:r>
      <w:proofErr w:type="spellEnd"/>
      <w:r w:rsidRPr="00095B49">
        <w:rPr>
          <w:sz w:val="20"/>
          <w:szCs w:val="20"/>
        </w:rPr>
        <w:t xml:space="preserve">, Josep M. </w:t>
      </w:r>
      <w:proofErr w:type="spellStart"/>
      <w:r w:rsidRPr="00095B49">
        <w:rPr>
          <w:sz w:val="20"/>
          <w:szCs w:val="20"/>
        </w:rPr>
        <w:t>Vilalta</w:t>
      </w:r>
      <w:proofErr w:type="spellEnd"/>
      <w:r w:rsidRPr="00095B49">
        <w:rPr>
          <w:sz w:val="20"/>
          <w:szCs w:val="20"/>
        </w:rPr>
        <w:t xml:space="preserve"> y </w:t>
      </w:r>
      <w:r>
        <w:rPr>
          <w:sz w:val="20"/>
          <w:szCs w:val="20"/>
        </w:rPr>
        <w:t xml:space="preserve">Joan Viñas. </w:t>
      </w:r>
      <w:r w:rsidRPr="00095B49">
        <w:rPr>
          <w:sz w:val="20"/>
          <w:szCs w:val="20"/>
        </w:rPr>
        <w:t>2012</w:t>
      </w:r>
      <w:r>
        <w:rPr>
          <w:sz w:val="20"/>
          <w:szCs w:val="20"/>
        </w:rPr>
        <w:t>.</w:t>
      </w:r>
      <w:r w:rsidRPr="00095B49">
        <w:rPr>
          <w:sz w:val="20"/>
          <w:szCs w:val="20"/>
        </w:rPr>
        <w:t xml:space="preserve"> </w:t>
      </w:r>
      <w:r w:rsidRPr="00783EE1">
        <w:rPr>
          <w:i/>
          <w:sz w:val="20"/>
          <w:szCs w:val="20"/>
        </w:rPr>
        <w:t>La mejora de la gobernanza universitaria en Cataluña. Retos, propuestas y estrategias</w:t>
      </w:r>
      <w:r w:rsidRPr="00095B49">
        <w:rPr>
          <w:sz w:val="20"/>
          <w:szCs w:val="20"/>
        </w:rPr>
        <w:t>. Informe de la ponencia para el estudio de la gobernanza del sistema universitario en Cataluña.</w:t>
      </w:r>
      <w:r>
        <w:rPr>
          <w:sz w:val="20"/>
          <w:szCs w:val="20"/>
        </w:rPr>
        <w:t xml:space="preserve"> Barcelona: Generalitat de Catalunya.</w:t>
      </w:r>
    </w:p>
    <w:p w:rsidR="00AC2F5D" w:rsidRDefault="00AC2F5D" w:rsidP="00AC2F5D">
      <w:pPr>
        <w:jc w:val="both"/>
        <w:rPr>
          <w:sz w:val="20"/>
          <w:szCs w:val="20"/>
        </w:rPr>
      </w:pPr>
    </w:p>
    <w:p w:rsidR="00AC2F5D" w:rsidRPr="00095B49" w:rsidRDefault="00AC2F5D" w:rsidP="00AC2F5D">
      <w:pPr>
        <w:jc w:val="both"/>
        <w:rPr>
          <w:sz w:val="20"/>
          <w:szCs w:val="20"/>
        </w:rPr>
      </w:pPr>
      <w:r w:rsidRPr="00095B49">
        <w:rPr>
          <w:sz w:val="20"/>
          <w:szCs w:val="20"/>
        </w:rPr>
        <w:t>Fundación CYD</w:t>
      </w:r>
      <w:r>
        <w:rPr>
          <w:sz w:val="20"/>
          <w:szCs w:val="20"/>
        </w:rPr>
        <w:t xml:space="preserve">. </w:t>
      </w:r>
      <w:r w:rsidRPr="00095B49">
        <w:rPr>
          <w:sz w:val="20"/>
          <w:szCs w:val="20"/>
        </w:rPr>
        <w:t>2013</w:t>
      </w:r>
      <w:r>
        <w:rPr>
          <w:sz w:val="20"/>
          <w:szCs w:val="20"/>
        </w:rPr>
        <w:t>.</w:t>
      </w:r>
      <w:r w:rsidRPr="00095B49">
        <w:rPr>
          <w:sz w:val="20"/>
          <w:szCs w:val="20"/>
        </w:rPr>
        <w:t xml:space="preserve"> </w:t>
      </w:r>
      <w:r w:rsidRPr="00773411">
        <w:rPr>
          <w:i/>
          <w:sz w:val="20"/>
          <w:szCs w:val="20"/>
        </w:rPr>
        <w:t>Informe CYD 2012. La contribución de las universidades españolas al desarrollo</w:t>
      </w:r>
      <w:r w:rsidRPr="00095B49">
        <w:rPr>
          <w:sz w:val="20"/>
          <w:szCs w:val="20"/>
        </w:rPr>
        <w:t>.</w:t>
      </w:r>
      <w:r>
        <w:rPr>
          <w:sz w:val="20"/>
          <w:szCs w:val="20"/>
        </w:rPr>
        <w:t xml:space="preserve"> Barcelona: Fundación CYD</w:t>
      </w:r>
    </w:p>
    <w:p w:rsidR="00AC2F5D" w:rsidRPr="00095B49" w:rsidRDefault="00AC2F5D" w:rsidP="00AC2F5D">
      <w:pPr>
        <w:jc w:val="both"/>
        <w:rPr>
          <w:sz w:val="20"/>
          <w:szCs w:val="20"/>
        </w:rPr>
      </w:pPr>
    </w:p>
    <w:p w:rsidR="00AC2F5D" w:rsidRPr="00095B49" w:rsidRDefault="00AC2F5D" w:rsidP="00AC2F5D">
      <w:pPr>
        <w:jc w:val="both"/>
        <w:rPr>
          <w:sz w:val="20"/>
          <w:szCs w:val="20"/>
        </w:rPr>
      </w:pPr>
      <w:r w:rsidRPr="00095B49">
        <w:rPr>
          <w:sz w:val="20"/>
          <w:szCs w:val="20"/>
        </w:rPr>
        <w:t xml:space="preserve">Fundación CYD (2012): </w:t>
      </w:r>
      <w:r w:rsidRPr="00162677">
        <w:rPr>
          <w:i/>
          <w:sz w:val="20"/>
          <w:szCs w:val="20"/>
        </w:rPr>
        <w:t>Informe CYD 2011. La contribución de las universidades españolas al desarrollo.</w:t>
      </w:r>
    </w:p>
    <w:p w:rsidR="00AC2F5D" w:rsidRPr="00095B49" w:rsidRDefault="00AC2F5D" w:rsidP="00AC2F5D">
      <w:pPr>
        <w:jc w:val="both"/>
        <w:rPr>
          <w:sz w:val="20"/>
          <w:szCs w:val="20"/>
        </w:rPr>
      </w:pPr>
    </w:p>
    <w:p w:rsidR="00AC2F5D" w:rsidRDefault="00AC2F5D" w:rsidP="00AC2F5D">
      <w:pPr>
        <w:jc w:val="both"/>
        <w:rPr>
          <w:i/>
          <w:sz w:val="20"/>
          <w:szCs w:val="20"/>
        </w:rPr>
      </w:pPr>
      <w:r w:rsidRPr="00095B49">
        <w:rPr>
          <w:sz w:val="20"/>
          <w:szCs w:val="20"/>
        </w:rPr>
        <w:t>García-Sicilia, Francisca</w:t>
      </w:r>
      <w:r>
        <w:rPr>
          <w:sz w:val="20"/>
          <w:szCs w:val="20"/>
        </w:rPr>
        <w:t xml:space="preserve">. </w:t>
      </w:r>
      <w:r w:rsidRPr="00095B49">
        <w:rPr>
          <w:sz w:val="20"/>
          <w:szCs w:val="20"/>
        </w:rPr>
        <w:t>2009</w:t>
      </w:r>
      <w:r>
        <w:rPr>
          <w:sz w:val="20"/>
          <w:szCs w:val="20"/>
        </w:rPr>
        <w:t>.</w:t>
      </w:r>
      <w:r w:rsidRPr="00095B49">
        <w:rPr>
          <w:sz w:val="20"/>
          <w:szCs w:val="20"/>
        </w:rPr>
        <w:t xml:space="preserve"> “Gobernanza en las instituciones de educación superior. Tendencias”, en </w:t>
      </w:r>
      <w:r w:rsidRPr="002465C5">
        <w:rPr>
          <w:i/>
          <w:sz w:val="20"/>
          <w:szCs w:val="20"/>
        </w:rPr>
        <w:t>Informe CYD 2008. La contribución de las universidades españolas al desarrollo.</w:t>
      </w:r>
      <w:r w:rsidRPr="002465C5">
        <w:rPr>
          <w:sz w:val="20"/>
          <w:szCs w:val="20"/>
        </w:rPr>
        <w:t xml:space="preserve"> </w:t>
      </w:r>
      <w:r>
        <w:rPr>
          <w:sz w:val="20"/>
          <w:szCs w:val="20"/>
        </w:rPr>
        <w:t>Barcelona: Fundación CYD.</w:t>
      </w:r>
      <w:r w:rsidRPr="002465C5">
        <w:rPr>
          <w:i/>
          <w:sz w:val="20"/>
          <w:szCs w:val="20"/>
        </w:rPr>
        <w:t xml:space="preserve"> </w:t>
      </w:r>
    </w:p>
    <w:p w:rsidR="00AC2F5D" w:rsidRPr="002465C5" w:rsidRDefault="00AC2F5D" w:rsidP="00AC2F5D">
      <w:pPr>
        <w:jc w:val="both"/>
        <w:rPr>
          <w:i/>
          <w:sz w:val="20"/>
          <w:szCs w:val="20"/>
        </w:rPr>
      </w:pPr>
    </w:p>
    <w:p w:rsidR="00AC2F5D" w:rsidRDefault="00AC2F5D" w:rsidP="00AC2F5D">
      <w:pPr>
        <w:jc w:val="both"/>
        <w:rPr>
          <w:sz w:val="20"/>
          <w:szCs w:val="20"/>
        </w:rPr>
      </w:pPr>
      <w:proofErr w:type="spellStart"/>
      <w:r>
        <w:rPr>
          <w:sz w:val="20"/>
          <w:szCs w:val="20"/>
        </w:rPr>
        <w:t>Magalhaes</w:t>
      </w:r>
      <w:proofErr w:type="spellEnd"/>
      <w:r>
        <w:rPr>
          <w:sz w:val="20"/>
          <w:szCs w:val="20"/>
        </w:rPr>
        <w:t xml:space="preserve">, Antonio, </w:t>
      </w:r>
      <w:proofErr w:type="spellStart"/>
      <w:r>
        <w:rPr>
          <w:sz w:val="20"/>
          <w:szCs w:val="20"/>
        </w:rPr>
        <w:t>Amélia</w:t>
      </w:r>
      <w:proofErr w:type="spellEnd"/>
      <w:r>
        <w:rPr>
          <w:sz w:val="20"/>
          <w:szCs w:val="20"/>
        </w:rPr>
        <w:t xml:space="preserve"> </w:t>
      </w:r>
      <w:proofErr w:type="spellStart"/>
      <w:r>
        <w:rPr>
          <w:sz w:val="20"/>
          <w:szCs w:val="20"/>
        </w:rPr>
        <w:t>Veiga</w:t>
      </w:r>
      <w:proofErr w:type="spellEnd"/>
      <w:r>
        <w:rPr>
          <w:sz w:val="20"/>
          <w:szCs w:val="20"/>
        </w:rPr>
        <w:t xml:space="preserve">, Alberto Amaral, </w:t>
      </w:r>
      <w:proofErr w:type="spellStart"/>
      <w:r>
        <w:rPr>
          <w:sz w:val="20"/>
          <w:szCs w:val="20"/>
        </w:rPr>
        <w:t>Sofia</w:t>
      </w:r>
      <w:proofErr w:type="spellEnd"/>
      <w:r>
        <w:rPr>
          <w:sz w:val="20"/>
          <w:szCs w:val="20"/>
        </w:rPr>
        <w:t xml:space="preserve"> Sousa y </w:t>
      </w:r>
      <w:proofErr w:type="spellStart"/>
      <w:r>
        <w:rPr>
          <w:sz w:val="20"/>
          <w:szCs w:val="20"/>
        </w:rPr>
        <w:t>Filipa</w:t>
      </w:r>
      <w:proofErr w:type="spellEnd"/>
      <w:r>
        <w:rPr>
          <w:sz w:val="20"/>
          <w:szCs w:val="20"/>
        </w:rPr>
        <w:t xml:space="preserve"> Ribeiro. 2013. </w:t>
      </w:r>
      <w:proofErr w:type="gramStart"/>
      <w:r>
        <w:rPr>
          <w:sz w:val="20"/>
          <w:szCs w:val="20"/>
        </w:rPr>
        <w:t xml:space="preserve">“ </w:t>
      </w:r>
      <w:proofErr w:type="spellStart"/>
      <w:r>
        <w:rPr>
          <w:sz w:val="20"/>
          <w:szCs w:val="20"/>
        </w:rPr>
        <w:t>Governance</w:t>
      </w:r>
      <w:proofErr w:type="spellEnd"/>
      <w:proofErr w:type="gramEnd"/>
      <w:r>
        <w:rPr>
          <w:sz w:val="20"/>
          <w:szCs w:val="20"/>
        </w:rPr>
        <w:t xml:space="preserve"> of </w:t>
      </w:r>
      <w:proofErr w:type="spellStart"/>
      <w:r>
        <w:rPr>
          <w:sz w:val="20"/>
          <w:szCs w:val="20"/>
        </w:rPr>
        <w:t>governance</w:t>
      </w:r>
      <w:proofErr w:type="spellEnd"/>
      <w:r>
        <w:rPr>
          <w:sz w:val="20"/>
          <w:szCs w:val="20"/>
        </w:rPr>
        <w:t xml:space="preserve"> in </w:t>
      </w:r>
      <w:proofErr w:type="spellStart"/>
      <w:r>
        <w:rPr>
          <w:sz w:val="20"/>
          <w:szCs w:val="20"/>
        </w:rPr>
        <w:t>higher</w:t>
      </w:r>
      <w:proofErr w:type="spellEnd"/>
      <w:r>
        <w:rPr>
          <w:sz w:val="20"/>
          <w:szCs w:val="20"/>
        </w:rPr>
        <w:t xml:space="preserve"> </w:t>
      </w:r>
      <w:proofErr w:type="spellStart"/>
      <w:r>
        <w:rPr>
          <w:sz w:val="20"/>
          <w:szCs w:val="20"/>
        </w:rPr>
        <w:t>education</w:t>
      </w:r>
      <w:proofErr w:type="spellEnd"/>
      <w:r>
        <w:rPr>
          <w:sz w:val="20"/>
          <w:szCs w:val="20"/>
        </w:rPr>
        <w:t xml:space="preserve">: </w:t>
      </w:r>
      <w:proofErr w:type="spellStart"/>
      <w:r>
        <w:rPr>
          <w:sz w:val="20"/>
          <w:szCs w:val="20"/>
        </w:rPr>
        <w:t>practices</w:t>
      </w:r>
      <w:proofErr w:type="spellEnd"/>
      <w:r>
        <w:rPr>
          <w:sz w:val="20"/>
          <w:szCs w:val="20"/>
        </w:rPr>
        <w:t xml:space="preserve"> and </w:t>
      </w:r>
      <w:proofErr w:type="spellStart"/>
      <w:r>
        <w:rPr>
          <w:sz w:val="20"/>
          <w:szCs w:val="20"/>
        </w:rPr>
        <w:t>lessons</w:t>
      </w:r>
      <w:proofErr w:type="spellEnd"/>
      <w:r>
        <w:rPr>
          <w:sz w:val="20"/>
          <w:szCs w:val="20"/>
        </w:rPr>
        <w:t xml:space="preserve"> </w:t>
      </w:r>
      <w:proofErr w:type="spellStart"/>
      <w:r>
        <w:rPr>
          <w:sz w:val="20"/>
          <w:szCs w:val="20"/>
        </w:rPr>
        <w:t>drawn</w:t>
      </w:r>
      <w:proofErr w:type="spellEnd"/>
      <w:r>
        <w:rPr>
          <w:sz w:val="20"/>
          <w:szCs w:val="20"/>
        </w:rPr>
        <w:t xml:space="preserve"> </w:t>
      </w:r>
      <w:proofErr w:type="spellStart"/>
      <w:r>
        <w:rPr>
          <w:sz w:val="20"/>
          <w:szCs w:val="20"/>
        </w:rPr>
        <w:t>from</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portuguese</w:t>
      </w:r>
      <w:proofErr w:type="spellEnd"/>
      <w:r>
        <w:rPr>
          <w:sz w:val="20"/>
          <w:szCs w:val="20"/>
        </w:rPr>
        <w:t xml:space="preserve"> case”. </w:t>
      </w:r>
      <w:proofErr w:type="spellStart"/>
      <w:r>
        <w:rPr>
          <w:sz w:val="20"/>
          <w:szCs w:val="20"/>
        </w:rPr>
        <w:t>Higher</w:t>
      </w:r>
      <w:proofErr w:type="spellEnd"/>
      <w:r>
        <w:rPr>
          <w:sz w:val="20"/>
          <w:szCs w:val="20"/>
        </w:rPr>
        <w:t xml:space="preserve"> </w:t>
      </w:r>
      <w:proofErr w:type="spellStart"/>
      <w:r>
        <w:rPr>
          <w:sz w:val="20"/>
          <w:szCs w:val="20"/>
        </w:rPr>
        <w:t>Education</w:t>
      </w:r>
      <w:proofErr w:type="spellEnd"/>
      <w:r>
        <w:rPr>
          <w:sz w:val="20"/>
          <w:szCs w:val="20"/>
        </w:rPr>
        <w:t xml:space="preserve"> </w:t>
      </w:r>
      <w:proofErr w:type="spellStart"/>
      <w:r>
        <w:rPr>
          <w:sz w:val="20"/>
          <w:szCs w:val="20"/>
        </w:rPr>
        <w:t>Quarterly</w:t>
      </w:r>
      <w:proofErr w:type="spellEnd"/>
      <w:r>
        <w:rPr>
          <w:sz w:val="20"/>
          <w:szCs w:val="20"/>
        </w:rPr>
        <w:t xml:space="preserve">, vol. 67, 1, </w:t>
      </w:r>
      <w:proofErr w:type="spellStart"/>
      <w:r>
        <w:rPr>
          <w:sz w:val="20"/>
          <w:szCs w:val="20"/>
        </w:rPr>
        <w:t>january</w:t>
      </w:r>
      <w:proofErr w:type="spellEnd"/>
      <w:r>
        <w:rPr>
          <w:sz w:val="20"/>
          <w:szCs w:val="20"/>
        </w:rPr>
        <w:t>.</w:t>
      </w:r>
    </w:p>
    <w:p w:rsidR="00AC2F5D" w:rsidRDefault="00AC2F5D" w:rsidP="00AC2F5D">
      <w:pPr>
        <w:jc w:val="both"/>
        <w:rPr>
          <w:sz w:val="20"/>
          <w:szCs w:val="20"/>
        </w:rPr>
      </w:pPr>
    </w:p>
    <w:p w:rsidR="00AC2F5D" w:rsidRDefault="00AC2F5D" w:rsidP="00AC2F5D">
      <w:pPr>
        <w:jc w:val="both"/>
        <w:rPr>
          <w:sz w:val="20"/>
          <w:szCs w:val="20"/>
        </w:rPr>
      </w:pPr>
      <w:proofErr w:type="spellStart"/>
      <w:r>
        <w:rPr>
          <w:sz w:val="20"/>
          <w:szCs w:val="20"/>
        </w:rPr>
        <w:t>Middlehurst</w:t>
      </w:r>
      <w:proofErr w:type="spellEnd"/>
      <w:r>
        <w:rPr>
          <w:sz w:val="20"/>
          <w:szCs w:val="20"/>
        </w:rPr>
        <w:t xml:space="preserve">, R. 2013. </w:t>
      </w:r>
      <w:proofErr w:type="spellStart"/>
      <w:r>
        <w:rPr>
          <w:sz w:val="20"/>
          <w:szCs w:val="20"/>
        </w:rPr>
        <w:t>Changing</w:t>
      </w:r>
      <w:proofErr w:type="spellEnd"/>
      <w:r>
        <w:rPr>
          <w:sz w:val="20"/>
          <w:szCs w:val="20"/>
        </w:rPr>
        <w:t xml:space="preserve"> </w:t>
      </w:r>
      <w:proofErr w:type="spellStart"/>
      <w:r>
        <w:rPr>
          <w:sz w:val="20"/>
          <w:szCs w:val="20"/>
        </w:rPr>
        <w:t>international</w:t>
      </w:r>
      <w:proofErr w:type="spellEnd"/>
      <w:r>
        <w:rPr>
          <w:sz w:val="20"/>
          <w:szCs w:val="20"/>
        </w:rPr>
        <w:t xml:space="preserve"> </w:t>
      </w:r>
      <w:proofErr w:type="spellStart"/>
      <w:r>
        <w:rPr>
          <w:sz w:val="20"/>
          <w:szCs w:val="20"/>
        </w:rPr>
        <w:t>governance</w:t>
      </w:r>
      <w:proofErr w:type="spellEnd"/>
      <w:r>
        <w:rPr>
          <w:sz w:val="20"/>
          <w:szCs w:val="20"/>
        </w:rPr>
        <w:t xml:space="preserve">: Are </w:t>
      </w:r>
      <w:proofErr w:type="spellStart"/>
      <w:r>
        <w:rPr>
          <w:sz w:val="20"/>
          <w:szCs w:val="20"/>
        </w:rPr>
        <w:t>leadership</w:t>
      </w:r>
      <w:proofErr w:type="spellEnd"/>
      <w:r>
        <w:rPr>
          <w:sz w:val="20"/>
          <w:szCs w:val="20"/>
        </w:rPr>
        <w:t xml:space="preserve"> roles and </w:t>
      </w:r>
      <w:proofErr w:type="spellStart"/>
      <w:r>
        <w:rPr>
          <w:sz w:val="20"/>
          <w:szCs w:val="20"/>
        </w:rPr>
        <w:t>management</w:t>
      </w:r>
      <w:proofErr w:type="spellEnd"/>
      <w:r>
        <w:rPr>
          <w:sz w:val="20"/>
          <w:szCs w:val="20"/>
        </w:rPr>
        <w:t xml:space="preserve"> </w:t>
      </w:r>
      <w:proofErr w:type="spellStart"/>
      <w:r>
        <w:rPr>
          <w:sz w:val="20"/>
          <w:szCs w:val="20"/>
        </w:rPr>
        <w:t>structures</w:t>
      </w:r>
      <w:proofErr w:type="spellEnd"/>
      <w:r>
        <w:rPr>
          <w:sz w:val="20"/>
          <w:szCs w:val="20"/>
        </w:rPr>
        <w:t xml:space="preserve"> in </w:t>
      </w:r>
      <w:proofErr w:type="spellStart"/>
      <w:r>
        <w:rPr>
          <w:sz w:val="20"/>
          <w:szCs w:val="20"/>
        </w:rPr>
        <w:t>United</w:t>
      </w:r>
      <w:proofErr w:type="spellEnd"/>
      <w:r>
        <w:rPr>
          <w:sz w:val="20"/>
          <w:szCs w:val="20"/>
        </w:rPr>
        <w:t xml:space="preserve"> </w:t>
      </w:r>
      <w:proofErr w:type="spellStart"/>
      <w:r>
        <w:rPr>
          <w:sz w:val="20"/>
          <w:szCs w:val="20"/>
        </w:rPr>
        <w:t>Kingdom</w:t>
      </w:r>
      <w:proofErr w:type="spellEnd"/>
      <w:r>
        <w:rPr>
          <w:sz w:val="20"/>
          <w:szCs w:val="20"/>
        </w:rPr>
        <w:t xml:space="preserve"> </w:t>
      </w:r>
      <w:proofErr w:type="spellStart"/>
      <w:r>
        <w:rPr>
          <w:sz w:val="20"/>
          <w:szCs w:val="20"/>
        </w:rPr>
        <w:t>universities</w:t>
      </w:r>
      <w:proofErr w:type="spellEnd"/>
      <w:r>
        <w:rPr>
          <w:sz w:val="20"/>
          <w:szCs w:val="20"/>
        </w:rPr>
        <w:t xml:space="preserve"> </w:t>
      </w:r>
      <w:proofErr w:type="spellStart"/>
      <w:r>
        <w:rPr>
          <w:sz w:val="20"/>
          <w:szCs w:val="20"/>
        </w:rPr>
        <w:t>fit</w:t>
      </w:r>
      <w:proofErr w:type="spellEnd"/>
      <w:r>
        <w:rPr>
          <w:sz w:val="20"/>
          <w:szCs w:val="20"/>
        </w:rPr>
        <w:t xml:space="preserve"> </w:t>
      </w:r>
      <w:proofErr w:type="spellStart"/>
      <w:r>
        <w:rPr>
          <w:sz w:val="20"/>
          <w:szCs w:val="20"/>
        </w:rPr>
        <w:t>for</w:t>
      </w:r>
      <w:proofErr w:type="spellEnd"/>
      <w:r>
        <w:rPr>
          <w:sz w:val="20"/>
          <w:szCs w:val="20"/>
        </w:rPr>
        <w:t xml:space="preserve"> </w:t>
      </w:r>
      <w:proofErr w:type="spellStart"/>
      <w:r>
        <w:rPr>
          <w:sz w:val="20"/>
          <w:szCs w:val="20"/>
        </w:rPr>
        <w:t>future</w:t>
      </w:r>
      <w:proofErr w:type="spellEnd"/>
      <w:r>
        <w:rPr>
          <w:sz w:val="20"/>
          <w:szCs w:val="20"/>
        </w:rPr>
        <w:t xml:space="preserve">? </w:t>
      </w:r>
      <w:proofErr w:type="spellStart"/>
      <w:r>
        <w:rPr>
          <w:sz w:val="20"/>
          <w:szCs w:val="20"/>
        </w:rPr>
        <w:t>Higher</w:t>
      </w:r>
      <w:proofErr w:type="spellEnd"/>
      <w:r>
        <w:rPr>
          <w:sz w:val="20"/>
          <w:szCs w:val="20"/>
        </w:rPr>
        <w:t xml:space="preserve"> </w:t>
      </w:r>
      <w:proofErr w:type="spellStart"/>
      <w:r>
        <w:rPr>
          <w:sz w:val="20"/>
          <w:szCs w:val="20"/>
        </w:rPr>
        <w:t>Education</w:t>
      </w:r>
      <w:proofErr w:type="spellEnd"/>
      <w:r>
        <w:rPr>
          <w:sz w:val="20"/>
          <w:szCs w:val="20"/>
        </w:rPr>
        <w:t xml:space="preserve"> </w:t>
      </w:r>
      <w:proofErr w:type="spellStart"/>
      <w:r>
        <w:rPr>
          <w:sz w:val="20"/>
          <w:szCs w:val="20"/>
        </w:rPr>
        <w:t>Quarterly</w:t>
      </w:r>
      <w:proofErr w:type="spellEnd"/>
      <w:r>
        <w:rPr>
          <w:sz w:val="20"/>
          <w:szCs w:val="20"/>
        </w:rPr>
        <w:t xml:space="preserve">, vol. 67, 1, </w:t>
      </w:r>
      <w:proofErr w:type="spellStart"/>
      <w:r>
        <w:rPr>
          <w:sz w:val="20"/>
          <w:szCs w:val="20"/>
        </w:rPr>
        <w:t>january</w:t>
      </w:r>
      <w:proofErr w:type="spellEnd"/>
      <w:r>
        <w:rPr>
          <w:sz w:val="20"/>
          <w:szCs w:val="20"/>
        </w:rPr>
        <w:t>.</w:t>
      </w:r>
    </w:p>
    <w:p w:rsidR="00AC2F5D" w:rsidRPr="00095B49" w:rsidRDefault="00AC2F5D" w:rsidP="00AC2F5D">
      <w:pPr>
        <w:jc w:val="both"/>
        <w:rPr>
          <w:sz w:val="20"/>
          <w:szCs w:val="20"/>
        </w:rPr>
      </w:pPr>
    </w:p>
    <w:p w:rsidR="00AC2F5D" w:rsidRDefault="00AC2F5D" w:rsidP="00AC2F5D">
      <w:pPr>
        <w:jc w:val="both"/>
        <w:rPr>
          <w:sz w:val="20"/>
          <w:szCs w:val="20"/>
        </w:rPr>
      </w:pPr>
      <w:r w:rsidRPr="00095B49">
        <w:rPr>
          <w:sz w:val="20"/>
          <w:szCs w:val="20"/>
        </w:rPr>
        <w:t xml:space="preserve">Miras-Portugal, María Teresa, Óscar </w:t>
      </w:r>
      <w:proofErr w:type="spellStart"/>
      <w:r w:rsidRPr="00095B49">
        <w:rPr>
          <w:sz w:val="20"/>
          <w:szCs w:val="20"/>
        </w:rPr>
        <w:t>Alzaga</w:t>
      </w:r>
      <w:proofErr w:type="spellEnd"/>
      <w:r w:rsidRPr="00095B49">
        <w:rPr>
          <w:sz w:val="20"/>
          <w:szCs w:val="20"/>
        </w:rPr>
        <w:t xml:space="preserve">, José Adolfo de Azcárraga, José </w:t>
      </w:r>
      <w:proofErr w:type="spellStart"/>
      <w:r w:rsidRPr="00095B49">
        <w:rPr>
          <w:sz w:val="20"/>
          <w:szCs w:val="20"/>
        </w:rPr>
        <w:t>Capmany</w:t>
      </w:r>
      <w:proofErr w:type="spellEnd"/>
      <w:r w:rsidRPr="00095B49">
        <w:rPr>
          <w:sz w:val="20"/>
          <w:szCs w:val="20"/>
        </w:rPr>
        <w:t xml:space="preserve">, Luis </w:t>
      </w:r>
      <w:proofErr w:type="spellStart"/>
      <w:r w:rsidRPr="00095B49">
        <w:rPr>
          <w:sz w:val="20"/>
          <w:szCs w:val="20"/>
        </w:rPr>
        <w:t>Garicano</w:t>
      </w:r>
      <w:proofErr w:type="spellEnd"/>
      <w:r w:rsidRPr="00095B49">
        <w:rPr>
          <w:sz w:val="20"/>
          <w:szCs w:val="20"/>
        </w:rPr>
        <w:t xml:space="preserve">, Félix M. </w:t>
      </w:r>
      <w:proofErr w:type="spellStart"/>
      <w:r w:rsidRPr="00095B49">
        <w:rPr>
          <w:sz w:val="20"/>
          <w:szCs w:val="20"/>
        </w:rPr>
        <w:t>Goñi</w:t>
      </w:r>
      <w:proofErr w:type="spellEnd"/>
      <w:r w:rsidRPr="00095B49">
        <w:rPr>
          <w:sz w:val="20"/>
          <w:szCs w:val="20"/>
        </w:rPr>
        <w:t>, Rafael Puyol, Matías Rodr</w:t>
      </w:r>
      <w:r>
        <w:rPr>
          <w:sz w:val="20"/>
          <w:szCs w:val="20"/>
        </w:rPr>
        <w:t xml:space="preserve">íguez y Mariola Urrea. </w:t>
      </w:r>
      <w:r w:rsidRPr="00095B49">
        <w:rPr>
          <w:sz w:val="20"/>
          <w:szCs w:val="20"/>
        </w:rPr>
        <w:t>2013</w:t>
      </w:r>
      <w:r>
        <w:rPr>
          <w:sz w:val="20"/>
          <w:szCs w:val="20"/>
        </w:rPr>
        <w:t>.</w:t>
      </w:r>
      <w:r w:rsidRPr="00095B49">
        <w:rPr>
          <w:sz w:val="20"/>
          <w:szCs w:val="20"/>
        </w:rPr>
        <w:t xml:space="preserve"> </w:t>
      </w:r>
      <w:r w:rsidRPr="002465C5">
        <w:rPr>
          <w:i/>
          <w:sz w:val="20"/>
          <w:szCs w:val="20"/>
        </w:rPr>
        <w:t>Propuestas para la reforma y mejora de la calidad y eficiencia del sistema universitario español</w:t>
      </w:r>
      <w:r w:rsidRPr="00095B49">
        <w:rPr>
          <w:sz w:val="20"/>
          <w:szCs w:val="20"/>
        </w:rPr>
        <w:t xml:space="preserve">. Informe de </w:t>
      </w:r>
      <w:smartTag w:uri="urn:schemas-microsoft-com:office:smarttags" w:element="PersonName">
        <w:smartTagPr>
          <w:attr w:name="ProductID" w:val="la Comisión"/>
        </w:smartTagPr>
        <w:r w:rsidRPr="00095B49">
          <w:rPr>
            <w:sz w:val="20"/>
            <w:szCs w:val="20"/>
          </w:rPr>
          <w:t>la Comisión</w:t>
        </w:r>
      </w:smartTag>
      <w:r w:rsidRPr="00095B49">
        <w:rPr>
          <w:sz w:val="20"/>
          <w:szCs w:val="20"/>
        </w:rPr>
        <w:t xml:space="preserve"> de Expertos para </w:t>
      </w:r>
      <w:smartTag w:uri="urn:schemas-microsoft-com:office:smarttags" w:element="PersonName">
        <w:smartTagPr>
          <w:attr w:name="ProductID" w:val="la Reforma"/>
        </w:smartTagPr>
        <w:r w:rsidRPr="00095B49">
          <w:rPr>
            <w:sz w:val="20"/>
            <w:szCs w:val="20"/>
          </w:rPr>
          <w:t>la Reforma</w:t>
        </w:r>
      </w:smartTag>
      <w:r w:rsidRPr="00095B49">
        <w:rPr>
          <w:sz w:val="20"/>
          <w:szCs w:val="20"/>
        </w:rPr>
        <w:t xml:space="preserve"> del Sistema Universitario Español </w:t>
      </w:r>
      <w:proofErr w:type="gramStart"/>
      <w:r w:rsidRPr="00095B49">
        <w:rPr>
          <w:sz w:val="20"/>
          <w:szCs w:val="20"/>
        </w:rPr>
        <w:t>designados</w:t>
      </w:r>
      <w:proofErr w:type="gramEnd"/>
      <w:r w:rsidRPr="00095B49">
        <w:rPr>
          <w:sz w:val="20"/>
          <w:szCs w:val="20"/>
        </w:rPr>
        <w:t xml:space="preserve"> por el Ministerio de Educación, Cultura y Deporte.</w:t>
      </w:r>
      <w:r>
        <w:rPr>
          <w:sz w:val="20"/>
          <w:szCs w:val="20"/>
        </w:rPr>
        <w:t xml:space="preserve"> Madrid: Ministerio de Educación, Cultura y Deporte</w:t>
      </w:r>
    </w:p>
    <w:p w:rsidR="00AC2F5D" w:rsidRDefault="00AC2F5D" w:rsidP="00AC2F5D">
      <w:pPr>
        <w:jc w:val="both"/>
        <w:rPr>
          <w:sz w:val="20"/>
          <w:szCs w:val="20"/>
        </w:rPr>
      </w:pPr>
    </w:p>
    <w:p w:rsidR="00AC2F5D" w:rsidRPr="00095B49" w:rsidRDefault="00AC2F5D" w:rsidP="00AC2F5D">
      <w:pPr>
        <w:jc w:val="both"/>
        <w:rPr>
          <w:sz w:val="20"/>
          <w:szCs w:val="20"/>
        </w:rPr>
      </w:pPr>
      <w:r>
        <w:rPr>
          <w:sz w:val="20"/>
          <w:szCs w:val="20"/>
        </w:rPr>
        <w:t xml:space="preserve">Pedrosa, </w:t>
      </w:r>
      <w:proofErr w:type="spellStart"/>
      <w:r>
        <w:rPr>
          <w:sz w:val="20"/>
          <w:szCs w:val="20"/>
        </w:rPr>
        <w:t>Júlio</w:t>
      </w:r>
      <w:proofErr w:type="spellEnd"/>
      <w:r>
        <w:rPr>
          <w:sz w:val="20"/>
          <w:szCs w:val="20"/>
        </w:rPr>
        <w:t xml:space="preserve">,  </w:t>
      </w:r>
      <w:proofErr w:type="spellStart"/>
      <w:r>
        <w:rPr>
          <w:sz w:val="20"/>
          <w:szCs w:val="20"/>
        </w:rPr>
        <w:t>Hália</w:t>
      </w:r>
      <w:proofErr w:type="spellEnd"/>
      <w:r>
        <w:rPr>
          <w:sz w:val="20"/>
          <w:szCs w:val="20"/>
        </w:rPr>
        <w:t xml:space="preserve"> Costa, </w:t>
      </w:r>
      <w:proofErr w:type="spellStart"/>
      <w:r>
        <w:rPr>
          <w:sz w:val="20"/>
          <w:szCs w:val="20"/>
        </w:rPr>
        <w:t>Margarida</w:t>
      </w:r>
      <w:proofErr w:type="spellEnd"/>
      <w:r>
        <w:rPr>
          <w:sz w:val="20"/>
          <w:szCs w:val="20"/>
        </w:rPr>
        <w:t xml:space="preserve"> Mano y Teresa Gaspar. 2012. Novo modelo de </w:t>
      </w:r>
      <w:proofErr w:type="spellStart"/>
      <w:r>
        <w:rPr>
          <w:sz w:val="20"/>
          <w:szCs w:val="20"/>
        </w:rPr>
        <w:t>governança</w:t>
      </w:r>
      <w:proofErr w:type="spellEnd"/>
      <w:r>
        <w:rPr>
          <w:sz w:val="20"/>
          <w:szCs w:val="20"/>
        </w:rPr>
        <w:t xml:space="preserve"> e </w:t>
      </w:r>
      <w:proofErr w:type="spellStart"/>
      <w:r>
        <w:rPr>
          <w:sz w:val="20"/>
          <w:szCs w:val="20"/>
        </w:rPr>
        <w:t>gastao</w:t>
      </w:r>
      <w:proofErr w:type="spellEnd"/>
      <w:r>
        <w:rPr>
          <w:sz w:val="20"/>
          <w:szCs w:val="20"/>
        </w:rPr>
        <w:t xml:space="preserve"> das </w:t>
      </w:r>
      <w:proofErr w:type="spellStart"/>
      <w:r>
        <w:rPr>
          <w:sz w:val="20"/>
          <w:szCs w:val="20"/>
        </w:rPr>
        <w:t>instituçioes</w:t>
      </w:r>
      <w:proofErr w:type="spellEnd"/>
      <w:r>
        <w:rPr>
          <w:sz w:val="20"/>
          <w:szCs w:val="20"/>
        </w:rPr>
        <w:t xml:space="preserve"> de </w:t>
      </w:r>
      <w:proofErr w:type="spellStart"/>
      <w:r>
        <w:rPr>
          <w:sz w:val="20"/>
          <w:szCs w:val="20"/>
        </w:rPr>
        <w:t>ensino</w:t>
      </w:r>
      <w:proofErr w:type="spellEnd"/>
      <w:r>
        <w:rPr>
          <w:sz w:val="20"/>
          <w:szCs w:val="20"/>
        </w:rPr>
        <w:t xml:space="preserve"> superior </w:t>
      </w:r>
      <w:proofErr w:type="spellStart"/>
      <w:r>
        <w:rPr>
          <w:sz w:val="20"/>
          <w:szCs w:val="20"/>
        </w:rPr>
        <w:t>em</w:t>
      </w:r>
      <w:proofErr w:type="spellEnd"/>
      <w:r>
        <w:rPr>
          <w:sz w:val="20"/>
          <w:szCs w:val="20"/>
        </w:rPr>
        <w:t xml:space="preserve"> Portugal. </w:t>
      </w:r>
      <w:proofErr w:type="spellStart"/>
      <w:r>
        <w:rPr>
          <w:sz w:val="20"/>
          <w:szCs w:val="20"/>
        </w:rPr>
        <w:t>Mimeo</w:t>
      </w:r>
      <w:proofErr w:type="spellEnd"/>
    </w:p>
    <w:p w:rsidR="00AC2F5D" w:rsidRDefault="00AC2F5D" w:rsidP="00AC2F5D">
      <w:pPr>
        <w:jc w:val="both"/>
        <w:rPr>
          <w:sz w:val="20"/>
          <w:szCs w:val="20"/>
        </w:rPr>
      </w:pPr>
      <w:r>
        <w:rPr>
          <w:sz w:val="20"/>
          <w:szCs w:val="20"/>
        </w:rPr>
        <w:t xml:space="preserve"> </w:t>
      </w:r>
    </w:p>
    <w:p w:rsidR="00AC2F5D" w:rsidRDefault="00AC2F5D" w:rsidP="00AC2F5D">
      <w:pPr>
        <w:jc w:val="both"/>
        <w:rPr>
          <w:sz w:val="20"/>
          <w:szCs w:val="20"/>
        </w:rPr>
      </w:pPr>
      <w:r w:rsidRPr="00095B49">
        <w:rPr>
          <w:sz w:val="20"/>
          <w:szCs w:val="20"/>
        </w:rPr>
        <w:t>Samo</w:t>
      </w:r>
      <w:r>
        <w:rPr>
          <w:sz w:val="20"/>
          <w:szCs w:val="20"/>
        </w:rPr>
        <w:t xml:space="preserve">ilovich, Daniel. </w:t>
      </w:r>
      <w:r w:rsidRPr="00095B49">
        <w:rPr>
          <w:sz w:val="20"/>
          <w:szCs w:val="20"/>
        </w:rPr>
        <w:t>2007</w:t>
      </w:r>
      <w:r>
        <w:rPr>
          <w:sz w:val="20"/>
          <w:szCs w:val="20"/>
        </w:rPr>
        <w:t>. “</w:t>
      </w:r>
      <w:r w:rsidRPr="00095B49">
        <w:rPr>
          <w:sz w:val="20"/>
          <w:szCs w:val="20"/>
        </w:rPr>
        <w:t>Escenarios de gobierno en las universidades europeas</w:t>
      </w:r>
      <w:r>
        <w:rPr>
          <w:sz w:val="20"/>
          <w:szCs w:val="20"/>
        </w:rPr>
        <w:t>”</w:t>
      </w:r>
      <w:r w:rsidRPr="00095B49">
        <w:rPr>
          <w:sz w:val="20"/>
          <w:szCs w:val="20"/>
        </w:rPr>
        <w:t xml:space="preserve">. </w:t>
      </w:r>
      <w:r w:rsidRPr="002465C5">
        <w:rPr>
          <w:i/>
          <w:sz w:val="20"/>
          <w:szCs w:val="20"/>
        </w:rPr>
        <w:t>Colección Documentos CYD</w:t>
      </w:r>
      <w:r w:rsidRPr="00095B49">
        <w:rPr>
          <w:sz w:val="20"/>
          <w:szCs w:val="20"/>
        </w:rPr>
        <w:t xml:space="preserve"> 8/2007.</w:t>
      </w:r>
    </w:p>
    <w:p w:rsidR="00AC2F5D" w:rsidRDefault="00AC2F5D" w:rsidP="00AC2F5D">
      <w:pPr>
        <w:jc w:val="both"/>
        <w:rPr>
          <w:sz w:val="20"/>
          <w:szCs w:val="20"/>
        </w:rPr>
      </w:pPr>
    </w:p>
    <w:p w:rsidR="00AC2F5D" w:rsidRDefault="00AC2F5D" w:rsidP="00AC2F5D">
      <w:pPr>
        <w:jc w:val="both"/>
        <w:rPr>
          <w:sz w:val="20"/>
          <w:szCs w:val="20"/>
        </w:rPr>
      </w:pPr>
      <w:r w:rsidRPr="00095B49">
        <w:rPr>
          <w:sz w:val="20"/>
          <w:szCs w:val="20"/>
        </w:rPr>
        <w:t>Sanz Men</w:t>
      </w:r>
      <w:r>
        <w:rPr>
          <w:sz w:val="20"/>
          <w:szCs w:val="20"/>
        </w:rPr>
        <w:t xml:space="preserve">éndez, Luis y Laura Cruz Castro. </w:t>
      </w:r>
      <w:r w:rsidRPr="00095B49">
        <w:rPr>
          <w:sz w:val="20"/>
          <w:szCs w:val="20"/>
        </w:rPr>
        <w:t>2010</w:t>
      </w:r>
      <w:r>
        <w:rPr>
          <w:sz w:val="20"/>
          <w:szCs w:val="20"/>
        </w:rPr>
        <w:t>.</w:t>
      </w:r>
      <w:r w:rsidRPr="00095B49">
        <w:rPr>
          <w:sz w:val="20"/>
          <w:szCs w:val="20"/>
        </w:rPr>
        <w:t xml:space="preserve"> </w:t>
      </w:r>
      <w:r>
        <w:rPr>
          <w:sz w:val="20"/>
          <w:szCs w:val="20"/>
        </w:rPr>
        <w:t>“</w:t>
      </w:r>
      <w:r w:rsidRPr="00095B49">
        <w:rPr>
          <w:sz w:val="20"/>
          <w:szCs w:val="20"/>
        </w:rPr>
        <w:t>La investigación y sus actores: institutos y centros de I+D y sus desafíos</w:t>
      </w:r>
      <w:r>
        <w:rPr>
          <w:sz w:val="20"/>
          <w:szCs w:val="20"/>
        </w:rPr>
        <w:t>”</w:t>
      </w:r>
      <w:r w:rsidRPr="00095B49">
        <w:rPr>
          <w:sz w:val="20"/>
          <w:szCs w:val="20"/>
        </w:rPr>
        <w:t xml:space="preserve">. </w:t>
      </w:r>
      <w:r w:rsidRPr="002465C5">
        <w:rPr>
          <w:i/>
          <w:sz w:val="20"/>
          <w:szCs w:val="20"/>
        </w:rPr>
        <w:t>Colección Documentos CYD</w:t>
      </w:r>
      <w:r w:rsidRPr="00095B49">
        <w:rPr>
          <w:sz w:val="20"/>
          <w:szCs w:val="20"/>
        </w:rPr>
        <w:t xml:space="preserve"> 12/2010.</w:t>
      </w:r>
    </w:p>
    <w:p w:rsidR="00AC2F5D" w:rsidRDefault="00AC2F5D" w:rsidP="00AC2F5D">
      <w:pPr>
        <w:jc w:val="both"/>
        <w:rPr>
          <w:sz w:val="20"/>
          <w:szCs w:val="20"/>
        </w:rPr>
      </w:pPr>
    </w:p>
    <w:p w:rsidR="00AC2F5D" w:rsidRDefault="00AC2F5D" w:rsidP="00AC2F5D">
      <w:pPr>
        <w:jc w:val="both"/>
        <w:rPr>
          <w:sz w:val="20"/>
          <w:szCs w:val="20"/>
        </w:rPr>
      </w:pPr>
      <w:proofErr w:type="spellStart"/>
      <w:r>
        <w:rPr>
          <w:sz w:val="20"/>
          <w:szCs w:val="20"/>
        </w:rPr>
        <w:t>Shattock</w:t>
      </w:r>
      <w:proofErr w:type="spellEnd"/>
      <w:r>
        <w:rPr>
          <w:sz w:val="20"/>
          <w:szCs w:val="20"/>
        </w:rPr>
        <w:t>, M. 2013. “</w:t>
      </w:r>
      <w:proofErr w:type="spellStart"/>
      <w:r>
        <w:rPr>
          <w:sz w:val="20"/>
          <w:szCs w:val="20"/>
        </w:rPr>
        <w:t>University</w:t>
      </w:r>
      <w:proofErr w:type="spellEnd"/>
      <w:r>
        <w:rPr>
          <w:sz w:val="20"/>
          <w:szCs w:val="20"/>
        </w:rPr>
        <w:t xml:space="preserve"> </w:t>
      </w:r>
      <w:proofErr w:type="spellStart"/>
      <w:r>
        <w:rPr>
          <w:sz w:val="20"/>
          <w:szCs w:val="20"/>
        </w:rPr>
        <w:t>governance</w:t>
      </w:r>
      <w:proofErr w:type="spellEnd"/>
      <w:r>
        <w:rPr>
          <w:sz w:val="20"/>
          <w:szCs w:val="20"/>
        </w:rPr>
        <w:t xml:space="preserve">, </w:t>
      </w:r>
      <w:proofErr w:type="spellStart"/>
      <w:r>
        <w:rPr>
          <w:sz w:val="20"/>
          <w:szCs w:val="20"/>
        </w:rPr>
        <w:t>leadership</w:t>
      </w:r>
      <w:proofErr w:type="spellEnd"/>
      <w:r>
        <w:rPr>
          <w:sz w:val="20"/>
          <w:szCs w:val="20"/>
        </w:rPr>
        <w:t xml:space="preserve"> and </w:t>
      </w:r>
      <w:proofErr w:type="spellStart"/>
      <w:r>
        <w:rPr>
          <w:sz w:val="20"/>
          <w:szCs w:val="20"/>
        </w:rPr>
        <w:t>mangement</w:t>
      </w:r>
      <w:proofErr w:type="spellEnd"/>
      <w:r>
        <w:rPr>
          <w:sz w:val="20"/>
          <w:szCs w:val="20"/>
        </w:rPr>
        <w:t xml:space="preserve"> in a </w:t>
      </w:r>
      <w:proofErr w:type="spellStart"/>
      <w:r>
        <w:rPr>
          <w:sz w:val="20"/>
          <w:szCs w:val="20"/>
        </w:rPr>
        <w:t>decade</w:t>
      </w:r>
      <w:proofErr w:type="spellEnd"/>
      <w:r>
        <w:rPr>
          <w:sz w:val="20"/>
          <w:szCs w:val="20"/>
        </w:rPr>
        <w:t xml:space="preserve"> of </w:t>
      </w:r>
      <w:proofErr w:type="spellStart"/>
      <w:r>
        <w:rPr>
          <w:sz w:val="20"/>
          <w:szCs w:val="20"/>
        </w:rPr>
        <w:t>diversification</w:t>
      </w:r>
      <w:proofErr w:type="spellEnd"/>
      <w:r>
        <w:rPr>
          <w:sz w:val="20"/>
          <w:szCs w:val="20"/>
        </w:rPr>
        <w:t xml:space="preserve"> and </w:t>
      </w:r>
      <w:proofErr w:type="spellStart"/>
      <w:r>
        <w:rPr>
          <w:sz w:val="20"/>
          <w:szCs w:val="20"/>
        </w:rPr>
        <w:t>uncertainty</w:t>
      </w:r>
      <w:proofErr w:type="spellEnd"/>
      <w:r>
        <w:rPr>
          <w:sz w:val="20"/>
          <w:szCs w:val="20"/>
        </w:rPr>
        <w:t xml:space="preserve">”. </w:t>
      </w:r>
      <w:proofErr w:type="spellStart"/>
      <w:r>
        <w:rPr>
          <w:sz w:val="20"/>
          <w:szCs w:val="20"/>
        </w:rPr>
        <w:t>Higher</w:t>
      </w:r>
      <w:proofErr w:type="spellEnd"/>
      <w:r>
        <w:rPr>
          <w:sz w:val="20"/>
          <w:szCs w:val="20"/>
        </w:rPr>
        <w:t xml:space="preserve"> </w:t>
      </w:r>
      <w:proofErr w:type="spellStart"/>
      <w:r>
        <w:rPr>
          <w:sz w:val="20"/>
          <w:szCs w:val="20"/>
        </w:rPr>
        <w:t>Education</w:t>
      </w:r>
      <w:proofErr w:type="spellEnd"/>
      <w:r>
        <w:rPr>
          <w:sz w:val="20"/>
          <w:szCs w:val="20"/>
        </w:rPr>
        <w:t xml:space="preserve"> </w:t>
      </w:r>
      <w:proofErr w:type="spellStart"/>
      <w:r>
        <w:rPr>
          <w:sz w:val="20"/>
          <w:szCs w:val="20"/>
        </w:rPr>
        <w:t>Quarterly</w:t>
      </w:r>
      <w:proofErr w:type="spellEnd"/>
      <w:r>
        <w:rPr>
          <w:sz w:val="20"/>
          <w:szCs w:val="20"/>
        </w:rPr>
        <w:t xml:space="preserve">, vol. 67, 1, </w:t>
      </w:r>
      <w:proofErr w:type="spellStart"/>
      <w:r>
        <w:rPr>
          <w:sz w:val="20"/>
          <w:szCs w:val="20"/>
        </w:rPr>
        <w:t>january</w:t>
      </w:r>
      <w:proofErr w:type="spellEnd"/>
      <w:r>
        <w:rPr>
          <w:sz w:val="20"/>
          <w:szCs w:val="20"/>
        </w:rPr>
        <w:t>.</w:t>
      </w:r>
    </w:p>
    <w:p w:rsidR="00AC2F5D" w:rsidRDefault="00AC2F5D" w:rsidP="00AC2F5D">
      <w:pPr>
        <w:jc w:val="both"/>
        <w:rPr>
          <w:sz w:val="20"/>
          <w:szCs w:val="20"/>
        </w:rPr>
      </w:pPr>
    </w:p>
    <w:p w:rsidR="00AC2F5D" w:rsidRDefault="00AC2F5D" w:rsidP="00AC2F5D">
      <w:pPr>
        <w:jc w:val="both"/>
        <w:rPr>
          <w:sz w:val="20"/>
          <w:szCs w:val="20"/>
        </w:rPr>
      </w:pPr>
      <w:proofErr w:type="spellStart"/>
      <w:r>
        <w:rPr>
          <w:sz w:val="20"/>
          <w:szCs w:val="20"/>
        </w:rPr>
        <w:t>Stensaker</w:t>
      </w:r>
      <w:proofErr w:type="spellEnd"/>
      <w:r>
        <w:rPr>
          <w:sz w:val="20"/>
          <w:szCs w:val="20"/>
        </w:rPr>
        <w:t xml:space="preserve">, </w:t>
      </w:r>
      <w:proofErr w:type="spellStart"/>
      <w:r>
        <w:rPr>
          <w:sz w:val="20"/>
          <w:szCs w:val="20"/>
        </w:rPr>
        <w:t>Bjorn</w:t>
      </w:r>
      <w:proofErr w:type="spellEnd"/>
      <w:r>
        <w:rPr>
          <w:sz w:val="20"/>
          <w:szCs w:val="20"/>
        </w:rPr>
        <w:t xml:space="preserve"> and </w:t>
      </w:r>
      <w:proofErr w:type="spellStart"/>
      <w:r>
        <w:rPr>
          <w:sz w:val="20"/>
          <w:szCs w:val="20"/>
        </w:rPr>
        <w:t>Agnete</w:t>
      </w:r>
      <w:proofErr w:type="spellEnd"/>
      <w:r>
        <w:rPr>
          <w:sz w:val="20"/>
          <w:szCs w:val="20"/>
        </w:rPr>
        <w:t xml:space="preserve"> </w:t>
      </w:r>
      <w:proofErr w:type="spellStart"/>
      <w:r>
        <w:rPr>
          <w:sz w:val="20"/>
          <w:szCs w:val="20"/>
        </w:rPr>
        <w:t>vabo</w:t>
      </w:r>
      <w:proofErr w:type="spellEnd"/>
      <w:r>
        <w:rPr>
          <w:sz w:val="20"/>
          <w:szCs w:val="20"/>
        </w:rPr>
        <w:t>. 2013. “Re-</w:t>
      </w:r>
      <w:proofErr w:type="spellStart"/>
      <w:r>
        <w:rPr>
          <w:sz w:val="20"/>
          <w:szCs w:val="20"/>
        </w:rPr>
        <w:t>inventing</w:t>
      </w:r>
      <w:proofErr w:type="spellEnd"/>
      <w:r>
        <w:rPr>
          <w:sz w:val="20"/>
          <w:szCs w:val="20"/>
        </w:rPr>
        <w:t xml:space="preserve"> </w:t>
      </w:r>
      <w:proofErr w:type="spellStart"/>
      <w:r>
        <w:rPr>
          <w:sz w:val="20"/>
          <w:szCs w:val="20"/>
        </w:rPr>
        <w:t>shared</w:t>
      </w:r>
      <w:proofErr w:type="spellEnd"/>
      <w:r>
        <w:rPr>
          <w:sz w:val="20"/>
          <w:szCs w:val="20"/>
        </w:rPr>
        <w:t xml:space="preserve"> </w:t>
      </w:r>
      <w:proofErr w:type="spellStart"/>
      <w:r>
        <w:rPr>
          <w:sz w:val="20"/>
          <w:szCs w:val="20"/>
        </w:rPr>
        <w:t>governance</w:t>
      </w:r>
      <w:proofErr w:type="spellEnd"/>
      <w:r>
        <w:rPr>
          <w:sz w:val="20"/>
          <w:szCs w:val="20"/>
        </w:rPr>
        <w:t xml:space="preserve">: </w:t>
      </w:r>
      <w:proofErr w:type="spellStart"/>
      <w:r>
        <w:rPr>
          <w:sz w:val="20"/>
          <w:szCs w:val="20"/>
        </w:rPr>
        <w:t>implications</w:t>
      </w:r>
      <w:proofErr w:type="spellEnd"/>
      <w:r>
        <w:rPr>
          <w:sz w:val="20"/>
          <w:szCs w:val="20"/>
        </w:rPr>
        <w:t xml:space="preserve"> </w:t>
      </w:r>
      <w:proofErr w:type="spellStart"/>
      <w:r>
        <w:rPr>
          <w:sz w:val="20"/>
          <w:szCs w:val="20"/>
        </w:rPr>
        <w:t>for</w:t>
      </w:r>
      <w:proofErr w:type="spellEnd"/>
      <w:r>
        <w:rPr>
          <w:sz w:val="20"/>
          <w:szCs w:val="20"/>
        </w:rPr>
        <w:t xml:space="preserve"> </w:t>
      </w:r>
      <w:proofErr w:type="spellStart"/>
      <w:r>
        <w:rPr>
          <w:sz w:val="20"/>
          <w:szCs w:val="20"/>
        </w:rPr>
        <w:t>organisational</w:t>
      </w:r>
      <w:proofErr w:type="spellEnd"/>
      <w:r>
        <w:rPr>
          <w:sz w:val="20"/>
          <w:szCs w:val="20"/>
        </w:rPr>
        <w:t xml:space="preserve"> cultura and </w:t>
      </w:r>
      <w:proofErr w:type="spellStart"/>
      <w:r>
        <w:rPr>
          <w:sz w:val="20"/>
          <w:szCs w:val="20"/>
        </w:rPr>
        <w:t>institutional</w:t>
      </w:r>
      <w:proofErr w:type="spellEnd"/>
      <w:r>
        <w:rPr>
          <w:sz w:val="20"/>
          <w:szCs w:val="20"/>
        </w:rPr>
        <w:t xml:space="preserve"> </w:t>
      </w:r>
      <w:proofErr w:type="spellStart"/>
      <w:r>
        <w:rPr>
          <w:sz w:val="20"/>
          <w:szCs w:val="20"/>
        </w:rPr>
        <w:t>leadership</w:t>
      </w:r>
      <w:proofErr w:type="spellEnd"/>
      <w:r>
        <w:rPr>
          <w:sz w:val="20"/>
          <w:szCs w:val="20"/>
        </w:rPr>
        <w:t xml:space="preserve">”. </w:t>
      </w:r>
      <w:proofErr w:type="spellStart"/>
      <w:r>
        <w:rPr>
          <w:sz w:val="20"/>
          <w:szCs w:val="20"/>
        </w:rPr>
        <w:t>Higher</w:t>
      </w:r>
      <w:proofErr w:type="spellEnd"/>
      <w:r>
        <w:rPr>
          <w:sz w:val="20"/>
          <w:szCs w:val="20"/>
        </w:rPr>
        <w:t xml:space="preserve"> </w:t>
      </w:r>
      <w:proofErr w:type="spellStart"/>
      <w:r>
        <w:rPr>
          <w:sz w:val="20"/>
          <w:szCs w:val="20"/>
        </w:rPr>
        <w:t>Education</w:t>
      </w:r>
      <w:proofErr w:type="spellEnd"/>
      <w:r>
        <w:rPr>
          <w:sz w:val="20"/>
          <w:szCs w:val="20"/>
        </w:rPr>
        <w:t xml:space="preserve"> </w:t>
      </w:r>
      <w:proofErr w:type="spellStart"/>
      <w:r>
        <w:rPr>
          <w:sz w:val="20"/>
          <w:szCs w:val="20"/>
        </w:rPr>
        <w:t>Quarterly</w:t>
      </w:r>
      <w:proofErr w:type="spellEnd"/>
      <w:r>
        <w:rPr>
          <w:sz w:val="20"/>
          <w:szCs w:val="20"/>
        </w:rPr>
        <w:t xml:space="preserve">, vol. 67, 1, </w:t>
      </w:r>
      <w:proofErr w:type="spellStart"/>
      <w:r>
        <w:rPr>
          <w:sz w:val="20"/>
          <w:szCs w:val="20"/>
        </w:rPr>
        <w:t>january</w:t>
      </w:r>
      <w:proofErr w:type="spellEnd"/>
      <w:r>
        <w:rPr>
          <w:sz w:val="20"/>
          <w:szCs w:val="20"/>
        </w:rPr>
        <w:t>.</w:t>
      </w:r>
    </w:p>
    <w:p w:rsidR="00AC2F5D" w:rsidRPr="00095B49" w:rsidRDefault="00AC2F5D" w:rsidP="00AC2F5D">
      <w:pPr>
        <w:jc w:val="both"/>
        <w:rPr>
          <w:sz w:val="20"/>
          <w:szCs w:val="20"/>
        </w:rPr>
      </w:pPr>
    </w:p>
    <w:p w:rsidR="00AC2F5D" w:rsidRDefault="00AC2F5D" w:rsidP="00AC2F5D">
      <w:pPr>
        <w:jc w:val="both"/>
        <w:rPr>
          <w:sz w:val="20"/>
          <w:szCs w:val="20"/>
        </w:rPr>
      </w:pPr>
      <w:proofErr w:type="spellStart"/>
      <w:r w:rsidRPr="00095B49">
        <w:rPr>
          <w:sz w:val="20"/>
          <w:szCs w:val="20"/>
        </w:rPr>
        <w:t>Tarrach</w:t>
      </w:r>
      <w:proofErr w:type="spellEnd"/>
      <w:r w:rsidRPr="00095B49">
        <w:rPr>
          <w:sz w:val="20"/>
          <w:szCs w:val="20"/>
        </w:rPr>
        <w:t xml:space="preserve">, </w:t>
      </w:r>
      <w:proofErr w:type="spellStart"/>
      <w:r w:rsidRPr="00095B49">
        <w:rPr>
          <w:sz w:val="20"/>
          <w:szCs w:val="20"/>
        </w:rPr>
        <w:t>Rolf</w:t>
      </w:r>
      <w:proofErr w:type="spellEnd"/>
      <w:r w:rsidRPr="00095B49">
        <w:rPr>
          <w:sz w:val="20"/>
          <w:szCs w:val="20"/>
        </w:rPr>
        <w:t xml:space="preserve">, Eva </w:t>
      </w:r>
      <w:proofErr w:type="spellStart"/>
      <w:r w:rsidRPr="00095B49">
        <w:rPr>
          <w:sz w:val="20"/>
          <w:szCs w:val="20"/>
        </w:rPr>
        <w:t>Egron-Polak</w:t>
      </w:r>
      <w:proofErr w:type="spellEnd"/>
      <w:r w:rsidRPr="00095B49">
        <w:rPr>
          <w:sz w:val="20"/>
          <w:szCs w:val="20"/>
        </w:rPr>
        <w:t xml:space="preserve">, Pierre de </w:t>
      </w:r>
      <w:proofErr w:type="spellStart"/>
      <w:r w:rsidRPr="00095B49">
        <w:rPr>
          <w:sz w:val="20"/>
          <w:szCs w:val="20"/>
        </w:rPr>
        <w:t>Maret</w:t>
      </w:r>
      <w:proofErr w:type="spellEnd"/>
      <w:r w:rsidRPr="00095B49">
        <w:rPr>
          <w:sz w:val="20"/>
          <w:szCs w:val="20"/>
        </w:rPr>
        <w:t xml:space="preserve">, Jean-Marc </w:t>
      </w:r>
      <w:proofErr w:type="spellStart"/>
      <w:r w:rsidRPr="00095B49">
        <w:rPr>
          <w:sz w:val="20"/>
          <w:szCs w:val="20"/>
        </w:rPr>
        <w:t>Rapp</w:t>
      </w:r>
      <w:proofErr w:type="spellEnd"/>
      <w:r>
        <w:rPr>
          <w:sz w:val="20"/>
          <w:szCs w:val="20"/>
        </w:rPr>
        <w:t xml:space="preserve"> y Jamil </w:t>
      </w:r>
      <w:proofErr w:type="spellStart"/>
      <w:r>
        <w:rPr>
          <w:sz w:val="20"/>
          <w:szCs w:val="20"/>
        </w:rPr>
        <w:t>Salmi</w:t>
      </w:r>
      <w:proofErr w:type="spellEnd"/>
      <w:r>
        <w:rPr>
          <w:sz w:val="20"/>
          <w:szCs w:val="20"/>
        </w:rPr>
        <w:t xml:space="preserve">. </w:t>
      </w:r>
      <w:r w:rsidRPr="00095B49">
        <w:rPr>
          <w:sz w:val="20"/>
          <w:szCs w:val="20"/>
        </w:rPr>
        <w:t>2011</w:t>
      </w:r>
      <w:r>
        <w:rPr>
          <w:sz w:val="20"/>
          <w:szCs w:val="20"/>
        </w:rPr>
        <w:t>.</w:t>
      </w:r>
      <w:r w:rsidRPr="00095B49">
        <w:rPr>
          <w:sz w:val="20"/>
          <w:szCs w:val="20"/>
        </w:rPr>
        <w:t xml:space="preserve"> </w:t>
      </w:r>
      <w:r w:rsidRPr="002465C5">
        <w:rPr>
          <w:i/>
          <w:sz w:val="20"/>
          <w:szCs w:val="20"/>
        </w:rPr>
        <w:t xml:space="preserve">Audacia para llegar lejos: universidades fuertes para </w:t>
      </w:r>
      <w:smartTag w:uri="urn:schemas-microsoft-com:office:smarttags" w:element="PersonName">
        <w:smartTagPr>
          <w:attr w:name="ProductID" w:val="la España"/>
        </w:smartTagPr>
        <w:r w:rsidRPr="002465C5">
          <w:rPr>
            <w:i/>
            <w:sz w:val="20"/>
            <w:szCs w:val="20"/>
          </w:rPr>
          <w:t>la España</w:t>
        </w:r>
      </w:smartTag>
      <w:r w:rsidRPr="002465C5">
        <w:rPr>
          <w:i/>
          <w:sz w:val="20"/>
          <w:szCs w:val="20"/>
        </w:rPr>
        <w:t xml:space="preserve"> del mañana</w:t>
      </w:r>
      <w:r w:rsidRPr="00095B49">
        <w:rPr>
          <w:sz w:val="20"/>
          <w:szCs w:val="20"/>
        </w:rPr>
        <w:t xml:space="preserve">. Informe de </w:t>
      </w:r>
      <w:smartTag w:uri="urn:schemas-microsoft-com:office:smarttags" w:element="PersonName">
        <w:smartTagPr>
          <w:attr w:name="ProductID" w:val="la Comisión"/>
        </w:smartTagPr>
        <w:r w:rsidRPr="00095B49">
          <w:rPr>
            <w:sz w:val="20"/>
            <w:szCs w:val="20"/>
          </w:rPr>
          <w:t>la Comisión</w:t>
        </w:r>
      </w:smartTag>
      <w:r w:rsidRPr="00095B49">
        <w:rPr>
          <w:sz w:val="20"/>
          <w:szCs w:val="20"/>
        </w:rPr>
        <w:t xml:space="preserve"> de Expertos Internacionales de </w:t>
      </w:r>
      <w:smartTag w:uri="urn:schemas-microsoft-com:office:smarttags" w:element="PersonName">
        <w:smartTagPr>
          <w:attr w:name="ProductID" w:val="la Estrategia Universidad"/>
        </w:smartTagPr>
        <w:smartTag w:uri="urn:schemas-microsoft-com:office:smarttags" w:element="PersonName">
          <w:smartTagPr>
            <w:attr w:name="ProductID" w:val="la Estrategia"/>
          </w:smartTagPr>
          <w:r w:rsidRPr="00095B49">
            <w:rPr>
              <w:sz w:val="20"/>
              <w:szCs w:val="20"/>
            </w:rPr>
            <w:t>la Estrategia</w:t>
          </w:r>
        </w:smartTag>
        <w:r w:rsidRPr="00095B49">
          <w:rPr>
            <w:sz w:val="20"/>
            <w:szCs w:val="20"/>
          </w:rPr>
          <w:t xml:space="preserve"> Universidad</w:t>
        </w:r>
      </w:smartTag>
      <w:r w:rsidRPr="00095B49">
        <w:rPr>
          <w:sz w:val="20"/>
          <w:szCs w:val="20"/>
        </w:rPr>
        <w:t xml:space="preserve"> 2015.</w:t>
      </w:r>
      <w:r>
        <w:rPr>
          <w:sz w:val="20"/>
          <w:szCs w:val="20"/>
        </w:rPr>
        <w:t xml:space="preserve"> Madrid: Ministerio de Educación.</w:t>
      </w:r>
    </w:p>
    <w:p w:rsidR="00AC2F5D" w:rsidRDefault="00AC2F5D" w:rsidP="00AC2F5D">
      <w:pPr>
        <w:jc w:val="both"/>
        <w:rPr>
          <w:sz w:val="20"/>
          <w:szCs w:val="20"/>
        </w:rPr>
      </w:pPr>
    </w:p>
    <w:p w:rsidR="00AC2F5D" w:rsidRDefault="00AC2F5D" w:rsidP="00AC2F5D">
      <w:pPr>
        <w:jc w:val="both"/>
        <w:rPr>
          <w:sz w:val="20"/>
          <w:szCs w:val="20"/>
        </w:rPr>
      </w:pPr>
      <w:r>
        <w:rPr>
          <w:sz w:val="20"/>
          <w:szCs w:val="20"/>
        </w:rPr>
        <w:t>Taylor, Mark, 2013. “</w:t>
      </w:r>
      <w:proofErr w:type="spellStart"/>
      <w:r>
        <w:rPr>
          <w:sz w:val="20"/>
          <w:szCs w:val="20"/>
        </w:rPr>
        <w:t>Shared</w:t>
      </w:r>
      <w:proofErr w:type="spellEnd"/>
      <w:r>
        <w:rPr>
          <w:sz w:val="20"/>
          <w:szCs w:val="20"/>
        </w:rPr>
        <w:t xml:space="preserve"> </w:t>
      </w:r>
      <w:proofErr w:type="spellStart"/>
      <w:r>
        <w:rPr>
          <w:sz w:val="20"/>
          <w:szCs w:val="20"/>
        </w:rPr>
        <w:t>governance</w:t>
      </w:r>
      <w:proofErr w:type="spellEnd"/>
      <w:r>
        <w:rPr>
          <w:sz w:val="20"/>
          <w:szCs w:val="20"/>
        </w:rPr>
        <w:t xml:space="preserve"> in </w:t>
      </w:r>
      <w:proofErr w:type="spellStart"/>
      <w:r>
        <w:rPr>
          <w:sz w:val="20"/>
          <w:szCs w:val="20"/>
        </w:rPr>
        <w:t>the</w:t>
      </w:r>
      <w:proofErr w:type="spellEnd"/>
      <w:r>
        <w:rPr>
          <w:sz w:val="20"/>
          <w:szCs w:val="20"/>
        </w:rPr>
        <w:t xml:space="preserve"> </w:t>
      </w:r>
      <w:proofErr w:type="spellStart"/>
      <w:r>
        <w:rPr>
          <w:sz w:val="20"/>
          <w:szCs w:val="20"/>
        </w:rPr>
        <w:t>modern</w:t>
      </w:r>
      <w:proofErr w:type="spellEnd"/>
      <w:r>
        <w:rPr>
          <w:sz w:val="20"/>
          <w:szCs w:val="20"/>
        </w:rPr>
        <w:t xml:space="preserve"> </w:t>
      </w:r>
      <w:proofErr w:type="spellStart"/>
      <w:r>
        <w:rPr>
          <w:sz w:val="20"/>
          <w:szCs w:val="20"/>
        </w:rPr>
        <w:t>university</w:t>
      </w:r>
      <w:proofErr w:type="spellEnd"/>
      <w:r>
        <w:rPr>
          <w:sz w:val="20"/>
          <w:szCs w:val="20"/>
        </w:rPr>
        <w:t xml:space="preserve">” </w:t>
      </w:r>
      <w:proofErr w:type="spellStart"/>
      <w:r>
        <w:rPr>
          <w:sz w:val="20"/>
          <w:szCs w:val="20"/>
        </w:rPr>
        <w:t>Higher</w:t>
      </w:r>
      <w:proofErr w:type="spellEnd"/>
      <w:r>
        <w:rPr>
          <w:sz w:val="20"/>
          <w:szCs w:val="20"/>
        </w:rPr>
        <w:t xml:space="preserve"> </w:t>
      </w:r>
      <w:proofErr w:type="spellStart"/>
      <w:r>
        <w:rPr>
          <w:sz w:val="20"/>
          <w:szCs w:val="20"/>
        </w:rPr>
        <w:t>Education</w:t>
      </w:r>
      <w:proofErr w:type="spellEnd"/>
      <w:r>
        <w:rPr>
          <w:sz w:val="20"/>
          <w:szCs w:val="20"/>
        </w:rPr>
        <w:t xml:space="preserve"> </w:t>
      </w:r>
      <w:proofErr w:type="spellStart"/>
      <w:r>
        <w:rPr>
          <w:sz w:val="20"/>
          <w:szCs w:val="20"/>
        </w:rPr>
        <w:t>Quarterly</w:t>
      </w:r>
      <w:proofErr w:type="spellEnd"/>
      <w:r>
        <w:rPr>
          <w:sz w:val="20"/>
          <w:szCs w:val="20"/>
        </w:rPr>
        <w:t xml:space="preserve">, vol. 67, 1, </w:t>
      </w:r>
      <w:proofErr w:type="spellStart"/>
      <w:r>
        <w:rPr>
          <w:sz w:val="20"/>
          <w:szCs w:val="20"/>
        </w:rPr>
        <w:t>january</w:t>
      </w:r>
      <w:proofErr w:type="spellEnd"/>
      <w:r>
        <w:rPr>
          <w:sz w:val="20"/>
          <w:szCs w:val="20"/>
        </w:rPr>
        <w:t>.</w:t>
      </w:r>
    </w:p>
    <w:p w:rsidR="00AC2F5D" w:rsidRDefault="00AC2F5D" w:rsidP="00AC2F5D">
      <w:pPr>
        <w:jc w:val="both"/>
        <w:rPr>
          <w:sz w:val="20"/>
          <w:szCs w:val="20"/>
        </w:rPr>
      </w:pPr>
    </w:p>
    <w:p w:rsidR="00AC2F5D" w:rsidRPr="00095B49" w:rsidRDefault="00AC2F5D" w:rsidP="00AC2F5D">
      <w:pPr>
        <w:jc w:val="both"/>
        <w:rPr>
          <w:sz w:val="20"/>
          <w:szCs w:val="20"/>
        </w:rPr>
      </w:pPr>
      <w:r>
        <w:rPr>
          <w:sz w:val="20"/>
          <w:szCs w:val="20"/>
        </w:rPr>
        <w:t xml:space="preserve">Testar, Xavier. </w:t>
      </w:r>
      <w:r w:rsidRPr="00095B49">
        <w:rPr>
          <w:sz w:val="20"/>
          <w:szCs w:val="20"/>
        </w:rPr>
        <w:t>2012</w:t>
      </w:r>
      <w:r>
        <w:rPr>
          <w:sz w:val="20"/>
          <w:szCs w:val="20"/>
        </w:rPr>
        <w:t>.</w:t>
      </w:r>
      <w:r w:rsidRPr="00095B49">
        <w:rPr>
          <w:sz w:val="20"/>
          <w:szCs w:val="20"/>
        </w:rPr>
        <w:t xml:space="preserve"> </w:t>
      </w:r>
      <w:r>
        <w:rPr>
          <w:sz w:val="20"/>
          <w:szCs w:val="20"/>
        </w:rPr>
        <w:t>“</w:t>
      </w:r>
      <w:r w:rsidRPr="00095B49">
        <w:rPr>
          <w:sz w:val="20"/>
          <w:szCs w:val="20"/>
        </w:rPr>
        <w:t>La transferencia de tecnología y conocimiento universidad-empresa en España: estado actual, retos y oportunidades</w:t>
      </w:r>
      <w:r>
        <w:rPr>
          <w:sz w:val="20"/>
          <w:szCs w:val="20"/>
        </w:rPr>
        <w:t>”</w:t>
      </w:r>
      <w:r w:rsidRPr="00095B49">
        <w:rPr>
          <w:sz w:val="20"/>
          <w:szCs w:val="20"/>
        </w:rPr>
        <w:t xml:space="preserve">. </w:t>
      </w:r>
      <w:r w:rsidRPr="002465C5">
        <w:rPr>
          <w:i/>
          <w:sz w:val="20"/>
          <w:szCs w:val="20"/>
        </w:rPr>
        <w:t>Colección Documentos CYD</w:t>
      </w:r>
      <w:r w:rsidRPr="00095B49">
        <w:rPr>
          <w:sz w:val="20"/>
          <w:szCs w:val="20"/>
        </w:rPr>
        <w:t xml:space="preserve"> 17/2012.</w:t>
      </w:r>
    </w:p>
    <w:p w:rsidR="001A14DF" w:rsidRDefault="001A14DF"/>
    <w:sectPr w:rsidR="001A14DF" w:rsidSect="001A14DF">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10D2" w:rsidRDefault="00D210D2" w:rsidP="00AC2F5D">
      <w:r>
        <w:separator/>
      </w:r>
    </w:p>
  </w:endnote>
  <w:endnote w:type="continuationSeparator" w:id="0">
    <w:p w:rsidR="00D210D2" w:rsidRDefault="00D210D2" w:rsidP="00AC2F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10D2" w:rsidRDefault="00D210D2" w:rsidP="00AC2F5D">
      <w:r>
        <w:separator/>
      </w:r>
    </w:p>
  </w:footnote>
  <w:footnote w:type="continuationSeparator" w:id="0">
    <w:p w:rsidR="00D210D2" w:rsidRDefault="00D210D2" w:rsidP="00AC2F5D">
      <w:r>
        <w:continuationSeparator/>
      </w:r>
    </w:p>
  </w:footnote>
  <w:footnote w:id="1">
    <w:p w:rsidR="00AC2F5D" w:rsidRDefault="00AC2F5D" w:rsidP="00AC2F5D">
      <w:pPr>
        <w:pStyle w:val="Textonotapie"/>
        <w:jc w:val="both"/>
      </w:pPr>
      <w:r>
        <w:rPr>
          <w:rStyle w:val="Refdenotaalpie"/>
        </w:rPr>
        <w:footnoteRef/>
      </w:r>
      <w:r>
        <w:t xml:space="preserve"> Si bien el ARWU por la manera de estar confeccionado se refiere más a la faceta investigadora y </w:t>
      </w:r>
      <w:proofErr w:type="spellStart"/>
      <w:r>
        <w:t>bibliométrica</w:t>
      </w:r>
      <w:proofErr w:type="spellEnd"/>
      <w:r>
        <w:t>, se suele tomar internacionalmente como un indicador de la calidad global de las universidades y de su rendimiento, bajo el supuesto de una elevada correlación positiva entre la faceta investigadora y la de docencia y transferencia de tecnología y conocimientos a la sociedad.</w:t>
      </w:r>
    </w:p>
  </w:footnote>
  <w:footnote w:id="2">
    <w:p w:rsidR="00AC2F5D" w:rsidRDefault="00AC2F5D" w:rsidP="00AC2F5D">
      <w:pPr>
        <w:pStyle w:val="Textonotapie"/>
        <w:jc w:val="both"/>
      </w:pPr>
      <w:r>
        <w:rPr>
          <w:rStyle w:val="Refdenotaalpie"/>
        </w:rPr>
        <w:footnoteRef/>
      </w:r>
      <w:r>
        <w:t xml:space="preserve"> A la que añadir a nivel catalán, el informe sobre la gobernanza universitaria, elaborado en 2012 por un conjunto de expertos designados por </w:t>
      </w:r>
      <w:smartTag w:uri="urn:schemas-microsoft-com:office:smarttags" w:element="PersonName">
        <w:smartTagPr>
          <w:attr w:name="ProductID" w:val="la Generalitat"/>
        </w:smartTagPr>
        <w:r>
          <w:t>la Generalitat</w:t>
        </w:r>
      </w:smartTag>
      <w:r>
        <w:t xml:space="preserve"> de Catalunya (Beato et al, 2012).</w:t>
      </w:r>
    </w:p>
  </w:footnote>
  <w:footnote w:id="3">
    <w:p w:rsidR="00AC2F5D" w:rsidRDefault="00AC2F5D" w:rsidP="00AC2F5D">
      <w:pPr>
        <w:pStyle w:val="Textonotapie"/>
      </w:pPr>
      <w:r>
        <w:rPr>
          <w:rStyle w:val="Refdenotaalpie"/>
        </w:rPr>
        <w:footnoteRef/>
      </w:r>
      <w:r>
        <w:t xml:space="preserve"> La literatura existente sobre</w:t>
      </w:r>
      <w:r w:rsidR="00DA4562">
        <w:t xml:space="preserve"> los resultados obtenidos  de la</w:t>
      </w:r>
      <w:r>
        <w:t>s reformas llevadas a cabo en los p</w:t>
      </w:r>
      <w:r w:rsidR="00DA4562">
        <w:t>a</w:t>
      </w:r>
      <w:r>
        <w:t>íses mencionados o en otros no es muy extensa. Cabe destacar, sin embargo, algunos trabajos recientes como</w:t>
      </w:r>
      <w:proofErr w:type="gramStart"/>
      <w:r>
        <w:t>:  Pedrosa</w:t>
      </w:r>
      <w:proofErr w:type="gramEnd"/>
      <w:r>
        <w:t xml:space="preserve"> et al, 2012; Taylor, 2013; </w:t>
      </w:r>
      <w:proofErr w:type="spellStart"/>
      <w:r>
        <w:t>Shattock</w:t>
      </w:r>
      <w:proofErr w:type="spellEnd"/>
      <w:r>
        <w:t xml:space="preserve">, 2013; </w:t>
      </w:r>
      <w:proofErr w:type="spellStart"/>
      <w:r>
        <w:t>Middlehurst</w:t>
      </w:r>
      <w:proofErr w:type="spellEnd"/>
      <w:r>
        <w:t xml:space="preserve">, 2013; </w:t>
      </w:r>
      <w:proofErr w:type="spellStart"/>
      <w:r>
        <w:t>Stensaker</w:t>
      </w:r>
      <w:proofErr w:type="spellEnd"/>
      <w:r>
        <w:t xml:space="preserve"> and </w:t>
      </w:r>
      <w:proofErr w:type="spellStart"/>
      <w:r>
        <w:t>Vabo</w:t>
      </w:r>
      <w:proofErr w:type="spellEnd"/>
      <w:r>
        <w:t xml:space="preserve">, 2013 y </w:t>
      </w:r>
      <w:proofErr w:type="spellStart"/>
      <w:r>
        <w:t>Magalhaes</w:t>
      </w:r>
      <w:proofErr w:type="spellEnd"/>
      <w:r>
        <w:t xml:space="preserve"> et al, 2013.</w:t>
      </w:r>
    </w:p>
  </w:footnote>
  <w:footnote w:id="4">
    <w:p w:rsidR="00AC2F5D" w:rsidRPr="009525D9" w:rsidRDefault="00AC2F5D" w:rsidP="00AC2F5D">
      <w:pPr>
        <w:pStyle w:val="Textonotapie"/>
        <w:jc w:val="both"/>
      </w:pPr>
      <w:r>
        <w:rPr>
          <w:rStyle w:val="Refdenotaalpie"/>
        </w:rPr>
        <w:footnoteRef/>
      </w:r>
      <w:r>
        <w:t xml:space="preserve"> Esto es, teniendo</w:t>
      </w:r>
      <w:r w:rsidRPr="009525D9">
        <w:t xml:space="preserve"> en cuenta no solo las citas recibidas </w:t>
      </w:r>
      <w:r>
        <w:t>por</w:t>
      </w:r>
      <w:r w:rsidRPr="009525D9">
        <w:t xml:space="preserve"> </w:t>
      </w:r>
      <w:r>
        <w:t xml:space="preserve">las publicaciones de </w:t>
      </w:r>
      <w:r w:rsidRPr="009525D9">
        <w:t xml:space="preserve">una institución, sino también la importancia o relevancia de las revistas que las emiten. </w:t>
      </w:r>
      <w:r>
        <w:t>E</w:t>
      </w:r>
      <w:r w:rsidRPr="009525D9">
        <w:t>l impacto</w:t>
      </w:r>
      <w:r>
        <w:t xml:space="preserve"> está normalizado, en el sentido de</w:t>
      </w:r>
      <w:r w:rsidRPr="009525D9">
        <w:t xml:space="preserve"> que instituciones con impacto </w:t>
      </w:r>
      <w:r>
        <w:t>n</w:t>
      </w:r>
      <w:r w:rsidRPr="009525D9">
        <w:t xml:space="preserve">ormalizado en la "media mundial" tendrán valor 1. </w:t>
      </w:r>
    </w:p>
  </w:footnote>
  <w:footnote w:id="5">
    <w:p w:rsidR="00AC2F5D" w:rsidRDefault="00AC2F5D" w:rsidP="00AC2F5D">
      <w:pPr>
        <w:pStyle w:val="Textonotapie"/>
        <w:jc w:val="both"/>
      </w:pPr>
      <w:r>
        <w:rPr>
          <w:rStyle w:val="Refdenotaalpie"/>
        </w:rPr>
        <w:footnoteRef/>
      </w:r>
      <w:r>
        <w:t xml:space="preserve"> En la misma página web del CERCA se detallan asimismo las características de funcionamiento  y destacan entre ellas la de aplicar un modelo de gestión privada con  máxima flexibilidad, sobre la base de un una programación plurianual de la actividad plasmada en un Plan Estratégico y una revisión ex post que respeta la autonomía de cada centro; el tener un gobierno eficaz, basada en una dirección con amplios poderes que derivan del órgano de gobierno del centro, ante el cual responden; el disponer de una financiación estructural significativa y estable a través de contratos-programas con </w:t>
      </w:r>
      <w:smartTag w:uri="urn:schemas-microsoft-com:office:smarttags" w:element="PersonName">
        <w:smartTagPr>
          <w:attr w:name="ProductID" w:val="la Generalitat"/>
        </w:smartTagPr>
        <w:r>
          <w:t>la Generalitat</w:t>
        </w:r>
      </w:smartTag>
      <w:r>
        <w:t xml:space="preserve"> de Catalunya; el aplicar una política de captación de talento sobre la base de una definición de la carrera científica de su personal investigador, de acuerdo con las peculiaridades de cada campo y las estrategias de contratación escogidas por cada centro; y el estructurarse en grupos de investigación dirigidos por científicos de prestigio internacional y con una gran rotación de investigadores postdoctorales nacionales e internacionales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7345DB"/>
    <w:multiLevelType w:val="hybridMultilevel"/>
    <w:tmpl w:val="462EADE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08"/>
  <w:hyphenationZone w:val="425"/>
  <w:characterSpacingControl w:val="doNotCompress"/>
  <w:footnotePr>
    <w:footnote w:id="-1"/>
    <w:footnote w:id="0"/>
  </w:footnotePr>
  <w:endnotePr>
    <w:endnote w:id="-1"/>
    <w:endnote w:id="0"/>
  </w:endnotePr>
  <w:compat/>
  <w:rsids>
    <w:rsidRoot w:val="00AC2F5D"/>
    <w:rsid w:val="00076DEE"/>
    <w:rsid w:val="001A14DF"/>
    <w:rsid w:val="002320E2"/>
    <w:rsid w:val="004845EA"/>
    <w:rsid w:val="00617D5E"/>
    <w:rsid w:val="008A5C66"/>
    <w:rsid w:val="00A13069"/>
    <w:rsid w:val="00A565D6"/>
    <w:rsid w:val="00AC2F5D"/>
    <w:rsid w:val="00BC5CB3"/>
    <w:rsid w:val="00D210D2"/>
    <w:rsid w:val="00D27E8F"/>
    <w:rsid w:val="00D82CC2"/>
    <w:rsid w:val="00DA4562"/>
    <w:rsid w:val="00E312E9"/>
    <w:rsid w:val="00F01828"/>
    <w:rsid w:val="00F505DD"/>
    <w:rsid w:val="00FD08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F5D"/>
    <w:pPr>
      <w:spacing w:after="0" w:line="240" w:lineRule="auto"/>
    </w:pPr>
    <w:rPr>
      <w:rFonts w:ascii="Times New Roman" w:eastAsia="Times New Roman" w:hAnsi="Times New Roman" w:cs="Times New Roman"/>
      <w:sz w:val="24"/>
      <w:szCs w:val="24"/>
      <w:lang w:eastAsia="es-ES"/>
    </w:rPr>
  </w:style>
  <w:style w:type="paragraph" w:styleId="Ttulo3">
    <w:name w:val="heading 3"/>
    <w:basedOn w:val="Normal"/>
    <w:link w:val="Ttulo3Car"/>
    <w:qFormat/>
    <w:rsid w:val="00AC2F5D"/>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AC2F5D"/>
    <w:rPr>
      <w:rFonts w:ascii="Times New Roman" w:eastAsia="Times New Roman" w:hAnsi="Times New Roman" w:cs="Times New Roman"/>
      <w:b/>
      <w:bCs/>
      <w:sz w:val="27"/>
      <w:szCs w:val="27"/>
      <w:lang w:eastAsia="es-ES"/>
    </w:rPr>
  </w:style>
  <w:style w:type="character" w:styleId="Textoennegrita">
    <w:name w:val="Strong"/>
    <w:basedOn w:val="Fuentedeprrafopredeter"/>
    <w:qFormat/>
    <w:rsid w:val="00AC2F5D"/>
    <w:rPr>
      <w:b/>
      <w:bCs/>
    </w:rPr>
  </w:style>
  <w:style w:type="paragraph" w:styleId="NormalWeb">
    <w:name w:val="Normal (Web)"/>
    <w:basedOn w:val="Normal"/>
    <w:rsid w:val="00AC2F5D"/>
    <w:pPr>
      <w:spacing w:before="100" w:beforeAutospacing="1" w:after="100" w:afterAutospacing="1"/>
    </w:pPr>
  </w:style>
  <w:style w:type="character" w:styleId="Hipervnculo">
    <w:name w:val="Hyperlink"/>
    <w:basedOn w:val="Fuentedeprrafopredeter"/>
    <w:rsid w:val="00AC2F5D"/>
    <w:rPr>
      <w:color w:val="0000FF"/>
      <w:u w:val="single"/>
    </w:rPr>
  </w:style>
  <w:style w:type="paragraph" w:customStyle="1" w:styleId="Prrafodelista1">
    <w:name w:val="Párrafo de lista1"/>
    <w:basedOn w:val="Normal"/>
    <w:link w:val="ListParagraphChar"/>
    <w:rsid w:val="00AC2F5D"/>
    <w:pPr>
      <w:spacing w:after="200" w:line="276" w:lineRule="auto"/>
      <w:ind w:left="720"/>
      <w:contextualSpacing/>
    </w:pPr>
    <w:rPr>
      <w:rFonts w:ascii="Calibri" w:hAnsi="Calibri"/>
      <w:sz w:val="22"/>
      <w:szCs w:val="22"/>
      <w:lang w:val="ca-ES" w:eastAsia="en-US"/>
    </w:rPr>
  </w:style>
  <w:style w:type="character" w:customStyle="1" w:styleId="ListParagraphChar">
    <w:name w:val="List Paragraph Char"/>
    <w:basedOn w:val="Fuentedeprrafopredeter"/>
    <w:link w:val="Prrafodelista1"/>
    <w:locked/>
    <w:rsid w:val="00AC2F5D"/>
    <w:rPr>
      <w:rFonts w:ascii="Calibri" w:eastAsia="Times New Roman" w:hAnsi="Calibri" w:cs="Times New Roman"/>
      <w:lang w:val="ca-ES"/>
    </w:rPr>
  </w:style>
  <w:style w:type="paragraph" w:styleId="Textonotapie">
    <w:name w:val="footnote text"/>
    <w:basedOn w:val="Normal"/>
    <w:link w:val="TextonotapieCar"/>
    <w:semiHidden/>
    <w:rsid w:val="00AC2F5D"/>
    <w:rPr>
      <w:sz w:val="20"/>
      <w:szCs w:val="20"/>
    </w:rPr>
  </w:style>
  <w:style w:type="character" w:customStyle="1" w:styleId="TextonotapieCar">
    <w:name w:val="Texto nota pie Car"/>
    <w:basedOn w:val="Fuentedeprrafopredeter"/>
    <w:link w:val="Textonotapie"/>
    <w:semiHidden/>
    <w:rsid w:val="00AC2F5D"/>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rsid w:val="00AC2F5D"/>
    <w:rPr>
      <w:vertAlign w:val="superscript"/>
    </w:rPr>
  </w:style>
  <w:style w:type="paragraph" w:styleId="Epgrafe">
    <w:name w:val="caption"/>
    <w:aliases w:val="Epígrafe Car"/>
    <w:basedOn w:val="Normal"/>
    <w:next w:val="Normal"/>
    <w:link w:val="EpgrafeCar1"/>
    <w:qFormat/>
    <w:rsid w:val="00AC2F5D"/>
    <w:pPr>
      <w:spacing w:after="200"/>
    </w:pPr>
    <w:rPr>
      <w:rFonts w:ascii="Calibri" w:hAnsi="Calibri"/>
      <w:b/>
      <w:bCs/>
      <w:color w:val="4F81BD"/>
      <w:sz w:val="18"/>
      <w:szCs w:val="18"/>
      <w:lang w:eastAsia="en-US"/>
    </w:rPr>
  </w:style>
  <w:style w:type="character" w:customStyle="1" w:styleId="EpgrafeCar1">
    <w:name w:val="Epígrafe Car1"/>
    <w:aliases w:val="Epígrafe Car Car"/>
    <w:link w:val="Epgrafe"/>
    <w:locked/>
    <w:rsid w:val="00AC2F5D"/>
    <w:rPr>
      <w:rFonts w:ascii="Calibri" w:eastAsia="Times New Roman" w:hAnsi="Calibri" w:cs="Times New Roman"/>
      <w:b/>
      <w:bCs/>
      <w:color w:val="4F81BD"/>
      <w:sz w:val="18"/>
      <w:szCs w:val="18"/>
    </w:rPr>
  </w:style>
  <w:style w:type="paragraph" w:styleId="Textodeglobo">
    <w:name w:val="Balloon Text"/>
    <w:basedOn w:val="Normal"/>
    <w:link w:val="TextodegloboCar"/>
    <w:uiPriority w:val="99"/>
    <w:semiHidden/>
    <w:unhideWhenUsed/>
    <w:rsid w:val="00AC2F5D"/>
    <w:rPr>
      <w:rFonts w:ascii="Tahoma" w:hAnsi="Tahoma" w:cs="Tahoma"/>
      <w:sz w:val="16"/>
      <w:szCs w:val="16"/>
    </w:rPr>
  </w:style>
  <w:style w:type="character" w:customStyle="1" w:styleId="TextodegloboCar">
    <w:name w:val="Texto de globo Car"/>
    <w:basedOn w:val="Fuentedeprrafopredeter"/>
    <w:link w:val="Textodeglobo"/>
    <w:uiPriority w:val="99"/>
    <w:semiHidden/>
    <w:rsid w:val="00AC2F5D"/>
    <w:rPr>
      <w:rFonts w:ascii="Tahoma" w:eastAsia="Times New Roman" w:hAnsi="Tahoma" w:cs="Tahoma"/>
      <w:sz w:val="16"/>
      <w:szCs w:val="16"/>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parellada@ub.edu" TargetMode="External"/><Relationship Id="rId13" Type="http://schemas.openxmlformats.org/officeDocument/2006/relationships/image" Target="media/image5.emf"/><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marti.parellada@fundacioncyd.org" TargetMode="External"/><Relationship Id="rId12" Type="http://schemas.openxmlformats.org/officeDocument/2006/relationships/image" Target="media/image4.emf"/><Relationship Id="rId17" Type="http://schemas.openxmlformats.org/officeDocument/2006/relationships/image" Target="media/image9.emf"/><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hyperlink" Target="http://www.eua.be/eua-work-and-policy-area/governance-autonomy-and-funding/public-funding-observatory.aspx" TargetMode="Externa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image" Target="media/image6.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6635</Words>
  <Characters>36493</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marti.parellada</dc:creator>
  <cp:keywords/>
  <dc:description/>
  <cp:lastModifiedBy>marti.parellada</cp:lastModifiedBy>
  <cp:revision>2</cp:revision>
  <dcterms:created xsi:type="dcterms:W3CDTF">2013-09-05T16:44:00Z</dcterms:created>
  <dcterms:modified xsi:type="dcterms:W3CDTF">2013-09-05T16:44:00Z</dcterms:modified>
</cp:coreProperties>
</file>