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1E5C" w:rsidRPr="0072177C" w:rsidRDefault="005A1E5C" w:rsidP="005A1E5C">
      <w:pPr>
        <w:pStyle w:val="Ttulo"/>
        <w:rPr>
          <w:sz w:val="36"/>
          <w:lang w:val="en-GB"/>
        </w:rPr>
      </w:pPr>
      <w:r w:rsidRPr="0072177C">
        <w:rPr>
          <w:sz w:val="36"/>
          <w:lang w:val="en-GB"/>
        </w:rPr>
        <w:t>The territorial variable in the analysis of electoral behaviour in Spain</w:t>
      </w:r>
    </w:p>
    <w:p w:rsidR="005A1E5C" w:rsidRPr="002F6799" w:rsidRDefault="005A1E5C" w:rsidP="005A1E5C">
      <w:pPr>
        <w:pStyle w:val="Epgrafe"/>
        <w:jc w:val="center"/>
        <w:rPr>
          <w:lang w:val="en-GB"/>
        </w:rPr>
      </w:pPr>
      <w:r w:rsidRPr="002F6799">
        <w:rPr>
          <w:lang w:val="en-GB"/>
        </w:rPr>
        <w:t>Keywords: El</w:t>
      </w:r>
      <w:r>
        <w:rPr>
          <w:lang w:val="en-GB"/>
        </w:rPr>
        <w:t>ectoral behaviour- Spatial Vote</w:t>
      </w:r>
      <w:r w:rsidRPr="002F6799">
        <w:rPr>
          <w:lang w:val="en-GB"/>
        </w:rPr>
        <w:t>- Spain</w:t>
      </w:r>
    </w:p>
    <w:p w:rsidR="005A1E5C" w:rsidRDefault="005A1E5C" w:rsidP="005A1E5C">
      <w:pPr>
        <w:pStyle w:val="Epgrafe"/>
        <w:rPr>
          <w:lang w:val="en-GB"/>
        </w:rPr>
      </w:pPr>
    </w:p>
    <w:p w:rsidR="005A1E5C" w:rsidRPr="005A1E5C" w:rsidRDefault="005A1E5C" w:rsidP="005A1E5C">
      <w:pPr>
        <w:pStyle w:val="Epgrafe"/>
        <w:rPr>
          <w:sz w:val="32"/>
          <w:lang w:val="es-ES"/>
        </w:rPr>
      </w:pPr>
      <w:r w:rsidRPr="005A1E5C">
        <w:rPr>
          <w:sz w:val="32"/>
          <w:lang w:val="es-ES"/>
        </w:rPr>
        <w:t xml:space="preserve">Arturo de Nieves Gutiérrez de Rubalcava- </w:t>
      </w:r>
      <w:proofErr w:type="spellStart"/>
      <w:r w:rsidRPr="005A1E5C">
        <w:rPr>
          <w:sz w:val="32"/>
          <w:lang w:val="es-ES"/>
        </w:rPr>
        <w:t>Universidade</w:t>
      </w:r>
      <w:proofErr w:type="spellEnd"/>
      <w:r w:rsidRPr="005A1E5C">
        <w:rPr>
          <w:sz w:val="32"/>
          <w:lang w:val="es-ES"/>
        </w:rPr>
        <w:t xml:space="preserve"> da Coruña</w:t>
      </w:r>
    </w:p>
    <w:p w:rsidR="005A1E5C" w:rsidRPr="00A04A20" w:rsidRDefault="00075535" w:rsidP="005A1E5C">
      <w:pPr>
        <w:pStyle w:val="Epgrafe"/>
        <w:rPr>
          <w:lang w:val="es-ES"/>
        </w:rPr>
      </w:pPr>
      <w:r>
        <w:fldChar w:fldCharType="begin"/>
      </w:r>
      <w:r w:rsidRPr="00E83335">
        <w:rPr>
          <w:lang w:val="es-ES"/>
        </w:rPr>
        <w:instrText xml:space="preserve"> HYPERLINK "mailto:arturo.denieves@udc.es" </w:instrText>
      </w:r>
      <w:r>
        <w:fldChar w:fldCharType="separate"/>
      </w:r>
      <w:r w:rsidR="005A1E5C" w:rsidRPr="00A04A20">
        <w:rPr>
          <w:rStyle w:val="Hipervnculo"/>
          <w:lang w:val="es-ES"/>
        </w:rPr>
        <w:t>arturo.denieves@udc.es</w:t>
      </w:r>
      <w:r>
        <w:rPr>
          <w:rStyle w:val="Hipervnculo"/>
          <w:lang w:val="es-ES"/>
        </w:rPr>
        <w:fldChar w:fldCharType="end"/>
      </w:r>
    </w:p>
    <w:p w:rsidR="005A1E5C" w:rsidRPr="00A04A20" w:rsidRDefault="005A1E5C" w:rsidP="00E17F43">
      <w:pPr>
        <w:pStyle w:val="Epgrafe"/>
        <w:jc w:val="both"/>
        <w:rPr>
          <w:lang w:val="es-ES"/>
        </w:rPr>
      </w:pPr>
      <w:r w:rsidRPr="00A04A20">
        <w:rPr>
          <w:lang w:val="es-ES"/>
        </w:rPr>
        <w:t xml:space="preserve">Arturo de Nieves es contratado </w:t>
      </w:r>
      <w:proofErr w:type="spellStart"/>
      <w:r w:rsidRPr="00A04A20">
        <w:rPr>
          <w:lang w:val="es-ES"/>
        </w:rPr>
        <w:t>predoctoral</w:t>
      </w:r>
      <w:proofErr w:type="spellEnd"/>
      <w:r w:rsidRPr="00A04A20">
        <w:rPr>
          <w:lang w:val="es-ES"/>
        </w:rPr>
        <w:t xml:space="preserve"> de la Xunta de Galicia</w:t>
      </w:r>
      <w:r w:rsidRPr="00A04A20">
        <w:rPr>
          <w:lang w:val="es-ES"/>
        </w:rPr>
        <w:tab/>
      </w:r>
      <w:r w:rsidR="00E17F43">
        <w:rPr>
          <w:lang w:val="es-ES"/>
        </w:rPr>
        <w:t xml:space="preserve"> </w:t>
      </w:r>
      <w:r>
        <w:rPr>
          <w:lang w:val="es-ES"/>
        </w:rPr>
        <w:t>y</w:t>
      </w:r>
      <w:r w:rsidR="00E17F43">
        <w:rPr>
          <w:lang w:val="es-ES"/>
        </w:rPr>
        <w:t xml:space="preserve"> </w:t>
      </w:r>
      <w:r>
        <w:rPr>
          <w:lang w:val="es-ES"/>
        </w:rPr>
        <w:t xml:space="preserve">desarrolla su trabajo </w:t>
      </w:r>
      <w:r w:rsidR="002C5764">
        <w:rPr>
          <w:lang w:val="es-ES"/>
        </w:rPr>
        <w:t xml:space="preserve">docente e investigador </w:t>
      </w:r>
      <w:r>
        <w:rPr>
          <w:lang w:val="es-ES"/>
        </w:rPr>
        <w:t xml:space="preserve">en el Departamento de Sociología y Ciencia Política y de la Administración de la </w:t>
      </w:r>
      <w:proofErr w:type="spellStart"/>
      <w:r>
        <w:rPr>
          <w:lang w:val="es-ES"/>
        </w:rPr>
        <w:t>Universidade</w:t>
      </w:r>
      <w:proofErr w:type="spellEnd"/>
      <w:r>
        <w:rPr>
          <w:lang w:val="es-ES"/>
        </w:rPr>
        <w:t xml:space="preserve"> da Coruña. </w:t>
      </w:r>
      <w:r w:rsidR="002C5764">
        <w:rPr>
          <w:lang w:val="es-ES"/>
        </w:rPr>
        <w:t>Durante el año</w:t>
      </w:r>
      <w:r w:rsidR="005807F0">
        <w:rPr>
          <w:lang w:val="es-ES"/>
        </w:rPr>
        <w:t xml:space="preserve"> 2012 fue becario en el Departamento de Investigación del Centro de Investigaciones Sociológicas.</w:t>
      </w:r>
    </w:p>
    <w:p w:rsidR="005A1E5C" w:rsidRPr="00A04A20" w:rsidRDefault="005A1E5C" w:rsidP="005A1E5C">
      <w:pPr>
        <w:pStyle w:val="Epgrafe"/>
        <w:rPr>
          <w:lang w:val="es-ES"/>
        </w:rPr>
      </w:pPr>
    </w:p>
    <w:p w:rsidR="005A1E5C" w:rsidRPr="005A1E5C" w:rsidRDefault="005A1E5C" w:rsidP="005A1E5C">
      <w:pPr>
        <w:pStyle w:val="Epgrafe"/>
        <w:rPr>
          <w:sz w:val="32"/>
          <w:lang w:val="pt-BR"/>
        </w:rPr>
      </w:pPr>
      <w:r w:rsidRPr="005A1E5C">
        <w:rPr>
          <w:sz w:val="32"/>
          <w:lang w:val="pt-BR"/>
        </w:rPr>
        <w:t>Manuel García Docampo- Universidade da Coruña</w:t>
      </w:r>
    </w:p>
    <w:p w:rsidR="005A1E5C" w:rsidRPr="00A04A20" w:rsidRDefault="00075535" w:rsidP="005A1E5C">
      <w:pPr>
        <w:pStyle w:val="Epgrafe"/>
        <w:rPr>
          <w:lang w:val="es-ES"/>
        </w:rPr>
      </w:pPr>
      <w:r>
        <w:fldChar w:fldCharType="begin"/>
      </w:r>
      <w:r w:rsidRPr="00E83335">
        <w:rPr>
          <w:lang w:val="es-ES"/>
        </w:rPr>
        <w:instrText xml:space="preserve"> HYPERLINK "mailto:docampo@udc.es" </w:instrText>
      </w:r>
      <w:r>
        <w:fldChar w:fldCharType="separate"/>
      </w:r>
      <w:r w:rsidR="005A1E5C" w:rsidRPr="00A04A20">
        <w:rPr>
          <w:rStyle w:val="Hipervnculo"/>
          <w:lang w:val="es-ES"/>
        </w:rPr>
        <w:t>docampo@udc.es</w:t>
      </w:r>
      <w:r>
        <w:rPr>
          <w:rStyle w:val="Hipervnculo"/>
          <w:lang w:val="es-ES"/>
        </w:rPr>
        <w:fldChar w:fldCharType="end"/>
      </w:r>
    </w:p>
    <w:p w:rsidR="005A1E5C" w:rsidRPr="00A04A20" w:rsidRDefault="005A1E5C" w:rsidP="002C5764">
      <w:pPr>
        <w:pStyle w:val="Epgrafe"/>
        <w:jc w:val="both"/>
        <w:rPr>
          <w:lang w:val="es-ES"/>
        </w:rPr>
      </w:pPr>
      <w:r w:rsidRPr="00A04A20">
        <w:rPr>
          <w:lang w:val="es-ES"/>
        </w:rPr>
        <w:t xml:space="preserve">Manuel García Docampo </w:t>
      </w:r>
      <w:r>
        <w:rPr>
          <w:lang w:val="es-ES"/>
        </w:rPr>
        <w:t xml:space="preserve">es Profesor Titular de Universidad en el Departamento de Sociología y Ciencia Política y de la Administración de la </w:t>
      </w:r>
      <w:proofErr w:type="spellStart"/>
      <w:r>
        <w:rPr>
          <w:lang w:val="es-ES"/>
        </w:rPr>
        <w:t>Universidade</w:t>
      </w:r>
      <w:proofErr w:type="spellEnd"/>
      <w:r>
        <w:rPr>
          <w:lang w:val="es-ES"/>
        </w:rPr>
        <w:t xml:space="preserve"> da Coruña. Está al cargo de la docencia de la asignatura Estructura y Cambio Social. Además, es Investigador Principal del proyecto Análisis y prognosis de las nuevas migraciones residenciales en España (CSO2010-16675/SOCI).</w:t>
      </w:r>
    </w:p>
    <w:p w:rsidR="005A1E5C" w:rsidRDefault="005A1E5C" w:rsidP="005A1E5C">
      <w:pPr>
        <w:pStyle w:val="Epgrafe"/>
        <w:rPr>
          <w:lang w:val="es-ES"/>
        </w:rPr>
      </w:pPr>
    </w:p>
    <w:p w:rsidR="005A1E5C" w:rsidRDefault="005A1E5C" w:rsidP="005A1E5C">
      <w:pPr>
        <w:pStyle w:val="Epgrafe"/>
        <w:rPr>
          <w:lang w:val="es-ES"/>
        </w:rPr>
      </w:pPr>
    </w:p>
    <w:p w:rsidR="005A1E5C" w:rsidRDefault="005A1E5C" w:rsidP="005A1E5C">
      <w:pPr>
        <w:pStyle w:val="Epgrafe"/>
        <w:rPr>
          <w:lang w:val="es-ES"/>
        </w:rPr>
      </w:pPr>
    </w:p>
    <w:p w:rsidR="005A1E5C" w:rsidRDefault="005A1E5C" w:rsidP="005A1E5C">
      <w:pPr>
        <w:pStyle w:val="Epgrafe"/>
        <w:rPr>
          <w:lang w:val="es-ES"/>
        </w:rPr>
      </w:pPr>
    </w:p>
    <w:p w:rsidR="005A1E5C" w:rsidRDefault="005A1E5C" w:rsidP="005A1E5C">
      <w:pPr>
        <w:pStyle w:val="Epgrafe"/>
        <w:rPr>
          <w:lang w:val="es-ES"/>
        </w:rPr>
      </w:pPr>
    </w:p>
    <w:p w:rsidR="005A1E5C" w:rsidRDefault="005A1E5C" w:rsidP="005A1E5C">
      <w:pPr>
        <w:pStyle w:val="Epgrafe"/>
        <w:rPr>
          <w:lang w:val="es-ES"/>
        </w:rPr>
      </w:pPr>
    </w:p>
    <w:p w:rsidR="005A1E5C" w:rsidRDefault="005A1E5C" w:rsidP="005A1E5C">
      <w:pPr>
        <w:pStyle w:val="Epgrafe"/>
        <w:rPr>
          <w:lang w:val="es-ES"/>
        </w:rPr>
      </w:pPr>
    </w:p>
    <w:p w:rsidR="005A1E5C" w:rsidRDefault="005A1E5C" w:rsidP="005A1E5C">
      <w:pPr>
        <w:pStyle w:val="Epgrafe"/>
        <w:rPr>
          <w:lang w:val="es-ES"/>
        </w:rPr>
      </w:pPr>
    </w:p>
    <w:p w:rsidR="005A1E5C" w:rsidRDefault="005A1E5C" w:rsidP="005A1E5C">
      <w:pPr>
        <w:pStyle w:val="Epgrafe"/>
        <w:rPr>
          <w:lang w:val="es-ES"/>
        </w:rPr>
      </w:pPr>
    </w:p>
    <w:p w:rsidR="005A1E5C" w:rsidRDefault="005A1E5C" w:rsidP="005A1E5C">
      <w:pPr>
        <w:pStyle w:val="Epgrafe"/>
        <w:rPr>
          <w:lang w:val="es-ES"/>
        </w:rPr>
      </w:pPr>
    </w:p>
    <w:p w:rsidR="005A1E5C" w:rsidRDefault="005A1E5C" w:rsidP="005A1E5C">
      <w:pPr>
        <w:pStyle w:val="Epgrafe"/>
        <w:rPr>
          <w:lang w:val="es-ES"/>
        </w:rPr>
      </w:pPr>
    </w:p>
    <w:p w:rsidR="005A1E5C" w:rsidRPr="00A04A20" w:rsidRDefault="005A1E5C" w:rsidP="005A1E5C">
      <w:pPr>
        <w:pStyle w:val="Epgrafe"/>
        <w:rPr>
          <w:lang w:val="es-ES"/>
        </w:rPr>
      </w:pPr>
    </w:p>
    <w:p w:rsidR="005A1E5C" w:rsidRPr="00A04A20" w:rsidRDefault="005A1E5C" w:rsidP="005A1E5C">
      <w:pPr>
        <w:pStyle w:val="Epgrafe"/>
        <w:rPr>
          <w:lang w:val="es-ES"/>
        </w:rPr>
      </w:pPr>
    </w:p>
    <w:p w:rsidR="005A1E5C" w:rsidRDefault="005A1E5C" w:rsidP="006B2225">
      <w:pPr>
        <w:pStyle w:val="Ttulo1"/>
        <w:numPr>
          <w:ilvl w:val="0"/>
          <w:numId w:val="4"/>
        </w:numPr>
        <w:spacing w:line="360" w:lineRule="auto"/>
        <w:jc w:val="both"/>
        <w:rPr>
          <w:lang w:val="en-GB"/>
        </w:rPr>
      </w:pPr>
      <w:r>
        <w:rPr>
          <w:lang w:val="en-GB"/>
        </w:rPr>
        <w:lastRenderedPageBreak/>
        <w:t>Introduction</w:t>
      </w:r>
    </w:p>
    <w:p w:rsidR="005A1E5C" w:rsidRDefault="005A1E5C" w:rsidP="005A1E5C">
      <w:pPr>
        <w:spacing w:line="360" w:lineRule="auto"/>
        <w:jc w:val="both"/>
        <w:rPr>
          <w:lang w:val="en-US"/>
        </w:rPr>
      </w:pPr>
      <w:r>
        <w:rPr>
          <w:lang w:val="en-GB"/>
        </w:rPr>
        <w:t xml:space="preserve">This paper implements an analysis of the </w:t>
      </w:r>
      <w:r w:rsidRPr="00890565">
        <w:rPr>
          <w:i/>
          <w:lang w:val="en-GB"/>
        </w:rPr>
        <w:t>spatial vote</w:t>
      </w:r>
      <w:r>
        <w:rPr>
          <w:lang w:val="en-GB"/>
        </w:rPr>
        <w:t xml:space="preserve"> fo</w:t>
      </w:r>
      <w:r w:rsidR="00FB7AEA">
        <w:rPr>
          <w:lang w:val="en-GB"/>
        </w:rPr>
        <w:t xml:space="preserve">r the Spanish General Elections </w:t>
      </w:r>
      <w:r>
        <w:rPr>
          <w:lang w:val="en-GB"/>
        </w:rPr>
        <w:t>(SGE)</w:t>
      </w:r>
      <w:r w:rsidR="00FB7AEA">
        <w:rPr>
          <w:lang w:val="en-GB"/>
        </w:rPr>
        <w:t xml:space="preserve"> that </w:t>
      </w:r>
      <w:r w:rsidR="00E83335">
        <w:rPr>
          <w:lang w:val="en-GB"/>
        </w:rPr>
        <w:t>has</w:t>
      </w:r>
      <w:r w:rsidR="00FB7AEA">
        <w:rPr>
          <w:lang w:val="en-GB"/>
        </w:rPr>
        <w:t xml:space="preserve"> been held since the end of Francoism</w:t>
      </w:r>
      <w:r>
        <w:rPr>
          <w:lang w:val="en-GB"/>
        </w:rPr>
        <w:t>, from 1977 to 2011.</w:t>
      </w:r>
      <w:r w:rsidRPr="00E34AE7">
        <w:rPr>
          <w:lang w:val="en-US"/>
        </w:rPr>
        <w:t xml:space="preserve"> </w:t>
      </w:r>
      <w:r>
        <w:rPr>
          <w:lang w:val="en-US"/>
        </w:rPr>
        <w:t>The analysis of people’s electoral behavior from a territorial perspective is interesting for at least two reasons. On the one hand geographical location is a self-relevant social cleavage</w:t>
      </w:r>
      <w:r w:rsidR="00C67D9F">
        <w:rPr>
          <w:lang w:val="en-US"/>
        </w:rPr>
        <w:t xml:space="preserve"> –in terms of Bartolini and Mair </w:t>
      </w:r>
      <w:r w:rsidR="00C67D9F">
        <w:rPr>
          <w:lang w:val="en-US"/>
        </w:rPr>
        <w:fldChar w:fldCharType="begin"/>
      </w:r>
      <w:r w:rsidR="00C67D9F">
        <w:rPr>
          <w:lang w:val="en-US"/>
        </w:rPr>
        <w:instrText>ADDIN RW.CITE{{57 Bartolini,S. 1990 /a}}</w:instrText>
      </w:r>
      <w:r w:rsidR="00C67D9F">
        <w:rPr>
          <w:lang w:val="en-US"/>
        </w:rPr>
        <w:fldChar w:fldCharType="separate"/>
      </w:r>
      <w:r w:rsidR="00C67D9F" w:rsidRPr="00C67D9F">
        <w:rPr>
          <w:rFonts w:eastAsia="Times New Roman"/>
          <w:lang w:val="en-US"/>
        </w:rPr>
        <w:t>(1990)</w:t>
      </w:r>
      <w:r w:rsidR="00C67D9F">
        <w:rPr>
          <w:lang w:val="en-US"/>
        </w:rPr>
        <w:fldChar w:fldCharType="end"/>
      </w:r>
      <w:r w:rsidR="00C67D9F">
        <w:rPr>
          <w:lang w:val="en-US"/>
        </w:rPr>
        <w:t>–</w:t>
      </w:r>
      <w:bookmarkStart w:id="0" w:name="_GoBack"/>
      <w:bookmarkEnd w:id="0"/>
      <w:r>
        <w:rPr>
          <w:lang w:val="en-US"/>
        </w:rPr>
        <w:t xml:space="preserve"> because of its, sometimes profound, social identity implications that eventually would give way to political alignments (nationalist, regionalist political options…); on the other, it is relevant because of the existence of geographically-differentiated political culture</w:t>
      </w:r>
      <w:r w:rsidR="001C0581">
        <w:rPr>
          <w:lang w:val="en-US"/>
        </w:rPr>
        <w:t xml:space="preserve"> </w:t>
      </w:r>
      <w:r w:rsidR="001C0581">
        <w:rPr>
          <w:lang w:val="en-US"/>
        </w:rPr>
        <w:fldChar w:fldCharType="begin"/>
      </w:r>
      <w:r w:rsidR="001C0581">
        <w:rPr>
          <w:lang w:val="en-US"/>
        </w:rPr>
        <w:instrText>ADDIN RW.CITE{{61 MacIntyre,S. 1980}}</w:instrText>
      </w:r>
      <w:r w:rsidR="001C0581">
        <w:rPr>
          <w:lang w:val="en-US"/>
        </w:rPr>
        <w:fldChar w:fldCharType="separate"/>
      </w:r>
      <w:r w:rsidR="001C0581" w:rsidRPr="001C0581">
        <w:rPr>
          <w:lang w:val="en-US"/>
        </w:rPr>
        <w:t>(MacIntyre, 1980)</w:t>
      </w:r>
      <w:r w:rsidR="001C0581">
        <w:rPr>
          <w:lang w:val="en-US"/>
        </w:rPr>
        <w:fldChar w:fldCharType="end"/>
      </w:r>
      <w:r>
        <w:rPr>
          <w:lang w:val="en-US"/>
        </w:rPr>
        <w:t>, allowing us to discern trends and orientations in the political behavior characteristic of each habitat. It can also be argued that residential mobility and territorial dynamics of places defined by demographic decline involve differences at a socia</w:t>
      </w:r>
      <w:r w:rsidR="003C1EBE">
        <w:rPr>
          <w:lang w:val="en-US"/>
        </w:rPr>
        <w:t>l structural level of analysis that, in turn, would affect to the social structural determinants of voting behavior.</w:t>
      </w:r>
    </w:p>
    <w:p w:rsidR="00995EF8" w:rsidRDefault="00502CA4" w:rsidP="00995EF8">
      <w:pPr>
        <w:spacing w:line="360" w:lineRule="auto"/>
        <w:jc w:val="both"/>
        <w:rPr>
          <w:lang w:val="en-US"/>
        </w:rPr>
      </w:pPr>
      <w:r>
        <w:rPr>
          <w:lang w:val="en-US"/>
        </w:rPr>
        <w:t xml:space="preserve">In this paper we will try to show the effect played by spatial vote </w:t>
      </w:r>
      <w:r w:rsidR="006B2225">
        <w:rPr>
          <w:lang w:val="en-US"/>
        </w:rPr>
        <w:t>in democratic Spain. In order to achieve this aim w</w:t>
      </w:r>
      <w:r w:rsidR="005A1E5C">
        <w:rPr>
          <w:lang w:val="en-US"/>
        </w:rPr>
        <w:t>e have designed a methodology that defines a series of s</w:t>
      </w:r>
      <w:r w:rsidR="006B2225">
        <w:rPr>
          <w:lang w:val="en-US"/>
        </w:rPr>
        <w:t>ociologically relevant habitats</w:t>
      </w:r>
      <w:r w:rsidR="00E636FF">
        <w:rPr>
          <w:lang w:val="en-US"/>
        </w:rPr>
        <w:t xml:space="preserve"> for the Spanish territory</w:t>
      </w:r>
      <w:r w:rsidR="005A1E5C">
        <w:rPr>
          <w:lang w:val="en-US"/>
        </w:rPr>
        <w:t xml:space="preserve">. </w:t>
      </w:r>
      <w:r w:rsidR="00E636FF">
        <w:rPr>
          <w:lang w:val="en-US"/>
        </w:rPr>
        <w:t xml:space="preserve">These newly elaborated categories </w:t>
      </w:r>
      <w:r w:rsidR="006B2225">
        <w:rPr>
          <w:lang w:val="en-US"/>
        </w:rPr>
        <w:t xml:space="preserve">allowed us to </w:t>
      </w:r>
      <w:r w:rsidR="00CD0BDD">
        <w:rPr>
          <w:lang w:val="en-US"/>
        </w:rPr>
        <w:t>present</w:t>
      </w:r>
      <w:r w:rsidR="006B2225">
        <w:rPr>
          <w:lang w:val="en-US"/>
        </w:rPr>
        <w:t xml:space="preserve"> an accurate measuring of spatial vote in Spain</w:t>
      </w:r>
      <w:r w:rsidR="00CD0BDD">
        <w:rPr>
          <w:lang w:val="en-US"/>
        </w:rPr>
        <w:t>,</w:t>
      </w:r>
      <w:r w:rsidR="006B2225">
        <w:rPr>
          <w:lang w:val="en-US"/>
        </w:rPr>
        <w:t xml:space="preserve"> in a way that had never been </w:t>
      </w:r>
      <w:r w:rsidR="00CD0BDD">
        <w:rPr>
          <w:lang w:val="en-US"/>
        </w:rPr>
        <w:t xml:space="preserve">developed before, as </w:t>
      </w:r>
      <w:r w:rsidR="00786A47">
        <w:rPr>
          <w:lang w:val="en-US"/>
        </w:rPr>
        <w:t>habitat is often measured as an expression of</w:t>
      </w:r>
      <w:r w:rsidR="00CD0BDD">
        <w:rPr>
          <w:lang w:val="en-US"/>
        </w:rPr>
        <w:t xml:space="preserve"> gross-population dependent</w:t>
      </w:r>
      <w:r w:rsidR="00786A47">
        <w:rPr>
          <w:lang w:val="en-US"/>
        </w:rPr>
        <w:t xml:space="preserve"> </w:t>
      </w:r>
      <w:r w:rsidR="00CD0BDD">
        <w:rPr>
          <w:lang w:val="en-US"/>
        </w:rPr>
        <w:t>categories.</w:t>
      </w:r>
    </w:p>
    <w:p w:rsidR="00E636FF" w:rsidRDefault="00E636FF" w:rsidP="00995EF8">
      <w:pPr>
        <w:spacing w:line="360" w:lineRule="auto"/>
        <w:jc w:val="both"/>
        <w:rPr>
          <w:lang w:val="en-US"/>
        </w:rPr>
      </w:pPr>
      <w:r>
        <w:rPr>
          <w:lang w:val="en-US"/>
        </w:rPr>
        <w:t xml:space="preserve">The article is divided in three parts. First we will expose the state of affairs regarding the academic debate on spatial vote. Secondly, we will introduce a division of Spanish territory in sociologically relevant habitats, which will allow us to develop an analysis of spatial vote in Spain. We will show, thereafter, the results of the analysis of the relation between electoral behavior and habitat and, finally, some conclusions will be </w:t>
      </w:r>
      <w:r w:rsidR="00FB6992">
        <w:rPr>
          <w:lang w:val="en-US"/>
        </w:rPr>
        <w:t>suggested</w:t>
      </w:r>
      <w:r>
        <w:rPr>
          <w:lang w:val="en-US"/>
        </w:rPr>
        <w:t>.</w:t>
      </w:r>
    </w:p>
    <w:p w:rsidR="00995EF8" w:rsidRPr="00995EF8" w:rsidRDefault="00995EF8" w:rsidP="00995EF8">
      <w:pPr>
        <w:pStyle w:val="Ttulo1"/>
        <w:numPr>
          <w:ilvl w:val="0"/>
          <w:numId w:val="4"/>
        </w:numPr>
      </w:pPr>
      <w:r>
        <w:t>The Spatial Dimension of Voting</w:t>
      </w:r>
    </w:p>
    <w:p w:rsidR="00995EF8" w:rsidRDefault="00995EF8" w:rsidP="00995EF8">
      <w:pPr>
        <w:spacing w:line="360" w:lineRule="auto"/>
        <w:jc w:val="both"/>
        <w:rPr>
          <w:lang w:val="en-GB"/>
        </w:rPr>
      </w:pPr>
      <w:r>
        <w:rPr>
          <w:lang w:val="en-GB"/>
        </w:rPr>
        <w:t xml:space="preserve">If we want to trace back the roots of the analysis on the relation between territory and voting behaviour, we should consider, in the first place, André Siegfried’s pioneer studies on political sociology, where he established a formal correlation between place and vote </w:t>
      </w:r>
      <w:r w:rsidR="00A27B82">
        <w:rPr>
          <w:lang w:val="en-GB"/>
        </w:rPr>
        <w:fldChar w:fldCharType="begin"/>
      </w:r>
      <w:r w:rsidR="00A27B82">
        <w:rPr>
          <w:lang w:val="en-GB"/>
        </w:rPr>
        <w:instrText>ADDIN RW.CITE{{30 Siegfried,A. 2010 [1913]}}</w:instrText>
      </w:r>
      <w:r w:rsidR="00A27B82">
        <w:rPr>
          <w:lang w:val="en-GB"/>
        </w:rPr>
        <w:fldChar w:fldCharType="separate"/>
      </w:r>
      <w:r w:rsidR="00A27B82" w:rsidRPr="00A27B82">
        <w:rPr>
          <w:lang w:val="en-GB"/>
        </w:rPr>
        <w:t>(Siegfried, 2010 [1913])</w:t>
      </w:r>
      <w:r w:rsidR="00A27B82">
        <w:rPr>
          <w:lang w:val="en-GB"/>
        </w:rPr>
        <w:fldChar w:fldCharType="end"/>
      </w:r>
      <w:r>
        <w:rPr>
          <w:lang w:val="en-GB"/>
        </w:rPr>
        <w:t xml:space="preserve">. This relation was based on the idea that granitic soils </w:t>
      </w:r>
      <w:r>
        <w:rPr>
          <w:lang w:val="en-GB"/>
        </w:rPr>
        <w:lastRenderedPageBreak/>
        <w:t xml:space="preserve">produced a kind of social structure conducive to right-wing voting, while those composed mainly of limestone would promote a social structure conducive to a predominance of the leftist vote. Siegfried’s analysis, however, can be considered as an antecedent of the Columbia School, for different soil compositions will promote different agricultural models, conforming different kinds of social structures that will produce, in turn, an effect on electoral behaviour. Hence, it was social structure, not territory by itself, the independent variable determining people’s voting patterns in Siegfried’s model. </w:t>
      </w:r>
    </w:p>
    <w:p w:rsidR="00995EF8" w:rsidRDefault="00995EF8" w:rsidP="00995EF8">
      <w:pPr>
        <w:spacing w:line="360" w:lineRule="auto"/>
        <w:jc w:val="both"/>
        <w:rPr>
          <w:lang w:val="en-GB"/>
        </w:rPr>
      </w:pPr>
      <w:r>
        <w:rPr>
          <w:lang w:val="en-GB"/>
        </w:rPr>
        <w:t>This indirect relation between territory and vote was to be further theorised forty years later. In an intellectual environment dominated by Modernization theorists, who argued, following Weber</w:t>
      </w:r>
      <w:r w:rsidR="00A27B82">
        <w:rPr>
          <w:lang w:val="en-GB"/>
        </w:rPr>
        <w:t xml:space="preserve"> </w:t>
      </w:r>
      <w:r w:rsidR="00A27B82">
        <w:rPr>
          <w:lang w:val="en-GB"/>
        </w:rPr>
        <w:fldChar w:fldCharType="begin"/>
      </w:r>
      <w:r w:rsidR="00A27B82">
        <w:rPr>
          <w:lang w:val="en-GB"/>
        </w:rPr>
        <w:instrText>ADDIN RW.CITE{{36 Weber,Max. 1996 [1905]}}</w:instrText>
      </w:r>
      <w:r w:rsidR="00A27B82">
        <w:rPr>
          <w:lang w:val="en-GB"/>
        </w:rPr>
        <w:fldChar w:fldCharType="separate"/>
      </w:r>
      <w:r w:rsidR="00A27B82" w:rsidRPr="00A27B82">
        <w:rPr>
          <w:lang w:val="en-GB"/>
        </w:rPr>
        <w:t>(Weber, 1996 [1905])</w:t>
      </w:r>
      <w:r w:rsidR="00A27B82">
        <w:rPr>
          <w:lang w:val="en-GB"/>
        </w:rPr>
        <w:fldChar w:fldCharType="end"/>
      </w:r>
      <w:r>
        <w:rPr>
          <w:lang w:val="en-GB"/>
        </w:rPr>
        <w:t xml:space="preserve">, that poor societies’ cultural values were at the core of an explanation for their economic and political underdevelopment </w:t>
      </w:r>
      <w:r w:rsidR="00A27B82">
        <w:rPr>
          <w:lang w:val="en-GB"/>
        </w:rPr>
        <w:fldChar w:fldCharType="begin"/>
      </w:r>
      <w:r w:rsidR="00A27B82">
        <w:rPr>
          <w:lang w:val="en-GB"/>
        </w:rPr>
        <w:instrText>ADDIN RW.CITE{{31 Lerner,D. 1958; 32 Pye,L. 1963}}</w:instrText>
      </w:r>
      <w:r w:rsidR="00A27B82">
        <w:rPr>
          <w:lang w:val="en-GB"/>
        </w:rPr>
        <w:fldChar w:fldCharType="separate"/>
      </w:r>
      <w:r w:rsidR="00AB638E" w:rsidRPr="00AB638E">
        <w:rPr>
          <w:rFonts w:eastAsia="Times New Roman"/>
          <w:lang w:val="en-US"/>
        </w:rPr>
        <w:t>(Lerner, 1958; Pye &amp; Verba, 1963)</w:t>
      </w:r>
      <w:r w:rsidR="00A27B82">
        <w:rPr>
          <w:lang w:val="en-GB"/>
        </w:rPr>
        <w:fldChar w:fldCharType="end"/>
      </w:r>
      <w:r>
        <w:rPr>
          <w:lang w:val="en-GB"/>
        </w:rPr>
        <w:t xml:space="preserve">, it was argued that good economic performance is a prerequisite for a stable democracy </w:t>
      </w:r>
      <w:r w:rsidR="00A27B82">
        <w:rPr>
          <w:lang w:val="en-GB"/>
        </w:rPr>
        <w:fldChar w:fldCharType="begin"/>
      </w:r>
      <w:r w:rsidR="00A27B82">
        <w:rPr>
          <w:lang w:val="en-GB"/>
        </w:rPr>
        <w:instrText>ADDIN RW.CITE{{34 Lipset,SeymourMartin 1959}}</w:instrText>
      </w:r>
      <w:r w:rsidR="00A27B82">
        <w:rPr>
          <w:lang w:val="en-GB"/>
        </w:rPr>
        <w:fldChar w:fldCharType="separate"/>
      </w:r>
      <w:r w:rsidR="00A27B82" w:rsidRPr="00A27B82">
        <w:rPr>
          <w:lang w:val="en-GB"/>
        </w:rPr>
        <w:t>(Lipset, 1959)</w:t>
      </w:r>
      <w:r w:rsidR="00A27B82">
        <w:rPr>
          <w:lang w:val="en-GB"/>
        </w:rPr>
        <w:fldChar w:fldCharType="end"/>
      </w:r>
      <w:r>
        <w:rPr>
          <w:lang w:val="en-GB"/>
        </w:rPr>
        <w:t xml:space="preserve">. Modernization would transform societies, through nation-building processes, in a way that their old political cleavages –such as those based on clan or regional membership– were to be substituted by new modern nation-wide ones, among which social class would hold a central role, leading authors to define elections as “the expression of the democratic class struggle” </w:t>
      </w:r>
      <w:r w:rsidR="00A27B82">
        <w:rPr>
          <w:lang w:val="en-GB"/>
        </w:rPr>
        <w:fldChar w:fldCharType="begin"/>
      </w:r>
      <w:r w:rsidR="00A27B82">
        <w:rPr>
          <w:lang w:val="en-GB"/>
        </w:rPr>
        <w:instrText>ADDIN RW.CITE{{38 Lipset,SeymourM. 1960}}</w:instrText>
      </w:r>
      <w:r w:rsidR="00A27B82">
        <w:rPr>
          <w:lang w:val="en-GB"/>
        </w:rPr>
        <w:fldChar w:fldCharType="separate"/>
      </w:r>
      <w:r w:rsidR="00A27B82" w:rsidRPr="00A27B82">
        <w:rPr>
          <w:lang w:val="en-GB"/>
        </w:rPr>
        <w:t>(Lipset, 1960)</w:t>
      </w:r>
      <w:r w:rsidR="00A27B82">
        <w:rPr>
          <w:lang w:val="en-GB"/>
        </w:rPr>
        <w:fldChar w:fldCharType="end"/>
      </w:r>
      <w:r>
        <w:rPr>
          <w:lang w:val="en-GB"/>
        </w:rPr>
        <w:t xml:space="preserve">. It can be stated, then, that authors within this tradition described a homogeneous trend accompanying the process of modernization, by which local differences would lose relevance, as these were going to be surpassed by new modern nation-wide cleavages; if territorial variations were to be found in people’s voting patterns, these should be attributed not to any kind of spatial effect, but to differences in the social composition of the national territory. </w:t>
      </w:r>
    </w:p>
    <w:p w:rsidR="00995EF8" w:rsidRDefault="00995EF8" w:rsidP="00995EF8">
      <w:pPr>
        <w:spacing w:line="360" w:lineRule="auto"/>
        <w:jc w:val="both"/>
        <w:rPr>
          <w:lang w:val="en-GB"/>
        </w:rPr>
      </w:pPr>
      <w:r>
        <w:rPr>
          <w:lang w:val="en-GB"/>
        </w:rPr>
        <w:t xml:space="preserve">Modernization theory, however, was harshly criticized during the 1970s and 80s, even 60s, by Dependency and World-System theorists </w:t>
      </w:r>
      <w:r w:rsidR="00A27B82">
        <w:rPr>
          <w:lang w:val="en-GB"/>
        </w:rPr>
        <w:fldChar w:fldCharType="begin"/>
      </w:r>
      <w:r w:rsidR="00A27B82">
        <w:rPr>
          <w:lang w:val="en-GB"/>
        </w:rPr>
        <w:instrText>ADDIN RW.CITE{{42 Chase-Dunn,C. 1989; 41 Chirot,D. 1977; 39 Frank,A. 1966; 40 Wallerstein,I. 1974}}</w:instrText>
      </w:r>
      <w:r w:rsidR="00A27B82">
        <w:rPr>
          <w:lang w:val="en-GB"/>
        </w:rPr>
        <w:fldChar w:fldCharType="separate"/>
      </w:r>
      <w:r w:rsidR="00A27B82">
        <w:rPr>
          <w:lang w:val="en-GB"/>
        </w:rPr>
        <w:t>(Chase-Dunn, 1989; Chirot, 1977; Frank, 1966; Wallerstein, 1974)</w:t>
      </w:r>
      <w:r w:rsidR="00A27B82">
        <w:rPr>
          <w:lang w:val="en-GB"/>
        </w:rPr>
        <w:fldChar w:fldCharType="end"/>
      </w:r>
      <w:r w:rsidR="00A27B82">
        <w:rPr>
          <w:lang w:val="en-GB"/>
        </w:rPr>
        <w:t>.</w:t>
      </w:r>
      <w:r>
        <w:rPr>
          <w:lang w:val="en-GB"/>
        </w:rPr>
        <w:t xml:space="preserve"> This critique of Modernization theory spread to its application to democracy and voting behaviour, as exposed by </w:t>
      </w:r>
      <w:proofErr w:type="spellStart"/>
      <w:r>
        <w:rPr>
          <w:lang w:val="en-GB"/>
        </w:rPr>
        <w:t>Lipset</w:t>
      </w:r>
      <w:proofErr w:type="spellEnd"/>
      <w:r>
        <w:rPr>
          <w:lang w:val="en-GB"/>
        </w:rPr>
        <w:t xml:space="preserve"> and his colleagues during the 60s, to the point that in the 1980s arose a new locally-oriented political sociology focused on the importance of spatial political divergences within societies </w:t>
      </w:r>
      <w:r w:rsidR="000B16AD">
        <w:rPr>
          <w:lang w:val="en-GB"/>
        </w:rPr>
        <w:fldChar w:fldCharType="begin"/>
      </w:r>
      <w:r w:rsidR="000B16AD">
        <w:rPr>
          <w:lang w:val="en-GB"/>
        </w:rPr>
        <w:instrText>ADDIN RW.CITE{{47 Agnew,John. 1984; 43 Agnew,John. 1987; 44 Johnston,R. 1986; 46 Johnston,R. 1988; 45 Johnston,R. 1989; 37 Savage,Mike 1987}}</w:instrText>
      </w:r>
      <w:r w:rsidR="000B16AD">
        <w:rPr>
          <w:lang w:val="en-GB"/>
        </w:rPr>
        <w:fldChar w:fldCharType="separate"/>
      </w:r>
      <w:r w:rsidR="00AB638E" w:rsidRPr="00AB638E">
        <w:rPr>
          <w:rFonts w:eastAsia="Times New Roman"/>
          <w:lang w:val="en-US"/>
        </w:rPr>
        <w:t xml:space="preserve">(Agnew, 1984; Agnew, 1987; Johnston, 1986; Johnston, Pattie, &amp; Allsop, 1988; Johnston </w:t>
      </w:r>
      <w:r w:rsidR="00AB638E" w:rsidRPr="00AB638E">
        <w:rPr>
          <w:rFonts w:eastAsia="Times New Roman"/>
          <w:lang w:val="en-US"/>
        </w:rPr>
        <w:lastRenderedPageBreak/>
        <w:t>&amp; Pattie, 1989; Savage, 1987)</w:t>
      </w:r>
      <w:r w:rsidR="000B16AD">
        <w:rPr>
          <w:lang w:val="en-GB"/>
        </w:rPr>
        <w:fldChar w:fldCharType="end"/>
      </w:r>
      <w:r>
        <w:rPr>
          <w:lang w:val="en-GB"/>
        </w:rPr>
        <w:t xml:space="preserve">. Drawing on </w:t>
      </w:r>
      <w:proofErr w:type="spellStart"/>
      <w:r>
        <w:rPr>
          <w:lang w:val="en-GB"/>
        </w:rPr>
        <w:t>Giddens</w:t>
      </w:r>
      <w:proofErr w:type="spellEnd"/>
      <w:r>
        <w:rPr>
          <w:lang w:val="en-GB"/>
        </w:rPr>
        <w:t xml:space="preserve">’ theory of structuration </w:t>
      </w:r>
      <w:r w:rsidR="000B16AD">
        <w:rPr>
          <w:lang w:val="en-GB"/>
        </w:rPr>
        <w:fldChar w:fldCharType="begin"/>
      </w:r>
      <w:r w:rsidR="000B16AD">
        <w:rPr>
          <w:lang w:val="en-GB"/>
        </w:rPr>
        <w:instrText>ADDIN RW.CITE{{48 Giddens,Anthony 1977; 49 Giddens,Anthony 1979 /a; 50 Giddens,Anthony 1981 /a; 51 Giddens,Anthony 1984 /a}}</w:instrText>
      </w:r>
      <w:r w:rsidR="000B16AD">
        <w:rPr>
          <w:lang w:val="en-GB"/>
        </w:rPr>
        <w:fldChar w:fldCharType="separate"/>
      </w:r>
      <w:r w:rsidR="000B16AD">
        <w:rPr>
          <w:lang w:val="en-GB"/>
        </w:rPr>
        <w:t>(Giddens, 1977; 1979; 1981; 1984)</w:t>
      </w:r>
      <w:r w:rsidR="000B16AD">
        <w:rPr>
          <w:lang w:val="en-GB"/>
        </w:rPr>
        <w:fldChar w:fldCharType="end"/>
      </w:r>
      <w:r>
        <w:rPr>
          <w:lang w:val="en-GB"/>
        </w:rPr>
        <w:t xml:space="preserve">, theorists like Agnew wanted to demonstrate “the geographical rootedness of political life” </w:t>
      </w:r>
      <w:r w:rsidR="000B16AD">
        <w:rPr>
          <w:lang w:val="en-GB"/>
        </w:rPr>
        <w:fldChar w:fldCharType="begin"/>
      </w:r>
      <w:r w:rsidR="000B16AD">
        <w:rPr>
          <w:lang w:val="en-GB"/>
        </w:rPr>
        <w:instrText>ADDIN RW.CITE{{43 Agnew,John. 1987}}</w:instrText>
      </w:r>
      <w:r w:rsidR="000B16AD">
        <w:rPr>
          <w:lang w:val="en-GB"/>
        </w:rPr>
        <w:fldChar w:fldCharType="separate"/>
      </w:r>
      <w:r w:rsidR="000B16AD" w:rsidRPr="000B16AD">
        <w:rPr>
          <w:lang w:val="en-GB"/>
        </w:rPr>
        <w:t>(Agnew, 1987)</w:t>
      </w:r>
      <w:r w:rsidR="000B16AD">
        <w:rPr>
          <w:lang w:val="en-GB"/>
        </w:rPr>
        <w:fldChar w:fldCharType="end"/>
      </w:r>
      <w:r>
        <w:rPr>
          <w:lang w:val="en-GB"/>
        </w:rPr>
        <w:t xml:space="preserve">, leading them to a profound critique of </w:t>
      </w:r>
      <w:proofErr w:type="spellStart"/>
      <w:r>
        <w:rPr>
          <w:lang w:val="en-GB"/>
        </w:rPr>
        <w:t>Lipset’s</w:t>
      </w:r>
      <w:proofErr w:type="spellEnd"/>
      <w:r>
        <w:rPr>
          <w:lang w:val="en-GB"/>
        </w:rPr>
        <w:t xml:space="preserve"> homogenization thesis, that treated the local variations of societies as evanescent features that will eventually be banished within a process of progressively national uniformity. This was a critique of the habit of social scientists who usually match societies with the national communities they belong to, and it was supported not only from a theoretically standpoint, but also by empirical evidence; as Agnew puts it: “It is quite remarkable how much empirical sociology has suggested the importance of place without its authors making the connection” (Agnew, 1987). Place theorists also warned of the vivacity of local space as a political determinant, even in neatly modern societies like Great Britain or the USA, for place is seen as a source of collective identity that should, consequently, produce differences in voting patterns. We can state that, at this stage, space was already treated as an independent variable on itself for explaining politics, differentiated from the effect of unequal territorial distribution of social classes, or any other social structural variables. This spatial effect, now formally referred to as the “neighbourhood effect”, firstly theorized by Cox </w:t>
      </w:r>
      <w:r w:rsidR="000B16AD">
        <w:rPr>
          <w:lang w:val="en-GB"/>
        </w:rPr>
        <w:fldChar w:fldCharType="begin"/>
      </w:r>
      <w:r w:rsidR="000B16AD">
        <w:rPr>
          <w:lang w:val="en-GB"/>
        </w:rPr>
        <w:instrText>ADDIN RW.CITE{{52 Cox,K. 1969 /a}}</w:instrText>
      </w:r>
      <w:r w:rsidR="000B16AD">
        <w:rPr>
          <w:lang w:val="en-GB"/>
        </w:rPr>
        <w:fldChar w:fldCharType="separate"/>
      </w:r>
      <w:r w:rsidR="000B16AD" w:rsidRPr="000B16AD">
        <w:rPr>
          <w:lang w:val="en-GB"/>
        </w:rPr>
        <w:t>(1969)</w:t>
      </w:r>
      <w:r w:rsidR="000B16AD">
        <w:rPr>
          <w:lang w:val="en-GB"/>
        </w:rPr>
        <w:fldChar w:fldCharType="end"/>
      </w:r>
      <w:r>
        <w:rPr>
          <w:lang w:val="en-GB"/>
        </w:rPr>
        <w:t xml:space="preserve"> and significantly developed by Miller </w:t>
      </w:r>
      <w:r w:rsidR="000B16AD">
        <w:rPr>
          <w:lang w:val="en-GB"/>
        </w:rPr>
        <w:fldChar w:fldCharType="begin"/>
      </w:r>
      <w:r w:rsidR="000B16AD">
        <w:rPr>
          <w:lang w:val="en-GB"/>
        </w:rPr>
        <w:instrText>ADDIN RW.CITE{{53 Miller,W. 1977 /a}}</w:instrText>
      </w:r>
      <w:r w:rsidR="000B16AD">
        <w:rPr>
          <w:lang w:val="en-GB"/>
        </w:rPr>
        <w:fldChar w:fldCharType="separate"/>
      </w:r>
      <w:r w:rsidR="000B16AD" w:rsidRPr="000B16AD">
        <w:rPr>
          <w:lang w:val="en-GB"/>
        </w:rPr>
        <w:t>(1977)</w:t>
      </w:r>
      <w:r w:rsidR="000B16AD">
        <w:rPr>
          <w:lang w:val="en-GB"/>
        </w:rPr>
        <w:fldChar w:fldCharType="end"/>
      </w:r>
      <w:r>
        <w:rPr>
          <w:lang w:val="en-GB"/>
        </w:rPr>
        <w:t xml:space="preserve">, can be summarized as the idea that everyday contact with fellow neighbours will produce a tendency towards the homogenization of political behaviour within local communities; in Miller’s words: “People who talk together, vote together” (Miller, 1977, p. 65). </w:t>
      </w:r>
    </w:p>
    <w:p w:rsidR="00995EF8" w:rsidRDefault="00995EF8" w:rsidP="00995EF8">
      <w:pPr>
        <w:spacing w:line="360" w:lineRule="auto"/>
        <w:jc w:val="both"/>
        <w:rPr>
          <w:lang w:val="en-GB"/>
        </w:rPr>
      </w:pPr>
      <w:r>
        <w:rPr>
          <w:lang w:val="en-GB"/>
        </w:rPr>
        <w:t xml:space="preserve">Neighbourhood effect has been empirically proved using the British General Election of 1997, which presented clear patterns of voting variations not related to class, but to differences among constituencies’ life standards </w:t>
      </w:r>
      <w:r w:rsidR="000B16AD">
        <w:rPr>
          <w:lang w:val="en-GB"/>
        </w:rPr>
        <w:fldChar w:fldCharType="begin"/>
      </w:r>
      <w:r w:rsidR="000B16AD">
        <w:rPr>
          <w:lang w:val="en-GB"/>
        </w:rPr>
        <w:instrText>ADDIN RW.CITE{{54 MacAllister,I. 2001}}</w:instrText>
      </w:r>
      <w:r w:rsidR="000B16AD">
        <w:rPr>
          <w:lang w:val="en-GB"/>
        </w:rPr>
        <w:fldChar w:fldCharType="separate"/>
      </w:r>
      <w:r w:rsidR="000B16AD" w:rsidRPr="000B16AD">
        <w:rPr>
          <w:lang w:val="en-GB"/>
        </w:rPr>
        <w:t>(MacAllister et al., 2001)</w:t>
      </w:r>
      <w:r w:rsidR="000B16AD">
        <w:rPr>
          <w:lang w:val="en-GB"/>
        </w:rPr>
        <w:fldChar w:fldCharType="end"/>
      </w:r>
      <w:r>
        <w:rPr>
          <w:lang w:val="en-GB"/>
        </w:rPr>
        <w:t>; consequently, the debate is now focused on the logic and nature of these tendencies. One possible explanation is the idea, already mentioned, that social structural variables are not homogeneously distributed in the territory; this idea remembers us the indirect effect introduced by Siegfried at the beginning of the 20</w:t>
      </w:r>
      <w:r>
        <w:rPr>
          <w:vertAlign w:val="superscript"/>
          <w:lang w:val="en-GB"/>
        </w:rPr>
        <w:t>th</w:t>
      </w:r>
      <w:r>
        <w:rPr>
          <w:lang w:val="en-GB"/>
        </w:rPr>
        <w:t xml:space="preserve"> century and would eventually end up in a sophistication of the cleavage approach. This line of research has demonstrated to be highly productive, and in recent years we have witnessed a resurgence of class voting theorizing, not yet seen as the product of a direct relation –</w:t>
      </w:r>
      <w:r>
        <w:rPr>
          <w:lang w:val="en-GB"/>
        </w:rPr>
        <w:lastRenderedPageBreak/>
        <w:t xml:space="preserve">as analysed by early theorizing, e.g. Alford </w:t>
      </w:r>
      <w:r w:rsidR="000B16AD">
        <w:rPr>
          <w:lang w:val="en-GB"/>
        </w:rPr>
        <w:fldChar w:fldCharType="begin"/>
      </w:r>
      <w:r w:rsidR="000B16AD">
        <w:rPr>
          <w:lang w:val="en-GB"/>
        </w:rPr>
        <w:instrText>ADDIN RW.CITE{{60 Alford,R. 1963}}</w:instrText>
      </w:r>
      <w:r w:rsidR="000B16AD">
        <w:rPr>
          <w:lang w:val="en-GB"/>
        </w:rPr>
        <w:fldChar w:fldCharType="separate"/>
      </w:r>
      <w:r w:rsidR="000B16AD">
        <w:rPr>
          <w:lang w:val="en-GB"/>
        </w:rPr>
        <w:t>(Alford, 1963)</w:t>
      </w:r>
      <w:r w:rsidR="000B16AD">
        <w:rPr>
          <w:lang w:val="en-GB"/>
        </w:rPr>
        <w:fldChar w:fldCharType="end"/>
      </w:r>
      <w:r>
        <w:rPr>
          <w:lang w:val="en-GB"/>
        </w:rPr>
        <w:t xml:space="preserve">–, but rather quite complex </w:t>
      </w:r>
      <w:r w:rsidR="000B16AD">
        <w:rPr>
          <w:lang w:val="en-GB"/>
        </w:rPr>
        <w:fldChar w:fldCharType="begin"/>
      </w:r>
      <w:r w:rsidR="00D03B7A">
        <w:rPr>
          <w:lang w:val="en-GB"/>
        </w:rPr>
        <w:instrText>ADDIN RW.CITE{{57 Bartolini,S. 1990; 55 Evans,Geoffrey. 1999; 14 Evans,Geoffrey. 2013; 59 Manza,Jeff. 1995; 56 Manza,Jeff. 1999}}</w:instrText>
      </w:r>
      <w:r w:rsidR="000B16AD">
        <w:rPr>
          <w:lang w:val="en-GB"/>
        </w:rPr>
        <w:fldChar w:fldCharType="separate"/>
      </w:r>
      <w:r w:rsidR="00AB638E" w:rsidRPr="00AB638E">
        <w:rPr>
          <w:rFonts w:eastAsia="Times New Roman"/>
          <w:lang w:val="en-US"/>
        </w:rPr>
        <w:t>(Bartolini &amp; Mair, 1990; Evans, 1999; Evans &amp; de Graaf, 2013; Manza, Hout, &amp; Brooks, 1995; Manza &amp; Brooks, 1999)</w:t>
      </w:r>
      <w:r w:rsidR="000B16AD">
        <w:rPr>
          <w:lang w:val="en-GB"/>
        </w:rPr>
        <w:fldChar w:fldCharType="end"/>
      </w:r>
      <w:r w:rsidR="00D03B7A">
        <w:rPr>
          <w:rFonts w:eastAsia="Times New Roman"/>
          <w:lang w:val="en-US"/>
        </w:rPr>
        <w:t>.</w:t>
      </w:r>
    </w:p>
    <w:p w:rsidR="00995EF8" w:rsidRDefault="00995EF8" w:rsidP="00995EF8">
      <w:pPr>
        <w:spacing w:line="360" w:lineRule="auto"/>
        <w:jc w:val="both"/>
        <w:rPr>
          <w:lang w:val="en-US"/>
        </w:rPr>
      </w:pPr>
      <w:r>
        <w:rPr>
          <w:lang w:val="en-GB"/>
        </w:rPr>
        <w:t>On the other hand we have explanations for the neighbourhood effect focused on the role played by local political cultures</w:t>
      </w:r>
      <w:r w:rsidR="00AB638E">
        <w:rPr>
          <w:lang w:val="en-GB"/>
        </w:rPr>
        <w:t xml:space="preserve"> </w:t>
      </w:r>
      <w:r w:rsidR="00AB638E">
        <w:rPr>
          <w:lang w:val="en-GB"/>
        </w:rPr>
        <w:fldChar w:fldCharType="begin"/>
      </w:r>
      <w:r w:rsidR="00AB638E">
        <w:rPr>
          <w:lang w:val="en-GB"/>
        </w:rPr>
        <w:instrText>ADDIN RW.CITE{{61 MacIntyre,S. 1980}}</w:instrText>
      </w:r>
      <w:r w:rsidR="00AB638E">
        <w:rPr>
          <w:lang w:val="en-GB"/>
        </w:rPr>
        <w:fldChar w:fldCharType="separate"/>
      </w:r>
      <w:r w:rsidR="00AB638E" w:rsidRPr="00AB638E">
        <w:rPr>
          <w:lang w:val="en-GB"/>
        </w:rPr>
        <w:t>(MacIntyre, 1980)</w:t>
      </w:r>
      <w:r w:rsidR="00AB638E">
        <w:rPr>
          <w:lang w:val="en-GB"/>
        </w:rPr>
        <w:fldChar w:fldCharType="end"/>
      </w:r>
      <w:r>
        <w:rPr>
          <w:lang w:val="en-GB"/>
        </w:rPr>
        <w:t xml:space="preserve"> and on the idea that it is not social structure that varies, but economic realities that differ from one region to another </w:t>
      </w:r>
      <w:r w:rsidR="00AB638E">
        <w:rPr>
          <w:lang w:val="en-GB"/>
        </w:rPr>
        <w:fldChar w:fldCharType="begin"/>
      </w:r>
      <w:r w:rsidR="00AB638E">
        <w:rPr>
          <w:lang w:val="en-GB"/>
        </w:rPr>
        <w:instrText>ADDIN RW.CITE{{62 Heath,A. 1991}}</w:instrText>
      </w:r>
      <w:r w:rsidR="00AB638E">
        <w:rPr>
          <w:lang w:val="en-GB"/>
        </w:rPr>
        <w:fldChar w:fldCharType="separate"/>
      </w:r>
      <w:r w:rsidR="00AB638E" w:rsidRPr="00AB638E">
        <w:rPr>
          <w:lang w:val="en-GB"/>
        </w:rPr>
        <w:t>(Heath et al., 1991)</w:t>
      </w:r>
      <w:r w:rsidR="00AB638E">
        <w:rPr>
          <w:lang w:val="en-GB"/>
        </w:rPr>
        <w:fldChar w:fldCharType="end"/>
      </w:r>
      <w:r>
        <w:rPr>
          <w:lang w:val="en-GB"/>
        </w:rPr>
        <w:t xml:space="preserve">. On an intermediary level, Savage </w:t>
      </w:r>
      <w:r>
        <w:rPr>
          <w:i/>
          <w:lang w:val="en-GB"/>
        </w:rPr>
        <w:t>et al.</w:t>
      </w:r>
      <w:r>
        <w:rPr>
          <w:lang w:val="en-GB"/>
        </w:rPr>
        <w:t xml:space="preserve"> have proposed the alternative interpretation of seeing social class as still politically relevant, but arguing that its expression and mobilization is nowadays symbolically attached to local scenarios </w:t>
      </w:r>
      <w:r w:rsidR="00AB638E">
        <w:rPr>
          <w:lang w:val="en-GB"/>
        </w:rPr>
        <w:fldChar w:fldCharType="begin"/>
      </w:r>
      <w:r w:rsidR="00AB638E">
        <w:rPr>
          <w:lang w:val="en-GB"/>
        </w:rPr>
        <w:instrText>ADDIN RW.CITE{{63 Savage,Mike. 2003}}</w:instrText>
      </w:r>
      <w:r w:rsidR="00AB638E">
        <w:rPr>
          <w:lang w:val="en-GB"/>
        </w:rPr>
        <w:fldChar w:fldCharType="separate"/>
      </w:r>
      <w:r w:rsidR="00AB638E" w:rsidRPr="00AB638E">
        <w:rPr>
          <w:rFonts w:eastAsia="Times New Roman"/>
          <w:lang w:val="en-US"/>
        </w:rPr>
        <w:t>(Savage, Warde, &amp; Ward, 2003)</w:t>
      </w:r>
      <w:r w:rsidR="00AB638E">
        <w:rPr>
          <w:lang w:val="en-GB"/>
        </w:rPr>
        <w:fldChar w:fldCharType="end"/>
      </w:r>
      <w:r>
        <w:rPr>
          <w:lang w:val="en-GB"/>
        </w:rPr>
        <w:t>. It can be argued, however, that this approach is nationally biased, since it owes very much to UK’s social reality, defined by the erosion of nation-wide working-class organisations promoted by Thatcherism during the 1980s.</w:t>
      </w:r>
    </w:p>
    <w:p w:rsidR="00995EF8" w:rsidRPr="00F243D7" w:rsidRDefault="00EE218A" w:rsidP="00995EF8">
      <w:pPr>
        <w:pStyle w:val="Ttulo1"/>
        <w:numPr>
          <w:ilvl w:val="0"/>
          <w:numId w:val="4"/>
        </w:numPr>
        <w:spacing w:line="360" w:lineRule="auto"/>
        <w:jc w:val="both"/>
        <w:rPr>
          <w:lang w:val="en-GB"/>
        </w:rPr>
      </w:pPr>
      <w:r>
        <w:t>Social Habitats in Spain</w:t>
      </w:r>
    </w:p>
    <w:p w:rsidR="005A1E5C" w:rsidRDefault="005A1E5C" w:rsidP="005A1E5C">
      <w:pPr>
        <w:spacing w:line="360" w:lineRule="auto"/>
        <w:jc w:val="both"/>
        <w:rPr>
          <w:sz w:val="20"/>
          <w:szCs w:val="20"/>
          <w:lang w:val="en-US"/>
        </w:rPr>
      </w:pPr>
      <w:r>
        <w:rPr>
          <w:lang w:val="en-US"/>
        </w:rPr>
        <w:t>As a result of other research</w:t>
      </w:r>
      <w:r>
        <w:rPr>
          <w:rStyle w:val="Refdenotaalpie"/>
          <w:lang w:val="en-US"/>
        </w:rPr>
        <w:footnoteReference w:id="1"/>
      </w:r>
      <w:r>
        <w:rPr>
          <w:lang w:val="en-US"/>
        </w:rPr>
        <w:t xml:space="preserve">, harmonizing relevance and parsimony, we came to classify </w:t>
      </w:r>
      <w:r w:rsidR="006B2225">
        <w:rPr>
          <w:lang w:val="en-US"/>
        </w:rPr>
        <w:t>the Spanish territory</w:t>
      </w:r>
      <w:r>
        <w:rPr>
          <w:lang w:val="en-US"/>
        </w:rPr>
        <w:t xml:space="preserve"> in four initial types of habitat and, in a second step, to divide some of these habitats in smaller, </w:t>
      </w:r>
      <w:r w:rsidR="006B2225">
        <w:rPr>
          <w:lang w:val="en-US"/>
        </w:rPr>
        <w:t>more</w:t>
      </w:r>
      <w:r>
        <w:rPr>
          <w:lang w:val="en-US"/>
        </w:rPr>
        <w:t xml:space="preserve"> explanatory, categories. The main four habitats are: Cities, Peripheries, Small Urban Areas (SUA) and Rural (see figures 1 to 3). Figure 4 explains the inclusion criteria for the division of the </w:t>
      </w:r>
      <w:proofErr w:type="gramStart"/>
      <w:r>
        <w:rPr>
          <w:lang w:val="en-US"/>
        </w:rPr>
        <w:t>Rural</w:t>
      </w:r>
      <w:proofErr w:type="gramEnd"/>
      <w:r>
        <w:rPr>
          <w:lang w:val="en-US"/>
        </w:rPr>
        <w:t xml:space="preserve"> category into three new habitats: Manualized Rural, Agrarian Rural and Deactivated Rural. Figure 5 shows an evolution of the habitats and, finally, figure 6 illustrates the </w:t>
      </w:r>
      <w:r w:rsidR="006C3A65">
        <w:rPr>
          <w:lang w:val="en-US"/>
        </w:rPr>
        <w:t>n</w:t>
      </w:r>
      <w:r w:rsidR="006C3A65" w:rsidRPr="006C3A65">
        <w:rPr>
          <w:lang w:val="en-US"/>
        </w:rPr>
        <w:t xml:space="preserve">et </w:t>
      </w:r>
      <w:r w:rsidR="006C3A65">
        <w:rPr>
          <w:lang w:val="en-US"/>
        </w:rPr>
        <w:t>m</w:t>
      </w:r>
      <w:r w:rsidR="006C3A65" w:rsidRPr="006C3A65">
        <w:rPr>
          <w:lang w:val="en-US"/>
        </w:rPr>
        <w:t xml:space="preserve">igration </w:t>
      </w:r>
      <w:r w:rsidR="006C3A65">
        <w:rPr>
          <w:lang w:val="en-US"/>
        </w:rPr>
        <w:t>flows for Spain during the period 2001-2010.</w:t>
      </w:r>
    </w:p>
    <w:p w:rsidR="005A1E5C" w:rsidRDefault="005A1E5C" w:rsidP="005A1E5C">
      <w:pPr>
        <w:keepNext/>
        <w:spacing w:after="0" w:line="240" w:lineRule="auto"/>
        <w:jc w:val="center"/>
        <w:rPr>
          <w:b/>
          <w:sz w:val="20"/>
          <w:szCs w:val="20"/>
          <w:lang w:val="en-US"/>
        </w:rPr>
      </w:pPr>
      <w:r>
        <w:rPr>
          <w:sz w:val="20"/>
          <w:szCs w:val="20"/>
          <w:lang w:val="en-US"/>
        </w:rPr>
        <w:lastRenderedPageBreak/>
        <w:t>Figure 1</w:t>
      </w:r>
    </w:p>
    <w:p w:rsidR="005A1E5C" w:rsidRDefault="005A1E5C" w:rsidP="005A1E5C">
      <w:pPr>
        <w:keepNext/>
        <w:spacing w:after="0" w:line="240" w:lineRule="auto"/>
        <w:jc w:val="center"/>
        <w:rPr>
          <w:rFonts w:eastAsia="Times New Roman"/>
          <w:color w:val="000000"/>
          <w:sz w:val="18"/>
          <w:szCs w:val="18"/>
          <w:lang w:val="en-US" w:eastAsia="es-ES"/>
        </w:rPr>
      </w:pPr>
      <w:r>
        <w:rPr>
          <w:b/>
          <w:sz w:val="20"/>
          <w:szCs w:val="20"/>
          <w:lang w:val="en-US"/>
        </w:rPr>
        <w:t>Municipalities divided in habitats. Spain 2011</w:t>
      </w:r>
    </w:p>
    <w:tbl>
      <w:tblPr>
        <w:tblW w:w="0" w:type="auto"/>
        <w:tblInd w:w="-91" w:type="dxa"/>
        <w:tblLayout w:type="fixed"/>
        <w:tblCellMar>
          <w:left w:w="0" w:type="dxa"/>
          <w:right w:w="0" w:type="dxa"/>
        </w:tblCellMar>
        <w:tblLook w:val="0000" w:firstRow="0" w:lastRow="0" w:firstColumn="0" w:lastColumn="0" w:noHBand="0" w:noVBand="0"/>
      </w:tblPr>
      <w:tblGrid>
        <w:gridCol w:w="1727"/>
        <w:gridCol w:w="1123"/>
        <w:gridCol w:w="481"/>
        <w:gridCol w:w="1040"/>
        <w:gridCol w:w="590"/>
        <w:gridCol w:w="4264"/>
      </w:tblGrid>
      <w:tr w:rsidR="005A1E5C" w:rsidTr="00E15C70">
        <w:trPr>
          <w:trHeight w:val="240"/>
        </w:trPr>
        <w:tc>
          <w:tcPr>
            <w:tcW w:w="1727" w:type="dxa"/>
            <w:tcBorders>
              <w:top w:val="single" w:sz="18" w:space="0" w:color="000000"/>
              <w:left w:val="single" w:sz="18" w:space="0" w:color="000000"/>
            </w:tcBorders>
            <w:shd w:val="clear" w:color="auto" w:fill="auto"/>
            <w:vAlign w:val="bottom"/>
          </w:tcPr>
          <w:p w:rsidR="005A1E5C" w:rsidRDefault="005A1E5C" w:rsidP="00E15C70">
            <w:pPr>
              <w:keepNext/>
              <w:keepLines/>
              <w:spacing w:after="0" w:line="240" w:lineRule="auto"/>
              <w:rPr>
                <w:rFonts w:eastAsia="Times New Roman"/>
                <w:b/>
                <w:bCs/>
                <w:color w:val="000000"/>
                <w:sz w:val="18"/>
                <w:szCs w:val="18"/>
                <w:lang w:val="en-US" w:eastAsia="es-ES"/>
              </w:rPr>
            </w:pPr>
            <w:r>
              <w:rPr>
                <w:rFonts w:eastAsia="Times New Roman"/>
                <w:color w:val="000000"/>
                <w:sz w:val="18"/>
                <w:szCs w:val="18"/>
                <w:lang w:val="en-US" w:eastAsia="es-ES"/>
              </w:rPr>
              <w:t>TYPE</w:t>
            </w:r>
          </w:p>
        </w:tc>
        <w:tc>
          <w:tcPr>
            <w:tcW w:w="1123" w:type="dxa"/>
            <w:tcBorders>
              <w:top w:val="single" w:sz="18" w:space="0" w:color="000000"/>
              <w:left w:val="single" w:sz="12" w:space="0" w:color="000000"/>
            </w:tcBorders>
            <w:shd w:val="clear" w:color="auto" w:fill="auto"/>
            <w:vAlign w:val="bottom"/>
          </w:tcPr>
          <w:p w:rsidR="005A1E5C" w:rsidRDefault="005A1E5C" w:rsidP="00E15C70">
            <w:pPr>
              <w:keepNext/>
              <w:keepLines/>
              <w:spacing w:after="0" w:line="240" w:lineRule="auto"/>
              <w:jc w:val="center"/>
              <w:rPr>
                <w:rFonts w:eastAsia="Times New Roman"/>
                <w:b/>
                <w:bCs/>
                <w:color w:val="000000"/>
                <w:sz w:val="18"/>
                <w:szCs w:val="18"/>
                <w:lang w:val="en-US" w:eastAsia="es-ES"/>
              </w:rPr>
            </w:pPr>
            <w:r>
              <w:rPr>
                <w:rFonts w:eastAsia="Times New Roman"/>
                <w:b/>
                <w:bCs/>
                <w:color w:val="000000"/>
                <w:sz w:val="18"/>
                <w:szCs w:val="18"/>
                <w:lang w:val="en-US" w:eastAsia="es-ES"/>
              </w:rPr>
              <w:t>Number of Municipalities</w:t>
            </w:r>
          </w:p>
        </w:tc>
        <w:tc>
          <w:tcPr>
            <w:tcW w:w="481" w:type="dxa"/>
            <w:tcBorders>
              <w:top w:val="single" w:sz="18" w:space="0" w:color="000000"/>
              <w:left w:val="dashed" w:sz="4" w:space="0" w:color="000000"/>
            </w:tcBorders>
            <w:shd w:val="clear" w:color="auto" w:fill="auto"/>
            <w:vAlign w:val="bottom"/>
          </w:tcPr>
          <w:p w:rsidR="005A1E5C" w:rsidRDefault="005A1E5C" w:rsidP="00E15C70">
            <w:pPr>
              <w:keepNext/>
              <w:keepLines/>
              <w:spacing w:after="0" w:line="240" w:lineRule="auto"/>
              <w:jc w:val="center"/>
              <w:rPr>
                <w:rFonts w:eastAsia="Times New Roman"/>
                <w:b/>
                <w:bCs/>
                <w:color w:val="000000"/>
                <w:sz w:val="18"/>
                <w:szCs w:val="18"/>
                <w:lang w:val="en-US" w:eastAsia="es-ES"/>
              </w:rPr>
            </w:pPr>
            <w:r>
              <w:rPr>
                <w:rFonts w:eastAsia="Times New Roman"/>
                <w:b/>
                <w:bCs/>
                <w:color w:val="000000"/>
                <w:sz w:val="18"/>
                <w:szCs w:val="18"/>
                <w:lang w:val="en-US" w:eastAsia="es-ES"/>
              </w:rPr>
              <w:t>%</w:t>
            </w:r>
          </w:p>
        </w:tc>
        <w:tc>
          <w:tcPr>
            <w:tcW w:w="1040" w:type="dxa"/>
            <w:tcBorders>
              <w:top w:val="single" w:sz="18" w:space="0" w:color="000000"/>
              <w:left w:val="single" w:sz="12" w:space="0" w:color="000000"/>
            </w:tcBorders>
            <w:shd w:val="clear" w:color="auto" w:fill="auto"/>
          </w:tcPr>
          <w:p w:rsidR="005A1E5C" w:rsidRDefault="005A1E5C" w:rsidP="00E15C70">
            <w:pPr>
              <w:keepNext/>
              <w:keepLines/>
              <w:spacing w:after="0" w:line="240" w:lineRule="auto"/>
              <w:jc w:val="center"/>
              <w:rPr>
                <w:rFonts w:eastAsia="Times New Roman"/>
                <w:b/>
                <w:bCs/>
                <w:color w:val="000000"/>
                <w:sz w:val="18"/>
                <w:szCs w:val="18"/>
                <w:lang w:val="en-US" w:eastAsia="es-ES"/>
              </w:rPr>
            </w:pPr>
            <w:r>
              <w:rPr>
                <w:rFonts w:eastAsia="Times New Roman"/>
                <w:b/>
                <w:bCs/>
                <w:color w:val="000000"/>
                <w:sz w:val="18"/>
                <w:szCs w:val="18"/>
                <w:lang w:val="en-US" w:eastAsia="es-ES"/>
              </w:rPr>
              <w:t>Population</w:t>
            </w:r>
          </w:p>
        </w:tc>
        <w:tc>
          <w:tcPr>
            <w:tcW w:w="590" w:type="dxa"/>
            <w:tcBorders>
              <w:top w:val="single" w:sz="18" w:space="0" w:color="000000"/>
              <w:left w:val="dashed" w:sz="4" w:space="0" w:color="000000"/>
            </w:tcBorders>
            <w:shd w:val="clear" w:color="auto" w:fill="auto"/>
          </w:tcPr>
          <w:p w:rsidR="005A1E5C" w:rsidRDefault="005A1E5C" w:rsidP="00E15C70">
            <w:pPr>
              <w:keepNext/>
              <w:keepLines/>
              <w:spacing w:after="0" w:line="240" w:lineRule="auto"/>
              <w:jc w:val="center"/>
            </w:pPr>
            <w:r>
              <w:rPr>
                <w:rFonts w:eastAsia="Times New Roman"/>
                <w:b/>
                <w:bCs/>
                <w:color w:val="000000"/>
                <w:sz w:val="18"/>
                <w:szCs w:val="18"/>
                <w:lang w:val="en-US" w:eastAsia="es-ES"/>
              </w:rPr>
              <w:t>%</w:t>
            </w:r>
          </w:p>
        </w:tc>
        <w:tc>
          <w:tcPr>
            <w:tcW w:w="4264" w:type="dxa"/>
            <w:vMerge w:val="restart"/>
            <w:tcBorders>
              <w:top w:val="single" w:sz="18" w:space="0" w:color="000000"/>
              <w:left w:val="single" w:sz="18" w:space="0" w:color="000000"/>
              <w:right w:val="single" w:sz="18" w:space="0" w:color="000000"/>
            </w:tcBorders>
            <w:shd w:val="clear" w:color="auto" w:fill="auto"/>
          </w:tcPr>
          <w:p w:rsidR="005A1E5C" w:rsidRDefault="005A1E5C" w:rsidP="00E15C70">
            <w:pPr>
              <w:keepNext/>
              <w:keepLines/>
              <w:spacing w:after="0" w:line="240" w:lineRule="auto"/>
              <w:jc w:val="center"/>
              <w:rPr>
                <w:rFonts w:eastAsia="Times New Roman"/>
                <w:bCs/>
                <w:color w:val="000000"/>
                <w:sz w:val="18"/>
                <w:szCs w:val="18"/>
                <w:lang w:val="en-US" w:eastAsia="es-ES"/>
              </w:rPr>
            </w:pPr>
            <w:r>
              <w:rPr>
                <w:rFonts w:eastAsia="Times New Roman"/>
                <w:b/>
                <w:noProof/>
                <w:color w:val="000000"/>
                <w:sz w:val="20"/>
                <w:szCs w:val="20"/>
                <w:lang w:val="es-ES" w:eastAsia="es-ES"/>
              </w:rPr>
              <w:drawing>
                <wp:inline distT="0" distB="0" distL="0" distR="0" wp14:anchorId="09265324" wp14:editId="1E503298">
                  <wp:extent cx="2409825" cy="17240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9825" cy="1724025"/>
                          </a:xfrm>
                          <a:prstGeom prst="rect">
                            <a:avLst/>
                          </a:prstGeom>
                          <a:solidFill>
                            <a:srgbClr val="FFFFFF">
                              <a:alpha val="0"/>
                            </a:srgbClr>
                          </a:solidFill>
                          <a:ln>
                            <a:noFill/>
                          </a:ln>
                        </pic:spPr>
                      </pic:pic>
                    </a:graphicData>
                  </a:graphic>
                </wp:inline>
              </w:drawing>
            </w:r>
          </w:p>
        </w:tc>
      </w:tr>
      <w:tr w:rsidR="005A1E5C" w:rsidTr="00E15C70">
        <w:tblPrEx>
          <w:tblCellMar>
            <w:left w:w="70" w:type="dxa"/>
            <w:right w:w="70" w:type="dxa"/>
          </w:tblCellMar>
        </w:tblPrEx>
        <w:trPr>
          <w:trHeight w:val="240"/>
        </w:trPr>
        <w:tc>
          <w:tcPr>
            <w:tcW w:w="1727" w:type="dxa"/>
            <w:tcBorders>
              <w:top w:val="single" w:sz="12" w:space="0" w:color="000000"/>
              <w:left w:val="single" w:sz="18" w:space="0" w:color="000000"/>
            </w:tcBorders>
            <w:shd w:val="clear" w:color="auto" w:fill="auto"/>
            <w:vAlign w:val="bottom"/>
          </w:tcPr>
          <w:p w:rsidR="005A1E5C" w:rsidRDefault="005A1E5C" w:rsidP="00E15C70">
            <w:pPr>
              <w:keepNext/>
              <w:keepLines/>
              <w:spacing w:before="40" w:after="40" w:line="240" w:lineRule="auto"/>
              <w:jc w:val="center"/>
              <w:rPr>
                <w:rFonts w:eastAsia="Times New Roman"/>
                <w:bCs/>
                <w:color w:val="000000"/>
                <w:sz w:val="18"/>
                <w:szCs w:val="18"/>
                <w:lang w:val="en-US" w:eastAsia="es-ES"/>
              </w:rPr>
            </w:pPr>
            <w:r>
              <w:rPr>
                <w:rFonts w:eastAsia="Times New Roman"/>
                <w:bCs/>
                <w:color w:val="000000"/>
                <w:sz w:val="18"/>
                <w:szCs w:val="18"/>
                <w:lang w:val="en-US" w:eastAsia="es-ES"/>
              </w:rPr>
              <w:t>Deactivated rural</w:t>
            </w:r>
          </w:p>
        </w:tc>
        <w:tc>
          <w:tcPr>
            <w:tcW w:w="1123" w:type="dxa"/>
            <w:tcBorders>
              <w:top w:val="single" w:sz="12" w:space="0" w:color="000000"/>
              <w:left w:val="single" w:sz="12" w:space="0" w:color="000000"/>
            </w:tcBorders>
            <w:shd w:val="clear" w:color="auto" w:fill="auto"/>
            <w:vAlign w:val="bottom"/>
          </w:tcPr>
          <w:p w:rsidR="005A1E5C" w:rsidRDefault="005A1E5C" w:rsidP="00E15C70">
            <w:pPr>
              <w:keepNext/>
              <w:keepLines/>
              <w:spacing w:before="40" w:after="40" w:line="240" w:lineRule="auto"/>
              <w:jc w:val="center"/>
              <w:rPr>
                <w:rFonts w:eastAsia="Times New Roman"/>
                <w:bCs/>
                <w:color w:val="000000"/>
                <w:sz w:val="18"/>
                <w:szCs w:val="18"/>
                <w:lang w:val="en-US" w:eastAsia="es-ES"/>
              </w:rPr>
            </w:pPr>
            <w:r>
              <w:rPr>
                <w:rFonts w:eastAsia="Times New Roman"/>
                <w:bCs/>
                <w:color w:val="000000"/>
                <w:sz w:val="18"/>
                <w:szCs w:val="18"/>
                <w:lang w:val="en-US" w:eastAsia="es-ES"/>
              </w:rPr>
              <w:t>3.017</w:t>
            </w:r>
          </w:p>
        </w:tc>
        <w:tc>
          <w:tcPr>
            <w:tcW w:w="481" w:type="dxa"/>
            <w:tcBorders>
              <w:top w:val="single" w:sz="12" w:space="0" w:color="000000"/>
              <w:left w:val="dashed" w:sz="4" w:space="0" w:color="000000"/>
            </w:tcBorders>
            <w:shd w:val="clear" w:color="auto" w:fill="auto"/>
            <w:vAlign w:val="bottom"/>
          </w:tcPr>
          <w:p w:rsidR="005A1E5C" w:rsidRDefault="005A1E5C" w:rsidP="00E15C70">
            <w:pPr>
              <w:keepNext/>
              <w:keepLines/>
              <w:spacing w:before="40" w:after="40" w:line="240" w:lineRule="auto"/>
              <w:jc w:val="center"/>
              <w:rPr>
                <w:sz w:val="18"/>
                <w:szCs w:val="18"/>
                <w:lang w:val="en-US"/>
              </w:rPr>
            </w:pPr>
            <w:r>
              <w:rPr>
                <w:rFonts w:eastAsia="Times New Roman"/>
                <w:bCs/>
                <w:color w:val="000000"/>
                <w:sz w:val="18"/>
                <w:szCs w:val="18"/>
                <w:lang w:val="en-US" w:eastAsia="es-ES"/>
              </w:rPr>
              <w:t>37,2</w:t>
            </w:r>
          </w:p>
        </w:tc>
        <w:tc>
          <w:tcPr>
            <w:tcW w:w="1040" w:type="dxa"/>
            <w:tcBorders>
              <w:top w:val="single" w:sz="12" w:space="0" w:color="000000"/>
              <w:left w:val="single" w:sz="12" w:space="0" w:color="000000"/>
            </w:tcBorders>
            <w:shd w:val="clear" w:color="auto" w:fill="auto"/>
            <w:vAlign w:val="bottom"/>
          </w:tcPr>
          <w:p w:rsidR="005A1E5C" w:rsidRDefault="005A1E5C" w:rsidP="00E15C70">
            <w:pPr>
              <w:keepNext/>
              <w:keepLines/>
              <w:spacing w:before="40" w:after="40" w:line="240" w:lineRule="auto"/>
              <w:jc w:val="right"/>
              <w:rPr>
                <w:rFonts w:eastAsia="Times New Roman"/>
                <w:bCs/>
                <w:color w:val="000000"/>
                <w:sz w:val="18"/>
                <w:szCs w:val="18"/>
                <w:lang w:val="en-US" w:eastAsia="es-ES"/>
              </w:rPr>
            </w:pPr>
            <w:r>
              <w:rPr>
                <w:sz w:val="18"/>
                <w:szCs w:val="18"/>
                <w:lang w:val="en-US"/>
              </w:rPr>
              <w:t>1.555.051</w:t>
            </w:r>
          </w:p>
        </w:tc>
        <w:tc>
          <w:tcPr>
            <w:tcW w:w="590" w:type="dxa"/>
            <w:tcBorders>
              <w:top w:val="single" w:sz="12" w:space="0" w:color="000000"/>
              <w:left w:val="dashed" w:sz="4" w:space="0" w:color="000000"/>
            </w:tcBorders>
            <w:shd w:val="clear" w:color="auto" w:fill="auto"/>
          </w:tcPr>
          <w:p w:rsidR="005A1E5C" w:rsidRDefault="005A1E5C" w:rsidP="00E15C70">
            <w:pPr>
              <w:keepNext/>
              <w:keepLines/>
              <w:spacing w:before="40" w:after="40" w:line="240" w:lineRule="auto"/>
              <w:jc w:val="right"/>
              <w:rPr>
                <w:rFonts w:eastAsia="Times New Roman"/>
                <w:bCs/>
                <w:color w:val="000000"/>
                <w:sz w:val="20"/>
                <w:szCs w:val="20"/>
                <w:lang w:val="en-US" w:eastAsia="es-ES"/>
              </w:rPr>
            </w:pPr>
            <w:r>
              <w:rPr>
                <w:rFonts w:eastAsia="Times New Roman"/>
                <w:bCs/>
                <w:color w:val="000000"/>
                <w:sz w:val="18"/>
                <w:szCs w:val="18"/>
                <w:lang w:val="en-US" w:eastAsia="es-ES"/>
              </w:rPr>
              <w:t>3,31</w:t>
            </w:r>
          </w:p>
        </w:tc>
        <w:tc>
          <w:tcPr>
            <w:tcW w:w="4264" w:type="dxa"/>
            <w:vMerge/>
            <w:tcBorders>
              <w:left w:val="single" w:sz="18" w:space="0" w:color="000000"/>
              <w:right w:val="single" w:sz="18" w:space="0" w:color="000000"/>
            </w:tcBorders>
            <w:shd w:val="clear" w:color="auto" w:fill="auto"/>
          </w:tcPr>
          <w:p w:rsidR="005A1E5C" w:rsidRDefault="005A1E5C" w:rsidP="00E15C70">
            <w:pPr>
              <w:keepNext/>
              <w:keepLines/>
              <w:snapToGrid w:val="0"/>
              <w:spacing w:line="240" w:lineRule="auto"/>
              <w:jc w:val="right"/>
              <w:rPr>
                <w:rFonts w:eastAsia="Times New Roman"/>
                <w:bCs/>
                <w:color w:val="000000"/>
                <w:sz w:val="20"/>
                <w:szCs w:val="20"/>
                <w:lang w:val="en-US" w:eastAsia="es-ES"/>
              </w:rPr>
            </w:pPr>
          </w:p>
        </w:tc>
      </w:tr>
      <w:tr w:rsidR="005A1E5C" w:rsidTr="00E15C70">
        <w:tblPrEx>
          <w:tblCellMar>
            <w:left w:w="70" w:type="dxa"/>
            <w:right w:w="70" w:type="dxa"/>
          </w:tblCellMar>
        </w:tblPrEx>
        <w:trPr>
          <w:trHeight w:val="240"/>
        </w:trPr>
        <w:tc>
          <w:tcPr>
            <w:tcW w:w="1727" w:type="dxa"/>
            <w:tcBorders>
              <w:left w:val="single" w:sz="18" w:space="0" w:color="000000"/>
            </w:tcBorders>
            <w:shd w:val="clear" w:color="auto" w:fill="auto"/>
            <w:vAlign w:val="bottom"/>
          </w:tcPr>
          <w:p w:rsidR="005A1E5C" w:rsidRDefault="005A1E5C" w:rsidP="00E15C70">
            <w:pPr>
              <w:keepNext/>
              <w:keepLines/>
              <w:spacing w:before="40" w:after="40" w:line="240" w:lineRule="auto"/>
              <w:rPr>
                <w:rFonts w:eastAsia="Times New Roman"/>
                <w:bCs/>
                <w:color w:val="000000"/>
                <w:sz w:val="18"/>
                <w:szCs w:val="18"/>
                <w:lang w:val="en-US" w:eastAsia="es-ES"/>
              </w:rPr>
            </w:pPr>
            <w:r>
              <w:rPr>
                <w:rFonts w:eastAsia="Times New Roman"/>
                <w:bCs/>
                <w:color w:val="000000"/>
                <w:sz w:val="18"/>
                <w:szCs w:val="18"/>
                <w:lang w:val="en-US" w:eastAsia="es-ES"/>
              </w:rPr>
              <w:t>Agrarian rural</w:t>
            </w:r>
          </w:p>
        </w:tc>
        <w:tc>
          <w:tcPr>
            <w:tcW w:w="1123" w:type="dxa"/>
            <w:tcBorders>
              <w:left w:val="single" w:sz="12" w:space="0" w:color="000000"/>
            </w:tcBorders>
            <w:shd w:val="clear" w:color="auto" w:fill="auto"/>
            <w:vAlign w:val="bottom"/>
          </w:tcPr>
          <w:p w:rsidR="005A1E5C" w:rsidRDefault="005A1E5C" w:rsidP="00E15C70">
            <w:pPr>
              <w:keepNext/>
              <w:keepLines/>
              <w:spacing w:before="40" w:after="40" w:line="240" w:lineRule="auto"/>
              <w:jc w:val="center"/>
              <w:rPr>
                <w:rFonts w:eastAsia="Times New Roman"/>
                <w:bCs/>
                <w:color w:val="000000"/>
                <w:sz w:val="18"/>
                <w:szCs w:val="18"/>
                <w:lang w:val="en-US" w:eastAsia="es-ES"/>
              </w:rPr>
            </w:pPr>
            <w:r>
              <w:rPr>
                <w:rFonts w:eastAsia="Times New Roman"/>
                <w:bCs/>
                <w:color w:val="000000"/>
                <w:sz w:val="18"/>
                <w:szCs w:val="18"/>
                <w:lang w:val="en-US" w:eastAsia="es-ES"/>
              </w:rPr>
              <w:t>935</w:t>
            </w:r>
          </w:p>
        </w:tc>
        <w:tc>
          <w:tcPr>
            <w:tcW w:w="481" w:type="dxa"/>
            <w:tcBorders>
              <w:left w:val="dashed" w:sz="4" w:space="0" w:color="000000"/>
            </w:tcBorders>
            <w:shd w:val="clear" w:color="auto" w:fill="auto"/>
            <w:vAlign w:val="bottom"/>
          </w:tcPr>
          <w:p w:rsidR="005A1E5C" w:rsidRDefault="005A1E5C" w:rsidP="00E15C70">
            <w:pPr>
              <w:keepNext/>
              <w:keepLines/>
              <w:spacing w:before="40" w:after="40" w:line="240" w:lineRule="auto"/>
              <w:jc w:val="center"/>
              <w:rPr>
                <w:sz w:val="18"/>
                <w:szCs w:val="18"/>
                <w:lang w:val="en-US"/>
              </w:rPr>
            </w:pPr>
            <w:r>
              <w:rPr>
                <w:rFonts w:eastAsia="Times New Roman"/>
                <w:bCs/>
                <w:color w:val="000000"/>
                <w:sz w:val="18"/>
                <w:szCs w:val="18"/>
                <w:lang w:val="en-US" w:eastAsia="es-ES"/>
              </w:rPr>
              <w:t>11,5</w:t>
            </w:r>
          </w:p>
        </w:tc>
        <w:tc>
          <w:tcPr>
            <w:tcW w:w="1040" w:type="dxa"/>
            <w:tcBorders>
              <w:left w:val="single" w:sz="12" w:space="0" w:color="000000"/>
            </w:tcBorders>
            <w:shd w:val="clear" w:color="auto" w:fill="auto"/>
            <w:vAlign w:val="bottom"/>
          </w:tcPr>
          <w:p w:rsidR="005A1E5C" w:rsidRDefault="005A1E5C" w:rsidP="00E15C70">
            <w:pPr>
              <w:keepNext/>
              <w:keepLines/>
              <w:spacing w:before="40" w:after="40" w:line="240" w:lineRule="auto"/>
              <w:jc w:val="right"/>
              <w:rPr>
                <w:rFonts w:eastAsia="Times New Roman"/>
                <w:bCs/>
                <w:color w:val="000000"/>
                <w:sz w:val="18"/>
                <w:szCs w:val="18"/>
                <w:lang w:val="en-US" w:eastAsia="es-ES"/>
              </w:rPr>
            </w:pPr>
            <w:r>
              <w:rPr>
                <w:sz w:val="18"/>
                <w:szCs w:val="18"/>
                <w:lang w:val="en-US"/>
              </w:rPr>
              <w:t>632.912</w:t>
            </w:r>
          </w:p>
        </w:tc>
        <w:tc>
          <w:tcPr>
            <w:tcW w:w="590" w:type="dxa"/>
            <w:tcBorders>
              <w:left w:val="dashed" w:sz="4" w:space="0" w:color="000000"/>
            </w:tcBorders>
            <w:shd w:val="clear" w:color="auto" w:fill="auto"/>
          </w:tcPr>
          <w:p w:rsidR="005A1E5C" w:rsidRDefault="005A1E5C" w:rsidP="00E15C70">
            <w:pPr>
              <w:keepNext/>
              <w:keepLines/>
              <w:spacing w:before="40" w:after="40" w:line="240" w:lineRule="auto"/>
              <w:jc w:val="right"/>
              <w:rPr>
                <w:rFonts w:eastAsia="Times New Roman"/>
                <w:bCs/>
                <w:color w:val="000000"/>
                <w:sz w:val="20"/>
                <w:szCs w:val="20"/>
                <w:lang w:val="en-US" w:eastAsia="es-ES"/>
              </w:rPr>
            </w:pPr>
            <w:r>
              <w:rPr>
                <w:rFonts w:eastAsia="Times New Roman"/>
                <w:bCs/>
                <w:color w:val="000000"/>
                <w:sz w:val="18"/>
                <w:szCs w:val="18"/>
                <w:lang w:val="en-US" w:eastAsia="es-ES"/>
              </w:rPr>
              <w:t>1,35</w:t>
            </w:r>
          </w:p>
        </w:tc>
        <w:tc>
          <w:tcPr>
            <w:tcW w:w="4264" w:type="dxa"/>
            <w:vMerge/>
            <w:tcBorders>
              <w:left w:val="single" w:sz="18" w:space="0" w:color="000000"/>
              <w:right w:val="single" w:sz="18" w:space="0" w:color="000000"/>
            </w:tcBorders>
            <w:shd w:val="clear" w:color="auto" w:fill="auto"/>
          </w:tcPr>
          <w:p w:rsidR="005A1E5C" w:rsidRDefault="005A1E5C" w:rsidP="00E15C70">
            <w:pPr>
              <w:keepNext/>
              <w:keepLines/>
              <w:snapToGrid w:val="0"/>
              <w:spacing w:line="240" w:lineRule="auto"/>
              <w:jc w:val="right"/>
              <w:rPr>
                <w:rFonts w:eastAsia="Times New Roman"/>
                <w:bCs/>
                <w:color w:val="000000"/>
                <w:sz w:val="20"/>
                <w:szCs w:val="20"/>
                <w:lang w:val="en-US" w:eastAsia="es-ES"/>
              </w:rPr>
            </w:pPr>
          </w:p>
        </w:tc>
      </w:tr>
      <w:tr w:rsidR="005A1E5C" w:rsidTr="00E15C70">
        <w:tblPrEx>
          <w:tblCellMar>
            <w:left w:w="70" w:type="dxa"/>
            <w:right w:w="70" w:type="dxa"/>
          </w:tblCellMar>
        </w:tblPrEx>
        <w:trPr>
          <w:trHeight w:val="240"/>
        </w:trPr>
        <w:tc>
          <w:tcPr>
            <w:tcW w:w="1727" w:type="dxa"/>
            <w:tcBorders>
              <w:left w:val="single" w:sz="18" w:space="0" w:color="000000"/>
            </w:tcBorders>
            <w:shd w:val="clear" w:color="auto" w:fill="auto"/>
            <w:vAlign w:val="bottom"/>
          </w:tcPr>
          <w:p w:rsidR="005A1E5C" w:rsidRDefault="005A1E5C" w:rsidP="00E15C70">
            <w:pPr>
              <w:keepNext/>
              <w:keepLines/>
              <w:spacing w:before="40" w:after="40" w:line="240" w:lineRule="auto"/>
              <w:rPr>
                <w:rFonts w:eastAsia="Times New Roman"/>
                <w:bCs/>
                <w:color w:val="000000"/>
                <w:sz w:val="18"/>
                <w:szCs w:val="18"/>
                <w:lang w:val="en-US" w:eastAsia="es-ES"/>
              </w:rPr>
            </w:pPr>
            <w:r>
              <w:rPr>
                <w:rFonts w:eastAsia="Times New Roman"/>
                <w:bCs/>
                <w:color w:val="000000"/>
                <w:sz w:val="18"/>
                <w:szCs w:val="18"/>
                <w:lang w:val="en-US" w:eastAsia="es-ES"/>
              </w:rPr>
              <w:t>Manualized rural</w:t>
            </w:r>
          </w:p>
        </w:tc>
        <w:tc>
          <w:tcPr>
            <w:tcW w:w="1123" w:type="dxa"/>
            <w:tcBorders>
              <w:left w:val="single" w:sz="12" w:space="0" w:color="000000"/>
            </w:tcBorders>
            <w:shd w:val="clear" w:color="auto" w:fill="auto"/>
            <w:vAlign w:val="bottom"/>
          </w:tcPr>
          <w:p w:rsidR="005A1E5C" w:rsidRDefault="005A1E5C" w:rsidP="00E15C70">
            <w:pPr>
              <w:keepNext/>
              <w:keepLines/>
              <w:spacing w:before="40" w:after="40" w:line="240" w:lineRule="auto"/>
              <w:jc w:val="center"/>
              <w:rPr>
                <w:rFonts w:eastAsia="Times New Roman"/>
                <w:bCs/>
                <w:color w:val="000000"/>
                <w:sz w:val="18"/>
                <w:szCs w:val="18"/>
                <w:lang w:val="en-US" w:eastAsia="es-ES"/>
              </w:rPr>
            </w:pPr>
            <w:r>
              <w:rPr>
                <w:rFonts w:eastAsia="Times New Roman"/>
                <w:bCs/>
                <w:color w:val="000000"/>
                <w:sz w:val="18"/>
                <w:szCs w:val="18"/>
                <w:lang w:val="en-US" w:eastAsia="es-ES"/>
              </w:rPr>
              <w:t>3.034</w:t>
            </w:r>
          </w:p>
        </w:tc>
        <w:tc>
          <w:tcPr>
            <w:tcW w:w="481" w:type="dxa"/>
            <w:tcBorders>
              <w:left w:val="dashed" w:sz="4" w:space="0" w:color="000000"/>
            </w:tcBorders>
            <w:shd w:val="clear" w:color="auto" w:fill="auto"/>
            <w:vAlign w:val="bottom"/>
          </w:tcPr>
          <w:p w:rsidR="005A1E5C" w:rsidRDefault="005A1E5C" w:rsidP="00E15C70">
            <w:pPr>
              <w:keepNext/>
              <w:keepLines/>
              <w:spacing w:before="40" w:after="40" w:line="240" w:lineRule="auto"/>
              <w:jc w:val="center"/>
              <w:rPr>
                <w:sz w:val="18"/>
                <w:szCs w:val="18"/>
                <w:lang w:val="en-US"/>
              </w:rPr>
            </w:pPr>
            <w:r>
              <w:rPr>
                <w:rFonts w:eastAsia="Times New Roman"/>
                <w:bCs/>
                <w:color w:val="000000"/>
                <w:sz w:val="18"/>
                <w:szCs w:val="18"/>
                <w:lang w:val="en-US" w:eastAsia="es-ES"/>
              </w:rPr>
              <w:t>37,4</w:t>
            </w:r>
          </w:p>
        </w:tc>
        <w:tc>
          <w:tcPr>
            <w:tcW w:w="1040" w:type="dxa"/>
            <w:tcBorders>
              <w:left w:val="single" w:sz="12" w:space="0" w:color="000000"/>
            </w:tcBorders>
            <w:shd w:val="clear" w:color="auto" w:fill="auto"/>
            <w:vAlign w:val="bottom"/>
          </w:tcPr>
          <w:p w:rsidR="005A1E5C" w:rsidRDefault="005A1E5C" w:rsidP="00E15C70">
            <w:pPr>
              <w:keepNext/>
              <w:keepLines/>
              <w:spacing w:before="40" w:after="40" w:line="240" w:lineRule="auto"/>
              <w:jc w:val="right"/>
              <w:rPr>
                <w:rFonts w:eastAsia="Times New Roman"/>
                <w:bCs/>
                <w:color w:val="000000"/>
                <w:sz w:val="18"/>
                <w:szCs w:val="18"/>
                <w:lang w:val="en-US" w:eastAsia="es-ES"/>
              </w:rPr>
            </w:pPr>
            <w:r>
              <w:rPr>
                <w:sz w:val="18"/>
                <w:szCs w:val="18"/>
                <w:lang w:val="en-US"/>
              </w:rPr>
              <w:t>6.025.681</w:t>
            </w:r>
          </w:p>
        </w:tc>
        <w:tc>
          <w:tcPr>
            <w:tcW w:w="590" w:type="dxa"/>
            <w:tcBorders>
              <w:left w:val="dashed" w:sz="4" w:space="0" w:color="000000"/>
            </w:tcBorders>
            <w:shd w:val="clear" w:color="auto" w:fill="auto"/>
          </w:tcPr>
          <w:p w:rsidR="005A1E5C" w:rsidRDefault="005A1E5C" w:rsidP="00E15C70">
            <w:pPr>
              <w:keepNext/>
              <w:keepLines/>
              <w:spacing w:before="40" w:after="40" w:line="240" w:lineRule="auto"/>
              <w:jc w:val="right"/>
              <w:rPr>
                <w:rFonts w:eastAsia="Times New Roman"/>
                <w:bCs/>
                <w:color w:val="000000"/>
                <w:sz w:val="20"/>
                <w:szCs w:val="20"/>
                <w:lang w:val="en-US" w:eastAsia="es-ES"/>
              </w:rPr>
            </w:pPr>
            <w:r>
              <w:rPr>
                <w:rFonts w:eastAsia="Times New Roman"/>
                <w:bCs/>
                <w:color w:val="000000"/>
                <w:sz w:val="18"/>
                <w:szCs w:val="18"/>
                <w:lang w:val="en-US" w:eastAsia="es-ES"/>
              </w:rPr>
              <w:t>12,82</w:t>
            </w:r>
          </w:p>
        </w:tc>
        <w:tc>
          <w:tcPr>
            <w:tcW w:w="4264" w:type="dxa"/>
            <w:vMerge/>
            <w:tcBorders>
              <w:left w:val="single" w:sz="18" w:space="0" w:color="000000"/>
              <w:right w:val="single" w:sz="18" w:space="0" w:color="000000"/>
            </w:tcBorders>
            <w:shd w:val="clear" w:color="auto" w:fill="auto"/>
          </w:tcPr>
          <w:p w:rsidR="005A1E5C" w:rsidRDefault="005A1E5C" w:rsidP="00E15C70">
            <w:pPr>
              <w:keepNext/>
              <w:keepLines/>
              <w:snapToGrid w:val="0"/>
              <w:spacing w:line="240" w:lineRule="auto"/>
              <w:jc w:val="right"/>
              <w:rPr>
                <w:rFonts w:eastAsia="Times New Roman"/>
                <w:bCs/>
                <w:color w:val="000000"/>
                <w:sz w:val="20"/>
                <w:szCs w:val="20"/>
                <w:lang w:val="en-US" w:eastAsia="es-ES"/>
              </w:rPr>
            </w:pPr>
          </w:p>
        </w:tc>
      </w:tr>
      <w:tr w:rsidR="005A1E5C" w:rsidTr="00E15C70">
        <w:tblPrEx>
          <w:tblCellMar>
            <w:left w:w="70" w:type="dxa"/>
            <w:right w:w="70" w:type="dxa"/>
          </w:tblCellMar>
        </w:tblPrEx>
        <w:trPr>
          <w:trHeight w:val="240"/>
        </w:trPr>
        <w:tc>
          <w:tcPr>
            <w:tcW w:w="1727" w:type="dxa"/>
            <w:tcBorders>
              <w:left w:val="single" w:sz="18" w:space="0" w:color="000000"/>
            </w:tcBorders>
            <w:shd w:val="clear" w:color="auto" w:fill="auto"/>
            <w:vAlign w:val="bottom"/>
          </w:tcPr>
          <w:p w:rsidR="005A1E5C" w:rsidRDefault="005A1E5C" w:rsidP="00E15C70">
            <w:pPr>
              <w:keepNext/>
              <w:keepLines/>
              <w:spacing w:before="40" w:after="40" w:line="240" w:lineRule="auto"/>
              <w:rPr>
                <w:rFonts w:eastAsia="Times New Roman"/>
                <w:bCs/>
                <w:color w:val="000000"/>
                <w:sz w:val="18"/>
                <w:szCs w:val="18"/>
                <w:lang w:val="en-US" w:eastAsia="es-ES"/>
              </w:rPr>
            </w:pPr>
            <w:r>
              <w:rPr>
                <w:rFonts w:eastAsia="Times New Roman"/>
                <w:bCs/>
                <w:color w:val="000000"/>
                <w:sz w:val="18"/>
                <w:szCs w:val="18"/>
                <w:lang w:val="en-US" w:eastAsia="es-ES"/>
              </w:rPr>
              <w:t>Small Urban</w:t>
            </w:r>
          </w:p>
        </w:tc>
        <w:tc>
          <w:tcPr>
            <w:tcW w:w="1123" w:type="dxa"/>
            <w:tcBorders>
              <w:left w:val="single" w:sz="12" w:space="0" w:color="000000"/>
            </w:tcBorders>
            <w:shd w:val="clear" w:color="auto" w:fill="auto"/>
            <w:vAlign w:val="bottom"/>
          </w:tcPr>
          <w:p w:rsidR="005A1E5C" w:rsidRDefault="005A1E5C" w:rsidP="00E15C70">
            <w:pPr>
              <w:keepNext/>
              <w:keepLines/>
              <w:spacing w:before="40" w:after="40" w:line="240" w:lineRule="auto"/>
              <w:jc w:val="center"/>
              <w:rPr>
                <w:rFonts w:eastAsia="Times New Roman"/>
                <w:bCs/>
                <w:color w:val="000000"/>
                <w:sz w:val="18"/>
                <w:szCs w:val="18"/>
                <w:lang w:val="en-US" w:eastAsia="es-ES"/>
              </w:rPr>
            </w:pPr>
            <w:r>
              <w:rPr>
                <w:rFonts w:eastAsia="Times New Roman"/>
                <w:bCs/>
                <w:color w:val="000000"/>
                <w:sz w:val="18"/>
                <w:szCs w:val="18"/>
                <w:lang w:val="en-US" w:eastAsia="es-ES"/>
              </w:rPr>
              <w:t>377</w:t>
            </w:r>
          </w:p>
        </w:tc>
        <w:tc>
          <w:tcPr>
            <w:tcW w:w="481" w:type="dxa"/>
            <w:tcBorders>
              <w:left w:val="dashed" w:sz="4" w:space="0" w:color="000000"/>
            </w:tcBorders>
            <w:shd w:val="clear" w:color="auto" w:fill="auto"/>
            <w:vAlign w:val="bottom"/>
          </w:tcPr>
          <w:p w:rsidR="005A1E5C" w:rsidRDefault="005A1E5C" w:rsidP="00E15C70">
            <w:pPr>
              <w:keepNext/>
              <w:keepLines/>
              <w:spacing w:before="40" w:after="40" w:line="240" w:lineRule="auto"/>
              <w:jc w:val="center"/>
              <w:rPr>
                <w:sz w:val="18"/>
                <w:szCs w:val="18"/>
                <w:lang w:val="en-US"/>
              </w:rPr>
            </w:pPr>
            <w:r>
              <w:rPr>
                <w:rFonts w:eastAsia="Times New Roman"/>
                <w:bCs/>
                <w:color w:val="000000"/>
                <w:sz w:val="18"/>
                <w:szCs w:val="18"/>
                <w:lang w:val="en-US" w:eastAsia="es-ES"/>
              </w:rPr>
              <w:t>4,6</w:t>
            </w:r>
          </w:p>
        </w:tc>
        <w:tc>
          <w:tcPr>
            <w:tcW w:w="1040" w:type="dxa"/>
            <w:tcBorders>
              <w:left w:val="single" w:sz="12" w:space="0" w:color="000000"/>
            </w:tcBorders>
            <w:shd w:val="clear" w:color="auto" w:fill="auto"/>
            <w:vAlign w:val="bottom"/>
          </w:tcPr>
          <w:p w:rsidR="005A1E5C" w:rsidRDefault="005A1E5C" w:rsidP="00E15C70">
            <w:pPr>
              <w:keepNext/>
              <w:keepLines/>
              <w:spacing w:before="40" w:after="40" w:line="240" w:lineRule="auto"/>
              <w:jc w:val="right"/>
              <w:rPr>
                <w:rFonts w:eastAsia="Times New Roman"/>
                <w:bCs/>
                <w:color w:val="000000"/>
                <w:sz w:val="18"/>
                <w:szCs w:val="18"/>
                <w:lang w:val="en-US" w:eastAsia="es-ES"/>
              </w:rPr>
            </w:pPr>
            <w:r>
              <w:rPr>
                <w:sz w:val="18"/>
                <w:szCs w:val="18"/>
                <w:lang w:val="en-US"/>
              </w:rPr>
              <w:t>8.213.644</w:t>
            </w:r>
          </w:p>
        </w:tc>
        <w:tc>
          <w:tcPr>
            <w:tcW w:w="590" w:type="dxa"/>
            <w:tcBorders>
              <w:left w:val="dashed" w:sz="4" w:space="0" w:color="000000"/>
            </w:tcBorders>
            <w:shd w:val="clear" w:color="auto" w:fill="auto"/>
          </w:tcPr>
          <w:p w:rsidR="005A1E5C" w:rsidRDefault="005A1E5C" w:rsidP="00E15C70">
            <w:pPr>
              <w:keepNext/>
              <w:keepLines/>
              <w:spacing w:before="40" w:after="40" w:line="240" w:lineRule="auto"/>
              <w:jc w:val="right"/>
              <w:rPr>
                <w:rFonts w:eastAsia="Times New Roman"/>
                <w:bCs/>
                <w:color w:val="000000"/>
                <w:sz w:val="20"/>
                <w:szCs w:val="20"/>
                <w:lang w:val="en-US" w:eastAsia="es-ES"/>
              </w:rPr>
            </w:pPr>
            <w:r>
              <w:rPr>
                <w:rFonts w:eastAsia="Times New Roman"/>
                <w:bCs/>
                <w:color w:val="000000"/>
                <w:sz w:val="18"/>
                <w:szCs w:val="18"/>
                <w:lang w:val="en-US" w:eastAsia="es-ES"/>
              </w:rPr>
              <w:t>14,75</w:t>
            </w:r>
          </w:p>
        </w:tc>
        <w:tc>
          <w:tcPr>
            <w:tcW w:w="4264" w:type="dxa"/>
            <w:vMerge/>
            <w:tcBorders>
              <w:left w:val="single" w:sz="18" w:space="0" w:color="000000"/>
              <w:right w:val="single" w:sz="18" w:space="0" w:color="000000"/>
            </w:tcBorders>
            <w:shd w:val="clear" w:color="auto" w:fill="auto"/>
          </w:tcPr>
          <w:p w:rsidR="005A1E5C" w:rsidRDefault="005A1E5C" w:rsidP="00E15C70">
            <w:pPr>
              <w:keepNext/>
              <w:keepLines/>
              <w:snapToGrid w:val="0"/>
              <w:spacing w:line="240" w:lineRule="auto"/>
              <w:jc w:val="right"/>
              <w:rPr>
                <w:rFonts w:eastAsia="Times New Roman"/>
                <w:bCs/>
                <w:color w:val="000000"/>
                <w:sz w:val="20"/>
                <w:szCs w:val="20"/>
                <w:lang w:val="en-US" w:eastAsia="es-ES"/>
              </w:rPr>
            </w:pPr>
          </w:p>
        </w:tc>
      </w:tr>
      <w:tr w:rsidR="005A1E5C" w:rsidTr="00E15C70">
        <w:tblPrEx>
          <w:tblCellMar>
            <w:left w:w="70" w:type="dxa"/>
            <w:right w:w="70" w:type="dxa"/>
          </w:tblCellMar>
        </w:tblPrEx>
        <w:trPr>
          <w:trHeight w:val="240"/>
        </w:trPr>
        <w:tc>
          <w:tcPr>
            <w:tcW w:w="1727" w:type="dxa"/>
            <w:tcBorders>
              <w:left w:val="single" w:sz="18" w:space="0" w:color="000000"/>
            </w:tcBorders>
            <w:shd w:val="clear" w:color="auto" w:fill="auto"/>
            <w:vAlign w:val="bottom"/>
          </w:tcPr>
          <w:p w:rsidR="005A1E5C" w:rsidRDefault="005A1E5C" w:rsidP="00E15C70">
            <w:pPr>
              <w:keepNext/>
              <w:keepLines/>
              <w:spacing w:before="40" w:after="40" w:line="240" w:lineRule="auto"/>
              <w:rPr>
                <w:rFonts w:eastAsia="Times New Roman"/>
                <w:bCs/>
                <w:color w:val="000000"/>
                <w:sz w:val="18"/>
                <w:szCs w:val="18"/>
                <w:lang w:val="en-US" w:eastAsia="es-ES"/>
              </w:rPr>
            </w:pPr>
            <w:r>
              <w:rPr>
                <w:rFonts w:eastAsia="Times New Roman"/>
                <w:bCs/>
                <w:color w:val="000000"/>
                <w:sz w:val="18"/>
                <w:szCs w:val="18"/>
                <w:lang w:val="en-US" w:eastAsia="es-ES"/>
              </w:rPr>
              <w:t>Periphery</w:t>
            </w:r>
          </w:p>
        </w:tc>
        <w:tc>
          <w:tcPr>
            <w:tcW w:w="1123" w:type="dxa"/>
            <w:tcBorders>
              <w:left w:val="single" w:sz="12" w:space="0" w:color="000000"/>
            </w:tcBorders>
            <w:shd w:val="clear" w:color="auto" w:fill="auto"/>
            <w:vAlign w:val="bottom"/>
          </w:tcPr>
          <w:p w:rsidR="005A1E5C" w:rsidRDefault="005A1E5C" w:rsidP="00E15C70">
            <w:pPr>
              <w:keepNext/>
              <w:keepLines/>
              <w:spacing w:before="40" w:after="40" w:line="240" w:lineRule="auto"/>
              <w:jc w:val="center"/>
              <w:rPr>
                <w:rFonts w:eastAsia="Times New Roman"/>
                <w:bCs/>
                <w:color w:val="000000"/>
                <w:sz w:val="18"/>
                <w:szCs w:val="18"/>
                <w:lang w:val="en-US" w:eastAsia="es-ES"/>
              </w:rPr>
            </w:pPr>
            <w:r>
              <w:rPr>
                <w:rFonts w:eastAsia="Times New Roman"/>
                <w:bCs/>
                <w:color w:val="000000"/>
                <w:sz w:val="18"/>
                <w:szCs w:val="18"/>
                <w:lang w:val="en-US" w:eastAsia="es-ES"/>
              </w:rPr>
              <w:t>679</w:t>
            </w:r>
          </w:p>
        </w:tc>
        <w:tc>
          <w:tcPr>
            <w:tcW w:w="481" w:type="dxa"/>
            <w:tcBorders>
              <w:left w:val="dashed" w:sz="4" w:space="0" w:color="000000"/>
            </w:tcBorders>
            <w:shd w:val="clear" w:color="auto" w:fill="auto"/>
            <w:vAlign w:val="bottom"/>
          </w:tcPr>
          <w:p w:rsidR="005A1E5C" w:rsidRDefault="005A1E5C" w:rsidP="00E15C70">
            <w:pPr>
              <w:keepNext/>
              <w:keepLines/>
              <w:spacing w:before="40" w:after="40" w:line="240" w:lineRule="auto"/>
              <w:jc w:val="center"/>
              <w:rPr>
                <w:sz w:val="18"/>
                <w:szCs w:val="18"/>
                <w:lang w:val="en-US"/>
              </w:rPr>
            </w:pPr>
            <w:r>
              <w:rPr>
                <w:rFonts w:eastAsia="Times New Roman"/>
                <w:bCs/>
                <w:color w:val="000000"/>
                <w:sz w:val="18"/>
                <w:szCs w:val="18"/>
                <w:lang w:val="en-US" w:eastAsia="es-ES"/>
              </w:rPr>
              <w:t>8,4</w:t>
            </w:r>
          </w:p>
        </w:tc>
        <w:tc>
          <w:tcPr>
            <w:tcW w:w="1040" w:type="dxa"/>
            <w:tcBorders>
              <w:left w:val="single" w:sz="12" w:space="0" w:color="000000"/>
            </w:tcBorders>
            <w:shd w:val="clear" w:color="auto" w:fill="auto"/>
            <w:vAlign w:val="bottom"/>
          </w:tcPr>
          <w:p w:rsidR="005A1E5C" w:rsidRDefault="005A1E5C" w:rsidP="00E15C70">
            <w:pPr>
              <w:keepNext/>
              <w:keepLines/>
              <w:spacing w:before="40" w:after="40" w:line="240" w:lineRule="auto"/>
              <w:jc w:val="right"/>
              <w:rPr>
                <w:rFonts w:eastAsia="Times New Roman"/>
                <w:bCs/>
                <w:color w:val="000000"/>
                <w:sz w:val="18"/>
                <w:szCs w:val="18"/>
                <w:lang w:val="en-US" w:eastAsia="es-ES"/>
              </w:rPr>
            </w:pPr>
            <w:r>
              <w:rPr>
                <w:sz w:val="18"/>
                <w:szCs w:val="18"/>
                <w:lang w:val="en-US"/>
              </w:rPr>
              <w:t>6.934.689</w:t>
            </w:r>
          </w:p>
        </w:tc>
        <w:tc>
          <w:tcPr>
            <w:tcW w:w="590" w:type="dxa"/>
            <w:tcBorders>
              <w:left w:val="dashed" w:sz="4" w:space="0" w:color="000000"/>
            </w:tcBorders>
            <w:shd w:val="clear" w:color="auto" w:fill="auto"/>
          </w:tcPr>
          <w:p w:rsidR="005A1E5C" w:rsidRDefault="005A1E5C" w:rsidP="00E15C70">
            <w:pPr>
              <w:keepNext/>
              <w:keepLines/>
              <w:spacing w:before="40" w:after="40" w:line="240" w:lineRule="auto"/>
              <w:jc w:val="right"/>
              <w:rPr>
                <w:rFonts w:eastAsia="Times New Roman"/>
                <w:bCs/>
                <w:color w:val="000000"/>
                <w:sz w:val="20"/>
                <w:szCs w:val="20"/>
                <w:lang w:val="en-US" w:eastAsia="es-ES"/>
              </w:rPr>
            </w:pPr>
            <w:r>
              <w:rPr>
                <w:rFonts w:eastAsia="Times New Roman"/>
                <w:bCs/>
                <w:color w:val="000000"/>
                <w:sz w:val="18"/>
                <w:szCs w:val="18"/>
                <w:lang w:val="en-US" w:eastAsia="es-ES"/>
              </w:rPr>
              <w:t>31,57</w:t>
            </w:r>
          </w:p>
        </w:tc>
        <w:tc>
          <w:tcPr>
            <w:tcW w:w="4264" w:type="dxa"/>
            <w:vMerge/>
            <w:tcBorders>
              <w:left w:val="single" w:sz="18" w:space="0" w:color="000000"/>
              <w:right w:val="single" w:sz="18" w:space="0" w:color="000000"/>
            </w:tcBorders>
            <w:shd w:val="clear" w:color="auto" w:fill="auto"/>
          </w:tcPr>
          <w:p w:rsidR="005A1E5C" w:rsidRDefault="005A1E5C" w:rsidP="00E15C70">
            <w:pPr>
              <w:keepNext/>
              <w:keepLines/>
              <w:snapToGrid w:val="0"/>
              <w:spacing w:line="240" w:lineRule="auto"/>
              <w:jc w:val="right"/>
              <w:rPr>
                <w:rFonts w:eastAsia="Times New Roman"/>
                <w:bCs/>
                <w:color w:val="000000"/>
                <w:sz w:val="20"/>
                <w:szCs w:val="20"/>
                <w:lang w:val="en-US" w:eastAsia="es-ES"/>
              </w:rPr>
            </w:pPr>
          </w:p>
        </w:tc>
      </w:tr>
      <w:tr w:rsidR="005A1E5C" w:rsidTr="00E15C70">
        <w:tblPrEx>
          <w:tblCellMar>
            <w:left w:w="70" w:type="dxa"/>
            <w:right w:w="70" w:type="dxa"/>
          </w:tblCellMar>
        </w:tblPrEx>
        <w:trPr>
          <w:trHeight w:val="240"/>
        </w:trPr>
        <w:tc>
          <w:tcPr>
            <w:tcW w:w="1727" w:type="dxa"/>
            <w:tcBorders>
              <w:left w:val="single" w:sz="18" w:space="0" w:color="000000"/>
            </w:tcBorders>
            <w:shd w:val="clear" w:color="auto" w:fill="auto"/>
            <w:vAlign w:val="bottom"/>
          </w:tcPr>
          <w:p w:rsidR="005A1E5C" w:rsidRDefault="005A1E5C" w:rsidP="00E15C70">
            <w:pPr>
              <w:keepNext/>
              <w:keepLines/>
              <w:spacing w:before="40" w:after="40" w:line="240" w:lineRule="auto"/>
              <w:rPr>
                <w:rFonts w:eastAsia="Times New Roman"/>
                <w:bCs/>
                <w:color w:val="000000"/>
                <w:sz w:val="18"/>
                <w:szCs w:val="18"/>
                <w:lang w:val="en-US" w:eastAsia="es-ES"/>
              </w:rPr>
            </w:pPr>
            <w:r>
              <w:rPr>
                <w:rFonts w:eastAsia="Times New Roman"/>
                <w:bCs/>
                <w:color w:val="000000"/>
                <w:sz w:val="18"/>
                <w:szCs w:val="18"/>
                <w:lang w:val="en-US" w:eastAsia="es-ES"/>
              </w:rPr>
              <w:t>City</w:t>
            </w:r>
          </w:p>
        </w:tc>
        <w:tc>
          <w:tcPr>
            <w:tcW w:w="1123" w:type="dxa"/>
            <w:tcBorders>
              <w:left w:val="single" w:sz="12" w:space="0" w:color="000000"/>
            </w:tcBorders>
            <w:shd w:val="clear" w:color="auto" w:fill="auto"/>
            <w:vAlign w:val="bottom"/>
          </w:tcPr>
          <w:p w:rsidR="005A1E5C" w:rsidRDefault="005A1E5C" w:rsidP="00E15C70">
            <w:pPr>
              <w:keepNext/>
              <w:keepLines/>
              <w:spacing w:before="40" w:after="40" w:line="240" w:lineRule="auto"/>
              <w:jc w:val="center"/>
              <w:rPr>
                <w:rFonts w:eastAsia="Times New Roman"/>
                <w:bCs/>
                <w:color w:val="000000"/>
                <w:sz w:val="18"/>
                <w:szCs w:val="18"/>
                <w:lang w:val="en-US" w:eastAsia="es-ES"/>
              </w:rPr>
            </w:pPr>
            <w:r>
              <w:rPr>
                <w:rFonts w:eastAsia="Times New Roman"/>
                <w:bCs/>
                <w:color w:val="000000"/>
                <w:sz w:val="18"/>
                <w:szCs w:val="18"/>
                <w:lang w:val="en-US" w:eastAsia="es-ES"/>
              </w:rPr>
              <w:t>66</w:t>
            </w:r>
          </w:p>
        </w:tc>
        <w:tc>
          <w:tcPr>
            <w:tcW w:w="481" w:type="dxa"/>
            <w:tcBorders>
              <w:left w:val="dashed" w:sz="4" w:space="0" w:color="000000"/>
            </w:tcBorders>
            <w:shd w:val="clear" w:color="auto" w:fill="auto"/>
            <w:vAlign w:val="bottom"/>
          </w:tcPr>
          <w:p w:rsidR="005A1E5C" w:rsidRDefault="005A1E5C" w:rsidP="00E15C70">
            <w:pPr>
              <w:keepNext/>
              <w:keepLines/>
              <w:spacing w:before="40" w:after="40" w:line="240" w:lineRule="auto"/>
              <w:jc w:val="center"/>
              <w:rPr>
                <w:sz w:val="18"/>
                <w:szCs w:val="18"/>
                <w:lang w:val="en-US"/>
              </w:rPr>
            </w:pPr>
            <w:r>
              <w:rPr>
                <w:rFonts w:eastAsia="Times New Roman"/>
                <w:bCs/>
                <w:color w:val="000000"/>
                <w:sz w:val="18"/>
                <w:szCs w:val="18"/>
                <w:lang w:val="en-US" w:eastAsia="es-ES"/>
              </w:rPr>
              <w:t>0,8</w:t>
            </w:r>
          </w:p>
        </w:tc>
        <w:tc>
          <w:tcPr>
            <w:tcW w:w="1040" w:type="dxa"/>
            <w:tcBorders>
              <w:left w:val="single" w:sz="12" w:space="0" w:color="000000"/>
            </w:tcBorders>
            <w:shd w:val="clear" w:color="auto" w:fill="auto"/>
            <w:vAlign w:val="bottom"/>
          </w:tcPr>
          <w:p w:rsidR="005A1E5C" w:rsidRDefault="005A1E5C" w:rsidP="00E15C70">
            <w:pPr>
              <w:keepNext/>
              <w:keepLines/>
              <w:spacing w:before="40" w:after="40" w:line="240" w:lineRule="auto"/>
              <w:jc w:val="right"/>
              <w:rPr>
                <w:rFonts w:eastAsia="Times New Roman"/>
                <w:bCs/>
                <w:color w:val="000000"/>
                <w:sz w:val="18"/>
                <w:szCs w:val="18"/>
                <w:lang w:val="en-US" w:eastAsia="es-ES"/>
              </w:rPr>
            </w:pPr>
            <w:r>
              <w:rPr>
                <w:sz w:val="18"/>
                <w:szCs w:val="18"/>
                <w:lang w:val="en-US"/>
              </w:rPr>
              <w:t>14.843.093</w:t>
            </w:r>
          </w:p>
        </w:tc>
        <w:tc>
          <w:tcPr>
            <w:tcW w:w="590" w:type="dxa"/>
            <w:tcBorders>
              <w:left w:val="dashed" w:sz="4" w:space="0" w:color="000000"/>
            </w:tcBorders>
            <w:shd w:val="clear" w:color="auto" w:fill="auto"/>
          </w:tcPr>
          <w:p w:rsidR="005A1E5C" w:rsidRDefault="005A1E5C" w:rsidP="00E15C70">
            <w:pPr>
              <w:keepNext/>
              <w:keepLines/>
              <w:spacing w:before="40" w:after="40" w:line="240" w:lineRule="auto"/>
              <w:jc w:val="right"/>
              <w:rPr>
                <w:rFonts w:eastAsia="Times New Roman"/>
                <w:bCs/>
                <w:color w:val="000000"/>
                <w:sz w:val="20"/>
                <w:szCs w:val="20"/>
                <w:lang w:val="en-US" w:eastAsia="es-ES"/>
              </w:rPr>
            </w:pPr>
            <w:r>
              <w:rPr>
                <w:rFonts w:eastAsia="Times New Roman"/>
                <w:bCs/>
                <w:color w:val="000000"/>
                <w:sz w:val="18"/>
                <w:szCs w:val="18"/>
                <w:lang w:val="en-US" w:eastAsia="es-ES"/>
              </w:rPr>
              <w:t>36,20</w:t>
            </w:r>
          </w:p>
        </w:tc>
        <w:tc>
          <w:tcPr>
            <w:tcW w:w="4264" w:type="dxa"/>
            <w:vMerge/>
            <w:tcBorders>
              <w:left w:val="single" w:sz="18" w:space="0" w:color="000000"/>
              <w:right w:val="single" w:sz="18" w:space="0" w:color="000000"/>
            </w:tcBorders>
            <w:shd w:val="clear" w:color="auto" w:fill="auto"/>
          </w:tcPr>
          <w:p w:rsidR="005A1E5C" w:rsidRDefault="005A1E5C" w:rsidP="00E15C70">
            <w:pPr>
              <w:keepNext/>
              <w:keepLines/>
              <w:snapToGrid w:val="0"/>
              <w:spacing w:before="40" w:after="40" w:line="240" w:lineRule="auto"/>
              <w:jc w:val="right"/>
              <w:rPr>
                <w:rFonts w:eastAsia="Times New Roman"/>
                <w:bCs/>
                <w:color w:val="000000"/>
                <w:sz w:val="20"/>
                <w:szCs w:val="20"/>
                <w:lang w:val="en-US" w:eastAsia="es-ES"/>
              </w:rPr>
            </w:pPr>
          </w:p>
        </w:tc>
      </w:tr>
      <w:tr w:rsidR="005A1E5C" w:rsidTr="00E15C70">
        <w:tblPrEx>
          <w:tblCellMar>
            <w:left w:w="70" w:type="dxa"/>
            <w:right w:w="70" w:type="dxa"/>
          </w:tblCellMar>
        </w:tblPrEx>
        <w:trPr>
          <w:trHeight w:val="288"/>
        </w:trPr>
        <w:tc>
          <w:tcPr>
            <w:tcW w:w="1727" w:type="dxa"/>
            <w:tcBorders>
              <w:left w:val="single" w:sz="18" w:space="0" w:color="000000"/>
              <w:bottom w:val="single" w:sz="12" w:space="0" w:color="000000"/>
            </w:tcBorders>
            <w:shd w:val="clear" w:color="auto" w:fill="auto"/>
            <w:vAlign w:val="center"/>
          </w:tcPr>
          <w:p w:rsidR="005A1E5C" w:rsidRDefault="005A1E5C" w:rsidP="00E15C70">
            <w:pPr>
              <w:keepNext/>
              <w:keepLines/>
              <w:spacing w:before="40" w:after="40" w:line="240" w:lineRule="auto"/>
              <w:rPr>
                <w:rFonts w:eastAsia="Times New Roman"/>
                <w:bCs/>
                <w:color w:val="000000"/>
                <w:sz w:val="18"/>
                <w:szCs w:val="18"/>
                <w:lang w:val="en-US" w:eastAsia="es-ES"/>
              </w:rPr>
            </w:pPr>
            <w:r>
              <w:rPr>
                <w:rFonts w:eastAsia="Times New Roman"/>
                <w:sz w:val="18"/>
                <w:szCs w:val="18"/>
                <w:lang w:val="en-US" w:eastAsia="es-ES"/>
              </w:rPr>
              <w:t>Not applicable</w:t>
            </w:r>
          </w:p>
        </w:tc>
        <w:tc>
          <w:tcPr>
            <w:tcW w:w="1123" w:type="dxa"/>
            <w:tcBorders>
              <w:left w:val="single" w:sz="12" w:space="0" w:color="000000"/>
              <w:bottom w:val="single" w:sz="12" w:space="0" w:color="000000"/>
            </w:tcBorders>
            <w:shd w:val="clear" w:color="auto" w:fill="auto"/>
            <w:vAlign w:val="center"/>
          </w:tcPr>
          <w:p w:rsidR="005A1E5C" w:rsidRDefault="005A1E5C" w:rsidP="00E15C70">
            <w:pPr>
              <w:keepNext/>
              <w:keepLines/>
              <w:spacing w:before="40" w:after="40" w:line="240" w:lineRule="auto"/>
              <w:jc w:val="center"/>
              <w:rPr>
                <w:rFonts w:eastAsia="Times New Roman"/>
                <w:bCs/>
                <w:color w:val="000000"/>
                <w:sz w:val="18"/>
                <w:szCs w:val="18"/>
                <w:lang w:val="en-US" w:eastAsia="es-ES"/>
              </w:rPr>
            </w:pPr>
            <w:r>
              <w:rPr>
                <w:rFonts w:eastAsia="Times New Roman"/>
                <w:bCs/>
                <w:color w:val="000000"/>
                <w:sz w:val="18"/>
                <w:szCs w:val="18"/>
                <w:lang w:val="en-US" w:eastAsia="es-ES"/>
              </w:rPr>
              <w:t>11</w:t>
            </w:r>
          </w:p>
        </w:tc>
        <w:tc>
          <w:tcPr>
            <w:tcW w:w="481" w:type="dxa"/>
            <w:tcBorders>
              <w:left w:val="dashed" w:sz="4" w:space="0" w:color="000000"/>
              <w:bottom w:val="single" w:sz="12" w:space="0" w:color="000000"/>
            </w:tcBorders>
            <w:shd w:val="clear" w:color="auto" w:fill="auto"/>
            <w:vAlign w:val="center"/>
          </w:tcPr>
          <w:p w:rsidR="005A1E5C" w:rsidRDefault="005A1E5C" w:rsidP="00E15C70">
            <w:pPr>
              <w:keepNext/>
              <w:keepLines/>
              <w:spacing w:before="40" w:after="40" w:line="240" w:lineRule="auto"/>
              <w:jc w:val="center"/>
              <w:rPr>
                <w:sz w:val="18"/>
                <w:szCs w:val="18"/>
                <w:lang w:val="en-US"/>
              </w:rPr>
            </w:pPr>
            <w:r>
              <w:rPr>
                <w:rFonts w:eastAsia="Times New Roman"/>
                <w:bCs/>
                <w:color w:val="000000"/>
                <w:sz w:val="18"/>
                <w:szCs w:val="18"/>
                <w:lang w:val="en-US" w:eastAsia="es-ES"/>
              </w:rPr>
              <w:t>0,1</w:t>
            </w:r>
          </w:p>
        </w:tc>
        <w:tc>
          <w:tcPr>
            <w:tcW w:w="1040" w:type="dxa"/>
            <w:tcBorders>
              <w:left w:val="single" w:sz="12" w:space="0" w:color="000000"/>
              <w:bottom w:val="single" w:sz="12" w:space="0" w:color="000000"/>
            </w:tcBorders>
            <w:shd w:val="clear" w:color="auto" w:fill="auto"/>
            <w:vAlign w:val="center"/>
          </w:tcPr>
          <w:p w:rsidR="005A1E5C" w:rsidRDefault="005A1E5C" w:rsidP="00E15C70">
            <w:pPr>
              <w:keepNext/>
              <w:keepLines/>
              <w:spacing w:before="40" w:after="40" w:line="240" w:lineRule="auto"/>
              <w:jc w:val="right"/>
              <w:rPr>
                <w:rFonts w:eastAsia="Times New Roman"/>
                <w:bCs/>
                <w:color w:val="000000"/>
                <w:sz w:val="18"/>
                <w:szCs w:val="18"/>
                <w:lang w:val="en-US" w:eastAsia="es-ES"/>
              </w:rPr>
            </w:pPr>
            <w:r>
              <w:rPr>
                <w:sz w:val="18"/>
                <w:szCs w:val="18"/>
                <w:lang w:val="en-US"/>
              </w:rPr>
              <w:t>17.021.758</w:t>
            </w:r>
          </w:p>
        </w:tc>
        <w:tc>
          <w:tcPr>
            <w:tcW w:w="590" w:type="dxa"/>
            <w:tcBorders>
              <w:left w:val="dashed" w:sz="4" w:space="0" w:color="000000"/>
              <w:bottom w:val="single" w:sz="12" w:space="0" w:color="000000"/>
            </w:tcBorders>
            <w:shd w:val="clear" w:color="auto" w:fill="auto"/>
            <w:vAlign w:val="center"/>
          </w:tcPr>
          <w:p w:rsidR="005A1E5C" w:rsidRDefault="005A1E5C" w:rsidP="00E15C70">
            <w:pPr>
              <w:keepNext/>
              <w:keepLines/>
              <w:spacing w:before="40" w:after="40" w:line="240" w:lineRule="auto"/>
              <w:jc w:val="right"/>
              <w:rPr>
                <w:rFonts w:eastAsia="Times New Roman"/>
                <w:bCs/>
                <w:color w:val="000000"/>
                <w:sz w:val="20"/>
                <w:szCs w:val="20"/>
                <w:lang w:val="en-US" w:eastAsia="es-ES"/>
              </w:rPr>
            </w:pPr>
            <w:r>
              <w:rPr>
                <w:rFonts w:eastAsia="Times New Roman"/>
                <w:bCs/>
                <w:color w:val="000000"/>
                <w:sz w:val="18"/>
                <w:szCs w:val="18"/>
                <w:lang w:val="en-US" w:eastAsia="es-ES"/>
              </w:rPr>
              <w:t>0,02</w:t>
            </w:r>
          </w:p>
        </w:tc>
        <w:tc>
          <w:tcPr>
            <w:tcW w:w="4264" w:type="dxa"/>
            <w:vMerge/>
            <w:tcBorders>
              <w:left w:val="single" w:sz="18" w:space="0" w:color="000000"/>
              <w:bottom w:val="single" w:sz="4" w:space="0" w:color="000000"/>
              <w:right w:val="single" w:sz="18" w:space="0" w:color="000000"/>
            </w:tcBorders>
            <w:shd w:val="clear" w:color="auto" w:fill="auto"/>
            <w:vAlign w:val="center"/>
          </w:tcPr>
          <w:p w:rsidR="005A1E5C" w:rsidRDefault="005A1E5C" w:rsidP="00E15C70">
            <w:pPr>
              <w:keepNext/>
              <w:keepLines/>
              <w:snapToGrid w:val="0"/>
              <w:spacing w:before="40" w:after="40" w:line="240" w:lineRule="auto"/>
              <w:jc w:val="right"/>
              <w:rPr>
                <w:rFonts w:eastAsia="Times New Roman"/>
                <w:bCs/>
                <w:color w:val="000000"/>
                <w:sz w:val="20"/>
                <w:szCs w:val="20"/>
                <w:lang w:val="en-US" w:eastAsia="es-ES"/>
              </w:rPr>
            </w:pPr>
          </w:p>
        </w:tc>
      </w:tr>
      <w:tr w:rsidR="005A1E5C" w:rsidTr="00E15C70">
        <w:tblPrEx>
          <w:tblCellMar>
            <w:left w:w="70" w:type="dxa"/>
            <w:right w:w="70" w:type="dxa"/>
          </w:tblCellMar>
        </w:tblPrEx>
        <w:trPr>
          <w:trHeight w:val="165"/>
        </w:trPr>
        <w:tc>
          <w:tcPr>
            <w:tcW w:w="1727" w:type="dxa"/>
            <w:tcBorders>
              <w:top w:val="single" w:sz="12" w:space="0" w:color="000000"/>
              <w:left w:val="single" w:sz="18" w:space="0" w:color="000000"/>
              <w:bottom w:val="single" w:sz="18" w:space="0" w:color="000000"/>
            </w:tcBorders>
            <w:shd w:val="clear" w:color="auto" w:fill="auto"/>
            <w:vAlign w:val="center"/>
          </w:tcPr>
          <w:p w:rsidR="005A1E5C" w:rsidRDefault="005A1E5C" w:rsidP="00E15C70">
            <w:pPr>
              <w:spacing w:before="40" w:after="40" w:line="240" w:lineRule="auto"/>
              <w:rPr>
                <w:rFonts w:eastAsia="Times New Roman"/>
                <w:bCs/>
                <w:color w:val="000000"/>
                <w:sz w:val="18"/>
                <w:szCs w:val="18"/>
                <w:lang w:val="en-US" w:eastAsia="es-ES"/>
              </w:rPr>
            </w:pPr>
            <w:r>
              <w:rPr>
                <w:rFonts w:eastAsia="Times New Roman"/>
                <w:sz w:val="18"/>
                <w:szCs w:val="18"/>
                <w:lang w:val="en-US" w:eastAsia="es-ES"/>
              </w:rPr>
              <w:t>TOTAL</w:t>
            </w:r>
          </w:p>
        </w:tc>
        <w:tc>
          <w:tcPr>
            <w:tcW w:w="1123" w:type="dxa"/>
            <w:tcBorders>
              <w:top w:val="single" w:sz="12" w:space="0" w:color="000000"/>
              <w:left w:val="single" w:sz="12" w:space="0" w:color="000000"/>
              <w:bottom w:val="single" w:sz="18" w:space="0" w:color="000000"/>
            </w:tcBorders>
            <w:shd w:val="clear" w:color="auto" w:fill="auto"/>
            <w:vAlign w:val="center"/>
          </w:tcPr>
          <w:p w:rsidR="005A1E5C" w:rsidRDefault="005A1E5C" w:rsidP="00E15C70">
            <w:pPr>
              <w:spacing w:before="40" w:after="40" w:line="240" w:lineRule="auto"/>
              <w:jc w:val="center"/>
              <w:rPr>
                <w:rFonts w:eastAsia="Times New Roman"/>
                <w:bCs/>
                <w:color w:val="000000"/>
                <w:sz w:val="18"/>
                <w:szCs w:val="18"/>
                <w:lang w:val="en-US" w:eastAsia="es-ES"/>
              </w:rPr>
            </w:pPr>
            <w:r>
              <w:rPr>
                <w:rFonts w:eastAsia="Times New Roman"/>
                <w:bCs/>
                <w:color w:val="000000"/>
                <w:sz w:val="18"/>
                <w:szCs w:val="18"/>
                <w:lang w:val="en-US" w:eastAsia="es-ES"/>
              </w:rPr>
              <w:t>8.119</w:t>
            </w:r>
          </w:p>
        </w:tc>
        <w:tc>
          <w:tcPr>
            <w:tcW w:w="481" w:type="dxa"/>
            <w:tcBorders>
              <w:top w:val="single" w:sz="12" w:space="0" w:color="000000"/>
              <w:left w:val="dashed" w:sz="4" w:space="0" w:color="000000"/>
              <w:bottom w:val="single" w:sz="18" w:space="0" w:color="000000"/>
            </w:tcBorders>
            <w:shd w:val="clear" w:color="auto" w:fill="auto"/>
            <w:vAlign w:val="center"/>
          </w:tcPr>
          <w:p w:rsidR="005A1E5C" w:rsidRDefault="005A1E5C" w:rsidP="00E15C70">
            <w:pPr>
              <w:spacing w:before="40" w:after="40" w:line="240" w:lineRule="auto"/>
              <w:jc w:val="center"/>
              <w:rPr>
                <w:rFonts w:eastAsia="Times New Roman"/>
                <w:bCs/>
                <w:color w:val="000000"/>
                <w:sz w:val="18"/>
                <w:szCs w:val="18"/>
                <w:lang w:val="en-US" w:eastAsia="es-ES"/>
              </w:rPr>
            </w:pPr>
            <w:r>
              <w:rPr>
                <w:rFonts w:eastAsia="Times New Roman"/>
                <w:bCs/>
                <w:color w:val="000000"/>
                <w:sz w:val="18"/>
                <w:szCs w:val="18"/>
                <w:lang w:val="en-US" w:eastAsia="es-ES"/>
              </w:rPr>
              <w:t>100</w:t>
            </w:r>
          </w:p>
        </w:tc>
        <w:tc>
          <w:tcPr>
            <w:tcW w:w="1040" w:type="dxa"/>
            <w:tcBorders>
              <w:top w:val="single" w:sz="12" w:space="0" w:color="000000"/>
              <w:left w:val="single" w:sz="12" w:space="0" w:color="000000"/>
              <w:bottom w:val="single" w:sz="18" w:space="0" w:color="000000"/>
            </w:tcBorders>
            <w:shd w:val="clear" w:color="auto" w:fill="auto"/>
            <w:vAlign w:val="center"/>
          </w:tcPr>
          <w:p w:rsidR="005A1E5C" w:rsidRDefault="005A1E5C" w:rsidP="00E15C70">
            <w:pPr>
              <w:spacing w:before="40" w:after="40" w:line="240" w:lineRule="auto"/>
              <w:jc w:val="center"/>
              <w:rPr>
                <w:rFonts w:eastAsia="Times New Roman"/>
                <w:bCs/>
                <w:color w:val="000000"/>
                <w:sz w:val="18"/>
                <w:szCs w:val="18"/>
                <w:lang w:val="en-US" w:eastAsia="es-ES"/>
              </w:rPr>
            </w:pPr>
            <w:r>
              <w:rPr>
                <w:rFonts w:eastAsia="Times New Roman"/>
                <w:bCs/>
                <w:color w:val="000000"/>
                <w:sz w:val="18"/>
                <w:szCs w:val="18"/>
                <w:lang w:val="en-US" w:eastAsia="es-ES"/>
              </w:rPr>
              <w:t>47.021.031</w:t>
            </w:r>
          </w:p>
        </w:tc>
        <w:tc>
          <w:tcPr>
            <w:tcW w:w="590" w:type="dxa"/>
            <w:tcBorders>
              <w:top w:val="single" w:sz="12" w:space="0" w:color="000000"/>
              <w:left w:val="dashed" w:sz="4" w:space="0" w:color="000000"/>
              <w:bottom w:val="single" w:sz="18" w:space="0" w:color="000000"/>
            </w:tcBorders>
            <w:shd w:val="clear" w:color="auto" w:fill="auto"/>
            <w:vAlign w:val="center"/>
          </w:tcPr>
          <w:p w:rsidR="005A1E5C" w:rsidRDefault="005A1E5C" w:rsidP="00E15C70">
            <w:pPr>
              <w:spacing w:before="40" w:after="40" w:line="240" w:lineRule="auto"/>
              <w:jc w:val="right"/>
            </w:pPr>
            <w:r>
              <w:rPr>
                <w:rFonts w:eastAsia="Times New Roman"/>
                <w:bCs/>
                <w:color w:val="000000"/>
                <w:sz w:val="18"/>
                <w:szCs w:val="18"/>
                <w:lang w:val="en-US" w:eastAsia="es-ES"/>
              </w:rPr>
              <w:t>100</w:t>
            </w:r>
          </w:p>
        </w:tc>
        <w:tc>
          <w:tcPr>
            <w:tcW w:w="4264" w:type="dxa"/>
            <w:tcBorders>
              <w:top w:val="single" w:sz="4" w:space="0" w:color="000000"/>
              <w:left w:val="single" w:sz="18" w:space="0" w:color="000000"/>
              <w:bottom w:val="single" w:sz="18" w:space="0" w:color="000000"/>
              <w:right w:val="single" w:sz="18" w:space="0" w:color="000000"/>
            </w:tcBorders>
            <w:shd w:val="clear" w:color="auto" w:fill="auto"/>
            <w:vAlign w:val="center"/>
          </w:tcPr>
          <w:p w:rsidR="005A1E5C" w:rsidRDefault="005A1E5C" w:rsidP="00E15C70">
            <w:pPr>
              <w:spacing w:after="80" w:line="240" w:lineRule="auto"/>
              <w:rPr>
                <w:lang w:val="en-US"/>
              </w:rPr>
            </w:pPr>
            <w:r>
              <w:rPr>
                <w:noProof/>
                <w:lang w:val="es-ES" w:eastAsia="es-ES"/>
              </w:rPr>
              <w:drawing>
                <wp:anchor distT="0" distB="0" distL="0" distR="0" simplePos="0" relativeHeight="251660288" behindDoc="0" locked="0" layoutInCell="1" allowOverlap="1" wp14:anchorId="05B1B2A3" wp14:editId="0D1EBA49">
                  <wp:simplePos x="0" y="0"/>
                  <wp:positionH relativeFrom="column">
                    <wp:posOffset>352425</wp:posOffset>
                  </wp:positionH>
                  <wp:positionV relativeFrom="paragraph">
                    <wp:posOffset>132715</wp:posOffset>
                  </wp:positionV>
                  <wp:extent cx="1856740" cy="200025"/>
                  <wp:effectExtent l="0" t="0" r="0" b="9525"/>
                  <wp:wrapSquare wrapText="larges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56740" cy="20002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0" distR="0" simplePos="0" relativeHeight="251659264" behindDoc="0" locked="0" layoutInCell="1" allowOverlap="1" wp14:anchorId="6EDD364B" wp14:editId="3778C8CB">
                  <wp:simplePos x="0" y="0"/>
                  <wp:positionH relativeFrom="column">
                    <wp:align>center</wp:align>
                  </wp:positionH>
                  <wp:positionV relativeFrom="paragraph">
                    <wp:posOffset>0</wp:posOffset>
                  </wp:positionV>
                  <wp:extent cx="2618105" cy="189865"/>
                  <wp:effectExtent l="0" t="0" r="0" b="635"/>
                  <wp:wrapSquare wrapText="larges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8105" cy="18986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tc>
      </w:tr>
    </w:tbl>
    <w:p w:rsidR="005A1E5C" w:rsidRDefault="005A1E5C" w:rsidP="005A1E5C"/>
    <w:p w:rsidR="005A1E5C" w:rsidRDefault="005A1E5C" w:rsidP="005A1E5C">
      <w:pPr>
        <w:pStyle w:val="NormalArtigoEnglish"/>
        <w:keepNext/>
        <w:keepLines/>
        <w:spacing w:before="240" w:line="240" w:lineRule="auto"/>
        <w:ind w:firstLine="0"/>
        <w:jc w:val="center"/>
        <w:rPr>
          <w:sz w:val="18"/>
          <w:szCs w:val="18"/>
          <w:lang w:val="en-US"/>
        </w:rPr>
      </w:pPr>
    </w:p>
    <w:p w:rsidR="005A1E5C" w:rsidRDefault="005A1E5C" w:rsidP="005A1E5C">
      <w:pPr>
        <w:pStyle w:val="NormalArtigoEnglish"/>
        <w:keepNext/>
        <w:keepLines/>
        <w:spacing w:before="240" w:line="240" w:lineRule="auto"/>
        <w:ind w:firstLine="0"/>
        <w:jc w:val="center"/>
        <w:rPr>
          <w:sz w:val="18"/>
          <w:szCs w:val="18"/>
          <w:lang w:val="en-US"/>
        </w:rPr>
      </w:pPr>
    </w:p>
    <w:p w:rsidR="005A1E5C" w:rsidRDefault="005A1E5C" w:rsidP="005A1E5C">
      <w:pPr>
        <w:pStyle w:val="NormalArtigoEnglish"/>
        <w:keepNext/>
        <w:keepLines/>
        <w:spacing w:before="240" w:line="240" w:lineRule="auto"/>
        <w:ind w:firstLine="0"/>
        <w:jc w:val="center"/>
        <w:rPr>
          <w:b/>
          <w:sz w:val="18"/>
          <w:szCs w:val="18"/>
          <w:lang w:val="en-US"/>
        </w:rPr>
      </w:pPr>
      <w:r>
        <w:rPr>
          <w:sz w:val="18"/>
          <w:szCs w:val="18"/>
          <w:lang w:val="en-US"/>
        </w:rPr>
        <w:t>Figure 2</w:t>
      </w:r>
    </w:p>
    <w:p w:rsidR="005A1E5C" w:rsidRDefault="005A1E5C" w:rsidP="005A1E5C">
      <w:pPr>
        <w:pStyle w:val="NormalArtigoEnglish"/>
        <w:keepNext/>
        <w:keepLines/>
        <w:spacing w:line="240" w:lineRule="auto"/>
        <w:ind w:firstLine="0"/>
        <w:jc w:val="center"/>
        <w:rPr>
          <w:lang w:val="en-US"/>
        </w:rPr>
      </w:pPr>
      <w:r>
        <w:rPr>
          <w:b/>
          <w:sz w:val="18"/>
          <w:szCs w:val="18"/>
          <w:lang w:val="en-US"/>
        </w:rPr>
        <w:t>Arithmetic means of some structural variables for each of the habitats</w:t>
      </w:r>
    </w:p>
    <w:tbl>
      <w:tblPr>
        <w:tblW w:w="9650" w:type="dxa"/>
        <w:tblInd w:w="-885" w:type="dxa"/>
        <w:tblLayout w:type="fixed"/>
        <w:tblLook w:val="0000" w:firstRow="0" w:lastRow="0" w:firstColumn="0" w:lastColumn="0" w:noHBand="0" w:noVBand="0"/>
      </w:tblPr>
      <w:tblGrid>
        <w:gridCol w:w="1267"/>
        <w:gridCol w:w="1134"/>
        <w:gridCol w:w="1711"/>
        <w:gridCol w:w="1134"/>
        <w:gridCol w:w="699"/>
        <w:gridCol w:w="992"/>
        <w:gridCol w:w="850"/>
        <w:gridCol w:w="993"/>
        <w:gridCol w:w="870"/>
      </w:tblGrid>
      <w:tr w:rsidR="005A1E5C" w:rsidTr="00E15C70">
        <w:tc>
          <w:tcPr>
            <w:tcW w:w="4112" w:type="dxa"/>
            <w:gridSpan w:val="3"/>
            <w:vMerge w:val="restart"/>
            <w:tcBorders>
              <w:top w:val="single" w:sz="4" w:space="0" w:color="000000"/>
              <w:left w:val="single" w:sz="4" w:space="0" w:color="000000"/>
              <w:bottom w:val="single" w:sz="4" w:space="0" w:color="000000"/>
            </w:tcBorders>
            <w:shd w:val="clear" w:color="auto" w:fill="auto"/>
          </w:tcPr>
          <w:p w:rsidR="005A1E5C" w:rsidRDefault="005A1E5C" w:rsidP="00E15C70">
            <w:pPr>
              <w:keepNext/>
              <w:keepLines/>
              <w:snapToGrid w:val="0"/>
              <w:spacing w:after="0" w:line="240" w:lineRule="auto"/>
              <w:rPr>
                <w:lang w:val="en-US"/>
              </w:rPr>
            </w:pPr>
          </w:p>
        </w:tc>
        <w:tc>
          <w:tcPr>
            <w:tcW w:w="2825" w:type="dxa"/>
            <w:gridSpan w:val="3"/>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pacing w:after="0" w:line="240" w:lineRule="auto"/>
              <w:jc w:val="center"/>
              <w:rPr>
                <w:sz w:val="18"/>
                <w:szCs w:val="18"/>
                <w:lang w:val="en-US"/>
              </w:rPr>
            </w:pPr>
            <w:r>
              <w:rPr>
                <w:sz w:val="18"/>
                <w:szCs w:val="18"/>
                <w:lang w:val="en-US"/>
              </w:rPr>
              <w:t>Rural</w:t>
            </w:r>
          </w:p>
        </w:tc>
        <w:tc>
          <w:tcPr>
            <w:tcW w:w="850" w:type="dxa"/>
            <w:vMerge w:val="restart"/>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pacing w:after="0" w:line="240" w:lineRule="auto"/>
              <w:jc w:val="center"/>
              <w:rPr>
                <w:sz w:val="18"/>
                <w:szCs w:val="18"/>
                <w:lang w:val="en-US"/>
              </w:rPr>
            </w:pPr>
            <w:r>
              <w:rPr>
                <w:sz w:val="18"/>
                <w:szCs w:val="18"/>
                <w:lang w:val="en-US"/>
              </w:rPr>
              <w:t>Small urban</w:t>
            </w:r>
          </w:p>
        </w:tc>
        <w:tc>
          <w:tcPr>
            <w:tcW w:w="993" w:type="dxa"/>
            <w:vMerge w:val="restart"/>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pacing w:after="0" w:line="240" w:lineRule="auto"/>
              <w:jc w:val="center"/>
              <w:rPr>
                <w:sz w:val="18"/>
                <w:szCs w:val="18"/>
                <w:lang w:val="en-US"/>
              </w:rPr>
            </w:pPr>
            <w:r>
              <w:rPr>
                <w:sz w:val="18"/>
                <w:szCs w:val="18"/>
                <w:lang w:val="en-US"/>
              </w:rPr>
              <w:t>Periphery</w:t>
            </w:r>
          </w:p>
        </w:tc>
        <w:tc>
          <w:tcPr>
            <w:tcW w:w="8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A1E5C" w:rsidRDefault="005A1E5C" w:rsidP="00E15C70">
            <w:pPr>
              <w:keepNext/>
              <w:keepLines/>
              <w:spacing w:after="0" w:line="240" w:lineRule="auto"/>
              <w:jc w:val="center"/>
              <w:rPr>
                <w:sz w:val="18"/>
                <w:szCs w:val="18"/>
                <w:lang w:val="en-US"/>
              </w:rPr>
            </w:pPr>
            <w:r>
              <w:rPr>
                <w:sz w:val="18"/>
                <w:szCs w:val="18"/>
                <w:lang w:val="en-US"/>
              </w:rPr>
              <w:t>City</w:t>
            </w:r>
          </w:p>
        </w:tc>
      </w:tr>
      <w:tr w:rsidR="005A1E5C" w:rsidTr="00E15C70">
        <w:tc>
          <w:tcPr>
            <w:tcW w:w="4112" w:type="dxa"/>
            <w:gridSpan w:val="3"/>
            <w:vMerge/>
            <w:tcBorders>
              <w:top w:val="single" w:sz="4" w:space="0" w:color="000000"/>
              <w:left w:val="single" w:sz="4" w:space="0" w:color="000000"/>
              <w:bottom w:val="single" w:sz="4" w:space="0" w:color="000000"/>
            </w:tcBorders>
            <w:shd w:val="clear" w:color="auto" w:fill="auto"/>
          </w:tcPr>
          <w:p w:rsidR="005A1E5C" w:rsidRDefault="005A1E5C" w:rsidP="00E15C70">
            <w:pPr>
              <w:keepNext/>
              <w:keepLines/>
              <w:snapToGrid w:val="0"/>
              <w:spacing w:after="0" w:line="240" w:lineRule="auto"/>
              <w:rPr>
                <w:sz w:val="18"/>
                <w:szCs w:val="18"/>
                <w:lang w:val="en-US"/>
              </w:rPr>
            </w:pPr>
          </w:p>
        </w:tc>
        <w:tc>
          <w:tcPr>
            <w:tcW w:w="1134" w:type="dxa"/>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pacing w:after="0" w:line="240" w:lineRule="auto"/>
              <w:jc w:val="center"/>
              <w:rPr>
                <w:sz w:val="18"/>
                <w:szCs w:val="18"/>
                <w:lang w:val="en-US"/>
              </w:rPr>
            </w:pPr>
            <w:r>
              <w:rPr>
                <w:sz w:val="18"/>
                <w:szCs w:val="18"/>
                <w:lang w:val="en-US"/>
              </w:rPr>
              <w:t>Deactivated</w:t>
            </w:r>
          </w:p>
        </w:tc>
        <w:tc>
          <w:tcPr>
            <w:tcW w:w="699" w:type="dxa"/>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pacing w:after="0" w:line="240" w:lineRule="auto"/>
              <w:jc w:val="center"/>
              <w:rPr>
                <w:sz w:val="18"/>
                <w:szCs w:val="18"/>
                <w:lang w:val="en-US"/>
              </w:rPr>
            </w:pPr>
            <w:r>
              <w:rPr>
                <w:sz w:val="18"/>
                <w:szCs w:val="18"/>
                <w:lang w:val="en-US"/>
              </w:rPr>
              <w:t>Agrarian</w:t>
            </w:r>
          </w:p>
        </w:tc>
        <w:tc>
          <w:tcPr>
            <w:tcW w:w="992" w:type="dxa"/>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pacing w:after="0" w:line="240" w:lineRule="auto"/>
              <w:jc w:val="center"/>
              <w:rPr>
                <w:sz w:val="18"/>
                <w:szCs w:val="18"/>
                <w:lang w:val="en-US"/>
              </w:rPr>
            </w:pPr>
            <w:r>
              <w:rPr>
                <w:sz w:val="18"/>
                <w:szCs w:val="18"/>
                <w:lang w:val="en-US"/>
              </w:rPr>
              <w:t>Manualized</w:t>
            </w:r>
          </w:p>
        </w:tc>
        <w:tc>
          <w:tcPr>
            <w:tcW w:w="850" w:type="dxa"/>
            <w:vMerge/>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napToGrid w:val="0"/>
              <w:spacing w:after="0" w:line="240" w:lineRule="auto"/>
              <w:jc w:val="center"/>
              <w:rPr>
                <w:sz w:val="18"/>
                <w:szCs w:val="18"/>
                <w:lang w:val="en-US"/>
              </w:rPr>
            </w:pPr>
          </w:p>
        </w:tc>
        <w:tc>
          <w:tcPr>
            <w:tcW w:w="993" w:type="dxa"/>
            <w:vMerge/>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napToGrid w:val="0"/>
              <w:spacing w:after="0" w:line="240" w:lineRule="auto"/>
              <w:jc w:val="center"/>
              <w:rPr>
                <w:sz w:val="18"/>
                <w:szCs w:val="18"/>
                <w:lang w:val="en-US"/>
              </w:rPr>
            </w:pPr>
          </w:p>
        </w:tc>
        <w:tc>
          <w:tcPr>
            <w:tcW w:w="8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A1E5C" w:rsidRDefault="005A1E5C" w:rsidP="00E15C70">
            <w:pPr>
              <w:keepNext/>
              <w:keepLines/>
              <w:snapToGrid w:val="0"/>
              <w:spacing w:after="0" w:line="240" w:lineRule="auto"/>
              <w:jc w:val="center"/>
              <w:rPr>
                <w:sz w:val="18"/>
                <w:szCs w:val="18"/>
                <w:lang w:val="en-US"/>
              </w:rPr>
            </w:pPr>
          </w:p>
        </w:tc>
      </w:tr>
      <w:tr w:rsidR="005A1E5C" w:rsidTr="00E15C70">
        <w:tc>
          <w:tcPr>
            <w:tcW w:w="1267" w:type="dxa"/>
            <w:vMerge w:val="restart"/>
            <w:tcBorders>
              <w:top w:val="single" w:sz="4" w:space="0" w:color="000000"/>
              <w:left w:val="single" w:sz="4" w:space="0" w:color="000000"/>
              <w:bottom w:val="single" w:sz="4" w:space="0" w:color="000000"/>
            </w:tcBorders>
            <w:shd w:val="clear" w:color="auto" w:fill="auto"/>
          </w:tcPr>
          <w:p w:rsidR="005A1E5C" w:rsidRDefault="005A1E5C" w:rsidP="00E15C70">
            <w:pPr>
              <w:keepNext/>
              <w:keepLines/>
              <w:spacing w:after="0" w:line="240" w:lineRule="auto"/>
              <w:jc w:val="center"/>
              <w:rPr>
                <w:sz w:val="18"/>
                <w:szCs w:val="18"/>
                <w:lang w:val="en-US"/>
              </w:rPr>
            </w:pPr>
            <w:r>
              <w:rPr>
                <w:sz w:val="18"/>
                <w:szCs w:val="18"/>
                <w:lang w:val="en-US"/>
              </w:rPr>
              <w:t>Mass</w:t>
            </w:r>
          </w:p>
        </w:tc>
        <w:tc>
          <w:tcPr>
            <w:tcW w:w="1134" w:type="dxa"/>
            <w:vMerge w:val="restart"/>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pacing w:after="0" w:line="240" w:lineRule="auto"/>
              <w:rPr>
                <w:sz w:val="18"/>
                <w:szCs w:val="18"/>
                <w:lang w:val="en-US"/>
              </w:rPr>
            </w:pPr>
            <w:r>
              <w:rPr>
                <w:sz w:val="18"/>
                <w:szCs w:val="18"/>
                <w:lang w:val="en-US"/>
              </w:rPr>
              <w:t>Population mean</w:t>
            </w:r>
          </w:p>
        </w:tc>
        <w:tc>
          <w:tcPr>
            <w:tcW w:w="1711"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rPr>
                <w:sz w:val="18"/>
                <w:szCs w:val="18"/>
                <w:lang w:val="en-US"/>
              </w:rPr>
            </w:pPr>
            <w:r>
              <w:rPr>
                <w:sz w:val="18"/>
                <w:szCs w:val="18"/>
                <w:lang w:val="en-US"/>
              </w:rPr>
              <w:t>Year 1900</w:t>
            </w:r>
          </w:p>
        </w:tc>
        <w:tc>
          <w:tcPr>
            <w:tcW w:w="1134"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1.162</w:t>
            </w:r>
          </w:p>
        </w:tc>
        <w:tc>
          <w:tcPr>
            <w:tcW w:w="699"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1.062</w:t>
            </w:r>
          </w:p>
        </w:tc>
        <w:tc>
          <w:tcPr>
            <w:tcW w:w="992"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1.710</w:t>
            </w:r>
          </w:p>
        </w:tc>
        <w:tc>
          <w:tcPr>
            <w:tcW w:w="850"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7.715</w:t>
            </w:r>
          </w:p>
        </w:tc>
        <w:tc>
          <w:tcPr>
            <w:tcW w:w="993"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3.047</w:t>
            </w:r>
          </w:p>
        </w:tc>
        <w:tc>
          <w:tcPr>
            <w:tcW w:w="870" w:type="dxa"/>
            <w:tcBorders>
              <w:top w:val="single" w:sz="4" w:space="0" w:color="000000"/>
              <w:left w:val="single" w:sz="4" w:space="0" w:color="000000"/>
              <w:righ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56.712</w:t>
            </w:r>
          </w:p>
        </w:tc>
      </w:tr>
      <w:tr w:rsidR="005A1E5C" w:rsidTr="00E15C70">
        <w:tc>
          <w:tcPr>
            <w:tcW w:w="1267" w:type="dxa"/>
            <w:vMerge/>
            <w:tcBorders>
              <w:top w:val="single" w:sz="4" w:space="0" w:color="000000"/>
              <w:left w:val="single" w:sz="4" w:space="0" w:color="000000"/>
              <w:bottom w:val="single" w:sz="4" w:space="0" w:color="000000"/>
            </w:tcBorders>
            <w:shd w:val="clear" w:color="auto" w:fill="auto"/>
          </w:tcPr>
          <w:p w:rsidR="005A1E5C" w:rsidRDefault="005A1E5C" w:rsidP="00E15C70">
            <w:pPr>
              <w:keepNext/>
              <w:keepLines/>
              <w:snapToGrid w:val="0"/>
              <w:spacing w:after="0" w:line="240" w:lineRule="auto"/>
              <w:jc w:val="center"/>
              <w:rPr>
                <w:sz w:val="18"/>
                <w:szCs w:val="18"/>
                <w:lang w:val="en-US"/>
              </w:rPr>
            </w:pPr>
          </w:p>
        </w:tc>
        <w:tc>
          <w:tcPr>
            <w:tcW w:w="1134" w:type="dxa"/>
            <w:vMerge/>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napToGrid w:val="0"/>
              <w:spacing w:after="0" w:line="240" w:lineRule="auto"/>
              <w:rPr>
                <w:sz w:val="18"/>
                <w:szCs w:val="18"/>
                <w:lang w:val="en-US"/>
              </w:rPr>
            </w:pPr>
          </w:p>
        </w:tc>
        <w:tc>
          <w:tcPr>
            <w:tcW w:w="1711"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rPr>
                <w:sz w:val="18"/>
                <w:szCs w:val="18"/>
                <w:lang w:val="en-US"/>
              </w:rPr>
            </w:pPr>
            <w:r>
              <w:rPr>
                <w:sz w:val="18"/>
                <w:szCs w:val="18"/>
                <w:lang w:val="en-US"/>
              </w:rPr>
              <w:t>Year 2010</w:t>
            </w:r>
          </w:p>
        </w:tc>
        <w:tc>
          <w:tcPr>
            <w:tcW w:w="1134"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515</w:t>
            </w:r>
          </w:p>
        </w:tc>
        <w:tc>
          <w:tcPr>
            <w:tcW w:w="699"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676</w:t>
            </w:r>
          </w:p>
        </w:tc>
        <w:tc>
          <w:tcPr>
            <w:tcW w:w="992"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1.986</w:t>
            </w:r>
          </w:p>
        </w:tc>
        <w:tc>
          <w:tcPr>
            <w:tcW w:w="850"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18.394</w:t>
            </w:r>
          </w:p>
        </w:tc>
        <w:tc>
          <w:tcPr>
            <w:tcW w:w="993"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21.860</w:t>
            </w:r>
          </w:p>
        </w:tc>
        <w:tc>
          <w:tcPr>
            <w:tcW w:w="870" w:type="dxa"/>
            <w:tcBorders>
              <w:left w:val="single" w:sz="4" w:space="0" w:color="000000"/>
              <w:bottom w:val="single" w:sz="4" w:space="0" w:color="000000"/>
              <w:righ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25.7905</w:t>
            </w:r>
          </w:p>
        </w:tc>
      </w:tr>
      <w:tr w:rsidR="005A1E5C" w:rsidTr="00E15C70">
        <w:tc>
          <w:tcPr>
            <w:tcW w:w="1267" w:type="dxa"/>
            <w:vMerge/>
            <w:tcBorders>
              <w:top w:val="single" w:sz="4" w:space="0" w:color="000000"/>
              <w:left w:val="single" w:sz="4" w:space="0" w:color="000000"/>
              <w:bottom w:val="single" w:sz="4" w:space="0" w:color="000000"/>
            </w:tcBorders>
            <w:shd w:val="clear" w:color="auto" w:fill="auto"/>
          </w:tcPr>
          <w:p w:rsidR="005A1E5C" w:rsidRDefault="005A1E5C" w:rsidP="00E15C70">
            <w:pPr>
              <w:keepNext/>
              <w:keepLines/>
              <w:snapToGrid w:val="0"/>
              <w:spacing w:after="0" w:line="240" w:lineRule="auto"/>
              <w:jc w:val="center"/>
              <w:rPr>
                <w:sz w:val="18"/>
                <w:szCs w:val="18"/>
                <w:lang w:val="en-US"/>
              </w:rPr>
            </w:pPr>
          </w:p>
        </w:tc>
        <w:tc>
          <w:tcPr>
            <w:tcW w:w="1134" w:type="dxa"/>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pacing w:after="0" w:line="240" w:lineRule="auto"/>
              <w:rPr>
                <w:sz w:val="18"/>
                <w:szCs w:val="18"/>
                <w:lang w:val="en-US"/>
              </w:rPr>
            </w:pPr>
            <w:r>
              <w:rPr>
                <w:sz w:val="18"/>
                <w:szCs w:val="18"/>
                <w:lang w:val="en-US"/>
              </w:rPr>
              <w:t>Density</w:t>
            </w:r>
          </w:p>
        </w:tc>
        <w:tc>
          <w:tcPr>
            <w:tcW w:w="1711" w:type="dxa"/>
            <w:tcBorders>
              <w:top w:val="single" w:sz="4" w:space="0" w:color="000000"/>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rPr>
                <w:sz w:val="18"/>
                <w:szCs w:val="18"/>
                <w:lang w:val="en-US"/>
              </w:rPr>
            </w:pPr>
            <w:r>
              <w:rPr>
                <w:sz w:val="18"/>
                <w:szCs w:val="18"/>
                <w:lang w:val="en-US"/>
              </w:rPr>
              <w:t>Density</w:t>
            </w:r>
          </w:p>
        </w:tc>
        <w:tc>
          <w:tcPr>
            <w:tcW w:w="1134" w:type="dxa"/>
            <w:tcBorders>
              <w:top w:val="single" w:sz="4" w:space="0" w:color="000000"/>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13,7</w:t>
            </w:r>
          </w:p>
        </w:tc>
        <w:tc>
          <w:tcPr>
            <w:tcW w:w="699" w:type="dxa"/>
            <w:tcBorders>
              <w:top w:val="single" w:sz="4" w:space="0" w:color="000000"/>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14,1</w:t>
            </w:r>
          </w:p>
        </w:tc>
        <w:tc>
          <w:tcPr>
            <w:tcW w:w="992" w:type="dxa"/>
            <w:tcBorders>
              <w:top w:val="single" w:sz="4" w:space="0" w:color="000000"/>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73,0</w:t>
            </w:r>
          </w:p>
        </w:tc>
        <w:tc>
          <w:tcPr>
            <w:tcW w:w="850" w:type="dxa"/>
            <w:tcBorders>
              <w:top w:val="single" w:sz="4" w:space="0" w:color="000000"/>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316,1</w:t>
            </w:r>
          </w:p>
        </w:tc>
        <w:tc>
          <w:tcPr>
            <w:tcW w:w="993" w:type="dxa"/>
            <w:tcBorders>
              <w:top w:val="single" w:sz="4" w:space="0" w:color="000000"/>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1.301,8</w:t>
            </w:r>
          </w:p>
        </w:tc>
        <w:tc>
          <w:tcPr>
            <w:tcW w:w="8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2.161,5</w:t>
            </w:r>
          </w:p>
        </w:tc>
      </w:tr>
      <w:tr w:rsidR="005A1E5C" w:rsidTr="00E15C70">
        <w:tc>
          <w:tcPr>
            <w:tcW w:w="1267" w:type="dxa"/>
            <w:vMerge w:val="restart"/>
            <w:tcBorders>
              <w:top w:val="single" w:sz="4" w:space="0" w:color="000000"/>
              <w:left w:val="single" w:sz="4" w:space="0" w:color="000000"/>
              <w:bottom w:val="single" w:sz="4" w:space="0" w:color="000000"/>
            </w:tcBorders>
            <w:shd w:val="clear" w:color="auto" w:fill="auto"/>
          </w:tcPr>
          <w:p w:rsidR="005A1E5C" w:rsidRDefault="005A1E5C" w:rsidP="00E15C70">
            <w:pPr>
              <w:keepNext/>
              <w:keepLines/>
              <w:spacing w:after="0" w:line="240" w:lineRule="auto"/>
              <w:jc w:val="center"/>
              <w:rPr>
                <w:sz w:val="18"/>
                <w:szCs w:val="18"/>
                <w:lang w:val="en-US"/>
              </w:rPr>
            </w:pPr>
            <w:r>
              <w:rPr>
                <w:sz w:val="18"/>
                <w:szCs w:val="18"/>
                <w:lang w:val="en-US"/>
              </w:rPr>
              <w:t>Evolution</w:t>
            </w:r>
          </w:p>
        </w:tc>
        <w:tc>
          <w:tcPr>
            <w:tcW w:w="1134" w:type="dxa"/>
            <w:vMerge w:val="restart"/>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pacing w:after="0" w:line="240" w:lineRule="auto"/>
              <w:rPr>
                <w:rFonts w:eastAsia="Calibri"/>
                <w:sz w:val="18"/>
                <w:szCs w:val="18"/>
                <w:lang w:val="en-US"/>
              </w:rPr>
            </w:pPr>
            <w:r>
              <w:rPr>
                <w:sz w:val="18"/>
                <w:szCs w:val="18"/>
                <w:lang w:val="en-US"/>
              </w:rPr>
              <w:t>Balance (all)</w:t>
            </w:r>
          </w:p>
        </w:tc>
        <w:tc>
          <w:tcPr>
            <w:tcW w:w="1711"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rPr>
                <w:sz w:val="18"/>
                <w:szCs w:val="18"/>
                <w:lang w:val="en-US"/>
              </w:rPr>
            </w:pPr>
            <w:r>
              <w:rPr>
                <w:rFonts w:eastAsia="Calibri"/>
                <w:sz w:val="18"/>
                <w:szCs w:val="18"/>
                <w:lang w:val="en-US"/>
              </w:rPr>
              <w:t xml:space="preserve"> Natural</w:t>
            </w:r>
            <w:r>
              <w:rPr>
                <w:sz w:val="18"/>
                <w:szCs w:val="18"/>
                <w:lang w:val="en-US"/>
              </w:rPr>
              <w:t xml:space="preserve"> 2001-10</w:t>
            </w:r>
          </w:p>
        </w:tc>
        <w:tc>
          <w:tcPr>
            <w:tcW w:w="1134"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-157.809</w:t>
            </w:r>
          </w:p>
        </w:tc>
        <w:tc>
          <w:tcPr>
            <w:tcW w:w="699"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-28.677</w:t>
            </w:r>
          </w:p>
        </w:tc>
        <w:tc>
          <w:tcPr>
            <w:tcW w:w="992"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-54.424</w:t>
            </w:r>
          </w:p>
        </w:tc>
        <w:tc>
          <w:tcPr>
            <w:tcW w:w="850"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159.880</w:t>
            </w:r>
          </w:p>
        </w:tc>
        <w:tc>
          <w:tcPr>
            <w:tcW w:w="993"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707.856</w:t>
            </w:r>
          </w:p>
        </w:tc>
        <w:tc>
          <w:tcPr>
            <w:tcW w:w="870" w:type="dxa"/>
            <w:tcBorders>
              <w:top w:val="single" w:sz="4" w:space="0" w:color="000000"/>
              <w:left w:val="single" w:sz="4" w:space="0" w:color="000000"/>
              <w:righ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263.666</w:t>
            </w:r>
          </w:p>
        </w:tc>
      </w:tr>
      <w:tr w:rsidR="005A1E5C" w:rsidTr="00E15C70">
        <w:tc>
          <w:tcPr>
            <w:tcW w:w="1267" w:type="dxa"/>
            <w:vMerge/>
            <w:tcBorders>
              <w:top w:val="single" w:sz="4" w:space="0" w:color="000000"/>
              <w:left w:val="single" w:sz="4" w:space="0" w:color="000000"/>
              <w:bottom w:val="single" w:sz="4" w:space="0" w:color="000000"/>
            </w:tcBorders>
            <w:shd w:val="clear" w:color="auto" w:fill="auto"/>
          </w:tcPr>
          <w:p w:rsidR="005A1E5C" w:rsidRDefault="005A1E5C" w:rsidP="00E15C70">
            <w:pPr>
              <w:keepNext/>
              <w:keepLines/>
              <w:snapToGrid w:val="0"/>
              <w:spacing w:after="0" w:line="240" w:lineRule="auto"/>
              <w:jc w:val="center"/>
              <w:rPr>
                <w:sz w:val="18"/>
                <w:szCs w:val="18"/>
                <w:lang w:val="en-US"/>
              </w:rPr>
            </w:pPr>
          </w:p>
        </w:tc>
        <w:tc>
          <w:tcPr>
            <w:tcW w:w="1134" w:type="dxa"/>
            <w:vMerge/>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napToGrid w:val="0"/>
              <w:spacing w:after="0" w:line="240" w:lineRule="auto"/>
              <w:rPr>
                <w:sz w:val="18"/>
                <w:szCs w:val="18"/>
                <w:lang w:val="en-US"/>
              </w:rPr>
            </w:pPr>
          </w:p>
        </w:tc>
        <w:tc>
          <w:tcPr>
            <w:tcW w:w="1711"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rPr>
                <w:sz w:val="18"/>
                <w:szCs w:val="18"/>
                <w:lang w:val="en-US"/>
              </w:rPr>
            </w:pPr>
            <w:r>
              <w:rPr>
                <w:sz w:val="18"/>
                <w:szCs w:val="18"/>
                <w:lang w:val="en-US"/>
              </w:rPr>
              <w:t>Migration 2001-10</w:t>
            </w:r>
          </w:p>
        </w:tc>
        <w:tc>
          <w:tcPr>
            <w:tcW w:w="1134"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15.222</w:t>
            </w:r>
          </w:p>
        </w:tc>
        <w:tc>
          <w:tcPr>
            <w:tcW w:w="699"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-3632</w:t>
            </w:r>
          </w:p>
        </w:tc>
        <w:tc>
          <w:tcPr>
            <w:tcW w:w="992"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743.177</w:t>
            </w:r>
          </w:p>
        </w:tc>
        <w:tc>
          <w:tcPr>
            <w:tcW w:w="850"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934.373</w:t>
            </w:r>
          </w:p>
        </w:tc>
        <w:tc>
          <w:tcPr>
            <w:tcW w:w="993"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2.332.945</w:t>
            </w:r>
          </w:p>
        </w:tc>
        <w:tc>
          <w:tcPr>
            <w:tcW w:w="870" w:type="dxa"/>
            <w:tcBorders>
              <w:left w:val="single" w:sz="4" w:space="0" w:color="000000"/>
              <w:bottom w:val="single" w:sz="4" w:space="0" w:color="000000"/>
              <w:righ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751.982</w:t>
            </w:r>
          </w:p>
        </w:tc>
      </w:tr>
      <w:tr w:rsidR="005A1E5C" w:rsidTr="00E15C70">
        <w:tc>
          <w:tcPr>
            <w:tcW w:w="1267" w:type="dxa"/>
            <w:vMerge/>
            <w:tcBorders>
              <w:top w:val="single" w:sz="4" w:space="0" w:color="000000"/>
              <w:left w:val="single" w:sz="4" w:space="0" w:color="000000"/>
              <w:bottom w:val="single" w:sz="4" w:space="0" w:color="000000"/>
            </w:tcBorders>
            <w:shd w:val="clear" w:color="auto" w:fill="auto"/>
          </w:tcPr>
          <w:p w:rsidR="005A1E5C" w:rsidRDefault="005A1E5C" w:rsidP="00E15C70">
            <w:pPr>
              <w:keepNext/>
              <w:keepLines/>
              <w:snapToGrid w:val="0"/>
              <w:spacing w:after="0" w:line="240" w:lineRule="auto"/>
              <w:jc w:val="center"/>
              <w:rPr>
                <w:sz w:val="18"/>
                <w:szCs w:val="18"/>
                <w:lang w:val="en-US"/>
              </w:rPr>
            </w:pPr>
          </w:p>
        </w:tc>
        <w:tc>
          <w:tcPr>
            <w:tcW w:w="1134" w:type="dxa"/>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pacing w:after="0" w:line="240" w:lineRule="auto"/>
              <w:rPr>
                <w:sz w:val="18"/>
                <w:szCs w:val="18"/>
                <w:lang w:val="en-US"/>
              </w:rPr>
            </w:pPr>
            <w:r>
              <w:rPr>
                <w:sz w:val="18"/>
                <w:szCs w:val="18"/>
                <w:lang w:val="en-US"/>
              </w:rPr>
              <w:t>Growing</w:t>
            </w:r>
          </w:p>
        </w:tc>
        <w:tc>
          <w:tcPr>
            <w:tcW w:w="1711" w:type="dxa"/>
            <w:tcBorders>
              <w:top w:val="single" w:sz="4" w:space="0" w:color="000000"/>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rPr>
                <w:sz w:val="18"/>
                <w:szCs w:val="18"/>
                <w:lang w:val="en-US"/>
              </w:rPr>
            </w:pPr>
            <w:r>
              <w:rPr>
                <w:sz w:val="18"/>
                <w:szCs w:val="18"/>
                <w:lang w:val="en-US"/>
              </w:rPr>
              <w:t>2001-10</w:t>
            </w:r>
          </w:p>
        </w:tc>
        <w:tc>
          <w:tcPr>
            <w:tcW w:w="1134" w:type="dxa"/>
            <w:tcBorders>
              <w:top w:val="single" w:sz="4" w:space="0" w:color="000000"/>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-1,2</w:t>
            </w:r>
          </w:p>
        </w:tc>
        <w:tc>
          <w:tcPr>
            <w:tcW w:w="699" w:type="dxa"/>
            <w:tcBorders>
              <w:top w:val="single" w:sz="4" w:space="0" w:color="000000"/>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-1,2</w:t>
            </w:r>
          </w:p>
        </w:tc>
        <w:tc>
          <w:tcPr>
            <w:tcW w:w="992" w:type="dxa"/>
            <w:tcBorders>
              <w:top w:val="single" w:sz="4" w:space="0" w:color="000000"/>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1,3</w:t>
            </w:r>
          </w:p>
        </w:tc>
        <w:tc>
          <w:tcPr>
            <w:tcW w:w="850" w:type="dxa"/>
            <w:tcBorders>
              <w:top w:val="single" w:sz="4" w:space="0" w:color="000000"/>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2,1</w:t>
            </w:r>
          </w:p>
        </w:tc>
        <w:tc>
          <w:tcPr>
            <w:tcW w:w="993" w:type="dxa"/>
            <w:tcBorders>
              <w:top w:val="single" w:sz="4" w:space="0" w:color="000000"/>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3,6</w:t>
            </w:r>
          </w:p>
        </w:tc>
        <w:tc>
          <w:tcPr>
            <w:tcW w:w="8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1,0</w:t>
            </w:r>
          </w:p>
        </w:tc>
      </w:tr>
      <w:tr w:rsidR="005A1E5C" w:rsidTr="00E15C70">
        <w:tc>
          <w:tcPr>
            <w:tcW w:w="1267" w:type="dxa"/>
            <w:vMerge w:val="restart"/>
            <w:tcBorders>
              <w:top w:val="single" w:sz="4" w:space="0" w:color="000000"/>
              <w:left w:val="single" w:sz="4" w:space="0" w:color="000000"/>
              <w:bottom w:val="single" w:sz="4" w:space="0" w:color="000000"/>
            </w:tcBorders>
            <w:shd w:val="clear" w:color="auto" w:fill="auto"/>
          </w:tcPr>
          <w:p w:rsidR="005A1E5C" w:rsidRDefault="005A1E5C" w:rsidP="00E15C70">
            <w:pPr>
              <w:keepNext/>
              <w:keepLines/>
              <w:spacing w:after="0" w:line="240" w:lineRule="auto"/>
              <w:jc w:val="center"/>
              <w:rPr>
                <w:sz w:val="18"/>
                <w:szCs w:val="18"/>
                <w:lang w:val="en-US"/>
              </w:rPr>
            </w:pPr>
            <w:r>
              <w:rPr>
                <w:sz w:val="18"/>
                <w:szCs w:val="18"/>
                <w:lang w:val="en-US"/>
              </w:rPr>
              <w:t>Composition</w:t>
            </w:r>
          </w:p>
        </w:tc>
        <w:tc>
          <w:tcPr>
            <w:tcW w:w="1134" w:type="dxa"/>
            <w:vMerge w:val="restart"/>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pacing w:after="0" w:line="240" w:lineRule="auto"/>
              <w:rPr>
                <w:sz w:val="18"/>
                <w:szCs w:val="18"/>
                <w:lang w:val="en-US"/>
              </w:rPr>
            </w:pPr>
            <w:r>
              <w:rPr>
                <w:sz w:val="18"/>
                <w:szCs w:val="18"/>
                <w:lang w:val="en-US"/>
              </w:rPr>
              <w:t>Ages (average)</w:t>
            </w:r>
          </w:p>
        </w:tc>
        <w:tc>
          <w:tcPr>
            <w:tcW w:w="1711"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rPr>
                <w:sz w:val="18"/>
                <w:szCs w:val="18"/>
                <w:lang w:val="en-US"/>
              </w:rPr>
            </w:pPr>
            <w:r>
              <w:rPr>
                <w:sz w:val="18"/>
                <w:szCs w:val="18"/>
                <w:lang w:val="en-US"/>
              </w:rPr>
              <w:t>% &lt;16</w:t>
            </w:r>
          </w:p>
        </w:tc>
        <w:tc>
          <w:tcPr>
            <w:tcW w:w="1134"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7,1</w:t>
            </w:r>
          </w:p>
        </w:tc>
        <w:tc>
          <w:tcPr>
            <w:tcW w:w="699"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7,5</w:t>
            </w:r>
          </w:p>
        </w:tc>
        <w:tc>
          <w:tcPr>
            <w:tcW w:w="992"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13,2</w:t>
            </w:r>
          </w:p>
        </w:tc>
        <w:tc>
          <w:tcPr>
            <w:tcW w:w="850"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16,4</w:t>
            </w:r>
          </w:p>
        </w:tc>
        <w:tc>
          <w:tcPr>
            <w:tcW w:w="993"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17,6</w:t>
            </w:r>
          </w:p>
        </w:tc>
        <w:tc>
          <w:tcPr>
            <w:tcW w:w="870" w:type="dxa"/>
            <w:tcBorders>
              <w:top w:val="single" w:sz="4" w:space="0" w:color="000000"/>
              <w:left w:val="single" w:sz="4" w:space="0" w:color="000000"/>
              <w:righ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15,5</w:t>
            </w:r>
          </w:p>
        </w:tc>
      </w:tr>
      <w:tr w:rsidR="005A1E5C" w:rsidTr="00E15C70">
        <w:tc>
          <w:tcPr>
            <w:tcW w:w="1267" w:type="dxa"/>
            <w:vMerge/>
            <w:tcBorders>
              <w:top w:val="single" w:sz="4" w:space="0" w:color="000000"/>
              <w:left w:val="single" w:sz="4" w:space="0" w:color="000000"/>
              <w:bottom w:val="single" w:sz="4" w:space="0" w:color="000000"/>
            </w:tcBorders>
            <w:shd w:val="clear" w:color="auto" w:fill="auto"/>
          </w:tcPr>
          <w:p w:rsidR="005A1E5C" w:rsidRDefault="005A1E5C" w:rsidP="00E15C70">
            <w:pPr>
              <w:keepNext/>
              <w:keepLines/>
              <w:snapToGrid w:val="0"/>
              <w:spacing w:after="0" w:line="240" w:lineRule="auto"/>
              <w:rPr>
                <w:sz w:val="18"/>
                <w:szCs w:val="18"/>
                <w:lang w:val="en-US"/>
              </w:rPr>
            </w:pPr>
          </w:p>
        </w:tc>
        <w:tc>
          <w:tcPr>
            <w:tcW w:w="1134" w:type="dxa"/>
            <w:vMerge/>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napToGrid w:val="0"/>
              <w:spacing w:after="0" w:line="240" w:lineRule="auto"/>
              <w:rPr>
                <w:sz w:val="18"/>
                <w:szCs w:val="18"/>
                <w:lang w:val="en-US"/>
              </w:rPr>
            </w:pPr>
          </w:p>
        </w:tc>
        <w:tc>
          <w:tcPr>
            <w:tcW w:w="1711"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rPr>
                <w:sz w:val="18"/>
                <w:szCs w:val="18"/>
                <w:lang w:val="en-US"/>
              </w:rPr>
            </w:pPr>
            <w:r>
              <w:rPr>
                <w:sz w:val="18"/>
                <w:szCs w:val="18"/>
                <w:lang w:val="en-US"/>
              </w:rPr>
              <w:t>% &gt;65</w:t>
            </w:r>
          </w:p>
        </w:tc>
        <w:tc>
          <w:tcPr>
            <w:tcW w:w="1134"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37,4</w:t>
            </w:r>
          </w:p>
        </w:tc>
        <w:tc>
          <w:tcPr>
            <w:tcW w:w="699"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33,9</w:t>
            </w:r>
          </w:p>
        </w:tc>
        <w:tc>
          <w:tcPr>
            <w:tcW w:w="992"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22,2</w:t>
            </w:r>
          </w:p>
        </w:tc>
        <w:tc>
          <w:tcPr>
            <w:tcW w:w="850"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16,4</w:t>
            </w:r>
          </w:p>
        </w:tc>
        <w:tc>
          <w:tcPr>
            <w:tcW w:w="993"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13,8</w:t>
            </w:r>
          </w:p>
        </w:tc>
        <w:tc>
          <w:tcPr>
            <w:tcW w:w="870" w:type="dxa"/>
            <w:tcBorders>
              <w:left w:val="single" w:sz="4" w:space="0" w:color="000000"/>
              <w:bottom w:val="single" w:sz="4" w:space="0" w:color="000000"/>
              <w:righ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17,0</w:t>
            </w:r>
          </w:p>
        </w:tc>
      </w:tr>
      <w:tr w:rsidR="005A1E5C" w:rsidTr="00E15C70">
        <w:tc>
          <w:tcPr>
            <w:tcW w:w="1267" w:type="dxa"/>
            <w:vMerge/>
            <w:tcBorders>
              <w:top w:val="single" w:sz="4" w:space="0" w:color="000000"/>
              <w:left w:val="single" w:sz="4" w:space="0" w:color="000000"/>
              <w:bottom w:val="single" w:sz="4" w:space="0" w:color="000000"/>
            </w:tcBorders>
            <w:shd w:val="clear" w:color="auto" w:fill="auto"/>
          </w:tcPr>
          <w:p w:rsidR="005A1E5C" w:rsidRDefault="005A1E5C" w:rsidP="00E15C70">
            <w:pPr>
              <w:keepNext/>
              <w:keepLines/>
              <w:snapToGrid w:val="0"/>
              <w:spacing w:after="0" w:line="240" w:lineRule="auto"/>
              <w:rPr>
                <w:sz w:val="18"/>
                <w:szCs w:val="18"/>
                <w:lang w:val="en-US"/>
              </w:rPr>
            </w:pPr>
          </w:p>
        </w:tc>
        <w:tc>
          <w:tcPr>
            <w:tcW w:w="1134" w:type="dxa"/>
            <w:vMerge w:val="restart"/>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pacing w:after="0" w:line="240" w:lineRule="auto"/>
              <w:rPr>
                <w:sz w:val="18"/>
                <w:szCs w:val="18"/>
                <w:lang w:val="en-US"/>
              </w:rPr>
            </w:pPr>
            <w:r>
              <w:rPr>
                <w:sz w:val="18"/>
                <w:szCs w:val="18"/>
                <w:lang w:val="en-US"/>
              </w:rPr>
              <w:t>Studies (average)</w:t>
            </w:r>
          </w:p>
        </w:tc>
        <w:tc>
          <w:tcPr>
            <w:tcW w:w="1711"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rPr>
                <w:sz w:val="18"/>
                <w:szCs w:val="18"/>
                <w:lang w:val="en-US"/>
              </w:rPr>
            </w:pPr>
            <w:r>
              <w:rPr>
                <w:sz w:val="18"/>
                <w:szCs w:val="18"/>
                <w:lang w:val="en-US"/>
              </w:rPr>
              <w:t>No studies</w:t>
            </w:r>
          </w:p>
        </w:tc>
        <w:tc>
          <w:tcPr>
            <w:tcW w:w="1134"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43,9</w:t>
            </w:r>
          </w:p>
        </w:tc>
        <w:tc>
          <w:tcPr>
            <w:tcW w:w="699"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37,1</w:t>
            </w:r>
          </w:p>
        </w:tc>
        <w:tc>
          <w:tcPr>
            <w:tcW w:w="992"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29,5</w:t>
            </w:r>
          </w:p>
        </w:tc>
        <w:tc>
          <w:tcPr>
            <w:tcW w:w="850"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30,5</w:t>
            </w:r>
          </w:p>
        </w:tc>
        <w:tc>
          <w:tcPr>
            <w:tcW w:w="993"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21,2</w:t>
            </w:r>
          </w:p>
        </w:tc>
        <w:tc>
          <w:tcPr>
            <w:tcW w:w="870" w:type="dxa"/>
            <w:tcBorders>
              <w:top w:val="single" w:sz="4" w:space="0" w:color="000000"/>
              <w:left w:val="single" w:sz="4" w:space="0" w:color="000000"/>
              <w:righ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19,5</w:t>
            </w:r>
          </w:p>
        </w:tc>
      </w:tr>
      <w:tr w:rsidR="005A1E5C" w:rsidTr="00E15C70">
        <w:tc>
          <w:tcPr>
            <w:tcW w:w="1267" w:type="dxa"/>
            <w:vMerge/>
            <w:tcBorders>
              <w:top w:val="single" w:sz="4" w:space="0" w:color="000000"/>
              <w:left w:val="single" w:sz="4" w:space="0" w:color="000000"/>
              <w:bottom w:val="single" w:sz="4" w:space="0" w:color="000000"/>
            </w:tcBorders>
            <w:shd w:val="clear" w:color="auto" w:fill="auto"/>
          </w:tcPr>
          <w:p w:rsidR="005A1E5C" w:rsidRDefault="005A1E5C" w:rsidP="00E15C70">
            <w:pPr>
              <w:keepNext/>
              <w:keepLines/>
              <w:snapToGrid w:val="0"/>
              <w:spacing w:after="0" w:line="240" w:lineRule="auto"/>
              <w:rPr>
                <w:sz w:val="18"/>
                <w:szCs w:val="18"/>
                <w:lang w:val="en-US"/>
              </w:rPr>
            </w:pPr>
          </w:p>
        </w:tc>
        <w:tc>
          <w:tcPr>
            <w:tcW w:w="1134" w:type="dxa"/>
            <w:vMerge/>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napToGrid w:val="0"/>
              <w:spacing w:after="0" w:line="240" w:lineRule="auto"/>
              <w:rPr>
                <w:sz w:val="18"/>
                <w:szCs w:val="18"/>
                <w:lang w:val="en-US"/>
              </w:rPr>
            </w:pPr>
          </w:p>
        </w:tc>
        <w:tc>
          <w:tcPr>
            <w:tcW w:w="1711"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rPr>
                <w:sz w:val="18"/>
                <w:szCs w:val="18"/>
                <w:lang w:val="en-US"/>
              </w:rPr>
            </w:pPr>
            <w:r>
              <w:rPr>
                <w:sz w:val="18"/>
                <w:szCs w:val="18"/>
                <w:lang w:val="en-US"/>
              </w:rPr>
              <w:t>&gt;Primary</w:t>
            </w:r>
          </w:p>
        </w:tc>
        <w:tc>
          <w:tcPr>
            <w:tcW w:w="1134"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38,7</w:t>
            </w:r>
          </w:p>
        </w:tc>
        <w:tc>
          <w:tcPr>
            <w:tcW w:w="699"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40,8</w:t>
            </w:r>
          </w:p>
        </w:tc>
        <w:tc>
          <w:tcPr>
            <w:tcW w:w="992"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53,3</w:t>
            </w:r>
          </w:p>
        </w:tc>
        <w:tc>
          <w:tcPr>
            <w:tcW w:w="850"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55,7</w:t>
            </w:r>
          </w:p>
        </w:tc>
        <w:tc>
          <w:tcPr>
            <w:tcW w:w="993"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64,8</w:t>
            </w:r>
          </w:p>
        </w:tc>
        <w:tc>
          <w:tcPr>
            <w:tcW w:w="870" w:type="dxa"/>
            <w:tcBorders>
              <w:left w:val="single" w:sz="4" w:space="0" w:color="000000"/>
              <w:bottom w:val="single" w:sz="4" w:space="0" w:color="000000"/>
              <w:righ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67,2</w:t>
            </w:r>
          </w:p>
        </w:tc>
      </w:tr>
      <w:tr w:rsidR="005A1E5C" w:rsidTr="00E15C70">
        <w:tc>
          <w:tcPr>
            <w:tcW w:w="1267" w:type="dxa"/>
            <w:vMerge/>
            <w:tcBorders>
              <w:top w:val="single" w:sz="4" w:space="0" w:color="000000"/>
              <w:left w:val="single" w:sz="4" w:space="0" w:color="000000"/>
              <w:bottom w:val="single" w:sz="4" w:space="0" w:color="000000"/>
            </w:tcBorders>
            <w:shd w:val="clear" w:color="auto" w:fill="auto"/>
          </w:tcPr>
          <w:p w:rsidR="005A1E5C" w:rsidRDefault="005A1E5C" w:rsidP="00E15C70">
            <w:pPr>
              <w:keepNext/>
              <w:keepLines/>
              <w:snapToGrid w:val="0"/>
              <w:spacing w:after="0" w:line="240" w:lineRule="auto"/>
              <w:rPr>
                <w:sz w:val="18"/>
                <w:szCs w:val="18"/>
                <w:lang w:val="en-US"/>
              </w:rPr>
            </w:pPr>
          </w:p>
        </w:tc>
        <w:tc>
          <w:tcPr>
            <w:tcW w:w="1134" w:type="dxa"/>
            <w:vMerge w:val="restart"/>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pacing w:after="0" w:line="240" w:lineRule="auto"/>
              <w:rPr>
                <w:sz w:val="18"/>
                <w:szCs w:val="18"/>
                <w:lang w:val="en-US"/>
              </w:rPr>
            </w:pPr>
            <w:r>
              <w:rPr>
                <w:sz w:val="18"/>
                <w:szCs w:val="18"/>
                <w:lang w:val="en-US"/>
              </w:rPr>
              <w:t>Labor structure</w:t>
            </w:r>
          </w:p>
        </w:tc>
        <w:tc>
          <w:tcPr>
            <w:tcW w:w="1711"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rPr>
                <w:sz w:val="18"/>
                <w:szCs w:val="18"/>
                <w:lang w:val="en-US"/>
              </w:rPr>
            </w:pPr>
            <w:r>
              <w:rPr>
                <w:sz w:val="18"/>
                <w:szCs w:val="18"/>
                <w:lang w:val="en-US"/>
              </w:rPr>
              <w:t>% Cadre</w:t>
            </w:r>
          </w:p>
        </w:tc>
        <w:tc>
          <w:tcPr>
            <w:tcW w:w="1134"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2,4</w:t>
            </w:r>
          </w:p>
        </w:tc>
        <w:tc>
          <w:tcPr>
            <w:tcW w:w="699"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2,5</w:t>
            </w:r>
          </w:p>
        </w:tc>
        <w:tc>
          <w:tcPr>
            <w:tcW w:w="992"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4,0</w:t>
            </w:r>
          </w:p>
        </w:tc>
        <w:tc>
          <w:tcPr>
            <w:tcW w:w="850"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4,3</w:t>
            </w:r>
          </w:p>
        </w:tc>
        <w:tc>
          <w:tcPr>
            <w:tcW w:w="993"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6,1</w:t>
            </w:r>
          </w:p>
        </w:tc>
        <w:tc>
          <w:tcPr>
            <w:tcW w:w="870" w:type="dxa"/>
            <w:tcBorders>
              <w:top w:val="single" w:sz="4" w:space="0" w:color="000000"/>
              <w:left w:val="single" w:sz="4" w:space="0" w:color="000000"/>
              <w:righ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8,0</w:t>
            </w:r>
          </w:p>
        </w:tc>
      </w:tr>
      <w:tr w:rsidR="005A1E5C" w:rsidTr="00E15C70">
        <w:tc>
          <w:tcPr>
            <w:tcW w:w="1267" w:type="dxa"/>
            <w:vMerge/>
            <w:tcBorders>
              <w:top w:val="single" w:sz="4" w:space="0" w:color="000000"/>
              <w:left w:val="single" w:sz="4" w:space="0" w:color="000000"/>
              <w:bottom w:val="single" w:sz="4" w:space="0" w:color="000000"/>
            </w:tcBorders>
            <w:shd w:val="clear" w:color="auto" w:fill="auto"/>
          </w:tcPr>
          <w:p w:rsidR="005A1E5C" w:rsidRDefault="005A1E5C" w:rsidP="00E15C70">
            <w:pPr>
              <w:keepNext/>
              <w:keepLines/>
              <w:snapToGrid w:val="0"/>
              <w:spacing w:after="0" w:line="240" w:lineRule="auto"/>
              <w:rPr>
                <w:sz w:val="18"/>
                <w:szCs w:val="18"/>
                <w:lang w:val="en-US"/>
              </w:rPr>
            </w:pPr>
          </w:p>
        </w:tc>
        <w:tc>
          <w:tcPr>
            <w:tcW w:w="1134" w:type="dxa"/>
            <w:vMerge/>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napToGrid w:val="0"/>
              <w:spacing w:after="0" w:line="240" w:lineRule="auto"/>
              <w:rPr>
                <w:sz w:val="18"/>
                <w:szCs w:val="18"/>
                <w:lang w:val="en-US"/>
              </w:rPr>
            </w:pPr>
          </w:p>
        </w:tc>
        <w:tc>
          <w:tcPr>
            <w:tcW w:w="1711" w:type="dxa"/>
            <w:tcBorders>
              <w:left w:val="single" w:sz="4" w:space="0" w:color="000000"/>
            </w:tcBorders>
            <w:shd w:val="clear" w:color="auto" w:fill="auto"/>
            <w:vAlign w:val="bottom"/>
          </w:tcPr>
          <w:p w:rsidR="005A1E5C" w:rsidRDefault="005A1E5C" w:rsidP="00E15C70">
            <w:pPr>
              <w:keepNext/>
              <w:keepLines/>
              <w:spacing w:after="0" w:line="240" w:lineRule="auto"/>
              <w:rPr>
                <w:sz w:val="18"/>
                <w:szCs w:val="18"/>
                <w:lang w:val="en-US"/>
              </w:rPr>
            </w:pPr>
            <w:r>
              <w:rPr>
                <w:sz w:val="18"/>
                <w:szCs w:val="18"/>
                <w:lang w:val="en-US"/>
              </w:rPr>
              <w:t xml:space="preserve">% </w:t>
            </w:r>
            <w:proofErr w:type="spellStart"/>
            <w:r>
              <w:rPr>
                <w:sz w:val="18"/>
                <w:szCs w:val="18"/>
                <w:lang w:val="en-US"/>
              </w:rPr>
              <w:t>Advos</w:t>
            </w:r>
            <w:proofErr w:type="spellEnd"/>
          </w:p>
        </w:tc>
        <w:tc>
          <w:tcPr>
            <w:tcW w:w="1134" w:type="dxa"/>
            <w:tcBorders>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3,7</w:t>
            </w:r>
          </w:p>
        </w:tc>
        <w:tc>
          <w:tcPr>
            <w:tcW w:w="699" w:type="dxa"/>
            <w:tcBorders>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3,7</w:t>
            </w:r>
          </w:p>
        </w:tc>
        <w:tc>
          <w:tcPr>
            <w:tcW w:w="992" w:type="dxa"/>
            <w:tcBorders>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6,2</w:t>
            </w:r>
          </w:p>
        </w:tc>
        <w:tc>
          <w:tcPr>
            <w:tcW w:w="850" w:type="dxa"/>
            <w:tcBorders>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6,9</w:t>
            </w:r>
          </w:p>
        </w:tc>
        <w:tc>
          <w:tcPr>
            <w:tcW w:w="993" w:type="dxa"/>
            <w:tcBorders>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9,7</w:t>
            </w:r>
          </w:p>
        </w:tc>
        <w:tc>
          <w:tcPr>
            <w:tcW w:w="870" w:type="dxa"/>
            <w:tcBorders>
              <w:left w:val="single" w:sz="4" w:space="0" w:color="000000"/>
              <w:righ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10,1</w:t>
            </w:r>
          </w:p>
        </w:tc>
      </w:tr>
      <w:tr w:rsidR="005A1E5C" w:rsidTr="00E15C70">
        <w:tc>
          <w:tcPr>
            <w:tcW w:w="1267" w:type="dxa"/>
            <w:vMerge/>
            <w:tcBorders>
              <w:top w:val="single" w:sz="4" w:space="0" w:color="000000"/>
              <w:left w:val="single" w:sz="4" w:space="0" w:color="000000"/>
              <w:bottom w:val="single" w:sz="4" w:space="0" w:color="000000"/>
            </w:tcBorders>
            <w:shd w:val="clear" w:color="auto" w:fill="auto"/>
          </w:tcPr>
          <w:p w:rsidR="005A1E5C" w:rsidRDefault="005A1E5C" w:rsidP="00E15C70">
            <w:pPr>
              <w:keepNext/>
              <w:keepLines/>
              <w:snapToGrid w:val="0"/>
              <w:spacing w:after="0" w:line="240" w:lineRule="auto"/>
              <w:rPr>
                <w:sz w:val="18"/>
                <w:szCs w:val="18"/>
                <w:lang w:val="en-US"/>
              </w:rPr>
            </w:pPr>
          </w:p>
        </w:tc>
        <w:tc>
          <w:tcPr>
            <w:tcW w:w="1134" w:type="dxa"/>
            <w:vMerge/>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napToGrid w:val="0"/>
              <w:spacing w:after="0" w:line="240" w:lineRule="auto"/>
              <w:rPr>
                <w:sz w:val="18"/>
                <w:szCs w:val="18"/>
                <w:lang w:val="en-US"/>
              </w:rPr>
            </w:pPr>
          </w:p>
        </w:tc>
        <w:tc>
          <w:tcPr>
            <w:tcW w:w="1711" w:type="dxa"/>
            <w:tcBorders>
              <w:left w:val="single" w:sz="4" w:space="0" w:color="000000"/>
            </w:tcBorders>
            <w:shd w:val="clear" w:color="auto" w:fill="auto"/>
            <w:vAlign w:val="bottom"/>
          </w:tcPr>
          <w:p w:rsidR="005A1E5C" w:rsidRDefault="005A1E5C" w:rsidP="00E15C70">
            <w:pPr>
              <w:keepNext/>
              <w:keepLines/>
              <w:spacing w:after="0" w:line="240" w:lineRule="auto"/>
              <w:rPr>
                <w:sz w:val="18"/>
                <w:szCs w:val="18"/>
                <w:lang w:val="en-US"/>
              </w:rPr>
            </w:pPr>
            <w:r>
              <w:rPr>
                <w:sz w:val="18"/>
                <w:szCs w:val="18"/>
                <w:lang w:val="en-US"/>
              </w:rPr>
              <w:t>% Manual</w:t>
            </w:r>
          </w:p>
        </w:tc>
        <w:tc>
          <w:tcPr>
            <w:tcW w:w="1134" w:type="dxa"/>
            <w:tcBorders>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14,5</w:t>
            </w:r>
          </w:p>
        </w:tc>
        <w:tc>
          <w:tcPr>
            <w:tcW w:w="699" w:type="dxa"/>
            <w:tcBorders>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12,6</w:t>
            </w:r>
          </w:p>
        </w:tc>
        <w:tc>
          <w:tcPr>
            <w:tcW w:w="992" w:type="dxa"/>
            <w:tcBorders>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24,0</w:t>
            </w:r>
          </w:p>
        </w:tc>
        <w:tc>
          <w:tcPr>
            <w:tcW w:w="850" w:type="dxa"/>
            <w:tcBorders>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24,8</w:t>
            </w:r>
          </w:p>
        </w:tc>
        <w:tc>
          <w:tcPr>
            <w:tcW w:w="993" w:type="dxa"/>
            <w:tcBorders>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25,8</w:t>
            </w:r>
          </w:p>
        </w:tc>
        <w:tc>
          <w:tcPr>
            <w:tcW w:w="870" w:type="dxa"/>
            <w:tcBorders>
              <w:left w:val="single" w:sz="4" w:space="0" w:color="000000"/>
              <w:righ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20,3</w:t>
            </w:r>
          </w:p>
        </w:tc>
      </w:tr>
      <w:tr w:rsidR="005A1E5C" w:rsidTr="00E15C70">
        <w:tc>
          <w:tcPr>
            <w:tcW w:w="1267" w:type="dxa"/>
            <w:vMerge/>
            <w:tcBorders>
              <w:top w:val="single" w:sz="4" w:space="0" w:color="000000"/>
              <w:left w:val="single" w:sz="4" w:space="0" w:color="000000"/>
              <w:bottom w:val="single" w:sz="4" w:space="0" w:color="000000"/>
            </w:tcBorders>
            <w:shd w:val="clear" w:color="auto" w:fill="auto"/>
          </w:tcPr>
          <w:p w:rsidR="005A1E5C" w:rsidRDefault="005A1E5C" w:rsidP="00E15C70">
            <w:pPr>
              <w:keepNext/>
              <w:keepLines/>
              <w:snapToGrid w:val="0"/>
              <w:spacing w:after="0" w:line="240" w:lineRule="auto"/>
              <w:rPr>
                <w:sz w:val="18"/>
                <w:szCs w:val="18"/>
                <w:lang w:val="en-US"/>
              </w:rPr>
            </w:pPr>
          </w:p>
        </w:tc>
        <w:tc>
          <w:tcPr>
            <w:tcW w:w="1134" w:type="dxa"/>
            <w:vMerge/>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napToGrid w:val="0"/>
              <w:spacing w:after="0" w:line="240" w:lineRule="auto"/>
              <w:rPr>
                <w:sz w:val="18"/>
                <w:szCs w:val="18"/>
                <w:lang w:val="en-US"/>
              </w:rPr>
            </w:pPr>
          </w:p>
        </w:tc>
        <w:tc>
          <w:tcPr>
            <w:tcW w:w="1711"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rPr>
                <w:sz w:val="18"/>
                <w:szCs w:val="18"/>
                <w:lang w:val="en-US"/>
              </w:rPr>
            </w:pPr>
            <w:r>
              <w:rPr>
                <w:sz w:val="18"/>
                <w:szCs w:val="18"/>
                <w:lang w:val="en-US"/>
              </w:rPr>
              <w:t>% Agricultural</w:t>
            </w:r>
          </w:p>
        </w:tc>
        <w:tc>
          <w:tcPr>
            <w:tcW w:w="1134"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7,9</w:t>
            </w:r>
          </w:p>
        </w:tc>
        <w:tc>
          <w:tcPr>
            <w:tcW w:w="699"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19,4</w:t>
            </w:r>
          </w:p>
        </w:tc>
        <w:tc>
          <w:tcPr>
            <w:tcW w:w="992"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5,5</w:t>
            </w:r>
          </w:p>
        </w:tc>
        <w:tc>
          <w:tcPr>
            <w:tcW w:w="850"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4,6</w:t>
            </w:r>
          </w:p>
        </w:tc>
        <w:tc>
          <w:tcPr>
            <w:tcW w:w="993"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1,9</w:t>
            </w:r>
          </w:p>
        </w:tc>
        <w:tc>
          <w:tcPr>
            <w:tcW w:w="870" w:type="dxa"/>
            <w:tcBorders>
              <w:left w:val="single" w:sz="4" w:space="0" w:color="000000"/>
              <w:bottom w:val="single" w:sz="4" w:space="0" w:color="000000"/>
              <w:righ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1,1</w:t>
            </w:r>
          </w:p>
        </w:tc>
      </w:tr>
      <w:tr w:rsidR="005A1E5C" w:rsidTr="00E15C70">
        <w:tc>
          <w:tcPr>
            <w:tcW w:w="1267" w:type="dxa"/>
            <w:vMerge/>
            <w:tcBorders>
              <w:top w:val="single" w:sz="4" w:space="0" w:color="000000"/>
              <w:left w:val="single" w:sz="4" w:space="0" w:color="000000"/>
              <w:bottom w:val="single" w:sz="4" w:space="0" w:color="000000"/>
            </w:tcBorders>
            <w:shd w:val="clear" w:color="auto" w:fill="auto"/>
          </w:tcPr>
          <w:p w:rsidR="005A1E5C" w:rsidRDefault="005A1E5C" w:rsidP="00E15C70">
            <w:pPr>
              <w:keepNext/>
              <w:keepLines/>
              <w:snapToGrid w:val="0"/>
              <w:spacing w:after="0" w:line="240" w:lineRule="auto"/>
              <w:rPr>
                <w:sz w:val="18"/>
                <w:szCs w:val="18"/>
                <w:lang w:val="en-US"/>
              </w:rPr>
            </w:pPr>
          </w:p>
        </w:tc>
        <w:tc>
          <w:tcPr>
            <w:tcW w:w="1134" w:type="dxa"/>
            <w:vMerge w:val="restart"/>
            <w:tcBorders>
              <w:top w:val="single" w:sz="4" w:space="0" w:color="000000"/>
              <w:left w:val="single" w:sz="4" w:space="0" w:color="000000"/>
              <w:bottom w:val="single" w:sz="4" w:space="0" w:color="000000"/>
            </w:tcBorders>
            <w:shd w:val="clear" w:color="auto" w:fill="auto"/>
            <w:vAlign w:val="center"/>
          </w:tcPr>
          <w:p w:rsidR="005A1E5C" w:rsidRDefault="005A1E5C" w:rsidP="00E15C70">
            <w:pPr>
              <w:keepNext/>
              <w:keepLines/>
              <w:spacing w:after="0" w:line="240" w:lineRule="auto"/>
              <w:rPr>
                <w:sz w:val="18"/>
                <w:szCs w:val="18"/>
                <w:lang w:val="en-US"/>
              </w:rPr>
            </w:pPr>
            <w:proofErr w:type="spellStart"/>
            <w:r>
              <w:rPr>
                <w:sz w:val="18"/>
                <w:szCs w:val="18"/>
                <w:lang w:val="en-US"/>
              </w:rPr>
              <w:t>Relación</w:t>
            </w:r>
            <w:proofErr w:type="spellEnd"/>
            <w:r>
              <w:rPr>
                <w:sz w:val="18"/>
                <w:szCs w:val="18"/>
                <w:lang w:val="en-US"/>
              </w:rPr>
              <w:t xml:space="preserve"> </w:t>
            </w:r>
            <w:proofErr w:type="spellStart"/>
            <w:r>
              <w:rPr>
                <w:sz w:val="18"/>
                <w:szCs w:val="18"/>
                <w:lang w:val="en-US"/>
              </w:rPr>
              <w:t>Actividad</w:t>
            </w:r>
            <w:proofErr w:type="spellEnd"/>
          </w:p>
        </w:tc>
        <w:tc>
          <w:tcPr>
            <w:tcW w:w="1711"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rPr>
                <w:sz w:val="18"/>
                <w:szCs w:val="18"/>
                <w:lang w:val="en-US"/>
              </w:rPr>
            </w:pPr>
            <w:r>
              <w:rPr>
                <w:sz w:val="18"/>
                <w:szCs w:val="18"/>
                <w:lang w:val="en-US"/>
              </w:rPr>
              <w:t>% Retired</w:t>
            </w:r>
          </w:p>
        </w:tc>
        <w:tc>
          <w:tcPr>
            <w:tcW w:w="1134"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36,1</w:t>
            </w:r>
          </w:p>
        </w:tc>
        <w:tc>
          <w:tcPr>
            <w:tcW w:w="699"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32,0</w:t>
            </w:r>
          </w:p>
        </w:tc>
        <w:tc>
          <w:tcPr>
            <w:tcW w:w="992"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25,6</w:t>
            </w:r>
          </w:p>
        </w:tc>
        <w:tc>
          <w:tcPr>
            <w:tcW w:w="850"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19,7</w:t>
            </w:r>
          </w:p>
        </w:tc>
        <w:tc>
          <w:tcPr>
            <w:tcW w:w="993" w:type="dxa"/>
            <w:tcBorders>
              <w:top w:val="single" w:sz="4" w:space="0" w:color="000000"/>
              <w:lef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16,8</w:t>
            </w:r>
          </w:p>
        </w:tc>
        <w:tc>
          <w:tcPr>
            <w:tcW w:w="870" w:type="dxa"/>
            <w:tcBorders>
              <w:top w:val="single" w:sz="4" w:space="0" w:color="000000"/>
              <w:left w:val="single" w:sz="4" w:space="0" w:color="000000"/>
              <w:righ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17,9</w:t>
            </w:r>
          </w:p>
        </w:tc>
      </w:tr>
      <w:tr w:rsidR="005A1E5C" w:rsidTr="00E15C70">
        <w:tc>
          <w:tcPr>
            <w:tcW w:w="1267" w:type="dxa"/>
            <w:vMerge/>
            <w:tcBorders>
              <w:top w:val="single" w:sz="4" w:space="0" w:color="000000"/>
              <w:left w:val="single" w:sz="4" w:space="0" w:color="000000"/>
              <w:bottom w:val="single" w:sz="4" w:space="0" w:color="000000"/>
            </w:tcBorders>
            <w:shd w:val="clear" w:color="auto" w:fill="auto"/>
          </w:tcPr>
          <w:p w:rsidR="005A1E5C" w:rsidRDefault="005A1E5C" w:rsidP="00E15C70">
            <w:pPr>
              <w:keepNext/>
              <w:keepLines/>
              <w:snapToGrid w:val="0"/>
              <w:spacing w:after="0" w:line="240" w:lineRule="auto"/>
              <w:rPr>
                <w:sz w:val="18"/>
                <w:szCs w:val="18"/>
                <w:lang w:val="en-US"/>
              </w:rPr>
            </w:pPr>
          </w:p>
        </w:tc>
        <w:tc>
          <w:tcPr>
            <w:tcW w:w="1134" w:type="dxa"/>
            <w:vMerge/>
            <w:tcBorders>
              <w:top w:val="single" w:sz="4" w:space="0" w:color="000000"/>
              <w:left w:val="single" w:sz="4" w:space="0" w:color="000000"/>
              <w:bottom w:val="single" w:sz="4" w:space="0" w:color="000000"/>
            </w:tcBorders>
            <w:shd w:val="clear" w:color="auto" w:fill="auto"/>
          </w:tcPr>
          <w:p w:rsidR="005A1E5C" w:rsidRDefault="005A1E5C" w:rsidP="00E15C70">
            <w:pPr>
              <w:keepNext/>
              <w:keepLines/>
              <w:snapToGrid w:val="0"/>
              <w:spacing w:after="0" w:line="240" w:lineRule="auto"/>
              <w:rPr>
                <w:sz w:val="18"/>
                <w:szCs w:val="18"/>
                <w:lang w:val="en-US"/>
              </w:rPr>
            </w:pPr>
          </w:p>
        </w:tc>
        <w:tc>
          <w:tcPr>
            <w:tcW w:w="1711"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rPr>
                <w:sz w:val="18"/>
                <w:szCs w:val="18"/>
                <w:lang w:val="en-US"/>
              </w:rPr>
            </w:pPr>
            <w:r>
              <w:rPr>
                <w:sz w:val="18"/>
                <w:szCs w:val="18"/>
                <w:lang w:val="en-US"/>
              </w:rPr>
              <w:t>% Occupied</w:t>
            </w:r>
          </w:p>
        </w:tc>
        <w:tc>
          <w:tcPr>
            <w:tcW w:w="1134"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30,3</w:t>
            </w:r>
          </w:p>
        </w:tc>
        <w:tc>
          <w:tcPr>
            <w:tcW w:w="699"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39,4</w:t>
            </w:r>
          </w:p>
        </w:tc>
        <w:tc>
          <w:tcPr>
            <w:tcW w:w="992"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42,4</w:t>
            </w:r>
          </w:p>
        </w:tc>
        <w:tc>
          <w:tcPr>
            <w:tcW w:w="850"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43,4</w:t>
            </w:r>
          </w:p>
        </w:tc>
        <w:tc>
          <w:tcPr>
            <w:tcW w:w="993" w:type="dxa"/>
            <w:tcBorders>
              <w:left w:val="single" w:sz="4" w:space="0" w:color="000000"/>
              <w:bottom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46,5</w:t>
            </w:r>
          </w:p>
        </w:tc>
        <w:tc>
          <w:tcPr>
            <w:tcW w:w="870" w:type="dxa"/>
            <w:tcBorders>
              <w:left w:val="single" w:sz="4" w:space="0" w:color="000000"/>
              <w:bottom w:val="single" w:sz="4" w:space="0" w:color="000000"/>
              <w:right w:val="single" w:sz="4" w:space="0" w:color="000000"/>
            </w:tcBorders>
            <w:shd w:val="clear" w:color="auto" w:fill="auto"/>
            <w:vAlign w:val="bottom"/>
          </w:tcPr>
          <w:p w:rsidR="005A1E5C" w:rsidRDefault="005A1E5C" w:rsidP="00E15C70">
            <w:pPr>
              <w:keepNext/>
              <w:keepLines/>
              <w:spacing w:after="0" w:line="240" w:lineRule="auto"/>
              <w:jc w:val="right"/>
              <w:rPr>
                <w:sz w:val="18"/>
                <w:szCs w:val="18"/>
                <w:lang w:val="en-US"/>
              </w:rPr>
            </w:pPr>
            <w:r>
              <w:rPr>
                <w:sz w:val="18"/>
                <w:szCs w:val="18"/>
                <w:lang w:val="en-US"/>
              </w:rPr>
              <w:t>41,6</w:t>
            </w:r>
          </w:p>
        </w:tc>
      </w:tr>
    </w:tbl>
    <w:p w:rsidR="005A1E5C" w:rsidRDefault="005A1E5C" w:rsidP="005A1E5C">
      <w:pPr>
        <w:spacing w:after="120" w:line="240" w:lineRule="auto"/>
        <w:ind w:left="709" w:hanging="709"/>
        <w:jc w:val="center"/>
        <w:rPr>
          <w:lang w:val="en-GB"/>
        </w:rPr>
      </w:pPr>
      <w:r>
        <w:rPr>
          <w:sz w:val="18"/>
          <w:szCs w:val="18"/>
          <w:lang w:val="en-US"/>
        </w:rPr>
        <w:t>Source: Elaborated from data of the Spanish Population Censuses, Municipal Censuses, Residential Variation Statistics and Natural Population Movement</w:t>
      </w:r>
    </w:p>
    <w:p w:rsidR="005A1E5C" w:rsidRDefault="005A1E5C" w:rsidP="005A1E5C">
      <w:pPr>
        <w:spacing w:line="360" w:lineRule="auto"/>
        <w:jc w:val="both"/>
        <w:rPr>
          <w:lang w:val="en-GB"/>
        </w:rPr>
      </w:pPr>
    </w:p>
    <w:p w:rsidR="005A1E5C" w:rsidRDefault="005A1E5C" w:rsidP="005A1E5C">
      <w:pPr>
        <w:spacing w:line="360" w:lineRule="auto"/>
        <w:jc w:val="both"/>
        <w:rPr>
          <w:lang w:val="en-GB"/>
        </w:rPr>
      </w:pPr>
    </w:p>
    <w:p w:rsidR="005A1E5C" w:rsidRDefault="005A1E5C" w:rsidP="005A1E5C">
      <w:pPr>
        <w:pStyle w:val="NormalArtigoEnglish"/>
        <w:keepNext/>
        <w:keepLines/>
        <w:spacing w:before="240" w:line="240" w:lineRule="auto"/>
        <w:ind w:firstLine="0"/>
        <w:jc w:val="center"/>
        <w:rPr>
          <w:b/>
          <w:sz w:val="18"/>
          <w:szCs w:val="18"/>
          <w:lang w:val="en-US"/>
        </w:rPr>
      </w:pPr>
      <w:r>
        <w:rPr>
          <w:sz w:val="18"/>
          <w:szCs w:val="18"/>
          <w:lang w:val="en-US"/>
        </w:rPr>
        <w:lastRenderedPageBreak/>
        <w:t>Figure3</w:t>
      </w:r>
    </w:p>
    <w:tbl>
      <w:tblPr>
        <w:tblW w:w="9421" w:type="dxa"/>
        <w:tblInd w:w="-459" w:type="dxa"/>
        <w:tblLayout w:type="fixed"/>
        <w:tblLook w:val="0000" w:firstRow="0" w:lastRow="0" w:firstColumn="0" w:lastColumn="0" w:noHBand="0" w:noVBand="0"/>
      </w:tblPr>
      <w:tblGrid>
        <w:gridCol w:w="1266"/>
        <w:gridCol w:w="8155"/>
      </w:tblGrid>
      <w:tr w:rsidR="005A1E5C" w:rsidTr="00E15C70">
        <w:trPr>
          <w:cantSplit/>
          <w:trHeight w:val="250"/>
        </w:trPr>
        <w:tc>
          <w:tcPr>
            <w:tcW w:w="1266" w:type="dxa"/>
            <w:tcBorders>
              <w:top w:val="single" w:sz="4" w:space="0" w:color="000000"/>
              <w:left w:val="single" w:sz="4" w:space="0" w:color="000000"/>
              <w:bottom w:val="single" w:sz="4" w:space="0" w:color="000000"/>
            </w:tcBorders>
            <w:shd w:val="clear" w:color="auto" w:fill="auto"/>
          </w:tcPr>
          <w:p w:rsidR="005A1E5C" w:rsidRDefault="005A1E5C" w:rsidP="00E15C70">
            <w:pPr>
              <w:pStyle w:val="Pargrafodelista"/>
              <w:keepNext/>
              <w:keepLines/>
              <w:spacing w:before="0" w:after="0" w:line="240" w:lineRule="auto"/>
              <w:ind w:left="0" w:firstLine="0"/>
              <w:jc w:val="left"/>
              <w:rPr>
                <w:b/>
                <w:sz w:val="18"/>
                <w:szCs w:val="18"/>
                <w:lang w:val="en-US"/>
              </w:rPr>
            </w:pPr>
            <w:r>
              <w:rPr>
                <w:b/>
                <w:sz w:val="18"/>
                <w:szCs w:val="18"/>
                <w:lang w:val="en-US"/>
              </w:rPr>
              <w:t>HABITAT</w:t>
            </w:r>
          </w:p>
        </w:tc>
        <w:tc>
          <w:tcPr>
            <w:tcW w:w="8155" w:type="dxa"/>
            <w:tcBorders>
              <w:top w:val="single" w:sz="4" w:space="0" w:color="000000"/>
              <w:left w:val="single" w:sz="4" w:space="0" w:color="000000"/>
              <w:bottom w:val="single" w:sz="4" w:space="0" w:color="000000"/>
              <w:right w:val="single" w:sz="4" w:space="0" w:color="000000"/>
            </w:tcBorders>
            <w:shd w:val="clear" w:color="auto" w:fill="auto"/>
          </w:tcPr>
          <w:p w:rsidR="005A1E5C" w:rsidRDefault="005A1E5C" w:rsidP="00E15C70">
            <w:pPr>
              <w:pStyle w:val="Pargrafodelista"/>
              <w:keepNext/>
              <w:keepLines/>
              <w:spacing w:before="0" w:after="0" w:line="240" w:lineRule="auto"/>
              <w:ind w:left="0" w:firstLine="0"/>
              <w:rPr>
                <w:sz w:val="18"/>
                <w:szCs w:val="18"/>
                <w:lang w:val="en-US"/>
              </w:rPr>
            </w:pPr>
            <w:r>
              <w:rPr>
                <w:b/>
                <w:sz w:val="18"/>
                <w:szCs w:val="18"/>
                <w:lang w:val="en-US"/>
              </w:rPr>
              <w:t>INCLUSION CRITERIA</w:t>
            </w:r>
          </w:p>
        </w:tc>
      </w:tr>
      <w:tr w:rsidR="005A1E5C" w:rsidRPr="00E83335" w:rsidTr="00E15C70">
        <w:trPr>
          <w:cantSplit/>
          <w:trHeight w:val="1134"/>
        </w:trPr>
        <w:tc>
          <w:tcPr>
            <w:tcW w:w="1266" w:type="dxa"/>
            <w:tcBorders>
              <w:top w:val="single" w:sz="4" w:space="0" w:color="000000"/>
              <w:left w:val="single" w:sz="4" w:space="0" w:color="000000"/>
              <w:bottom w:val="single" w:sz="4" w:space="0" w:color="000000"/>
            </w:tcBorders>
            <w:shd w:val="clear" w:color="auto" w:fill="auto"/>
            <w:vAlign w:val="center"/>
          </w:tcPr>
          <w:p w:rsidR="005A1E5C" w:rsidRDefault="005A1E5C" w:rsidP="00E15C70">
            <w:pPr>
              <w:pStyle w:val="Pargrafodelista"/>
              <w:keepNext/>
              <w:keepLines/>
              <w:spacing w:before="0" w:after="0" w:line="240" w:lineRule="auto"/>
              <w:ind w:left="0" w:firstLine="0"/>
              <w:jc w:val="center"/>
              <w:rPr>
                <w:sz w:val="18"/>
                <w:szCs w:val="18"/>
                <w:lang w:val="en-US"/>
              </w:rPr>
            </w:pPr>
            <w:r>
              <w:rPr>
                <w:sz w:val="18"/>
                <w:szCs w:val="18"/>
                <w:lang w:val="en-US"/>
              </w:rPr>
              <w:t>City</w:t>
            </w:r>
          </w:p>
        </w:tc>
        <w:tc>
          <w:tcPr>
            <w:tcW w:w="8155" w:type="dxa"/>
            <w:tcBorders>
              <w:top w:val="single" w:sz="4" w:space="0" w:color="000000"/>
              <w:left w:val="single" w:sz="4" w:space="0" w:color="000000"/>
              <w:bottom w:val="single" w:sz="4" w:space="0" w:color="000000"/>
              <w:right w:val="single" w:sz="4" w:space="0" w:color="000000"/>
            </w:tcBorders>
            <w:shd w:val="clear" w:color="auto" w:fill="auto"/>
          </w:tcPr>
          <w:p w:rsidR="005A1E5C" w:rsidRDefault="005A1E5C" w:rsidP="00E15C70">
            <w:pPr>
              <w:keepNext/>
              <w:keepLines/>
              <w:spacing w:after="0" w:line="240" w:lineRule="auto"/>
              <w:rPr>
                <w:sz w:val="18"/>
                <w:szCs w:val="18"/>
                <w:lang w:val="en-US"/>
              </w:rPr>
            </w:pPr>
            <w:r>
              <w:rPr>
                <w:sz w:val="18"/>
                <w:szCs w:val="18"/>
                <w:lang w:val="en-US"/>
              </w:rPr>
              <w:t>It is considered as city every municipality that meets the following criteria:</w:t>
            </w:r>
          </w:p>
          <w:p w:rsidR="005A1E5C" w:rsidRDefault="005A1E5C" w:rsidP="005A1E5C">
            <w:pPr>
              <w:pStyle w:val="Pargrafodelista"/>
              <w:keepNext/>
              <w:keepLines/>
              <w:numPr>
                <w:ilvl w:val="0"/>
                <w:numId w:val="2"/>
              </w:numPr>
              <w:spacing w:before="0" w:after="0" w:line="240" w:lineRule="auto"/>
              <w:ind w:firstLine="0"/>
              <w:rPr>
                <w:sz w:val="18"/>
                <w:szCs w:val="18"/>
                <w:lang w:val="en-US"/>
              </w:rPr>
            </w:pPr>
            <w:r>
              <w:rPr>
                <w:sz w:val="18"/>
                <w:szCs w:val="18"/>
                <w:lang w:val="en-US"/>
              </w:rPr>
              <w:t>A total population of at least 15000 inhabitants in year 1910.</w:t>
            </w:r>
          </w:p>
          <w:p w:rsidR="005A1E5C" w:rsidRDefault="005A1E5C" w:rsidP="005A1E5C">
            <w:pPr>
              <w:pStyle w:val="Pargrafodelista"/>
              <w:numPr>
                <w:ilvl w:val="0"/>
                <w:numId w:val="2"/>
              </w:numPr>
              <w:spacing w:before="0" w:after="0" w:line="240" w:lineRule="auto"/>
              <w:ind w:firstLine="0"/>
              <w:rPr>
                <w:sz w:val="18"/>
                <w:szCs w:val="18"/>
                <w:lang w:val="en-US"/>
              </w:rPr>
            </w:pPr>
            <w:r>
              <w:rPr>
                <w:sz w:val="18"/>
                <w:szCs w:val="18"/>
                <w:lang w:val="en-US"/>
              </w:rPr>
              <w:t>A total population of at least 30000 inhabitants in year 1930.</w:t>
            </w:r>
          </w:p>
          <w:p w:rsidR="005A1E5C" w:rsidRDefault="005A1E5C" w:rsidP="005A1E5C">
            <w:pPr>
              <w:pStyle w:val="Pargrafodelista"/>
              <w:numPr>
                <w:ilvl w:val="0"/>
                <w:numId w:val="2"/>
              </w:numPr>
              <w:spacing w:before="0" w:after="0" w:line="240" w:lineRule="auto"/>
              <w:ind w:firstLine="0"/>
              <w:rPr>
                <w:sz w:val="18"/>
                <w:szCs w:val="18"/>
                <w:lang w:val="en-US"/>
              </w:rPr>
            </w:pPr>
            <w:r>
              <w:rPr>
                <w:sz w:val="18"/>
                <w:szCs w:val="18"/>
                <w:lang w:val="en-US"/>
              </w:rPr>
              <w:t>A total population of at least 30000 inhabitants in year 1981.</w:t>
            </w:r>
          </w:p>
          <w:p w:rsidR="005A1E5C" w:rsidRDefault="005A1E5C" w:rsidP="005A1E5C">
            <w:pPr>
              <w:pStyle w:val="Pargrafodelista"/>
              <w:numPr>
                <w:ilvl w:val="0"/>
                <w:numId w:val="2"/>
              </w:numPr>
              <w:spacing w:before="0" w:after="0" w:line="240" w:lineRule="auto"/>
              <w:ind w:firstLine="0"/>
              <w:rPr>
                <w:sz w:val="18"/>
                <w:szCs w:val="18"/>
                <w:lang w:val="en-US"/>
              </w:rPr>
            </w:pPr>
            <w:r>
              <w:rPr>
                <w:sz w:val="18"/>
                <w:szCs w:val="18"/>
                <w:lang w:val="en-US"/>
              </w:rPr>
              <w:t>A total population of at least 35000 inhabitants in year 2001.</w:t>
            </w:r>
          </w:p>
          <w:p w:rsidR="005A1E5C" w:rsidRDefault="005A1E5C" w:rsidP="00E15C70">
            <w:pPr>
              <w:keepNext/>
              <w:keepLines/>
              <w:spacing w:after="0" w:line="240" w:lineRule="auto"/>
              <w:rPr>
                <w:sz w:val="18"/>
                <w:szCs w:val="18"/>
                <w:lang w:val="en-US"/>
              </w:rPr>
            </w:pPr>
            <w:r>
              <w:rPr>
                <w:sz w:val="18"/>
                <w:szCs w:val="18"/>
                <w:lang w:val="en-US"/>
              </w:rPr>
              <w:t>In the same way, it will be considered as cities every municipality being Provincial capital, although these do not meet the aforementioned criteria.</w:t>
            </w:r>
          </w:p>
        </w:tc>
      </w:tr>
      <w:tr w:rsidR="005A1E5C" w:rsidRPr="00E83335" w:rsidTr="00E15C70">
        <w:trPr>
          <w:cantSplit/>
          <w:trHeight w:val="876"/>
        </w:trPr>
        <w:tc>
          <w:tcPr>
            <w:tcW w:w="1266" w:type="dxa"/>
            <w:tcBorders>
              <w:top w:val="single" w:sz="4" w:space="0" w:color="000000"/>
              <w:left w:val="single" w:sz="4" w:space="0" w:color="000000"/>
              <w:bottom w:val="single" w:sz="4" w:space="0" w:color="000000"/>
            </w:tcBorders>
            <w:shd w:val="clear" w:color="auto" w:fill="auto"/>
            <w:vAlign w:val="center"/>
          </w:tcPr>
          <w:p w:rsidR="005A1E5C" w:rsidRDefault="005A1E5C" w:rsidP="00E15C70">
            <w:pPr>
              <w:pStyle w:val="Pargrafodelista"/>
              <w:keepNext/>
              <w:keepLines/>
              <w:spacing w:before="0" w:after="0" w:line="240" w:lineRule="auto"/>
              <w:ind w:left="0" w:firstLine="0"/>
              <w:jc w:val="center"/>
              <w:rPr>
                <w:sz w:val="18"/>
                <w:szCs w:val="18"/>
                <w:lang w:val="en-US"/>
              </w:rPr>
            </w:pPr>
            <w:r>
              <w:rPr>
                <w:sz w:val="18"/>
                <w:szCs w:val="18"/>
                <w:lang w:val="en-US"/>
              </w:rPr>
              <w:t>Periphery</w:t>
            </w:r>
          </w:p>
        </w:tc>
        <w:tc>
          <w:tcPr>
            <w:tcW w:w="8155" w:type="dxa"/>
            <w:tcBorders>
              <w:top w:val="single" w:sz="4" w:space="0" w:color="000000"/>
              <w:left w:val="single" w:sz="4" w:space="0" w:color="000000"/>
              <w:bottom w:val="single" w:sz="4" w:space="0" w:color="000000"/>
              <w:right w:val="single" w:sz="4" w:space="0" w:color="000000"/>
            </w:tcBorders>
            <w:shd w:val="clear" w:color="auto" w:fill="auto"/>
          </w:tcPr>
          <w:p w:rsidR="005A1E5C" w:rsidRDefault="005A1E5C" w:rsidP="00E15C70">
            <w:pPr>
              <w:pStyle w:val="Pargrafodelista"/>
              <w:keepNext/>
              <w:keepLines/>
              <w:spacing w:before="0" w:after="0" w:line="240" w:lineRule="auto"/>
              <w:ind w:left="0" w:firstLine="0"/>
              <w:rPr>
                <w:sz w:val="18"/>
                <w:szCs w:val="18"/>
                <w:lang w:val="en-US"/>
              </w:rPr>
            </w:pPr>
            <w:r>
              <w:rPr>
                <w:sz w:val="18"/>
                <w:szCs w:val="18"/>
                <w:lang w:val="en-US"/>
              </w:rPr>
              <w:t xml:space="preserve">It will be considered as </w:t>
            </w:r>
            <w:r>
              <w:rPr>
                <w:i/>
                <w:iCs/>
                <w:sz w:val="18"/>
                <w:szCs w:val="18"/>
                <w:lang w:val="en-US"/>
              </w:rPr>
              <w:t>peripheries</w:t>
            </w:r>
            <w:r>
              <w:rPr>
                <w:sz w:val="18"/>
                <w:szCs w:val="18"/>
                <w:lang w:val="en-US"/>
              </w:rPr>
              <w:t xml:space="preserve"> those municipalities included as part of a Big Urban Area in the Spanish Housing Atlas (2007). In this case Big Urban Areas are characterized by having at least one municipality of 50000 or more inhabitants and the rest of municipalities having 1000 or more inhabitants.</w:t>
            </w:r>
          </w:p>
        </w:tc>
      </w:tr>
      <w:tr w:rsidR="005A1E5C" w:rsidRPr="00E83335" w:rsidTr="00E15C70">
        <w:trPr>
          <w:cantSplit/>
          <w:trHeight w:val="705"/>
        </w:trPr>
        <w:tc>
          <w:tcPr>
            <w:tcW w:w="1266" w:type="dxa"/>
            <w:tcBorders>
              <w:top w:val="single" w:sz="4" w:space="0" w:color="000000"/>
              <w:left w:val="single" w:sz="4" w:space="0" w:color="000000"/>
              <w:bottom w:val="single" w:sz="4" w:space="0" w:color="000000"/>
            </w:tcBorders>
            <w:shd w:val="clear" w:color="auto" w:fill="auto"/>
            <w:vAlign w:val="center"/>
          </w:tcPr>
          <w:p w:rsidR="005A1E5C" w:rsidRDefault="005A1E5C" w:rsidP="00E15C70">
            <w:pPr>
              <w:pStyle w:val="Pargrafodelista"/>
              <w:keepNext/>
              <w:keepLines/>
              <w:spacing w:before="0" w:after="0" w:line="240" w:lineRule="auto"/>
              <w:ind w:left="0" w:firstLine="0"/>
              <w:jc w:val="center"/>
              <w:rPr>
                <w:sz w:val="18"/>
                <w:szCs w:val="18"/>
                <w:lang w:val="en-US"/>
              </w:rPr>
            </w:pPr>
            <w:r>
              <w:rPr>
                <w:sz w:val="18"/>
                <w:szCs w:val="18"/>
                <w:lang w:val="en-US"/>
              </w:rPr>
              <w:t>Small urban</w:t>
            </w:r>
          </w:p>
        </w:tc>
        <w:tc>
          <w:tcPr>
            <w:tcW w:w="8155" w:type="dxa"/>
            <w:tcBorders>
              <w:top w:val="single" w:sz="4" w:space="0" w:color="000000"/>
              <w:left w:val="single" w:sz="4" w:space="0" w:color="000000"/>
              <w:bottom w:val="single" w:sz="4" w:space="0" w:color="000000"/>
              <w:right w:val="single" w:sz="4" w:space="0" w:color="000000"/>
            </w:tcBorders>
            <w:shd w:val="clear" w:color="auto" w:fill="auto"/>
          </w:tcPr>
          <w:p w:rsidR="005A1E5C" w:rsidRDefault="005A1E5C" w:rsidP="00E15C70">
            <w:pPr>
              <w:keepNext/>
              <w:keepLines/>
              <w:spacing w:after="0" w:line="240" w:lineRule="auto"/>
              <w:rPr>
                <w:sz w:val="18"/>
                <w:szCs w:val="18"/>
                <w:lang w:val="en-US"/>
              </w:rPr>
            </w:pPr>
            <w:r>
              <w:rPr>
                <w:sz w:val="18"/>
                <w:szCs w:val="18"/>
                <w:lang w:val="en-US"/>
              </w:rPr>
              <w:t>Small urban are classified by two criteria:</w:t>
            </w:r>
          </w:p>
          <w:p w:rsidR="005A1E5C" w:rsidRDefault="005A1E5C" w:rsidP="00E15C70">
            <w:pPr>
              <w:spacing w:after="0" w:line="240" w:lineRule="auto"/>
              <w:rPr>
                <w:sz w:val="18"/>
                <w:szCs w:val="18"/>
                <w:lang w:val="en-US"/>
              </w:rPr>
            </w:pPr>
            <w:r>
              <w:rPr>
                <w:sz w:val="18"/>
                <w:szCs w:val="18"/>
                <w:lang w:val="en-US"/>
              </w:rPr>
              <w:t>1. If they have 10,000 or less inhabitants in year 2001.</w:t>
            </w:r>
          </w:p>
          <w:p w:rsidR="005A1E5C" w:rsidRDefault="005A1E5C" w:rsidP="00E15C70">
            <w:pPr>
              <w:spacing w:after="0" w:line="240" w:lineRule="auto"/>
              <w:rPr>
                <w:sz w:val="18"/>
                <w:szCs w:val="18"/>
                <w:lang w:val="en-US"/>
              </w:rPr>
            </w:pPr>
            <w:r>
              <w:rPr>
                <w:sz w:val="18"/>
                <w:szCs w:val="18"/>
                <w:lang w:val="en-US"/>
              </w:rPr>
              <w:t>2. If they are classified as Small Urban Area Municipalities in the Spanish Housing Atlas.</w:t>
            </w:r>
          </w:p>
        </w:tc>
      </w:tr>
      <w:tr w:rsidR="005A1E5C" w:rsidTr="00E15C70">
        <w:trPr>
          <w:cantSplit/>
          <w:trHeight w:val="833"/>
        </w:trPr>
        <w:tc>
          <w:tcPr>
            <w:tcW w:w="1266" w:type="dxa"/>
            <w:tcBorders>
              <w:top w:val="single" w:sz="4" w:space="0" w:color="000000"/>
              <w:left w:val="single" w:sz="4" w:space="0" w:color="000000"/>
              <w:bottom w:val="single" w:sz="4" w:space="0" w:color="000000"/>
            </w:tcBorders>
            <w:shd w:val="clear" w:color="auto" w:fill="auto"/>
            <w:vAlign w:val="center"/>
          </w:tcPr>
          <w:p w:rsidR="005A1E5C" w:rsidRDefault="005A1E5C" w:rsidP="00E15C70">
            <w:pPr>
              <w:pStyle w:val="Pargrafodelista"/>
              <w:spacing w:before="0" w:after="0" w:line="240" w:lineRule="auto"/>
              <w:ind w:left="0" w:firstLine="0"/>
              <w:jc w:val="center"/>
              <w:rPr>
                <w:sz w:val="18"/>
                <w:szCs w:val="18"/>
                <w:lang w:val="en-US"/>
              </w:rPr>
            </w:pPr>
            <w:r>
              <w:rPr>
                <w:sz w:val="18"/>
                <w:szCs w:val="18"/>
                <w:lang w:val="en-US"/>
              </w:rPr>
              <w:t>Rural</w:t>
            </w:r>
          </w:p>
        </w:tc>
        <w:tc>
          <w:tcPr>
            <w:tcW w:w="8155" w:type="dxa"/>
            <w:tcBorders>
              <w:top w:val="single" w:sz="4" w:space="0" w:color="000000"/>
              <w:left w:val="single" w:sz="4" w:space="0" w:color="000000"/>
              <w:bottom w:val="single" w:sz="4" w:space="0" w:color="000000"/>
              <w:right w:val="single" w:sz="4" w:space="0" w:color="000000"/>
            </w:tcBorders>
            <w:shd w:val="clear" w:color="auto" w:fill="auto"/>
          </w:tcPr>
          <w:p w:rsidR="005A1E5C" w:rsidRDefault="005A1E5C" w:rsidP="00E15C70">
            <w:pPr>
              <w:pStyle w:val="Pargrafodelista"/>
              <w:spacing w:before="0" w:after="0" w:line="240" w:lineRule="auto"/>
              <w:ind w:left="0" w:firstLine="0"/>
              <w:rPr>
                <w:lang w:val="en-US"/>
              </w:rPr>
            </w:pPr>
            <w:r>
              <w:rPr>
                <w:sz w:val="18"/>
                <w:szCs w:val="18"/>
                <w:lang w:val="en-US"/>
              </w:rPr>
              <w:t xml:space="preserve">The rest of municipalities. These are divided in three groups: Manualized rural, Agrarian rural, Deactivated rural. The </w:t>
            </w:r>
            <w:proofErr w:type="gramStart"/>
            <w:r>
              <w:rPr>
                <w:sz w:val="18"/>
                <w:szCs w:val="18"/>
                <w:lang w:val="en-US"/>
              </w:rPr>
              <w:t>criteria for this sub-classification depends</w:t>
            </w:r>
            <w:proofErr w:type="gramEnd"/>
            <w:r>
              <w:rPr>
                <w:sz w:val="18"/>
                <w:szCs w:val="18"/>
                <w:lang w:val="en-US"/>
              </w:rPr>
              <w:t xml:space="preserve"> upon they social and labor structures. It has been followed an automatic classificatory system:</w:t>
            </w:r>
          </w:p>
        </w:tc>
      </w:tr>
    </w:tbl>
    <w:p w:rsidR="005A1E5C" w:rsidRDefault="005A1E5C" w:rsidP="005A1E5C">
      <w:pPr>
        <w:spacing w:line="360" w:lineRule="auto"/>
        <w:jc w:val="both"/>
        <w:rPr>
          <w:lang w:val="en-US"/>
        </w:rPr>
      </w:pPr>
    </w:p>
    <w:p w:rsidR="005A1E5C" w:rsidRDefault="005A1E5C" w:rsidP="005A1E5C">
      <w:pPr>
        <w:pStyle w:val="Textoindependiente"/>
        <w:rPr>
          <w:lang w:val="en-US"/>
        </w:rPr>
      </w:pPr>
    </w:p>
    <w:p w:rsidR="005A1E5C" w:rsidRDefault="005A1E5C" w:rsidP="005A1E5C">
      <w:pPr>
        <w:pStyle w:val="NormalArtigoEnglish"/>
        <w:keepNext/>
        <w:keepLines/>
        <w:spacing w:before="240" w:line="240" w:lineRule="auto"/>
        <w:ind w:firstLine="0"/>
        <w:jc w:val="center"/>
        <w:rPr>
          <w:b/>
          <w:sz w:val="16"/>
          <w:szCs w:val="16"/>
          <w:lang w:val="en-US"/>
        </w:rPr>
      </w:pPr>
      <w:r>
        <w:rPr>
          <w:sz w:val="18"/>
          <w:szCs w:val="18"/>
          <w:lang w:val="en-US"/>
        </w:rPr>
        <w:t>Figure 4</w:t>
      </w:r>
    </w:p>
    <w:tbl>
      <w:tblPr>
        <w:tblW w:w="9421" w:type="dxa"/>
        <w:tblInd w:w="-459" w:type="dxa"/>
        <w:tblLayout w:type="fixed"/>
        <w:tblLook w:val="0000" w:firstRow="0" w:lastRow="0" w:firstColumn="0" w:lastColumn="0" w:noHBand="0" w:noVBand="0"/>
      </w:tblPr>
      <w:tblGrid>
        <w:gridCol w:w="1463"/>
        <w:gridCol w:w="7958"/>
      </w:tblGrid>
      <w:tr w:rsidR="005A1E5C" w:rsidTr="00E15C70">
        <w:trPr>
          <w:cantSplit/>
          <w:trHeight w:val="250"/>
        </w:trPr>
        <w:tc>
          <w:tcPr>
            <w:tcW w:w="1463" w:type="dxa"/>
            <w:tcBorders>
              <w:top w:val="single" w:sz="4" w:space="0" w:color="000000"/>
              <w:left w:val="single" w:sz="4" w:space="0" w:color="000000"/>
              <w:bottom w:val="single" w:sz="4" w:space="0" w:color="000000"/>
            </w:tcBorders>
            <w:shd w:val="clear" w:color="auto" w:fill="auto"/>
          </w:tcPr>
          <w:p w:rsidR="005A1E5C" w:rsidRDefault="005A1E5C" w:rsidP="00E15C70">
            <w:pPr>
              <w:pStyle w:val="Pargrafodelista"/>
              <w:keepNext/>
              <w:keepLines/>
              <w:spacing w:before="0" w:after="0" w:line="240" w:lineRule="auto"/>
              <w:ind w:left="0" w:firstLine="0"/>
              <w:jc w:val="left"/>
              <w:rPr>
                <w:rFonts w:ascii="Times New Roman" w:hAnsi="Times New Roman"/>
                <w:b/>
                <w:sz w:val="18"/>
                <w:szCs w:val="18"/>
                <w:lang w:val="en-US"/>
              </w:rPr>
            </w:pPr>
            <w:r>
              <w:rPr>
                <w:rFonts w:ascii="Times New Roman" w:hAnsi="Times New Roman"/>
                <w:b/>
                <w:sz w:val="16"/>
                <w:szCs w:val="16"/>
                <w:lang w:val="en-US"/>
              </w:rPr>
              <w:t>RURAL HABITAT</w:t>
            </w:r>
          </w:p>
        </w:tc>
        <w:tc>
          <w:tcPr>
            <w:tcW w:w="7958" w:type="dxa"/>
            <w:tcBorders>
              <w:top w:val="single" w:sz="4" w:space="0" w:color="000000"/>
              <w:left w:val="single" w:sz="4" w:space="0" w:color="000000"/>
              <w:bottom w:val="single" w:sz="4" w:space="0" w:color="000000"/>
              <w:right w:val="single" w:sz="4" w:space="0" w:color="000000"/>
            </w:tcBorders>
            <w:shd w:val="clear" w:color="auto" w:fill="auto"/>
          </w:tcPr>
          <w:p w:rsidR="005A1E5C" w:rsidRDefault="005A1E5C" w:rsidP="00E15C70">
            <w:pPr>
              <w:pStyle w:val="Pargrafodelista"/>
              <w:keepNext/>
              <w:keepLines/>
              <w:spacing w:before="0" w:after="0" w:line="240" w:lineRule="auto"/>
              <w:ind w:left="0" w:firstLine="0"/>
              <w:rPr>
                <w:rFonts w:ascii="Times New Roman" w:hAnsi="Times New Roman"/>
                <w:sz w:val="18"/>
                <w:szCs w:val="18"/>
                <w:lang w:val="en-US"/>
              </w:rPr>
            </w:pPr>
            <w:r>
              <w:rPr>
                <w:rFonts w:ascii="Times New Roman" w:hAnsi="Times New Roman"/>
                <w:b/>
                <w:sz w:val="18"/>
                <w:szCs w:val="18"/>
                <w:lang w:val="en-US"/>
              </w:rPr>
              <w:t>INCLUSION CRITERIA</w:t>
            </w:r>
          </w:p>
        </w:tc>
      </w:tr>
      <w:tr w:rsidR="005A1E5C" w:rsidRPr="00E83335" w:rsidTr="00E15C70">
        <w:trPr>
          <w:cantSplit/>
          <w:trHeight w:val="845"/>
        </w:trPr>
        <w:tc>
          <w:tcPr>
            <w:tcW w:w="1463" w:type="dxa"/>
            <w:tcBorders>
              <w:top w:val="single" w:sz="4" w:space="0" w:color="000000"/>
              <w:left w:val="single" w:sz="4" w:space="0" w:color="000000"/>
              <w:bottom w:val="single" w:sz="4" w:space="0" w:color="000000"/>
            </w:tcBorders>
            <w:shd w:val="clear" w:color="auto" w:fill="auto"/>
          </w:tcPr>
          <w:p w:rsidR="005A1E5C" w:rsidRDefault="005A1E5C" w:rsidP="00E15C70">
            <w:pPr>
              <w:pStyle w:val="Pargrafodelista"/>
              <w:keepNext/>
              <w:keepLines/>
              <w:snapToGrid w:val="0"/>
              <w:spacing w:before="0" w:after="0" w:line="240" w:lineRule="auto"/>
              <w:ind w:left="113" w:right="113" w:firstLine="0"/>
              <w:rPr>
                <w:rFonts w:ascii="Times New Roman" w:hAnsi="Times New Roman"/>
                <w:sz w:val="18"/>
                <w:szCs w:val="18"/>
                <w:lang w:val="en-US"/>
              </w:rPr>
            </w:pPr>
          </w:p>
        </w:tc>
        <w:tc>
          <w:tcPr>
            <w:tcW w:w="7958" w:type="dxa"/>
            <w:tcBorders>
              <w:top w:val="single" w:sz="4" w:space="0" w:color="000000"/>
              <w:left w:val="single" w:sz="4" w:space="0" w:color="000000"/>
              <w:bottom w:val="single" w:sz="4" w:space="0" w:color="000000"/>
              <w:right w:val="single" w:sz="4" w:space="0" w:color="000000"/>
            </w:tcBorders>
            <w:shd w:val="clear" w:color="auto" w:fill="auto"/>
          </w:tcPr>
          <w:p w:rsidR="005A1E5C" w:rsidRDefault="005A1E5C" w:rsidP="00E15C70">
            <w:pPr>
              <w:keepNext/>
              <w:keepLines/>
              <w:spacing w:after="0" w:line="240" w:lineRule="auto"/>
              <w:rPr>
                <w:rFonts w:ascii="Times New Roman" w:hAnsi="Times New Roman" w:cs="Times New Roman"/>
                <w:sz w:val="18"/>
                <w:szCs w:val="18"/>
                <w:lang w:val="en-US"/>
              </w:rPr>
            </w:pPr>
            <w:r>
              <w:rPr>
                <w:b/>
                <w:sz w:val="18"/>
                <w:szCs w:val="18"/>
                <w:lang w:val="en-US"/>
              </w:rPr>
              <w:t>General rule</w:t>
            </w:r>
            <w:r>
              <w:rPr>
                <w:sz w:val="18"/>
                <w:szCs w:val="18"/>
                <w:lang w:val="en-US"/>
              </w:rPr>
              <w:t xml:space="preserve">: </w:t>
            </w:r>
          </w:p>
          <w:p w:rsidR="005A1E5C" w:rsidRDefault="005A1E5C" w:rsidP="005A1E5C">
            <w:pPr>
              <w:pStyle w:val="Pargrafodelista"/>
              <w:keepNext/>
              <w:keepLines/>
              <w:numPr>
                <w:ilvl w:val="0"/>
                <w:numId w:val="2"/>
              </w:numPr>
              <w:spacing w:before="0" w:after="0" w:line="240" w:lineRule="auto"/>
              <w:ind w:left="357" w:hanging="357"/>
              <w:rPr>
                <w:rFonts w:ascii="Times New Roman" w:hAnsi="Times New Roman"/>
                <w:sz w:val="18"/>
                <w:szCs w:val="18"/>
                <w:lang w:val="en-US"/>
              </w:rPr>
            </w:pPr>
            <w:r>
              <w:rPr>
                <w:rFonts w:ascii="Times New Roman" w:hAnsi="Times New Roman"/>
                <w:sz w:val="18"/>
                <w:szCs w:val="18"/>
                <w:lang w:val="en-US"/>
              </w:rPr>
              <w:t>Every municipality that is taken into account must meet the requisite of not belonging to any of the urban categories (Criteria exposed in Figure 2)</w:t>
            </w:r>
          </w:p>
          <w:p w:rsidR="005A1E5C" w:rsidRDefault="005A1E5C" w:rsidP="005A1E5C">
            <w:pPr>
              <w:pStyle w:val="Pargrafodelista"/>
              <w:keepNext/>
              <w:keepLines/>
              <w:numPr>
                <w:ilvl w:val="0"/>
                <w:numId w:val="2"/>
              </w:numPr>
              <w:spacing w:before="0" w:after="0" w:line="240" w:lineRule="auto"/>
              <w:rPr>
                <w:rFonts w:ascii="Times New Roman" w:hAnsi="Times New Roman"/>
                <w:i/>
                <w:sz w:val="16"/>
                <w:szCs w:val="16"/>
                <w:lang w:val="en-US"/>
              </w:rPr>
            </w:pPr>
            <w:r>
              <w:rPr>
                <w:rFonts w:ascii="Times New Roman" w:hAnsi="Times New Roman"/>
                <w:sz w:val="18"/>
                <w:szCs w:val="18"/>
                <w:lang w:val="en-US"/>
              </w:rPr>
              <w:t>Every data concerning their social and labor structure belongs to the Population Census 2001</w:t>
            </w:r>
          </w:p>
        </w:tc>
      </w:tr>
      <w:tr w:rsidR="005A1E5C" w:rsidRPr="00E83335" w:rsidTr="00E15C70">
        <w:trPr>
          <w:cantSplit/>
          <w:trHeight w:val="913"/>
        </w:trPr>
        <w:tc>
          <w:tcPr>
            <w:tcW w:w="1463" w:type="dxa"/>
            <w:tcBorders>
              <w:top w:val="single" w:sz="4" w:space="0" w:color="000000"/>
              <w:left w:val="single" w:sz="4" w:space="0" w:color="000000"/>
              <w:bottom w:val="single" w:sz="4" w:space="0" w:color="000000"/>
            </w:tcBorders>
            <w:shd w:val="clear" w:color="auto" w:fill="auto"/>
            <w:vAlign w:val="center"/>
          </w:tcPr>
          <w:p w:rsidR="005A1E5C" w:rsidRPr="006A0362" w:rsidRDefault="005A1E5C" w:rsidP="00E15C70">
            <w:pPr>
              <w:pStyle w:val="Pargrafodelista"/>
              <w:keepNext/>
              <w:keepLines/>
              <w:spacing w:before="0" w:after="0" w:line="240" w:lineRule="auto"/>
              <w:ind w:left="0" w:firstLine="0"/>
              <w:jc w:val="center"/>
              <w:rPr>
                <w:sz w:val="18"/>
                <w:szCs w:val="18"/>
                <w:lang w:val="en-US"/>
              </w:rPr>
            </w:pPr>
            <w:r w:rsidRPr="006A0362">
              <w:rPr>
                <w:i/>
                <w:sz w:val="18"/>
                <w:szCs w:val="18"/>
                <w:lang w:val="en-US"/>
              </w:rPr>
              <w:t>Manualized rural</w:t>
            </w:r>
          </w:p>
        </w:tc>
        <w:tc>
          <w:tcPr>
            <w:tcW w:w="7958" w:type="dxa"/>
            <w:tcBorders>
              <w:top w:val="single" w:sz="4" w:space="0" w:color="000000"/>
              <w:left w:val="single" w:sz="4" w:space="0" w:color="000000"/>
              <w:bottom w:val="single" w:sz="4" w:space="0" w:color="000000"/>
              <w:right w:val="single" w:sz="4" w:space="0" w:color="000000"/>
            </w:tcBorders>
            <w:shd w:val="clear" w:color="auto" w:fill="auto"/>
          </w:tcPr>
          <w:p w:rsidR="005A1E5C" w:rsidRDefault="005A1E5C" w:rsidP="00E15C70">
            <w:pPr>
              <w:keepNext/>
              <w:keepLines/>
              <w:spacing w:after="0" w:line="240" w:lineRule="auto"/>
              <w:rPr>
                <w:rFonts w:ascii="Times New Roman" w:hAnsi="Times New Roman" w:cs="Times New Roman"/>
                <w:sz w:val="18"/>
                <w:szCs w:val="18"/>
                <w:lang w:val="en-US"/>
              </w:rPr>
            </w:pPr>
            <w:r>
              <w:rPr>
                <w:sz w:val="18"/>
                <w:szCs w:val="18"/>
                <w:lang w:val="en-US"/>
              </w:rPr>
              <w:t>Municipalities meeting any of the three following conditions:</w:t>
            </w:r>
          </w:p>
          <w:p w:rsidR="005A1E5C" w:rsidRDefault="005A1E5C" w:rsidP="005A1E5C">
            <w:pPr>
              <w:pStyle w:val="Pargrafodelista"/>
              <w:keepNext/>
              <w:keepLines/>
              <w:numPr>
                <w:ilvl w:val="0"/>
                <w:numId w:val="2"/>
              </w:numPr>
              <w:spacing w:before="0" w:after="0" w:line="240" w:lineRule="auto"/>
              <w:ind w:left="357" w:hanging="357"/>
              <w:rPr>
                <w:rFonts w:ascii="Times New Roman" w:hAnsi="Times New Roman"/>
                <w:sz w:val="18"/>
                <w:szCs w:val="18"/>
                <w:lang w:val="en-US"/>
              </w:rPr>
            </w:pPr>
            <w:r>
              <w:rPr>
                <w:rFonts w:ascii="Times New Roman" w:hAnsi="Times New Roman"/>
                <w:sz w:val="18"/>
                <w:szCs w:val="18"/>
                <w:lang w:val="en-US"/>
              </w:rPr>
              <w:t>At least 30% of the occupied population being in manual or administrative labor.</w:t>
            </w:r>
          </w:p>
          <w:p w:rsidR="005A1E5C" w:rsidRDefault="005A1E5C" w:rsidP="005A1E5C">
            <w:pPr>
              <w:pStyle w:val="Pargrafodelista"/>
              <w:keepNext/>
              <w:keepLines/>
              <w:numPr>
                <w:ilvl w:val="0"/>
                <w:numId w:val="2"/>
              </w:numPr>
              <w:spacing w:before="0" w:after="0" w:line="240" w:lineRule="auto"/>
              <w:ind w:left="357" w:hanging="357"/>
              <w:rPr>
                <w:rFonts w:ascii="Times New Roman" w:hAnsi="Times New Roman"/>
                <w:sz w:val="18"/>
                <w:szCs w:val="18"/>
                <w:lang w:val="en-US"/>
              </w:rPr>
            </w:pPr>
            <w:r>
              <w:rPr>
                <w:rFonts w:ascii="Times New Roman" w:hAnsi="Times New Roman"/>
                <w:sz w:val="18"/>
                <w:szCs w:val="18"/>
                <w:lang w:val="en-US"/>
              </w:rPr>
              <w:t>At least 50% of the population being occupied.</w:t>
            </w:r>
          </w:p>
          <w:p w:rsidR="005A1E5C" w:rsidRDefault="005A1E5C" w:rsidP="005A1E5C">
            <w:pPr>
              <w:pStyle w:val="Pargrafodelista"/>
              <w:keepNext/>
              <w:keepLines/>
              <w:numPr>
                <w:ilvl w:val="0"/>
                <w:numId w:val="2"/>
              </w:numPr>
              <w:spacing w:before="0" w:after="0" w:line="240" w:lineRule="auto"/>
              <w:rPr>
                <w:rFonts w:ascii="Times New Roman" w:hAnsi="Times New Roman"/>
                <w:i/>
                <w:sz w:val="18"/>
                <w:szCs w:val="18"/>
                <w:lang w:val="en-US"/>
              </w:rPr>
            </w:pPr>
            <w:r>
              <w:rPr>
                <w:rFonts w:ascii="Times New Roman" w:hAnsi="Times New Roman"/>
                <w:sz w:val="18"/>
                <w:szCs w:val="18"/>
                <w:lang w:val="en-US"/>
              </w:rPr>
              <w:t>At least 40% of the population being manual or administrative occupied population plus unemployed population.</w:t>
            </w:r>
          </w:p>
        </w:tc>
      </w:tr>
      <w:tr w:rsidR="005A1E5C" w:rsidRPr="00E83335" w:rsidTr="00E15C70">
        <w:trPr>
          <w:cantSplit/>
          <w:trHeight w:val="415"/>
        </w:trPr>
        <w:tc>
          <w:tcPr>
            <w:tcW w:w="1463" w:type="dxa"/>
            <w:tcBorders>
              <w:top w:val="single" w:sz="4" w:space="0" w:color="000000"/>
              <w:left w:val="single" w:sz="4" w:space="0" w:color="000000"/>
              <w:bottom w:val="single" w:sz="4" w:space="0" w:color="000000"/>
            </w:tcBorders>
            <w:shd w:val="clear" w:color="auto" w:fill="auto"/>
            <w:vAlign w:val="center"/>
          </w:tcPr>
          <w:p w:rsidR="005A1E5C" w:rsidRPr="006A0362" w:rsidRDefault="005A1E5C" w:rsidP="00E15C70">
            <w:pPr>
              <w:pStyle w:val="Pargrafodelista"/>
              <w:keepNext/>
              <w:keepLines/>
              <w:spacing w:before="0" w:after="0" w:line="240" w:lineRule="auto"/>
              <w:ind w:left="0" w:firstLine="0"/>
              <w:jc w:val="center"/>
              <w:rPr>
                <w:i/>
                <w:sz w:val="18"/>
                <w:szCs w:val="18"/>
                <w:lang w:val="en-US"/>
              </w:rPr>
            </w:pPr>
            <w:r w:rsidRPr="006A0362">
              <w:rPr>
                <w:i/>
                <w:sz w:val="18"/>
                <w:szCs w:val="18"/>
                <w:lang w:val="en-US"/>
              </w:rPr>
              <w:t>Agrarian rural</w:t>
            </w:r>
          </w:p>
        </w:tc>
        <w:tc>
          <w:tcPr>
            <w:tcW w:w="7958" w:type="dxa"/>
            <w:tcBorders>
              <w:top w:val="single" w:sz="4" w:space="0" w:color="000000"/>
              <w:left w:val="single" w:sz="4" w:space="0" w:color="000000"/>
              <w:bottom w:val="single" w:sz="4" w:space="0" w:color="000000"/>
              <w:right w:val="single" w:sz="4" w:space="0" w:color="000000"/>
            </w:tcBorders>
            <w:shd w:val="clear" w:color="auto" w:fill="auto"/>
          </w:tcPr>
          <w:p w:rsidR="005A1E5C" w:rsidRDefault="005A1E5C" w:rsidP="005A1E5C">
            <w:pPr>
              <w:pStyle w:val="Pargrafodelista"/>
              <w:keepNext/>
              <w:keepLines/>
              <w:numPr>
                <w:ilvl w:val="0"/>
                <w:numId w:val="2"/>
              </w:numPr>
              <w:spacing w:before="0" w:after="0" w:line="240" w:lineRule="auto"/>
              <w:rPr>
                <w:rFonts w:ascii="Times New Roman" w:hAnsi="Times New Roman"/>
                <w:sz w:val="18"/>
                <w:szCs w:val="18"/>
                <w:lang w:val="en-US"/>
              </w:rPr>
            </w:pPr>
            <w:r>
              <w:rPr>
                <w:rFonts w:ascii="Times New Roman" w:hAnsi="Times New Roman"/>
                <w:sz w:val="18"/>
                <w:szCs w:val="18"/>
                <w:lang w:val="en-US"/>
              </w:rPr>
              <w:t>Municipalities with more than 14% of their population occupied in agriculture.</w:t>
            </w:r>
          </w:p>
          <w:p w:rsidR="005A1E5C" w:rsidRDefault="005A1E5C" w:rsidP="005A1E5C">
            <w:pPr>
              <w:pStyle w:val="Pargrafodelista"/>
              <w:keepNext/>
              <w:keepLines/>
              <w:numPr>
                <w:ilvl w:val="0"/>
                <w:numId w:val="2"/>
              </w:numPr>
              <w:spacing w:before="0" w:after="0" w:line="240" w:lineRule="auto"/>
              <w:ind w:left="357" w:hanging="357"/>
              <w:rPr>
                <w:rFonts w:ascii="Times New Roman" w:hAnsi="Times New Roman"/>
                <w:i/>
                <w:sz w:val="18"/>
                <w:szCs w:val="18"/>
                <w:lang w:val="en-US"/>
              </w:rPr>
            </w:pPr>
            <w:r>
              <w:rPr>
                <w:rFonts w:ascii="Times New Roman" w:hAnsi="Times New Roman"/>
                <w:sz w:val="18"/>
                <w:szCs w:val="18"/>
                <w:lang w:val="en-US"/>
              </w:rPr>
              <w:t xml:space="preserve">Municipalities simultaneously classified in two categories including the Agrarian rural category will prevail in this latter one. </w:t>
            </w:r>
          </w:p>
        </w:tc>
      </w:tr>
      <w:tr w:rsidR="005A1E5C" w:rsidRPr="00E83335" w:rsidTr="00E15C70">
        <w:trPr>
          <w:cantSplit/>
          <w:trHeight w:val="1024"/>
        </w:trPr>
        <w:tc>
          <w:tcPr>
            <w:tcW w:w="1463" w:type="dxa"/>
            <w:tcBorders>
              <w:top w:val="single" w:sz="4" w:space="0" w:color="000000"/>
              <w:left w:val="single" w:sz="4" w:space="0" w:color="000000"/>
              <w:bottom w:val="single" w:sz="4" w:space="0" w:color="000000"/>
            </w:tcBorders>
            <w:shd w:val="clear" w:color="auto" w:fill="auto"/>
            <w:vAlign w:val="center"/>
          </w:tcPr>
          <w:p w:rsidR="005A1E5C" w:rsidRDefault="005A1E5C" w:rsidP="00E15C70">
            <w:pPr>
              <w:pStyle w:val="Pargrafodelista"/>
              <w:keepNext/>
              <w:keepLines/>
              <w:spacing w:before="0" w:after="0" w:line="240" w:lineRule="auto"/>
              <w:ind w:left="0" w:firstLine="0"/>
              <w:jc w:val="center"/>
              <w:rPr>
                <w:sz w:val="18"/>
                <w:szCs w:val="18"/>
                <w:lang w:val="en-US"/>
              </w:rPr>
            </w:pPr>
            <w:r w:rsidRPr="006A0362">
              <w:rPr>
                <w:i/>
                <w:sz w:val="18"/>
                <w:szCs w:val="18"/>
                <w:lang w:val="en-US"/>
              </w:rPr>
              <w:t>Deactivated rural</w:t>
            </w:r>
          </w:p>
        </w:tc>
        <w:tc>
          <w:tcPr>
            <w:tcW w:w="7958" w:type="dxa"/>
            <w:tcBorders>
              <w:top w:val="single" w:sz="4" w:space="0" w:color="000000"/>
              <w:left w:val="single" w:sz="4" w:space="0" w:color="000000"/>
              <w:bottom w:val="single" w:sz="4" w:space="0" w:color="000000"/>
              <w:right w:val="single" w:sz="4" w:space="0" w:color="000000"/>
            </w:tcBorders>
            <w:shd w:val="clear" w:color="auto" w:fill="auto"/>
          </w:tcPr>
          <w:p w:rsidR="005A1E5C" w:rsidRDefault="005A1E5C" w:rsidP="00E15C70">
            <w:pPr>
              <w:keepNext/>
              <w:keepLines/>
              <w:spacing w:after="0" w:line="240" w:lineRule="auto"/>
              <w:rPr>
                <w:rFonts w:ascii="Times New Roman" w:hAnsi="Times New Roman" w:cs="Times New Roman"/>
                <w:sz w:val="18"/>
                <w:szCs w:val="18"/>
                <w:lang w:val="en-US"/>
              </w:rPr>
            </w:pPr>
            <w:r>
              <w:rPr>
                <w:sz w:val="18"/>
                <w:szCs w:val="18"/>
                <w:lang w:val="en-US"/>
              </w:rPr>
              <w:t>Municipalities meeting at least one of the next conditions:</w:t>
            </w:r>
          </w:p>
          <w:p w:rsidR="005A1E5C" w:rsidRDefault="005A1E5C" w:rsidP="005A1E5C">
            <w:pPr>
              <w:pStyle w:val="Pargrafodelista"/>
              <w:keepNext/>
              <w:keepLines/>
              <w:numPr>
                <w:ilvl w:val="0"/>
                <w:numId w:val="1"/>
              </w:numPr>
              <w:spacing w:before="0" w:after="0" w:line="240" w:lineRule="auto"/>
              <w:ind w:left="357" w:hanging="357"/>
              <w:rPr>
                <w:rFonts w:ascii="Times New Roman" w:hAnsi="Times New Roman"/>
                <w:sz w:val="18"/>
                <w:szCs w:val="18"/>
                <w:lang w:val="en-US"/>
              </w:rPr>
            </w:pPr>
            <w:r>
              <w:rPr>
                <w:rFonts w:ascii="Times New Roman" w:hAnsi="Times New Roman"/>
                <w:sz w:val="18"/>
                <w:szCs w:val="18"/>
                <w:lang w:val="en-US"/>
              </w:rPr>
              <w:t>Municipalities having less than 400 inhabitants.</w:t>
            </w:r>
          </w:p>
          <w:p w:rsidR="005A1E5C" w:rsidRDefault="005A1E5C" w:rsidP="005A1E5C">
            <w:pPr>
              <w:pStyle w:val="Pargrafodelista"/>
              <w:keepNext/>
              <w:keepLines/>
              <w:numPr>
                <w:ilvl w:val="0"/>
                <w:numId w:val="1"/>
              </w:numPr>
              <w:spacing w:before="0" w:after="0" w:line="240" w:lineRule="auto"/>
              <w:rPr>
                <w:rFonts w:ascii="Times New Roman" w:hAnsi="Times New Roman"/>
                <w:sz w:val="18"/>
                <w:szCs w:val="18"/>
                <w:lang w:val="en-US"/>
              </w:rPr>
            </w:pPr>
            <w:r>
              <w:rPr>
                <w:rFonts w:ascii="Times New Roman" w:hAnsi="Times New Roman"/>
                <w:sz w:val="18"/>
                <w:szCs w:val="18"/>
                <w:lang w:val="en-US"/>
              </w:rPr>
              <w:t>Percentage of population aged 65 or more years greater than 50%.</w:t>
            </w:r>
          </w:p>
          <w:p w:rsidR="005A1E5C" w:rsidRDefault="005A1E5C" w:rsidP="005A1E5C">
            <w:pPr>
              <w:pStyle w:val="Pargrafodelista"/>
              <w:keepNext/>
              <w:keepLines/>
              <w:numPr>
                <w:ilvl w:val="0"/>
                <w:numId w:val="1"/>
              </w:numPr>
              <w:spacing w:before="0" w:after="0" w:line="240" w:lineRule="auto"/>
              <w:rPr>
                <w:rFonts w:ascii="Times New Roman" w:hAnsi="Times New Roman"/>
                <w:sz w:val="18"/>
                <w:szCs w:val="18"/>
                <w:lang w:val="en-US"/>
              </w:rPr>
            </w:pPr>
            <w:r>
              <w:rPr>
                <w:rFonts w:ascii="Times New Roman" w:hAnsi="Times New Roman"/>
                <w:sz w:val="18"/>
                <w:szCs w:val="18"/>
                <w:lang w:val="en-US"/>
              </w:rPr>
              <w:t>Percentage of population being occupied less than 30%</w:t>
            </w:r>
          </w:p>
          <w:p w:rsidR="005A1E5C" w:rsidRDefault="005A1E5C" w:rsidP="005A1E5C">
            <w:pPr>
              <w:pStyle w:val="Pargrafodelista"/>
              <w:keepNext/>
              <w:keepLines/>
              <w:numPr>
                <w:ilvl w:val="0"/>
                <w:numId w:val="1"/>
              </w:numPr>
              <w:spacing w:before="0" w:after="0" w:line="240" w:lineRule="auto"/>
              <w:rPr>
                <w:rFonts w:ascii="Times New Roman" w:hAnsi="Times New Roman"/>
                <w:sz w:val="18"/>
                <w:szCs w:val="18"/>
                <w:lang w:val="en-US"/>
              </w:rPr>
            </w:pPr>
            <w:r>
              <w:rPr>
                <w:rFonts w:ascii="Times New Roman" w:hAnsi="Times New Roman"/>
                <w:sz w:val="18"/>
                <w:szCs w:val="18"/>
                <w:lang w:val="en-US"/>
              </w:rPr>
              <w:t>At least 60% of the population being inactive.</w:t>
            </w:r>
          </w:p>
        </w:tc>
      </w:tr>
      <w:tr w:rsidR="005A1E5C" w:rsidRPr="00E83335" w:rsidTr="00E15C70">
        <w:trPr>
          <w:cantSplit/>
          <w:trHeight w:val="1651"/>
        </w:trPr>
        <w:tc>
          <w:tcPr>
            <w:tcW w:w="1463" w:type="dxa"/>
            <w:tcBorders>
              <w:top w:val="single" w:sz="4" w:space="0" w:color="000000"/>
              <w:left w:val="single" w:sz="4" w:space="0" w:color="000000"/>
              <w:bottom w:val="single" w:sz="4" w:space="0" w:color="000000"/>
            </w:tcBorders>
            <w:shd w:val="clear" w:color="auto" w:fill="auto"/>
          </w:tcPr>
          <w:p w:rsidR="005A1E5C" w:rsidRDefault="005A1E5C" w:rsidP="00E15C70">
            <w:pPr>
              <w:pStyle w:val="Pargrafodelista"/>
              <w:snapToGrid w:val="0"/>
              <w:spacing w:before="0" w:after="0" w:line="240" w:lineRule="auto"/>
              <w:ind w:left="0" w:firstLine="0"/>
              <w:rPr>
                <w:rFonts w:ascii="Times New Roman" w:hAnsi="Times New Roman"/>
                <w:sz w:val="18"/>
                <w:szCs w:val="18"/>
                <w:lang w:val="en-US"/>
              </w:rPr>
            </w:pPr>
          </w:p>
        </w:tc>
        <w:tc>
          <w:tcPr>
            <w:tcW w:w="7958" w:type="dxa"/>
            <w:tcBorders>
              <w:top w:val="single" w:sz="4" w:space="0" w:color="000000"/>
              <w:left w:val="single" w:sz="4" w:space="0" w:color="000000"/>
              <w:bottom w:val="single" w:sz="4" w:space="0" w:color="000000"/>
              <w:right w:val="single" w:sz="4" w:space="0" w:color="000000"/>
            </w:tcBorders>
            <w:shd w:val="clear" w:color="auto" w:fill="auto"/>
          </w:tcPr>
          <w:p w:rsidR="005A1E5C" w:rsidRDefault="005A1E5C" w:rsidP="00E15C70">
            <w:pPr>
              <w:spacing w:after="0" w:line="240" w:lineRule="auto"/>
              <w:rPr>
                <w:rFonts w:ascii="Times New Roman" w:hAnsi="Times New Roman" w:cs="Times New Roman"/>
                <w:color w:val="000000"/>
                <w:sz w:val="18"/>
                <w:szCs w:val="18"/>
                <w:lang w:val="en-US"/>
              </w:rPr>
            </w:pPr>
            <w:r>
              <w:rPr>
                <w:b/>
                <w:sz w:val="18"/>
                <w:szCs w:val="18"/>
                <w:lang w:val="en-US"/>
              </w:rPr>
              <w:t>PREVALENCE IN CASE OF CONFLICT AND ATTRIBUTION OF NON-ASIGNED MUNICIPALITIES</w:t>
            </w:r>
          </w:p>
          <w:p w:rsidR="005A1E5C" w:rsidRDefault="005A1E5C" w:rsidP="005A1E5C">
            <w:pPr>
              <w:pStyle w:val="Pargrafodelista"/>
              <w:numPr>
                <w:ilvl w:val="0"/>
                <w:numId w:val="2"/>
              </w:numPr>
              <w:spacing w:before="0" w:after="0" w:line="240" w:lineRule="auto"/>
              <w:ind w:left="357" w:hanging="357"/>
              <w:rPr>
                <w:rFonts w:ascii="Times New Roman" w:hAnsi="Times New Roman"/>
                <w:color w:val="000000"/>
                <w:sz w:val="18"/>
                <w:szCs w:val="18"/>
                <w:lang w:val="en-US"/>
              </w:rPr>
            </w:pPr>
            <w:r>
              <w:rPr>
                <w:rFonts w:ascii="Times New Roman" w:hAnsi="Times New Roman"/>
                <w:color w:val="000000"/>
                <w:sz w:val="18"/>
                <w:szCs w:val="18"/>
                <w:lang w:val="en-US"/>
              </w:rPr>
              <w:t>When one municipality is classified in two or more rural categories it is established the following prevalence order:</w:t>
            </w:r>
          </w:p>
          <w:p w:rsidR="005A1E5C" w:rsidRDefault="005A1E5C" w:rsidP="005A1E5C">
            <w:pPr>
              <w:pStyle w:val="Pargrafodelista"/>
              <w:numPr>
                <w:ilvl w:val="0"/>
                <w:numId w:val="2"/>
              </w:numPr>
              <w:spacing w:before="0" w:after="0" w:line="240" w:lineRule="auto"/>
              <w:ind w:left="357" w:hanging="357"/>
              <w:rPr>
                <w:rFonts w:ascii="Times New Roman" w:hAnsi="Times New Roman"/>
                <w:color w:val="000000"/>
                <w:sz w:val="18"/>
                <w:szCs w:val="18"/>
                <w:lang w:val="en-US"/>
              </w:rPr>
            </w:pPr>
            <w:r>
              <w:rPr>
                <w:rFonts w:ascii="Times New Roman" w:hAnsi="Times New Roman"/>
                <w:color w:val="000000"/>
                <w:sz w:val="18"/>
                <w:szCs w:val="18"/>
                <w:lang w:val="en-US"/>
              </w:rPr>
              <w:t xml:space="preserve">Agrarian municipalities will </w:t>
            </w:r>
            <w:proofErr w:type="gramStart"/>
            <w:r>
              <w:rPr>
                <w:rFonts w:ascii="Times New Roman" w:hAnsi="Times New Roman"/>
                <w:color w:val="000000"/>
                <w:sz w:val="18"/>
                <w:szCs w:val="18"/>
                <w:lang w:val="en-US"/>
              </w:rPr>
              <w:t>prevail</w:t>
            </w:r>
            <w:proofErr w:type="gramEnd"/>
            <w:r>
              <w:rPr>
                <w:rFonts w:ascii="Times New Roman" w:hAnsi="Times New Roman"/>
                <w:color w:val="000000"/>
                <w:sz w:val="18"/>
                <w:szCs w:val="18"/>
                <w:lang w:val="en-US"/>
              </w:rPr>
              <w:t xml:space="preserve"> </w:t>
            </w:r>
            <w:proofErr w:type="spellStart"/>
            <w:r>
              <w:rPr>
                <w:rFonts w:ascii="Times New Roman" w:hAnsi="Times New Roman"/>
                <w:color w:val="000000"/>
                <w:sz w:val="18"/>
                <w:szCs w:val="18"/>
                <w:lang w:val="en-US"/>
              </w:rPr>
              <w:t>n</w:t>
            </w:r>
            <w:proofErr w:type="spellEnd"/>
            <w:r>
              <w:rPr>
                <w:rFonts w:ascii="Times New Roman" w:hAnsi="Times New Roman"/>
                <w:color w:val="000000"/>
                <w:sz w:val="18"/>
                <w:szCs w:val="18"/>
                <w:lang w:val="en-US"/>
              </w:rPr>
              <w:t xml:space="preserve"> the first place, </w:t>
            </w:r>
            <w:proofErr w:type="spellStart"/>
            <w:r>
              <w:rPr>
                <w:rFonts w:ascii="Times New Roman" w:hAnsi="Times New Roman"/>
                <w:color w:val="000000"/>
                <w:sz w:val="18"/>
                <w:szCs w:val="18"/>
                <w:lang w:val="en-US"/>
              </w:rPr>
              <w:t>Manualizaed</w:t>
            </w:r>
            <w:proofErr w:type="spellEnd"/>
            <w:r>
              <w:rPr>
                <w:rFonts w:ascii="Times New Roman" w:hAnsi="Times New Roman"/>
                <w:color w:val="000000"/>
                <w:sz w:val="18"/>
                <w:szCs w:val="18"/>
                <w:lang w:val="en-US"/>
              </w:rPr>
              <w:t xml:space="preserve"> in the second and Deactivated in the last place.</w:t>
            </w:r>
          </w:p>
          <w:p w:rsidR="005A1E5C" w:rsidRDefault="005A1E5C" w:rsidP="005A1E5C">
            <w:pPr>
              <w:pStyle w:val="Pargrafodelista"/>
              <w:numPr>
                <w:ilvl w:val="0"/>
                <w:numId w:val="2"/>
              </w:numPr>
              <w:spacing w:before="0" w:after="0" w:line="240" w:lineRule="auto"/>
              <w:ind w:left="357" w:hanging="357"/>
              <w:rPr>
                <w:rFonts w:ascii="Times New Roman" w:hAnsi="Times New Roman"/>
                <w:color w:val="000000"/>
                <w:sz w:val="18"/>
                <w:szCs w:val="18"/>
                <w:lang w:val="en-US"/>
              </w:rPr>
            </w:pPr>
            <w:r>
              <w:rPr>
                <w:rFonts w:ascii="Times New Roman" w:hAnsi="Times New Roman"/>
                <w:color w:val="000000"/>
                <w:sz w:val="18"/>
                <w:szCs w:val="18"/>
                <w:lang w:val="en-US"/>
              </w:rPr>
              <w:t>In the case that a municipality is not assigned to any category, this will be classified attending to the proximity of the centroids using a discriminant analysis technique.</w:t>
            </w:r>
          </w:p>
          <w:p w:rsidR="005A1E5C" w:rsidRDefault="005A1E5C" w:rsidP="005A1E5C">
            <w:pPr>
              <w:pStyle w:val="Pargrafodelista"/>
              <w:numPr>
                <w:ilvl w:val="0"/>
                <w:numId w:val="2"/>
              </w:numPr>
              <w:spacing w:before="0" w:after="0" w:line="240" w:lineRule="auto"/>
              <w:ind w:left="357" w:hanging="357"/>
              <w:rPr>
                <w:lang w:val="en-US"/>
              </w:rPr>
            </w:pPr>
            <w:r>
              <w:rPr>
                <w:rFonts w:ascii="Times New Roman" w:hAnsi="Times New Roman"/>
                <w:color w:val="000000"/>
                <w:sz w:val="18"/>
                <w:szCs w:val="18"/>
                <w:lang w:val="en-US"/>
              </w:rPr>
              <w:t xml:space="preserve">A small number of municipalities, 11, remained outside the classificatory system (usually newly created </w:t>
            </w:r>
            <w:proofErr w:type="gramStart"/>
            <w:r>
              <w:rPr>
                <w:rFonts w:ascii="Times New Roman" w:hAnsi="Times New Roman"/>
                <w:color w:val="000000"/>
                <w:sz w:val="18"/>
                <w:szCs w:val="18"/>
                <w:lang w:val="en-US"/>
              </w:rPr>
              <w:t>municipalities that does</w:t>
            </w:r>
            <w:proofErr w:type="gramEnd"/>
            <w:r>
              <w:rPr>
                <w:rFonts w:ascii="Times New Roman" w:hAnsi="Times New Roman"/>
                <w:color w:val="000000"/>
                <w:sz w:val="18"/>
                <w:szCs w:val="18"/>
                <w:lang w:val="en-US"/>
              </w:rPr>
              <w:t xml:space="preserve"> not have enough information).</w:t>
            </w:r>
          </w:p>
        </w:tc>
      </w:tr>
    </w:tbl>
    <w:p w:rsidR="005A1E5C" w:rsidRDefault="005A1E5C" w:rsidP="005A1E5C">
      <w:pPr>
        <w:rPr>
          <w:lang w:val="en-US"/>
        </w:rPr>
      </w:pPr>
    </w:p>
    <w:p w:rsidR="005A1E5C" w:rsidRPr="005F3989" w:rsidRDefault="005A1E5C" w:rsidP="005A1E5C">
      <w:pPr>
        <w:pStyle w:val="Textoindependiente"/>
        <w:rPr>
          <w:lang w:val="en-US"/>
        </w:rPr>
      </w:pPr>
    </w:p>
    <w:p w:rsidR="005A1E5C" w:rsidRDefault="005A1E5C" w:rsidP="005A1E5C">
      <w:pPr>
        <w:pStyle w:val="NormalArtigoEnglish"/>
        <w:keepNext/>
        <w:keepLines/>
        <w:spacing w:before="240" w:line="240" w:lineRule="auto"/>
        <w:ind w:firstLine="0"/>
        <w:jc w:val="center"/>
        <w:rPr>
          <w:b/>
          <w:sz w:val="20"/>
          <w:szCs w:val="20"/>
          <w:lang w:val="en-US"/>
        </w:rPr>
      </w:pPr>
      <w:r>
        <w:rPr>
          <w:sz w:val="18"/>
          <w:szCs w:val="18"/>
          <w:lang w:val="en-US"/>
        </w:rPr>
        <w:lastRenderedPageBreak/>
        <w:t>Figure 5</w:t>
      </w:r>
    </w:p>
    <w:p w:rsidR="005A1E5C" w:rsidRDefault="005A1E5C" w:rsidP="005A1E5C">
      <w:pPr>
        <w:pStyle w:val="NormalArtigoEnglish"/>
        <w:keepNext/>
        <w:keepLines/>
        <w:spacing w:line="240" w:lineRule="auto"/>
        <w:ind w:firstLine="0"/>
        <w:jc w:val="center"/>
        <w:rPr>
          <w:b/>
          <w:sz w:val="20"/>
          <w:szCs w:val="20"/>
          <w:lang w:val="en-US"/>
        </w:rPr>
      </w:pPr>
      <w:r>
        <w:rPr>
          <w:b/>
          <w:sz w:val="20"/>
          <w:szCs w:val="20"/>
          <w:lang w:val="en-US"/>
        </w:rPr>
        <w:t>Habitat evolution in Spain</w:t>
      </w:r>
    </w:p>
    <w:tbl>
      <w:tblPr>
        <w:tblW w:w="0" w:type="auto"/>
        <w:tblInd w:w="-10" w:type="dxa"/>
        <w:tblLayout w:type="fixed"/>
        <w:tblLook w:val="0000" w:firstRow="0" w:lastRow="0" w:firstColumn="0" w:lastColumn="0" w:noHBand="0" w:noVBand="0"/>
      </w:tblPr>
      <w:tblGrid>
        <w:gridCol w:w="4272"/>
        <w:gridCol w:w="4468"/>
      </w:tblGrid>
      <w:tr w:rsidR="005A1E5C" w:rsidTr="00E15C70">
        <w:tc>
          <w:tcPr>
            <w:tcW w:w="4272" w:type="dxa"/>
            <w:tcBorders>
              <w:top w:val="single" w:sz="4" w:space="0" w:color="000000"/>
              <w:left w:val="single" w:sz="4" w:space="0" w:color="000000"/>
              <w:bottom w:val="single" w:sz="4" w:space="0" w:color="000000"/>
            </w:tcBorders>
            <w:shd w:val="clear" w:color="auto" w:fill="auto"/>
          </w:tcPr>
          <w:p w:rsidR="005A1E5C" w:rsidRDefault="005A1E5C" w:rsidP="00E15C70">
            <w:pPr>
              <w:keepNext/>
              <w:keepLines/>
              <w:jc w:val="center"/>
              <w:rPr>
                <w:b/>
                <w:sz w:val="20"/>
                <w:szCs w:val="20"/>
                <w:lang w:val="en-US"/>
              </w:rPr>
            </w:pPr>
            <w:r>
              <w:rPr>
                <w:b/>
                <w:sz w:val="20"/>
                <w:szCs w:val="20"/>
                <w:lang w:val="en-US"/>
              </w:rPr>
              <w:t>Average Annual Growth Rate</w:t>
            </w:r>
            <w:r>
              <w:rPr>
                <w:rStyle w:val="Caracteresdenotaalpie"/>
                <w:b/>
                <w:sz w:val="20"/>
                <w:szCs w:val="20"/>
                <w:lang w:val="en-US"/>
              </w:rPr>
              <w:footnoteReference w:id="2"/>
            </w:r>
          </w:p>
        </w:tc>
        <w:tc>
          <w:tcPr>
            <w:tcW w:w="4468" w:type="dxa"/>
            <w:tcBorders>
              <w:top w:val="single" w:sz="4" w:space="0" w:color="000000"/>
              <w:left w:val="single" w:sz="4" w:space="0" w:color="000000"/>
              <w:bottom w:val="single" w:sz="4" w:space="0" w:color="000000"/>
              <w:right w:val="single" w:sz="4" w:space="0" w:color="000000"/>
            </w:tcBorders>
            <w:shd w:val="clear" w:color="auto" w:fill="auto"/>
          </w:tcPr>
          <w:p w:rsidR="005A1E5C" w:rsidRDefault="005A1E5C" w:rsidP="00E15C70">
            <w:pPr>
              <w:keepNext/>
              <w:keepLines/>
              <w:snapToGrid w:val="0"/>
              <w:jc w:val="center"/>
              <w:rPr>
                <w:b/>
                <w:sz w:val="20"/>
                <w:szCs w:val="20"/>
                <w:lang w:val="en-US"/>
              </w:rPr>
            </w:pPr>
          </w:p>
        </w:tc>
      </w:tr>
      <w:tr w:rsidR="005A1E5C" w:rsidRPr="005F3989" w:rsidTr="00E15C70">
        <w:trPr>
          <w:trHeight w:val="2331"/>
        </w:trPr>
        <w:tc>
          <w:tcPr>
            <w:tcW w:w="4272" w:type="dxa"/>
            <w:tcBorders>
              <w:top w:val="single" w:sz="4" w:space="0" w:color="000000"/>
              <w:left w:val="single" w:sz="4" w:space="0" w:color="000000"/>
              <w:bottom w:val="single" w:sz="4" w:space="0" w:color="000000"/>
            </w:tcBorders>
            <w:shd w:val="clear" w:color="auto" w:fill="auto"/>
          </w:tcPr>
          <w:p w:rsidR="005A1E5C" w:rsidRDefault="005A1E5C" w:rsidP="00E15C70">
            <w:pPr>
              <w:rPr>
                <w:lang w:val="en-US"/>
              </w:rPr>
            </w:pPr>
            <w:r>
              <w:rPr>
                <w:b/>
                <w:sz w:val="20"/>
                <w:szCs w:val="20"/>
                <w:lang w:val="en-US" w:eastAsia="es-ES"/>
              </w:rPr>
              <w:t>Percentage weight of each habitat</w:t>
            </w:r>
            <w:r>
              <w:rPr>
                <w:b/>
                <w:noProof/>
                <w:lang w:val="es-ES" w:eastAsia="es-ES"/>
              </w:rPr>
              <w:drawing>
                <wp:inline distT="0" distB="0" distL="0" distR="0" wp14:anchorId="2FBBDCCD" wp14:editId="55128222">
                  <wp:extent cx="2562225" cy="15144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b="-211"/>
                          <a:stretch>
                            <a:fillRect/>
                          </a:stretch>
                        </pic:blipFill>
                        <pic:spPr bwMode="auto">
                          <a:xfrm>
                            <a:off x="0" y="0"/>
                            <a:ext cx="2562225" cy="1514475"/>
                          </a:xfrm>
                          <a:prstGeom prst="rect">
                            <a:avLst/>
                          </a:prstGeom>
                          <a:solidFill>
                            <a:srgbClr val="FFFFFF">
                              <a:alpha val="0"/>
                            </a:srgbClr>
                          </a:solidFill>
                          <a:ln>
                            <a:noFill/>
                          </a:ln>
                        </pic:spPr>
                      </pic:pic>
                    </a:graphicData>
                  </a:graphic>
                </wp:inline>
              </w:drawing>
            </w:r>
          </w:p>
        </w:tc>
        <w:tc>
          <w:tcPr>
            <w:tcW w:w="4468" w:type="dxa"/>
            <w:tcBorders>
              <w:top w:val="single" w:sz="4" w:space="0" w:color="000000"/>
              <w:left w:val="single" w:sz="4" w:space="0" w:color="000000"/>
              <w:bottom w:val="single" w:sz="4" w:space="0" w:color="000000"/>
              <w:right w:val="single" w:sz="4" w:space="0" w:color="000000"/>
            </w:tcBorders>
            <w:shd w:val="clear" w:color="auto" w:fill="auto"/>
          </w:tcPr>
          <w:p w:rsidR="005A1E5C" w:rsidRDefault="005A1E5C" w:rsidP="00E15C70">
            <w:pPr>
              <w:keepNext/>
              <w:keepLines/>
              <w:snapToGrid w:val="0"/>
              <w:spacing w:after="0" w:line="240" w:lineRule="auto"/>
              <w:rPr>
                <w:lang w:val="en-US"/>
              </w:rPr>
            </w:pPr>
            <w:r>
              <w:rPr>
                <w:noProof/>
                <w:sz w:val="20"/>
                <w:szCs w:val="20"/>
                <w:lang w:val="es-ES" w:eastAsia="es-ES"/>
              </w:rPr>
              <w:drawing>
                <wp:inline distT="0" distB="0" distL="0" distR="0" wp14:anchorId="42172E24" wp14:editId="0E51E21D">
                  <wp:extent cx="2638425" cy="15144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38425" cy="1514475"/>
                          </a:xfrm>
                          <a:prstGeom prst="rect">
                            <a:avLst/>
                          </a:prstGeom>
                          <a:solidFill>
                            <a:srgbClr val="FFFFFF">
                              <a:alpha val="0"/>
                            </a:srgbClr>
                          </a:solidFill>
                          <a:ln>
                            <a:noFill/>
                          </a:ln>
                        </pic:spPr>
                      </pic:pic>
                    </a:graphicData>
                  </a:graphic>
                </wp:inline>
              </w:drawing>
            </w:r>
          </w:p>
        </w:tc>
      </w:tr>
      <w:tr w:rsidR="005A1E5C" w:rsidTr="00E15C70">
        <w:trPr>
          <w:trHeight w:val="182"/>
        </w:trPr>
        <w:tc>
          <w:tcPr>
            <w:tcW w:w="8740" w:type="dxa"/>
            <w:gridSpan w:val="2"/>
            <w:tcBorders>
              <w:top w:val="single" w:sz="4" w:space="0" w:color="000000"/>
              <w:left w:val="single" w:sz="4" w:space="0" w:color="000000"/>
              <w:bottom w:val="single" w:sz="4" w:space="0" w:color="000000"/>
              <w:right w:val="single" w:sz="4" w:space="0" w:color="000000"/>
            </w:tcBorders>
            <w:shd w:val="clear" w:color="auto" w:fill="auto"/>
          </w:tcPr>
          <w:p w:rsidR="005A1E5C" w:rsidRDefault="005A1E5C" w:rsidP="00E15C70">
            <w:pPr>
              <w:keepNext/>
              <w:spacing w:after="0" w:line="240" w:lineRule="auto"/>
              <w:jc w:val="center"/>
              <w:rPr>
                <w:sz w:val="20"/>
                <w:szCs w:val="20"/>
                <w:lang w:val="en-US"/>
              </w:rPr>
            </w:pPr>
            <w:r>
              <w:rPr>
                <w:noProof/>
                <w:lang w:val="es-ES" w:eastAsia="es-ES"/>
              </w:rPr>
              <w:drawing>
                <wp:anchor distT="0" distB="0" distL="0" distR="0" simplePos="0" relativeHeight="251661312" behindDoc="0" locked="0" layoutInCell="1" allowOverlap="1" wp14:anchorId="765C2D80" wp14:editId="494A85D4">
                  <wp:simplePos x="0" y="0"/>
                  <wp:positionH relativeFrom="column">
                    <wp:align>center</wp:align>
                  </wp:positionH>
                  <wp:positionV relativeFrom="paragraph">
                    <wp:posOffset>0</wp:posOffset>
                  </wp:positionV>
                  <wp:extent cx="2809240" cy="200025"/>
                  <wp:effectExtent l="0" t="0" r="0" b="9525"/>
                  <wp:wrapSquare wrapText="larges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09240" cy="20002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tc>
      </w:tr>
    </w:tbl>
    <w:p w:rsidR="005A1E5C" w:rsidRDefault="005A1E5C" w:rsidP="005A1E5C">
      <w:pPr>
        <w:rPr>
          <w:lang w:val="en-US"/>
        </w:rPr>
      </w:pPr>
      <w:r>
        <w:rPr>
          <w:sz w:val="20"/>
          <w:szCs w:val="20"/>
          <w:lang w:val="en-US"/>
        </w:rPr>
        <w:t>Source: Elaborated from data of the Population and Housing Censuses (INE)</w:t>
      </w:r>
    </w:p>
    <w:p w:rsidR="005A1E5C" w:rsidRDefault="005A1E5C" w:rsidP="005A1E5C">
      <w:pPr>
        <w:pStyle w:val="Textoindependiente"/>
        <w:spacing w:line="276" w:lineRule="auto"/>
        <w:rPr>
          <w:lang w:val="en-US"/>
        </w:rPr>
      </w:pPr>
    </w:p>
    <w:p w:rsidR="005A1E5C" w:rsidRDefault="005A1E5C" w:rsidP="005A1E5C">
      <w:pPr>
        <w:pStyle w:val="NormalArtigoEnglish"/>
        <w:keepNext/>
        <w:keepLines/>
        <w:spacing w:before="240" w:line="240" w:lineRule="auto"/>
        <w:ind w:firstLine="0"/>
        <w:jc w:val="center"/>
        <w:rPr>
          <w:sz w:val="18"/>
          <w:szCs w:val="18"/>
          <w:lang w:val="en-US"/>
        </w:rPr>
      </w:pPr>
      <w:r>
        <w:rPr>
          <w:sz w:val="18"/>
          <w:szCs w:val="18"/>
          <w:lang w:val="en-US"/>
        </w:rPr>
        <w:t>Figure 6</w:t>
      </w:r>
    </w:p>
    <w:p w:rsidR="005A1E5C" w:rsidRDefault="005A1E5C" w:rsidP="005A1E5C">
      <w:pPr>
        <w:pStyle w:val="NormalArtigoEnglish"/>
        <w:keepNext/>
        <w:keepLines/>
        <w:spacing w:line="240" w:lineRule="auto"/>
        <w:ind w:firstLine="0"/>
        <w:jc w:val="center"/>
        <w:rPr>
          <w:b/>
          <w:sz w:val="18"/>
          <w:szCs w:val="18"/>
          <w:lang w:val="en-US"/>
        </w:rPr>
      </w:pPr>
      <w:r>
        <w:rPr>
          <w:b/>
          <w:sz w:val="18"/>
          <w:szCs w:val="18"/>
          <w:lang w:val="en-US"/>
        </w:rPr>
        <w:t>Net Migration Flows, 2001-2010, in Spain (thousands)</w:t>
      </w:r>
    </w:p>
    <w:p w:rsidR="005A1E5C" w:rsidRDefault="005A1E5C" w:rsidP="005A1E5C">
      <w:pPr>
        <w:pStyle w:val="NormalArtigoEnglish"/>
        <w:keepNext/>
        <w:keepLines/>
        <w:spacing w:line="240" w:lineRule="auto"/>
        <w:ind w:firstLine="0"/>
        <w:jc w:val="center"/>
        <w:rPr>
          <w:b/>
          <w:sz w:val="18"/>
          <w:szCs w:val="18"/>
          <w:lang w:val="en-US"/>
        </w:rPr>
      </w:pPr>
    </w:p>
    <w:p w:rsidR="005A1E5C" w:rsidRDefault="005A1E5C" w:rsidP="005A1E5C">
      <w:pPr>
        <w:pStyle w:val="NormalArtigoEnglish"/>
        <w:keepNext/>
        <w:keepLines/>
        <w:spacing w:line="240" w:lineRule="auto"/>
        <w:ind w:firstLine="0"/>
        <w:jc w:val="center"/>
        <w:rPr>
          <w:b/>
          <w:sz w:val="18"/>
          <w:szCs w:val="18"/>
          <w:lang w:val="en-US"/>
        </w:rPr>
      </w:pPr>
    </w:p>
    <w:p w:rsidR="005A1E5C" w:rsidRDefault="005A1E5C" w:rsidP="005A1E5C">
      <w:pPr>
        <w:spacing w:after="0" w:line="240" w:lineRule="auto"/>
        <w:jc w:val="center"/>
        <w:rPr>
          <w:lang w:val="en-US" w:eastAsia="es-ES"/>
        </w:rPr>
      </w:pPr>
      <w:r>
        <w:rPr>
          <w:noProof/>
          <w:lang w:val="es-ES" w:eastAsia="es-ES"/>
        </w:rPr>
        <w:drawing>
          <wp:anchor distT="0" distB="0" distL="0" distR="0" simplePos="0" relativeHeight="251662336" behindDoc="0" locked="0" layoutInCell="1" allowOverlap="1" wp14:anchorId="4AFCF972" wp14:editId="65FA65AD">
            <wp:simplePos x="0" y="0"/>
            <wp:positionH relativeFrom="column">
              <wp:align>center</wp:align>
            </wp:positionH>
            <wp:positionV relativeFrom="paragraph">
              <wp:posOffset>0</wp:posOffset>
            </wp:positionV>
            <wp:extent cx="3981450" cy="3524250"/>
            <wp:effectExtent l="19050" t="19050" r="19050" b="19050"/>
            <wp:wrapSquare wrapText="larges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81450" cy="3524250"/>
                    </a:xfrm>
                    <a:prstGeom prst="rect">
                      <a:avLst/>
                    </a:prstGeom>
                    <a:solidFill>
                      <a:srgbClr val="FFFFFF">
                        <a:alpha val="0"/>
                      </a:srgbClr>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5A1E5C" w:rsidRDefault="005A1E5C" w:rsidP="005A1E5C">
      <w:pPr>
        <w:spacing w:after="0" w:line="240" w:lineRule="auto"/>
        <w:jc w:val="center"/>
        <w:rPr>
          <w:sz w:val="18"/>
          <w:szCs w:val="18"/>
          <w:lang w:val="en-US"/>
        </w:rPr>
      </w:pPr>
    </w:p>
    <w:p w:rsidR="005A1E5C" w:rsidRPr="005A1E5C" w:rsidRDefault="005A1E5C" w:rsidP="005A1E5C">
      <w:pPr>
        <w:pStyle w:val="Textoindependiente"/>
        <w:spacing w:line="276" w:lineRule="auto"/>
        <w:rPr>
          <w:lang w:val="en-US"/>
        </w:rPr>
      </w:pPr>
    </w:p>
    <w:p w:rsidR="005A1E5C" w:rsidRPr="005F3989" w:rsidRDefault="005A1E5C" w:rsidP="005A1E5C">
      <w:pPr>
        <w:spacing w:after="0" w:line="240" w:lineRule="auto"/>
        <w:jc w:val="center"/>
        <w:rPr>
          <w:lang w:val="en-US"/>
        </w:rPr>
      </w:pPr>
    </w:p>
    <w:p w:rsidR="005A1E5C" w:rsidRPr="005F3989" w:rsidRDefault="005A1E5C" w:rsidP="005A1E5C">
      <w:pPr>
        <w:spacing w:after="0" w:line="240" w:lineRule="auto"/>
        <w:jc w:val="center"/>
        <w:rPr>
          <w:lang w:val="en-US"/>
        </w:rPr>
      </w:pPr>
    </w:p>
    <w:p w:rsidR="005A1E5C" w:rsidRPr="005F3989" w:rsidRDefault="005A1E5C" w:rsidP="005A1E5C">
      <w:pPr>
        <w:spacing w:after="0" w:line="240" w:lineRule="auto"/>
        <w:jc w:val="center"/>
        <w:rPr>
          <w:lang w:val="en-US"/>
        </w:rPr>
      </w:pPr>
    </w:p>
    <w:p w:rsidR="005A1E5C" w:rsidRPr="005F3989" w:rsidRDefault="005A1E5C" w:rsidP="005A1E5C">
      <w:pPr>
        <w:spacing w:after="0" w:line="240" w:lineRule="auto"/>
        <w:jc w:val="center"/>
        <w:rPr>
          <w:lang w:val="en-US"/>
        </w:rPr>
      </w:pPr>
    </w:p>
    <w:p w:rsidR="005A1E5C" w:rsidRPr="005F3989" w:rsidRDefault="005A1E5C" w:rsidP="005A1E5C">
      <w:pPr>
        <w:spacing w:after="0" w:line="240" w:lineRule="auto"/>
        <w:jc w:val="center"/>
        <w:rPr>
          <w:lang w:val="en-US"/>
        </w:rPr>
      </w:pPr>
    </w:p>
    <w:p w:rsidR="005A1E5C" w:rsidRPr="005F3989" w:rsidRDefault="005A1E5C" w:rsidP="005A1E5C">
      <w:pPr>
        <w:spacing w:after="0" w:line="240" w:lineRule="auto"/>
        <w:jc w:val="center"/>
        <w:rPr>
          <w:lang w:val="en-US"/>
        </w:rPr>
      </w:pPr>
    </w:p>
    <w:p w:rsidR="005A1E5C" w:rsidRDefault="005A1E5C" w:rsidP="005A1E5C">
      <w:pPr>
        <w:spacing w:after="0" w:line="240" w:lineRule="auto"/>
        <w:jc w:val="center"/>
        <w:rPr>
          <w:lang w:val="en-US"/>
        </w:rPr>
      </w:pPr>
    </w:p>
    <w:p w:rsidR="005A1E5C" w:rsidRDefault="005A1E5C" w:rsidP="005A1E5C">
      <w:pPr>
        <w:spacing w:after="0" w:line="240" w:lineRule="auto"/>
        <w:jc w:val="center"/>
        <w:rPr>
          <w:lang w:val="en-US"/>
        </w:rPr>
      </w:pPr>
    </w:p>
    <w:p w:rsidR="005A1E5C" w:rsidRDefault="005A1E5C" w:rsidP="005A1E5C">
      <w:pPr>
        <w:spacing w:after="0" w:line="240" w:lineRule="auto"/>
        <w:jc w:val="center"/>
        <w:rPr>
          <w:lang w:val="en-US"/>
        </w:rPr>
      </w:pPr>
    </w:p>
    <w:p w:rsidR="005A1E5C" w:rsidRDefault="005A1E5C" w:rsidP="005A1E5C">
      <w:pPr>
        <w:spacing w:after="0" w:line="240" w:lineRule="auto"/>
        <w:jc w:val="center"/>
        <w:rPr>
          <w:lang w:val="en-US"/>
        </w:rPr>
      </w:pPr>
    </w:p>
    <w:p w:rsidR="005A1E5C" w:rsidRDefault="005A1E5C" w:rsidP="005A1E5C">
      <w:pPr>
        <w:spacing w:after="0" w:line="240" w:lineRule="auto"/>
        <w:jc w:val="center"/>
        <w:rPr>
          <w:lang w:val="en-US"/>
        </w:rPr>
      </w:pPr>
    </w:p>
    <w:p w:rsidR="005A1E5C" w:rsidRDefault="005A1E5C" w:rsidP="005A1E5C">
      <w:pPr>
        <w:spacing w:after="0" w:line="240" w:lineRule="auto"/>
        <w:jc w:val="center"/>
        <w:rPr>
          <w:lang w:val="en-US"/>
        </w:rPr>
      </w:pPr>
    </w:p>
    <w:p w:rsidR="005A1E5C" w:rsidRDefault="005A1E5C" w:rsidP="005A1E5C">
      <w:pPr>
        <w:spacing w:after="0" w:line="240" w:lineRule="auto"/>
        <w:jc w:val="center"/>
        <w:rPr>
          <w:lang w:val="en-US"/>
        </w:rPr>
      </w:pPr>
    </w:p>
    <w:p w:rsidR="005A1E5C" w:rsidRDefault="005A1E5C" w:rsidP="005A1E5C">
      <w:pPr>
        <w:spacing w:after="0" w:line="240" w:lineRule="auto"/>
        <w:jc w:val="center"/>
        <w:rPr>
          <w:lang w:val="en-US"/>
        </w:rPr>
      </w:pPr>
    </w:p>
    <w:p w:rsidR="005A1E5C" w:rsidRDefault="005A1E5C" w:rsidP="005A1E5C">
      <w:pPr>
        <w:spacing w:after="0" w:line="240" w:lineRule="auto"/>
        <w:jc w:val="center"/>
        <w:rPr>
          <w:lang w:val="en-US"/>
        </w:rPr>
      </w:pPr>
    </w:p>
    <w:p w:rsidR="005A1E5C" w:rsidRPr="005F3989" w:rsidRDefault="005A1E5C" w:rsidP="005A1E5C">
      <w:pPr>
        <w:spacing w:after="0" w:line="240" w:lineRule="auto"/>
        <w:jc w:val="center"/>
        <w:rPr>
          <w:lang w:val="en-US"/>
        </w:rPr>
      </w:pPr>
    </w:p>
    <w:p w:rsidR="005A1E5C" w:rsidRDefault="005A1E5C" w:rsidP="005A1E5C">
      <w:pPr>
        <w:rPr>
          <w:lang w:val="en-US"/>
        </w:rPr>
      </w:pPr>
      <w:r>
        <w:rPr>
          <w:sz w:val="20"/>
          <w:szCs w:val="20"/>
          <w:lang w:val="en-US"/>
        </w:rPr>
        <w:t xml:space="preserve">Source: Elaborated from </w:t>
      </w:r>
      <w:proofErr w:type="spellStart"/>
      <w:r>
        <w:rPr>
          <w:sz w:val="20"/>
          <w:szCs w:val="20"/>
          <w:lang w:val="en-US"/>
        </w:rPr>
        <w:t>microdata</w:t>
      </w:r>
      <w:proofErr w:type="spellEnd"/>
      <w:r>
        <w:rPr>
          <w:sz w:val="20"/>
          <w:szCs w:val="20"/>
          <w:lang w:val="en-US"/>
        </w:rPr>
        <w:t xml:space="preserve"> of the Residential Variations Survey (INE)</w:t>
      </w:r>
    </w:p>
    <w:p w:rsidR="005A1E5C" w:rsidRPr="005F3989" w:rsidRDefault="005A1E5C" w:rsidP="005A1E5C">
      <w:pPr>
        <w:rPr>
          <w:lang w:val="en-US"/>
        </w:rPr>
        <w:sectPr w:rsidR="005A1E5C" w:rsidRPr="005F3989">
          <w:footerReference w:type="even" r:id="rId16"/>
          <w:footerReference w:type="default" r:id="rId17"/>
          <w:pgSz w:w="11906" w:h="16838"/>
          <w:pgMar w:top="1417" w:right="1701" w:bottom="1417" w:left="1701" w:header="720" w:footer="708" w:gutter="0"/>
          <w:cols w:space="720"/>
          <w:docGrid w:linePitch="240" w:charSpace="32768"/>
        </w:sectPr>
      </w:pPr>
    </w:p>
    <w:p w:rsidR="005A1E5C" w:rsidRDefault="00C41C72" w:rsidP="007C5800">
      <w:pPr>
        <w:pStyle w:val="Ttulo1"/>
        <w:numPr>
          <w:ilvl w:val="0"/>
          <w:numId w:val="4"/>
        </w:numPr>
      </w:pPr>
      <w:r>
        <w:lastRenderedPageBreak/>
        <w:t>Spatial Vote in Spain</w:t>
      </w:r>
    </w:p>
    <w:p w:rsidR="007C5800" w:rsidRDefault="00921FEB" w:rsidP="00921FEB">
      <w:pPr>
        <w:pStyle w:val="Textoindependiente"/>
        <w:spacing w:line="360" w:lineRule="auto"/>
        <w:jc w:val="both"/>
        <w:rPr>
          <w:lang w:val="en-US"/>
        </w:rPr>
      </w:pPr>
      <w:r>
        <w:rPr>
          <w:lang w:val="en-US"/>
        </w:rPr>
        <w:t xml:space="preserve">We will start the analysis by showing the evolution of the </w:t>
      </w:r>
      <w:proofErr w:type="spellStart"/>
      <w:r w:rsidRPr="00921FEB">
        <w:rPr>
          <w:i/>
          <w:lang w:val="en-US"/>
        </w:rPr>
        <w:t>Partido</w:t>
      </w:r>
      <w:proofErr w:type="spellEnd"/>
      <w:r w:rsidRPr="00921FEB">
        <w:rPr>
          <w:i/>
          <w:lang w:val="en-US"/>
        </w:rPr>
        <w:t xml:space="preserve"> </w:t>
      </w:r>
      <w:proofErr w:type="spellStart"/>
      <w:r w:rsidRPr="00921FEB">
        <w:rPr>
          <w:i/>
          <w:lang w:val="en-US"/>
        </w:rPr>
        <w:t>Socialista</w:t>
      </w:r>
      <w:proofErr w:type="spellEnd"/>
      <w:r w:rsidRPr="00921FEB">
        <w:rPr>
          <w:i/>
          <w:lang w:val="en-US"/>
        </w:rPr>
        <w:t xml:space="preserve"> </w:t>
      </w:r>
      <w:proofErr w:type="spellStart"/>
      <w:r w:rsidRPr="00921FEB">
        <w:rPr>
          <w:i/>
          <w:lang w:val="en-US"/>
        </w:rPr>
        <w:t>Obrero</w:t>
      </w:r>
      <w:proofErr w:type="spellEnd"/>
      <w:r w:rsidRPr="00921FEB">
        <w:rPr>
          <w:i/>
          <w:lang w:val="en-US"/>
        </w:rPr>
        <w:t xml:space="preserve"> </w:t>
      </w:r>
      <w:proofErr w:type="spellStart"/>
      <w:r w:rsidRPr="00921FEB">
        <w:rPr>
          <w:i/>
          <w:lang w:val="en-US"/>
        </w:rPr>
        <w:t>Español</w:t>
      </w:r>
      <w:proofErr w:type="spellEnd"/>
      <w:r>
        <w:rPr>
          <w:i/>
          <w:lang w:val="en-US"/>
        </w:rPr>
        <w:t xml:space="preserve"> </w:t>
      </w:r>
      <w:r>
        <w:rPr>
          <w:lang w:val="en-US"/>
        </w:rPr>
        <w:t xml:space="preserve">(PSOE), Spanish biggest social-democratic party, </w:t>
      </w:r>
      <w:r w:rsidR="00064EE0">
        <w:rPr>
          <w:lang w:val="en-US"/>
        </w:rPr>
        <w:t>in the Spanish General Elections (SGE)</w:t>
      </w:r>
      <w:r w:rsidR="00B2767D">
        <w:rPr>
          <w:rStyle w:val="Refdenotaalpie"/>
          <w:lang w:val="en-US"/>
        </w:rPr>
        <w:footnoteReference w:id="3"/>
      </w:r>
      <w:r w:rsidR="00064EE0">
        <w:rPr>
          <w:lang w:val="en-US"/>
        </w:rPr>
        <w:t>.</w:t>
      </w:r>
      <w:r w:rsidR="00DD354F">
        <w:rPr>
          <w:lang w:val="en-US"/>
        </w:rPr>
        <w:t xml:space="preserve"> </w:t>
      </w:r>
    </w:p>
    <w:p w:rsidR="00337ED5" w:rsidRDefault="00337ED5" w:rsidP="00921FEB">
      <w:pPr>
        <w:pStyle w:val="Textoindependiente"/>
        <w:spacing w:line="360" w:lineRule="auto"/>
        <w:jc w:val="both"/>
        <w:rPr>
          <w:lang w:val="en-US"/>
        </w:rPr>
      </w:pPr>
      <w:r>
        <w:rPr>
          <w:noProof/>
          <w:lang w:val="es-ES" w:eastAsia="es-ES"/>
        </w:rPr>
        <w:drawing>
          <wp:inline distT="0" distB="0" distL="0" distR="0" wp14:anchorId="65558BB4" wp14:editId="2681F8E0">
            <wp:extent cx="5400040" cy="3527317"/>
            <wp:effectExtent l="0" t="0" r="10160" b="16510"/>
            <wp:docPr id="9"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37ED5" w:rsidRPr="00337ED5" w:rsidRDefault="00337ED5" w:rsidP="00337ED5">
      <w:pPr>
        <w:spacing w:line="360" w:lineRule="auto"/>
        <w:jc w:val="both"/>
        <w:rPr>
          <w:sz w:val="20"/>
          <w:lang w:val="en-US"/>
        </w:rPr>
      </w:pPr>
      <w:r w:rsidRPr="00337ED5">
        <w:rPr>
          <w:sz w:val="20"/>
          <w:lang w:val="en-US"/>
        </w:rPr>
        <w:t xml:space="preserve">Source: </w:t>
      </w:r>
      <w:r>
        <w:rPr>
          <w:sz w:val="20"/>
          <w:lang w:val="en-US"/>
        </w:rPr>
        <w:t>Elaborated by the authors from data of the “</w:t>
      </w:r>
      <w:proofErr w:type="spellStart"/>
      <w:r>
        <w:rPr>
          <w:sz w:val="20"/>
          <w:lang w:val="en-US"/>
        </w:rPr>
        <w:t>Ministerio</w:t>
      </w:r>
      <w:proofErr w:type="spellEnd"/>
      <w:r>
        <w:rPr>
          <w:sz w:val="20"/>
          <w:lang w:val="en-US"/>
        </w:rPr>
        <w:t xml:space="preserve"> del Interior”, Spanish Government.</w:t>
      </w:r>
    </w:p>
    <w:p w:rsidR="00B2767D" w:rsidRDefault="00DD354F" w:rsidP="00DD354F">
      <w:pPr>
        <w:spacing w:line="360" w:lineRule="auto"/>
        <w:jc w:val="both"/>
        <w:rPr>
          <w:lang w:val="en-US"/>
        </w:rPr>
      </w:pPr>
      <w:r>
        <w:rPr>
          <w:lang w:val="en-US"/>
        </w:rPr>
        <w:t xml:space="preserve">Figure 7 shows notable trends of PSOE’s spatial vote. There is an initial pattern, between 1977 and 1986, by which </w:t>
      </w:r>
      <w:r w:rsidR="00D97D63">
        <w:rPr>
          <w:lang w:val="en-US"/>
        </w:rPr>
        <w:t>the habitat with greater voting percentages is “peripheries”, being substituted during the period 1996-2011 by the “agrarian rural” habitat. There is also a clear pattern, initiated in 1986</w:t>
      </w:r>
      <w:r w:rsidR="006A720B">
        <w:rPr>
          <w:lang w:val="en-US"/>
        </w:rPr>
        <w:t xml:space="preserve"> and continued until we have data,</w:t>
      </w:r>
      <w:r w:rsidR="00D97D63">
        <w:rPr>
          <w:lang w:val="en-US"/>
        </w:rPr>
        <w:t xml:space="preserve"> by which cities are the habitat where PSOE obtains less voting percentages.</w:t>
      </w:r>
    </w:p>
    <w:p w:rsidR="006A720B" w:rsidRDefault="002310D2" w:rsidP="00DD354F">
      <w:pPr>
        <w:spacing w:line="360" w:lineRule="auto"/>
        <w:jc w:val="both"/>
        <w:rPr>
          <w:lang w:val="en-US"/>
        </w:rPr>
      </w:pPr>
      <w:r>
        <w:rPr>
          <w:lang w:val="en-US"/>
        </w:rPr>
        <w:lastRenderedPageBreak/>
        <w:t xml:space="preserve">Figure 8 shows the evolution undergone by the </w:t>
      </w:r>
      <w:proofErr w:type="spellStart"/>
      <w:r w:rsidRPr="002310D2">
        <w:rPr>
          <w:i/>
          <w:lang w:val="en-US"/>
        </w:rPr>
        <w:t>Partido</w:t>
      </w:r>
      <w:proofErr w:type="spellEnd"/>
      <w:r w:rsidRPr="002310D2">
        <w:rPr>
          <w:i/>
          <w:lang w:val="en-US"/>
        </w:rPr>
        <w:t xml:space="preserve"> Popular</w:t>
      </w:r>
      <w:r>
        <w:rPr>
          <w:lang w:val="en-US"/>
        </w:rPr>
        <w:t xml:space="preserve"> (PP), Spanish biggest </w:t>
      </w:r>
      <w:r w:rsidR="00BB6940">
        <w:rPr>
          <w:lang w:val="en-US"/>
        </w:rPr>
        <w:t xml:space="preserve">center and </w:t>
      </w:r>
      <w:r>
        <w:rPr>
          <w:lang w:val="en-US"/>
        </w:rPr>
        <w:t>right-wing political party.</w:t>
      </w:r>
    </w:p>
    <w:p w:rsidR="00BB289A" w:rsidRDefault="00C7700C" w:rsidP="00DD354F">
      <w:pPr>
        <w:spacing w:line="360" w:lineRule="auto"/>
        <w:jc w:val="both"/>
        <w:rPr>
          <w:lang w:val="en-US"/>
        </w:rPr>
      </w:pPr>
      <w:r>
        <w:rPr>
          <w:noProof/>
          <w:lang w:val="es-ES" w:eastAsia="es-ES"/>
        </w:rPr>
        <w:drawing>
          <wp:inline distT="0" distB="0" distL="0" distR="0" wp14:anchorId="0D828D98" wp14:editId="145E2859">
            <wp:extent cx="5400040" cy="3527317"/>
            <wp:effectExtent l="0" t="0" r="10160" b="16510"/>
            <wp:docPr id="10"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BB289A" w:rsidRPr="00337ED5" w:rsidRDefault="00BB289A" w:rsidP="00BB289A">
      <w:pPr>
        <w:spacing w:line="360" w:lineRule="auto"/>
        <w:jc w:val="both"/>
        <w:rPr>
          <w:sz w:val="20"/>
          <w:lang w:val="en-US"/>
        </w:rPr>
      </w:pPr>
      <w:r w:rsidRPr="00337ED5">
        <w:rPr>
          <w:sz w:val="20"/>
          <w:lang w:val="en-US"/>
        </w:rPr>
        <w:t xml:space="preserve">Source: </w:t>
      </w:r>
      <w:r>
        <w:rPr>
          <w:sz w:val="20"/>
          <w:lang w:val="en-US"/>
        </w:rPr>
        <w:t>Elaborated by the authors from data of the “</w:t>
      </w:r>
      <w:proofErr w:type="spellStart"/>
      <w:r>
        <w:rPr>
          <w:sz w:val="20"/>
          <w:lang w:val="en-US"/>
        </w:rPr>
        <w:t>Ministerio</w:t>
      </w:r>
      <w:proofErr w:type="spellEnd"/>
      <w:r>
        <w:rPr>
          <w:sz w:val="20"/>
          <w:lang w:val="en-US"/>
        </w:rPr>
        <w:t xml:space="preserve"> del Interior”, Spanish Government.</w:t>
      </w:r>
    </w:p>
    <w:p w:rsidR="00C7700C" w:rsidRDefault="00972EFE" w:rsidP="00972EFE">
      <w:pPr>
        <w:spacing w:line="360" w:lineRule="auto"/>
        <w:jc w:val="both"/>
        <w:rPr>
          <w:lang w:val="en-US"/>
        </w:rPr>
      </w:pPr>
      <w:r>
        <w:rPr>
          <w:lang w:val="en-US"/>
        </w:rPr>
        <w:t>Here, we have two accentuated, long term, trends. In the first place we see that it is in the “deactivated rural” habitat where the PP obtains higher voting percentages since 1986. Secondly, there is an ever persisting trend by which this party obtains its lowest electoral support within peripheries.</w:t>
      </w:r>
    </w:p>
    <w:p w:rsidR="00BB289A" w:rsidRDefault="00422C5D" w:rsidP="00422C5D">
      <w:pPr>
        <w:spacing w:line="360" w:lineRule="auto"/>
        <w:jc w:val="both"/>
        <w:rPr>
          <w:lang w:val="en-US"/>
        </w:rPr>
      </w:pPr>
      <w:r>
        <w:rPr>
          <w:lang w:val="en-US"/>
        </w:rPr>
        <w:t>We have grouped the rest of Spanish political parties in four categories: other right-wing parties, other left-wing parties, right-wing nationalists, left-wing nationalists, green parties and other parties.</w:t>
      </w:r>
      <w:r w:rsidR="001061E5">
        <w:rPr>
          <w:lang w:val="en-US"/>
        </w:rPr>
        <w:t xml:space="preserve"> Figure 9 illustrates the evolution of the first of these categories, right-wing parties.</w:t>
      </w:r>
      <w:r w:rsidR="00B37DE7">
        <w:rPr>
          <w:lang w:val="en-US"/>
        </w:rPr>
        <w:t xml:space="preserve"> This evolution is interesting because it is characterized by three relevant trends. This category of “other right-wing parties” follows the same spatial pattern as the PP –with the highest electoral support in the deactivated rural and the lowest in the peripheries– from 1977 until 1986; after that year there is concentration pattern, between 1989 and 2004 that is finally broken in 2008 and </w:t>
      </w:r>
      <w:r w:rsidR="00B37DE7">
        <w:rPr>
          <w:lang w:val="en-US"/>
        </w:rPr>
        <w:lastRenderedPageBreak/>
        <w:t xml:space="preserve">accentuated in 2011. This new pattern is defined for having the highest percentages of electoral support within the cities, followed by peripheries. </w:t>
      </w:r>
    </w:p>
    <w:p w:rsidR="001061E5" w:rsidRDefault="001061E5" w:rsidP="00422C5D">
      <w:pPr>
        <w:spacing w:line="360" w:lineRule="auto"/>
        <w:jc w:val="both"/>
        <w:rPr>
          <w:lang w:val="en-US"/>
        </w:rPr>
      </w:pPr>
      <w:r>
        <w:rPr>
          <w:noProof/>
          <w:lang w:val="es-ES" w:eastAsia="es-ES"/>
        </w:rPr>
        <w:drawing>
          <wp:inline distT="0" distB="0" distL="0" distR="0" wp14:anchorId="7A0A6C29" wp14:editId="6820C868">
            <wp:extent cx="5400040" cy="3527317"/>
            <wp:effectExtent l="0" t="0" r="10160" b="16510"/>
            <wp:docPr id="11"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9141E4" w:rsidRDefault="009141E4" w:rsidP="009141E4">
      <w:pPr>
        <w:spacing w:line="360" w:lineRule="auto"/>
        <w:jc w:val="both"/>
        <w:rPr>
          <w:sz w:val="20"/>
          <w:lang w:val="en-US"/>
        </w:rPr>
      </w:pPr>
      <w:r w:rsidRPr="00337ED5">
        <w:rPr>
          <w:sz w:val="20"/>
          <w:lang w:val="en-US"/>
        </w:rPr>
        <w:t xml:space="preserve">Source: </w:t>
      </w:r>
      <w:r>
        <w:rPr>
          <w:sz w:val="20"/>
          <w:lang w:val="en-US"/>
        </w:rPr>
        <w:t>Elaborated by the authors from data of the “</w:t>
      </w:r>
      <w:proofErr w:type="spellStart"/>
      <w:r>
        <w:rPr>
          <w:sz w:val="20"/>
          <w:lang w:val="en-US"/>
        </w:rPr>
        <w:t>Ministerio</w:t>
      </w:r>
      <w:proofErr w:type="spellEnd"/>
      <w:r>
        <w:rPr>
          <w:sz w:val="20"/>
          <w:lang w:val="en-US"/>
        </w:rPr>
        <w:t xml:space="preserve"> del Interior”, Spanish Government.</w:t>
      </w:r>
    </w:p>
    <w:p w:rsidR="00AF6425" w:rsidRDefault="00AF6425" w:rsidP="00AF6425">
      <w:pPr>
        <w:spacing w:line="360" w:lineRule="auto"/>
        <w:jc w:val="both"/>
        <w:rPr>
          <w:lang w:val="en-US"/>
        </w:rPr>
      </w:pPr>
      <w:r>
        <w:rPr>
          <w:lang w:val="en-US"/>
        </w:rPr>
        <w:t xml:space="preserve">Figure 10 shows the evolution undergone by other left-wing parties. There are no big differences </w:t>
      </w:r>
      <w:r w:rsidR="00832F4A">
        <w:rPr>
          <w:lang w:val="en-US"/>
        </w:rPr>
        <w:t>within this category, due to its lowest voting percentages. However, we see that the lowest electoral support for these parties resides in those municipalities classified as being part of the “deactivated rural” habitat. There is also a soft trend by which it is within cities and peripheries that these parties obtain higher percentages of vote over census.</w:t>
      </w:r>
    </w:p>
    <w:p w:rsidR="00AF6425" w:rsidRDefault="00AF6425" w:rsidP="009141E4">
      <w:pPr>
        <w:spacing w:line="360" w:lineRule="auto"/>
        <w:jc w:val="both"/>
        <w:rPr>
          <w:sz w:val="20"/>
          <w:lang w:val="en-US"/>
        </w:rPr>
      </w:pPr>
    </w:p>
    <w:p w:rsidR="00AF6425" w:rsidRPr="00337ED5" w:rsidRDefault="00AF6425" w:rsidP="009141E4">
      <w:pPr>
        <w:spacing w:line="360" w:lineRule="auto"/>
        <w:jc w:val="both"/>
        <w:rPr>
          <w:sz w:val="20"/>
          <w:lang w:val="en-US"/>
        </w:rPr>
      </w:pPr>
    </w:p>
    <w:p w:rsidR="00AF6425" w:rsidRDefault="00AF6425" w:rsidP="009141E4">
      <w:pPr>
        <w:rPr>
          <w:lang w:val="en-US"/>
        </w:rPr>
      </w:pPr>
      <w:r>
        <w:rPr>
          <w:noProof/>
          <w:lang w:val="es-ES" w:eastAsia="es-ES"/>
        </w:rPr>
        <w:lastRenderedPageBreak/>
        <w:drawing>
          <wp:inline distT="0" distB="0" distL="0" distR="0" wp14:anchorId="315E72BB" wp14:editId="2645914F">
            <wp:extent cx="5400040" cy="3527317"/>
            <wp:effectExtent l="0" t="0" r="10160" b="16510"/>
            <wp:docPr id="12" name="Gráfico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AF6425" w:rsidRDefault="00AF6425" w:rsidP="00AF6425">
      <w:pPr>
        <w:spacing w:line="360" w:lineRule="auto"/>
        <w:jc w:val="both"/>
        <w:rPr>
          <w:sz w:val="20"/>
          <w:lang w:val="en-US"/>
        </w:rPr>
      </w:pPr>
      <w:r w:rsidRPr="00337ED5">
        <w:rPr>
          <w:sz w:val="20"/>
          <w:lang w:val="en-US"/>
        </w:rPr>
        <w:t xml:space="preserve">Source: </w:t>
      </w:r>
      <w:r>
        <w:rPr>
          <w:sz w:val="20"/>
          <w:lang w:val="en-US"/>
        </w:rPr>
        <w:t>Elaborated by the authors from data of the “</w:t>
      </w:r>
      <w:proofErr w:type="spellStart"/>
      <w:r>
        <w:rPr>
          <w:sz w:val="20"/>
          <w:lang w:val="en-US"/>
        </w:rPr>
        <w:t>Ministerio</w:t>
      </w:r>
      <w:proofErr w:type="spellEnd"/>
      <w:r>
        <w:rPr>
          <w:sz w:val="20"/>
          <w:lang w:val="en-US"/>
        </w:rPr>
        <w:t xml:space="preserve"> del Interior”, Spanish Government.</w:t>
      </w:r>
    </w:p>
    <w:p w:rsidR="00865473" w:rsidRDefault="00865473" w:rsidP="00865473">
      <w:pPr>
        <w:spacing w:line="360" w:lineRule="auto"/>
        <w:jc w:val="both"/>
        <w:rPr>
          <w:lang w:val="en-US"/>
        </w:rPr>
      </w:pPr>
      <w:r>
        <w:rPr>
          <w:lang w:val="en-US"/>
        </w:rPr>
        <w:t>Figure 11 shows the evolution of right-wing nationalist parties. We have reduced</w:t>
      </w:r>
      <w:r w:rsidR="003E12E0">
        <w:rPr>
          <w:lang w:val="en-US"/>
        </w:rPr>
        <w:t xml:space="preserve"> to 15%</w:t>
      </w:r>
      <w:r>
        <w:rPr>
          <w:lang w:val="en-US"/>
        </w:rPr>
        <w:t xml:space="preserve"> the axis</w:t>
      </w:r>
      <w:r w:rsidR="003E12E0">
        <w:rPr>
          <w:lang w:val="en-US"/>
        </w:rPr>
        <w:t xml:space="preserve"> indicating the level of electoral support</w:t>
      </w:r>
      <w:r>
        <w:rPr>
          <w:lang w:val="en-US"/>
        </w:rPr>
        <w:t xml:space="preserve">, as these parties receive most of their support within </w:t>
      </w:r>
      <w:r w:rsidR="00290A18">
        <w:rPr>
          <w:lang w:val="en-US"/>
        </w:rPr>
        <w:t xml:space="preserve">a small number </w:t>
      </w:r>
      <w:r>
        <w:rPr>
          <w:lang w:val="en-US"/>
        </w:rPr>
        <w:t>of</w:t>
      </w:r>
      <w:r w:rsidR="003E12E0">
        <w:rPr>
          <w:lang w:val="en-US"/>
        </w:rPr>
        <w:t xml:space="preserve"> Autonomous Communities.</w:t>
      </w:r>
      <w:r w:rsidR="00290A18">
        <w:rPr>
          <w:lang w:val="en-US"/>
        </w:rPr>
        <w:t xml:space="preserve"> Here we have some stable trends to comment. We see that the highest support for these parties is concentrated, with the exception of the 1986 elections, in peripheries and, secondly, in manualized rural.</w:t>
      </w:r>
      <w:r w:rsidR="0025302D">
        <w:rPr>
          <w:lang w:val="en-US"/>
        </w:rPr>
        <w:t xml:space="preserve"> The lowest percentages of electoral support for these parties </w:t>
      </w:r>
      <w:r w:rsidR="00E41DAC">
        <w:rPr>
          <w:lang w:val="en-US"/>
        </w:rPr>
        <w:t>are</w:t>
      </w:r>
      <w:r w:rsidR="0025302D">
        <w:rPr>
          <w:lang w:val="en-US"/>
        </w:rPr>
        <w:t xml:space="preserve"> also concentrated within two categories: agrarian rural and deactivated rural.</w:t>
      </w:r>
    </w:p>
    <w:p w:rsidR="008B68D8" w:rsidRDefault="003A1090" w:rsidP="00865473">
      <w:pPr>
        <w:spacing w:line="360" w:lineRule="auto"/>
        <w:jc w:val="both"/>
        <w:rPr>
          <w:lang w:val="en-US"/>
        </w:rPr>
      </w:pPr>
      <w:r>
        <w:rPr>
          <w:lang w:val="en-US"/>
        </w:rPr>
        <w:t>The evolution undergone by left-wing nationalist parties is showed in figure 12. In this case there is no clear trend defining the vote for these parties. However we can identify a soft trend by which there is within the deactivated and agrarian rural categories where these parties obtain lowest percentages of electoral support.</w:t>
      </w:r>
    </w:p>
    <w:p w:rsidR="008B68D8" w:rsidRDefault="00865473" w:rsidP="00865473">
      <w:pPr>
        <w:rPr>
          <w:lang w:val="en-US"/>
        </w:rPr>
      </w:pPr>
      <w:r>
        <w:rPr>
          <w:noProof/>
          <w:lang w:val="es-ES" w:eastAsia="es-ES"/>
        </w:rPr>
        <w:lastRenderedPageBreak/>
        <w:drawing>
          <wp:inline distT="0" distB="0" distL="0" distR="0" wp14:anchorId="5502FFC3" wp14:editId="6F1AC2CA">
            <wp:extent cx="5400040" cy="3527317"/>
            <wp:effectExtent l="0" t="0" r="10160" b="16510"/>
            <wp:docPr id="13" name="Gráfico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8B68D8" w:rsidRDefault="008B68D8" w:rsidP="008B68D8">
      <w:pPr>
        <w:spacing w:line="360" w:lineRule="auto"/>
        <w:jc w:val="both"/>
        <w:rPr>
          <w:sz w:val="20"/>
          <w:lang w:val="en-US"/>
        </w:rPr>
      </w:pPr>
      <w:r w:rsidRPr="00337ED5">
        <w:rPr>
          <w:sz w:val="20"/>
          <w:lang w:val="en-US"/>
        </w:rPr>
        <w:t xml:space="preserve">Source: </w:t>
      </w:r>
      <w:r>
        <w:rPr>
          <w:sz w:val="20"/>
          <w:lang w:val="en-US"/>
        </w:rPr>
        <w:t>Elaborated by the authors from data of the “</w:t>
      </w:r>
      <w:proofErr w:type="spellStart"/>
      <w:r>
        <w:rPr>
          <w:sz w:val="20"/>
          <w:lang w:val="en-US"/>
        </w:rPr>
        <w:t>Ministerio</w:t>
      </w:r>
      <w:proofErr w:type="spellEnd"/>
      <w:r>
        <w:rPr>
          <w:sz w:val="20"/>
          <w:lang w:val="en-US"/>
        </w:rPr>
        <w:t xml:space="preserve"> del Interior”, Spanish Government.</w:t>
      </w:r>
    </w:p>
    <w:p w:rsidR="008B68D8" w:rsidRDefault="008B68D8" w:rsidP="008B68D8">
      <w:pPr>
        <w:rPr>
          <w:lang w:val="en-US"/>
        </w:rPr>
      </w:pPr>
    </w:p>
    <w:p w:rsidR="008B68D8" w:rsidRDefault="008B68D8" w:rsidP="008B68D8">
      <w:pPr>
        <w:rPr>
          <w:lang w:val="en-US"/>
        </w:rPr>
      </w:pPr>
      <w:r>
        <w:rPr>
          <w:noProof/>
          <w:lang w:val="es-ES" w:eastAsia="es-ES"/>
        </w:rPr>
        <w:drawing>
          <wp:inline distT="0" distB="0" distL="0" distR="0" wp14:anchorId="5ADF459A" wp14:editId="165C8A70">
            <wp:extent cx="5400040" cy="3527317"/>
            <wp:effectExtent l="0" t="0" r="10160" b="16510"/>
            <wp:docPr id="14" name="Gráfico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8B68D8" w:rsidRDefault="008B68D8" w:rsidP="008B68D8">
      <w:pPr>
        <w:spacing w:line="360" w:lineRule="auto"/>
        <w:jc w:val="both"/>
        <w:rPr>
          <w:sz w:val="20"/>
          <w:lang w:val="en-US"/>
        </w:rPr>
      </w:pPr>
      <w:r w:rsidRPr="00337ED5">
        <w:rPr>
          <w:sz w:val="20"/>
          <w:lang w:val="en-US"/>
        </w:rPr>
        <w:t xml:space="preserve">Source: </w:t>
      </w:r>
      <w:r>
        <w:rPr>
          <w:sz w:val="20"/>
          <w:lang w:val="en-US"/>
        </w:rPr>
        <w:t>Elaborated by the authors from data of the “</w:t>
      </w:r>
      <w:proofErr w:type="spellStart"/>
      <w:r>
        <w:rPr>
          <w:sz w:val="20"/>
          <w:lang w:val="en-US"/>
        </w:rPr>
        <w:t>Ministerio</w:t>
      </w:r>
      <w:proofErr w:type="spellEnd"/>
      <w:r>
        <w:rPr>
          <w:sz w:val="20"/>
          <w:lang w:val="en-US"/>
        </w:rPr>
        <w:t xml:space="preserve"> del Interior”, Spanish Government.</w:t>
      </w:r>
    </w:p>
    <w:p w:rsidR="001061E5" w:rsidRDefault="001061E5" w:rsidP="008B68D8">
      <w:pPr>
        <w:rPr>
          <w:lang w:val="en-US"/>
        </w:rPr>
      </w:pPr>
    </w:p>
    <w:p w:rsidR="003F718D" w:rsidRDefault="003F718D" w:rsidP="006E3686">
      <w:pPr>
        <w:spacing w:line="360" w:lineRule="auto"/>
        <w:jc w:val="both"/>
        <w:rPr>
          <w:lang w:val="en-US"/>
        </w:rPr>
      </w:pPr>
      <w:r>
        <w:rPr>
          <w:lang w:val="en-US"/>
        </w:rPr>
        <w:lastRenderedPageBreak/>
        <w:t>Figure 13 shows the evolution of green parties. It is not until the 1986 elections that these parties firstly participate in the Spanish General Elections; their voting percentages has been always low since then, and that is why we have reduced the percentage axis to only 2%. Although these are very low voting percentages, we can identify</w:t>
      </w:r>
      <w:r w:rsidR="006E3686">
        <w:rPr>
          <w:lang w:val="en-US"/>
        </w:rPr>
        <w:t xml:space="preserve"> some relevant trends. We see, in the first place, that it is within cities and peripheries where these parties obtain their highest levels of electoral support. On the other hand, it is always within the deactivated and agrarian rural that these parties find their lowest levels of electoral support.</w:t>
      </w:r>
    </w:p>
    <w:p w:rsidR="003F718D" w:rsidRDefault="003F718D" w:rsidP="008B68D8">
      <w:pPr>
        <w:rPr>
          <w:lang w:val="en-US"/>
        </w:rPr>
      </w:pPr>
    </w:p>
    <w:p w:rsidR="006E3686" w:rsidRDefault="00546B53" w:rsidP="008B68D8">
      <w:pPr>
        <w:rPr>
          <w:lang w:val="en-US"/>
        </w:rPr>
      </w:pPr>
      <w:r>
        <w:rPr>
          <w:noProof/>
          <w:lang w:val="es-ES" w:eastAsia="es-ES"/>
        </w:rPr>
        <w:drawing>
          <wp:inline distT="0" distB="0" distL="0" distR="0" wp14:anchorId="229F3360" wp14:editId="10BBBA38">
            <wp:extent cx="5400040" cy="3527317"/>
            <wp:effectExtent l="0" t="0" r="10160" b="16510"/>
            <wp:docPr id="15" name="Gráfico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6E3686" w:rsidRDefault="006E3686" w:rsidP="006E3686">
      <w:pPr>
        <w:spacing w:line="360" w:lineRule="auto"/>
        <w:jc w:val="both"/>
        <w:rPr>
          <w:sz w:val="20"/>
          <w:lang w:val="en-US"/>
        </w:rPr>
      </w:pPr>
      <w:r w:rsidRPr="00337ED5">
        <w:rPr>
          <w:sz w:val="20"/>
          <w:lang w:val="en-US"/>
        </w:rPr>
        <w:t xml:space="preserve">Source: </w:t>
      </w:r>
      <w:r>
        <w:rPr>
          <w:sz w:val="20"/>
          <w:lang w:val="en-US"/>
        </w:rPr>
        <w:t>Elaborated by the authors from data of the “</w:t>
      </w:r>
      <w:proofErr w:type="spellStart"/>
      <w:r>
        <w:rPr>
          <w:sz w:val="20"/>
          <w:lang w:val="en-US"/>
        </w:rPr>
        <w:t>Ministerio</w:t>
      </w:r>
      <w:proofErr w:type="spellEnd"/>
      <w:r>
        <w:rPr>
          <w:sz w:val="20"/>
          <w:lang w:val="en-US"/>
        </w:rPr>
        <w:t xml:space="preserve"> del Interior”, Spanish Government.</w:t>
      </w:r>
    </w:p>
    <w:p w:rsidR="00546B53" w:rsidRDefault="00746C38" w:rsidP="00746C38">
      <w:pPr>
        <w:spacing w:line="360" w:lineRule="auto"/>
        <w:jc w:val="both"/>
        <w:rPr>
          <w:lang w:val="en-US"/>
        </w:rPr>
      </w:pPr>
      <w:r>
        <w:rPr>
          <w:lang w:val="en-US"/>
        </w:rPr>
        <w:t xml:space="preserve">There is still another category of “other parties”, containing those parties that cannot be classified within any of the aforementioned analyzed party categories. This category, however, does not define any </w:t>
      </w:r>
      <w:r w:rsidR="00AE7A71">
        <w:rPr>
          <w:lang w:val="en-US"/>
        </w:rPr>
        <w:t xml:space="preserve">identifiable </w:t>
      </w:r>
      <w:r w:rsidR="007C2F2B">
        <w:rPr>
          <w:lang w:val="en-US"/>
        </w:rPr>
        <w:t>habitat trend.</w:t>
      </w:r>
    </w:p>
    <w:p w:rsidR="00C12621" w:rsidRDefault="00C12621" w:rsidP="00746C38">
      <w:pPr>
        <w:spacing w:line="360" w:lineRule="auto"/>
        <w:jc w:val="both"/>
        <w:rPr>
          <w:lang w:val="en-US"/>
        </w:rPr>
      </w:pPr>
    </w:p>
    <w:p w:rsidR="00124DEB" w:rsidRDefault="00C12621" w:rsidP="00124DEB">
      <w:pPr>
        <w:pStyle w:val="Ttulo1"/>
        <w:numPr>
          <w:ilvl w:val="0"/>
          <w:numId w:val="4"/>
        </w:numPr>
      </w:pPr>
      <w:r>
        <w:lastRenderedPageBreak/>
        <w:t>Conclusions</w:t>
      </w:r>
    </w:p>
    <w:p w:rsidR="00124DEB" w:rsidRDefault="000122CB" w:rsidP="00746C38">
      <w:pPr>
        <w:spacing w:line="360" w:lineRule="auto"/>
        <w:jc w:val="both"/>
        <w:rPr>
          <w:lang w:val="en-US"/>
        </w:rPr>
      </w:pPr>
      <w:r>
        <w:rPr>
          <w:lang w:val="en-US"/>
        </w:rPr>
        <w:t>This paper has examined the evolution of spatial vote in Spain. We have deployed a new methodology to measure sociologically relevant habitats and applied it to data corresponding to the Spanish General Elections, from 1977 to 2011.</w:t>
      </w:r>
      <w:r w:rsidR="006A46EA">
        <w:rPr>
          <w:lang w:val="en-US"/>
        </w:rPr>
        <w:t xml:space="preserve"> It has been discussed different theoretical approaches to spatial vote in section 2 and we think that the empirical evidence presented in this paper can contribute to progress within this field.</w:t>
      </w:r>
    </w:p>
    <w:p w:rsidR="00030FB1" w:rsidRDefault="00030FB1" w:rsidP="00746C38">
      <w:pPr>
        <w:spacing w:line="360" w:lineRule="auto"/>
        <w:jc w:val="both"/>
        <w:rPr>
          <w:lang w:val="en-US"/>
        </w:rPr>
      </w:pPr>
      <w:r>
        <w:rPr>
          <w:lang w:val="en-US"/>
        </w:rPr>
        <w:t xml:space="preserve">There are some stable trends that can be summarized as follows: </w:t>
      </w:r>
    </w:p>
    <w:p w:rsidR="00DF07B4" w:rsidRDefault="003939FC" w:rsidP="00CF1F22">
      <w:pPr>
        <w:pStyle w:val="Prrafodelista"/>
        <w:numPr>
          <w:ilvl w:val="0"/>
          <w:numId w:val="7"/>
        </w:numPr>
        <w:spacing w:line="360" w:lineRule="auto"/>
        <w:jc w:val="both"/>
        <w:rPr>
          <w:lang w:val="en-US"/>
        </w:rPr>
      </w:pPr>
      <w:r w:rsidRPr="00813427">
        <w:rPr>
          <w:lang w:val="en-US"/>
        </w:rPr>
        <w:t xml:space="preserve">Peripheries are the habitat </w:t>
      </w:r>
      <w:r w:rsidR="00151714" w:rsidRPr="00813427">
        <w:rPr>
          <w:lang w:val="en-US"/>
        </w:rPr>
        <w:t>that is more clearly</w:t>
      </w:r>
      <w:r w:rsidRPr="00813427">
        <w:rPr>
          <w:lang w:val="en-US"/>
        </w:rPr>
        <w:t xml:space="preserve"> </w:t>
      </w:r>
      <w:r w:rsidR="00151714" w:rsidRPr="00813427">
        <w:rPr>
          <w:lang w:val="en-US"/>
        </w:rPr>
        <w:t xml:space="preserve">oriented towards left-wing </w:t>
      </w:r>
      <w:r w:rsidR="009053D3" w:rsidRPr="00813427">
        <w:rPr>
          <w:lang w:val="en-US"/>
        </w:rPr>
        <w:t>politics</w:t>
      </w:r>
      <w:r w:rsidRPr="00813427">
        <w:rPr>
          <w:lang w:val="en-US"/>
        </w:rPr>
        <w:t>. This is clearly the case for the PSOE</w:t>
      </w:r>
      <w:r w:rsidR="009053D3" w:rsidRPr="00813427">
        <w:rPr>
          <w:lang w:val="en-US"/>
        </w:rPr>
        <w:t>, a party that receives its highest levels of support from this habitat</w:t>
      </w:r>
      <w:r w:rsidRPr="00813427">
        <w:rPr>
          <w:lang w:val="en-US"/>
        </w:rPr>
        <w:t xml:space="preserve"> during the period 1977-1986</w:t>
      </w:r>
      <w:r w:rsidR="00151714" w:rsidRPr="00813427">
        <w:rPr>
          <w:lang w:val="en-US"/>
        </w:rPr>
        <w:t xml:space="preserve"> (figure 7) and it </w:t>
      </w:r>
      <w:r w:rsidR="009053D3" w:rsidRPr="00813427">
        <w:rPr>
          <w:lang w:val="en-US"/>
        </w:rPr>
        <w:t xml:space="preserve">also </w:t>
      </w:r>
      <w:r w:rsidR="00151714" w:rsidRPr="00813427">
        <w:rPr>
          <w:lang w:val="en-US"/>
        </w:rPr>
        <w:t xml:space="preserve">shapes a recognizable trend for those parties grouped </w:t>
      </w:r>
      <w:r w:rsidR="00DF07B4" w:rsidRPr="00813427">
        <w:rPr>
          <w:lang w:val="en-US"/>
        </w:rPr>
        <w:t>under</w:t>
      </w:r>
      <w:r w:rsidR="00151714" w:rsidRPr="00813427">
        <w:rPr>
          <w:lang w:val="en-US"/>
        </w:rPr>
        <w:t xml:space="preserve"> the category “other left-wing parties”</w:t>
      </w:r>
      <w:r w:rsidR="009053D3" w:rsidRPr="00813427">
        <w:rPr>
          <w:lang w:val="en-US"/>
        </w:rPr>
        <w:t>, defining a soft but long trend of electoral support within this habitat.</w:t>
      </w:r>
      <w:r w:rsidR="0021338C" w:rsidRPr="00813427">
        <w:rPr>
          <w:lang w:val="en-US"/>
        </w:rPr>
        <w:t xml:space="preserve"> Peripheries are also the habitat where the PP gets its lowest levels of electoral support</w:t>
      </w:r>
      <w:r w:rsidR="00813427" w:rsidRPr="00813427">
        <w:rPr>
          <w:lang w:val="en-US"/>
        </w:rPr>
        <w:t>, as well as the parties under the category “other right-wing parties”</w:t>
      </w:r>
      <w:r w:rsidR="00813427">
        <w:rPr>
          <w:lang w:val="en-US"/>
        </w:rPr>
        <w:t>. W</w:t>
      </w:r>
      <w:r w:rsidR="00813427" w:rsidRPr="00813427">
        <w:rPr>
          <w:lang w:val="en-US"/>
        </w:rPr>
        <w:t xml:space="preserve">e have found, however, a new trend initiated in 2008 by which peripheries are becoming </w:t>
      </w:r>
      <w:r w:rsidR="00813427">
        <w:rPr>
          <w:lang w:val="en-US"/>
        </w:rPr>
        <w:t>a good habitat for right wing parties; we have to wait for new data in order to confirm if we are in front of a reversing in this trend.</w:t>
      </w:r>
      <w:r w:rsidR="000A190B">
        <w:rPr>
          <w:lang w:val="en-US"/>
        </w:rPr>
        <w:t xml:space="preserve"> Peripheries are also electorally good for green parties. This is, however, an exception to the rule by which peripheries are regularly a bad habitat for right-wing parties: figure 11 shows that right-wing nationalist parties maintain good levels of support within this habitat. Further research is needed to explain this exception.</w:t>
      </w:r>
    </w:p>
    <w:p w:rsidR="00712A5B" w:rsidRDefault="00712A5B" w:rsidP="00712A5B">
      <w:pPr>
        <w:pStyle w:val="Prrafodelista"/>
        <w:spacing w:line="360" w:lineRule="auto"/>
        <w:jc w:val="both"/>
        <w:rPr>
          <w:lang w:val="en-US"/>
        </w:rPr>
      </w:pPr>
    </w:p>
    <w:p w:rsidR="00712A5B" w:rsidRDefault="00712A5B" w:rsidP="00CF1F22">
      <w:pPr>
        <w:pStyle w:val="Prrafodelista"/>
        <w:numPr>
          <w:ilvl w:val="0"/>
          <w:numId w:val="7"/>
        </w:numPr>
        <w:spacing w:line="360" w:lineRule="auto"/>
        <w:jc w:val="both"/>
        <w:rPr>
          <w:lang w:val="en-US"/>
        </w:rPr>
      </w:pPr>
      <w:r>
        <w:rPr>
          <w:lang w:val="en-US"/>
        </w:rPr>
        <w:t xml:space="preserve">Cities maintain a more complex electoral pattern than peripheries. </w:t>
      </w:r>
      <w:r w:rsidR="00DB293A">
        <w:rPr>
          <w:lang w:val="en-US"/>
        </w:rPr>
        <w:t xml:space="preserve">We can say, in the first place, that cities are clearly characterized for their electoral support to green parties. Their tendency regarding the right-left axis is not clear cut. Cities do not bring much electoral support to PSOE, in a trend that is clearly defined since 1986. They are, nevertheless, a habitat where the rest of left-wing parties find high levels of support. Certainly, they do not show good voting </w:t>
      </w:r>
      <w:r w:rsidR="00DB293A">
        <w:rPr>
          <w:lang w:val="en-US"/>
        </w:rPr>
        <w:lastRenderedPageBreak/>
        <w:t>percentages for right-wing parties, although we have seen that there could be a new trend initiated in 2008 involving a right-wing turn for this habitat. New data is needed to confirm this hypothesis.</w:t>
      </w:r>
    </w:p>
    <w:p w:rsidR="00E15C70" w:rsidRPr="00E15C70" w:rsidRDefault="00E15C70" w:rsidP="00E15C70">
      <w:pPr>
        <w:pStyle w:val="Prrafodelista"/>
        <w:rPr>
          <w:lang w:val="en-US"/>
        </w:rPr>
      </w:pPr>
    </w:p>
    <w:p w:rsidR="00E15C70" w:rsidRDefault="00E15C70" w:rsidP="00CF1F22">
      <w:pPr>
        <w:pStyle w:val="Prrafodelista"/>
        <w:numPr>
          <w:ilvl w:val="0"/>
          <w:numId w:val="7"/>
        </w:numPr>
        <w:spacing w:line="360" w:lineRule="auto"/>
        <w:jc w:val="both"/>
        <w:rPr>
          <w:lang w:val="en-US"/>
        </w:rPr>
      </w:pPr>
      <w:r>
        <w:rPr>
          <w:lang w:val="en-US"/>
        </w:rPr>
        <w:t>Deactivated rural is one of the most clearly defined habitats in terms of electoral behavior. It is certainly one of the habitats with highest percentages of electoral support to right-wing parties, and so it is for the PP</w:t>
      </w:r>
      <w:r w:rsidR="00BE38AB">
        <w:rPr>
          <w:lang w:val="en-US"/>
        </w:rPr>
        <w:t xml:space="preserve"> and for the parties under the category “other right-wing parties”. It is not, however, for those parties under the label “right-wing nationalist parties”. Deactivated rural is also the habitat where “left-wing nationalist parties” obtain their lowest electoral support, as well as it is for those parties under the “other left-wing parties”</w:t>
      </w:r>
      <w:r w:rsidR="00851A8A">
        <w:rPr>
          <w:lang w:val="en-US"/>
        </w:rPr>
        <w:t xml:space="preserve"> category and the green parties.</w:t>
      </w:r>
    </w:p>
    <w:p w:rsidR="00BE38AB" w:rsidRPr="00BE38AB" w:rsidRDefault="00BE38AB" w:rsidP="00BE38AB">
      <w:pPr>
        <w:pStyle w:val="Prrafodelista"/>
        <w:rPr>
          <w:lang w:val="en-US"/>
        </w:rPr>
      </w:pPr>
    </w:p>
    <w:p w:rsidR="00BE38AB" w:rsidRDefault="00B81C37" w:rsidP="00CF1F22">
      <w:pPr>
        <w:pStyle w:val="Prrafodelista"/>
        <w:numPr>
          <w:ilvl w:val="0"/>
          <w:numId w:val="7"/>
        </w:numPr>
        <w:spacing w:line="360" w:lineRule="auto"/>
        <w:jc w:val="both"/>
        <w:rPr>
          <w:lang w:val="en-US"/>
        </w:rPr>
      </w:pPr>
      <w:r>
        <w:rPr>
          <w:lang w:val="en-US"/>
        </w:rPr>
        <w:t>Agrarian rural is one of the habitats with highest levels of support for the PSOE, especially after the 1993 elections.</w:t>
      </w:r>
      <w:r w:rsidR="00851A8A">
        <w:rPr>
          <w:lang w:val="en-US"/>
        </w:rPr>
        <w:t xml:space="preserve"> This habitat is also defined for having low levels of electoral support for both right-wing and left-wing nationalist parties, as well as for green parties.</w:t>
      </w:r>
    </w:p>
    <w:p w:rsidR="00851A8A" w:rsidRPr="00851A8A" w:rsidRDefault="00851A8A" w:rsidP="00851A8A">
      <w:pPr>
        <w:pStyle w:val="Prrafodelista"/>
        <w:rPr>
          <w:lang w:val="en-US"/>
        </w:rPr>
      </w:pPr>
    </w:p>
    <w:p w:rsidR="00851A8A" w:rsidRDefault="00851A8A" w:rsidP="00190332">
      <w:pPr>
        <w:pStyle w:val="Prrafodelista"/>
        <w:numPr>
          <w:ilvl w:val="0"/>
          <w:numId w:val="7"/>
        </w:numPr>
        <w:spacing w:line="360" w:lineRule="auto"/>
        <w:jc w:val="both"/>
        <w:rPr>
          <w:lang w:val="en-US"/>
        </w:rPr>
      </w:pPr>
      <w:r w:rsidRPr="00190332">
        <w:rPr>
          <w:lang w:val="en-US"/>
        </w:rPr>
        <w:t>Finally we can say that there is a trend concerning the manualized rural habitat, by which it is one of the habitats with highest levels of electoral support for right-wing nationalist parties.</w:t>
      </w:r>
    </w:p>
    <w:p w:rsidR="00E460EC" w:rsidRPr="00E460EC" w:rsidRDefault="00E460EC" w:rsidP="00E460EC">
      <w:pPr>
        <w:pStyle w:val="Prrafodelista"/>
        <w:rPr>
          <w:lang w:val="en-US"/>
        </w:rPr>
      </w:pPr>
    </w:p>
    <w:p w:rsidR="00E460EC" w:rsidRDefault="00E460EC" w:rsidP="00E460EC">
      <w:pPr>
        <w:spacing w:line="360" w:lineRule="auto"/>
        <w:jc w:val="both"/>
        <w:rPr>
          <w:lang w:val="en-US"/>
        </w:rPr>
      </w:pPr>
    </w:p>
    <w:p w:rsidR="00E460EC" w:rsidRDefault="00E460EC" w:rsidP="00E460EC">
      <w:pPr>
        <w:spacing w:line="360" w:lineRule="auto"/>
        <w:jc w:val="both"/>
        <w:rPr>
          <w:lang w:val="en-US"/>
        </w:rPr>
      </w:pPr>
    </w:p>
    <w:p w:rsidR="00E460EC" w:rsidRDefault="00E460EC" w:rsidP="00E460EC">
      <w:pPr>
        <w:spacing w:line="360" w:lineRule="auto"/>
        <w:jc w:val="both"/>
        <w:rPr>
          <w:lang w:val="en-US"/>
        </w:rPr>
      </w:pPr>
    </w:p>
    <w:p w:rsidR="00E460EC" w:rsidRDefault="00E460EC" w:rsidP="00E460EC">
      <w:pPr>
        <w:spacing w:line="360" w:lineRule="auto"/>
        <w:jc w:val="both"/>
        <w:rPr>
          <w:lang w:val="en-US"/>
        </w:rPr>
      </w:pPr>
    </w:p>
    <w:p w:rsidR="00E460EC" w:rsidRDefault="00E460EC" w:rsidP="00E460EC">
      <w:pPr>
        <w:spacing w:line="360" w:lineRule="auto"/>
        <w:jc w:val="both"/>
        <w:rPr>
          <w:lang w:val="en-US"/>
        </w:rPr>
      </w:pPr>
    </w:p>
    <w:p w:rsidR="00E460EC" w:rsidRDefault="00E460EC" w:rsidP="00E460EC">
      <w:pPr>
        <w:spacing w:line="360" w:lineRule="auto"/>
        <w:jc w:val="both"/>
        <w:rPr>
          <w:lang w:val="en-US"/>
        </w:rPr>
      </w:pPr>
    </w:p>
    <w:p w:rsidR="00E460EC" w:rsidRPr="00E460EC" w:rsidRDefault="00E460EC" w:rsidP="00E460EC">
      <w:pPr>
        <w:spacing w:line="360" w:lineRule="auto"/>
        <w:jc w:val="both"/>
        <w:rPr>
          <w:lang w:val="en-US"/>
        </w:rPr>
      </w:pPr>
    </w:p>
    <w:p w:rsidR="00E460EC" w:rsidRPr="00E460EC" w:rsidRDefault="00E460EC">
      <w:pPr>
        <w:pStyle w:val="NormalWeb"/>
        <w:jc w:val="center"/>
        <w:divId w:val="1695493334"/>
        <w:rPr>
          <w:rFonts w:ascii="Calibri" w:hAnsi="Calibri"/>
          <w:lang w:val="en-US"/>
        </w:rPr>
      </w:pPr>
      <w:r>
        <w:rPr>
          <w:lang w:val="en-US"/>
        </w:rPr>
        <w:lastRenderedPageBreak/>
        <w:fldChar w:fldCharType="begin"/>
      </w:r>
      <w:r>
        <w:rPr>
          <w:lang w:val="en-US"/>
        </w:rPr>
        <w:instrText>ADDIN RW.BIB</w:instrText>
      </w:r>
      <w:r>
        <w:rPr>
          <w:lang w:val="en-US"/>
        </w:rPr>
        <w:fldChar w:fldCharType="separate"/>
      </w:r>
      <w:r w:rsidRPr="00E460EC">
        <w:rPr>
          <w:rFonts w:ascii="Calibri" w:hAnsi="Calibri"/>
          <w:lang w:val="en-US"/>
        </w:rPr>
        <w:t>References</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Agnew, J. (1984). Place and political behaviour: The geography of scottish nationalism.</w:t>
      </w:r>
      <w:r w:rsidRPr="00E460EC">
        <w:rPr>
          <w:rFonts w:ascii="Calibri" w:hAnsi="Calibri"/>
          <w:i/>
          <w:iCs/>
          <w:lang w:val="en-US"/>
        </w:rPr>
        <w:t xml:space="preserve"> Political Geography Quarterly, </w:t>
      </w:r>
      <w:r w:rsidRPr="00E460EC">
        <w:rPr>
          <w:rFonts w:ascii="Calibri" w:hAnsi="Calibri"/>
          <w:lang w:val="en-US"/>
        </w:rPr>
        <w:t xml:space="preserve">(3), 151-165. </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 xml:space="preserve">Agnew, J. (1987). </w:t>
      </w:r>
      <w:r w:rsidRPr="00E460EC">
        <w:rPr>
          <w:rFonts w:ascii="Calibri" w:hAnsi="Calibri"/>
          <w:i/>
          <w:iCs/>
          <w:lang w:val="en-US"/>
        </w:rPr>
        <w:t>Place and politics. the geographical mediation of state and society</w:t>
      </w:r>
      <w:r w:rsidRPr="00E460EC">
        <w:rPr>
          <w:rFonts w:ascii="Calibri" w:hAnsi="Calibri"/>
          <w:lang w:val="en-US"/>
        </w:rPr>
        <w:t>. London: Allen and Unwin.</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 xml:space="preserve">Alford, R. (1963). </w:t>
      </w:r>
      <w:r w:rsidRPr="00E460EC">
        <w:rPr>
          <w:rFonts w:ascii="Calibri" w:hAnsi="Calibri"/>
          <w:i/>
          <w:iCs/>
          <w:lang w:val="en-US"/>
        </w:rPr>
        <w:t>Party and society: The anglo-american democracies</w:t>
      </w:r>
      <w:r w:rsidRPr="00E460EC">
        <w:rPr>
          <w:rFonts w:ascii="Calibri" w:hAnsi="Calibri"/>
          <w:lang w:val="en-US"/>
        </w:rPr>
        <w:t>. Chicago: Rand McNally.</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 xml:space="preserve">Bartolini, S., &amp; Mair, P. (1990). </w:t>
      </w:r>
      <w:r w:rsidRPr="00E460EC">
        <w:rPr>
          <w:rFonts w:ascii="Calibri" w:hAnsi="Calibri"/>
          <w:i/>
          <w:iCs/>
          <w:lang w:val="en-US"/>
        </w:rPr>
        <w:t>Identity, competition and electoral availability</w:t>
      </w:r>
      <w:r w:rsidRPr="00E460EC">
        <w:rPr>
          <w:rFonts w:ascii="Calibri" w:hAnsi="Calibri"/>
          <w:lang w:val="en-US"/>
        </w:rPr>
        <w:t>. Cambridge: Cambridge University Press.</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 xml:space="preserve">Chase-Dunn, C. (1989). </w:t>
      </w:r>
      <w:r w:rsidRPr="00E460EC">
        <w:rPr>
          <w:rFonts w:ascii="Calibri" w:hAnsi="Calibri"/>
          <w:i/>
          <w:iCs/>
          <w:lang w:val="en-US"/>
        </w:rPr>
        <w:t>Global formations: Structures of the world-economy</w:t>
      </w:r>
      <w:r w:rsidRPr="00E460EC">
        <w:rPr>
          <w:rFonts w:ascii="Calibri" w:hAnsi="Calibri"/>
          <w:lang w:val="en-US"/>
        </w:rPr>
        <w:t>. Cambridge, MA: Blackwell.</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 xml:space="preserve">Chirot, D. (1977). </w:t>
      </w:r>
      <w:r w:rsidRPr="00E460EC">
        <w:rPr>
          <w:rFonts w:ascii="Calibri" w:hAnsi="Calibri"/>
          <w:i/>
          <w:iCs/>
          <w:lang w:val="en-US"/>
        </w:rPr>
        <w:t>Social change in the twentieth century</w:t>
      </w:r>
      <w:r w:rsidRPr="00E460EC">
        <w:rPr>
          <w:rFonts w:ascii="Calibri" w:hAnsi="Calibri"/>
          <w:lang w:val="en-US"/>
        </w:rPr>
        <w:t>. New York: Harcourt Brace Jovanovich.</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Cox, K. (1969). The voting decision in a spatial context.</w:t>
      </w:r>
      <w:r w:rsidRPr="00E460EC">
        <w:rPr>
          <w:rFonts w:ascii="Calibri" w:hAnsi="Calibri"/>
          <w:i/>
          <w:iCs/>
          <w:lang w:val="en-US"/>
        </w:rPr>
        <w:t xml:space="preserve"> Progress in Geography, </w:t>
      </w:r>
      <w:r w:rsidRPr="00E460EC">
        <w:rPr>
          <w:rFonts w:ascii="Calibri" w:hAnsi="Calibri"/>
          <w:lang w:val="en-US"/>
        </w:rPr>
        <w:t xml:space="preserve">(1), 81-117. </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 xml:space="preserve">Evans, G. (Ed.). (1999). </w:t>
      </w:r>
      <w:r w:rsidRPr="00E460EC">
        <w:rPr>
          <w:rFonts w:ascii="Calibri" w:hAnsi="Calibri"/>
          <w:i/>
          <w:iCs/>
          <w:lang w:val="en-US"/>
        </w:rPr>
        <w:t>The end of class politics? class voting in comparative context</w:t>
      </w:r>
      <w:r w:rsidRPr="00E460EC">
        <w:rPr>
          <w:rFonts w:ascii="Calibri" w:hAnsi="Calibri"/>
          <w:lang w:val="en-US"/>
        </w:rPr>
        <w:t>. Oxford: Oxford University Press.</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 xml:space="preserve">Evans, G., &amp; de Graaf, N. D. (2013). </w:t>
      </w:r>
      <w:r w:rsidRPr="00E460EC">
        <w:rPr>
          <w:rFonts w:ascii="Calibri" w:hAnsi="Calibri"/>
          <w:i/>
          <w:iCs/>
          <w:lang w:val="en-US"/>
        </w:rPr>
        <w:t>Political choice matters: Explaining the strength of class and religious cleavages in cross-national perspective</w:t>
      </w:r>
      <w:r w:rsidRPr="00E460EC">
        <w:rPr>
          <w:rFonts w:ascii="Calibri" w:hAnsi="Calibri"/>
          <w:lang w:val="en-US"/>
        </w:rPr>
        <w:t>. Oxford: Oxford University Press.</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Frank, A. (1966). The development of underdevelopment.</w:t>
      </w:r>
      <w:r w:rsidRPr="00E460EC">
        <w:rPr>
          <w:rFonts w:ascii="Calibri" w:hAnsi="Calibri"/>
          <w:i/>
          <w:iCs/>
          <w:lang w:val="en-US"/>
        </w:rPr>
        <w:t xml:space="preserve"> Monthly Review, </w:t>
      </w:r>
      <w:r w:rsidRPr="00E460EC">
        <w:rPr>
          <w:rFonts w:ascii="Calibri" w:hAnsi="Calibri"/>
          <w:lang w:val="en-US"/>
        </w:rPr>
        <w:t xml:space="preserve">(September), 17-30. </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 xml:space="preserve">Giddens, A. (1977). </w:t>
      </w:r>
      <w:r w:rsidRPr="00E460EC">
        <w:rPr>
          <w:rFonts w:ascii="Calibri" w:hAnsi="Calibri"/>
          <w:i/>
          <w:iCs/>
          <w:lang w:val="en-US"/>
        </w:rPr>
        <w:t>Studies in social and political theory</w:t>
      </w:r>
      <w:r w:rsidRPr="00E460EC">
        <w:rPr>
          <w:rFonts w:ascii="Calibri" w:hAnsi="Calibri"/>
          <w:lang w:val="en-US"/>
        </w:rPr>
        <w:t>. London: Hutchinson.</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lastRenderedPageBreak/>
        <w:t xml:space="preserve">Giddens, A. (1979). </w:t>
      </w:r>
      <w:r w:rsidRPr="00E460EC">
        <w:rPr>
          <w:rFonts w:ascii="Calibri" w:hAnsi="Calibri"/>
          <w:i/>
          <w:iCs/>
          <w:lang w:val="en-US"/>
        </w:rPr>
        <w:t>Central problems in social theory: Action, structure and contradiction in social analysis</w:t>
      </w:r>
      <w:r w:rsidRPr="00E460EC">
        <w:rPr>
          <w:rFonts w:ascii="Calibri" w:hAnsi="Calibri"/>
          <w:lang w:val="en-US"/>
        </w:rPr>
        <w:t>. London: Macmillan.</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 xml:space="preserve">Giddens, A. (1981). Agency, institution and time-space analysis. In K. Knorr-Cetina, &amp; A. Cicourel (Eds.), </w:t>
      </w:r>
      <w:r w:rsidRPr="00E460EC">
        <w:rPr>
          <w:rFonts w:ascii="Calibri" w:hAnsi="Calibri"/>
          <w:i/>
          <w:iCs/>
          <w:lang w:val="en-US"/>
        </w:rPr>
        <w:t>Advances in social theory and methodology. toward an integration of micro- and macro-sociologies</w:t>
      </w:r>
      <w:r w:rsidRPr="00E460EC">
        <w:rPr>
          <w:rFonts w:ascii="Calibri" w:hAnsi="Calibri"/>
          <w:lang w:val="en-US"/>
        </w:rPr>
        <w:t xml:space="preserve"> (pp. 161-174). Boston: Routledge &amp; Kegan.</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 xml:space="preserve">Giddens, A. (1984). </w:t>
      </w:r>
      <w:r w:rsidRPr="00E460EC">
        <w:rPr>
          <w:rFonts w:ascii="Calibri" w:hAnsi="Calibri"/>
          <w:i/>
          <w:iCs/>
          <w:lang w:val="en-US"/>
        </w:rPr>
        <w:t>The constitution of society: Outline of the theory of structuration</w:t>
      </w:r>
      <w:r w:rsidRPr="00E460EC">
        <w:rPr>
          <w:rFonts w:ascii="Calibri" w:hAnsi="Calibri"/>
          <w:lang w:val="en-US"/>
        </w:rPr>
        <w:t>. Cambridge: Polity Press.</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 xml:space="preserve">Heath, A., Curtice, J., Evans, G., Jowell, R., Field, J., &amp; Witherspoon, S. (1991). </w:t>
      </w:r>
      <w:r w:rsidRPr="00E460EC">
        <w:rPr>
          <w:rFonts w:ascii="Calibri" w:hAnsi="Calibri"/>
          <w:i/>
          <w:iCs/>
          <w:lang w:val="en-US"/>
        </w:rPr>
        <w:t>Understanding political change</w:t>
      </w:r>
      <w:r w:rsidRPr="00E460EC">
        <w:rPr>
          <w:rFonts w:ascii="Calibri" w:hAnsi="Calibri"/>
          <w:lang w:val="en-US"/>
        </w:rPr>
        <w:t>. Oxford: Pergamon.</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Johnston, R. (1986). Places and votes: The role of location in the creation of political attitudes.</w:t>
      </w:r>
      <w:r w:rsidRPr="00E460EC">
        <w:rPr>
          <w:rFonts w:ascii="Calibri" w:hAnsi="Calibri"/>
          <w:i/>
          <w:iCs/>
          <w:lang w:val="en-US"/>
        </w:rPr>
        <w:t xml:space="preserve"> Urban Geography, </w:t>
      </w:r>
      <w:r w:rsidRPr="00E460EC">
        <w:rPr>
          <w:rFonts w:ascii="Calibri" w:hAnsi="Calibri"/>
          <w:lang w:val="en-US"/>
        </w:rPr>
        <w:t xml:space="preserve">(7), 103-116. </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 xml:space="preserve">Johnston, R., &amp; Pattie, C. (1989). Voting in britain since 1979: A growing north-south divide? </w:t>
      </w:r>
      <w:r w:rsidRPr="00E460EC">
        <w:rPr>
          <w:rFonts w:ascii="Calibri" w:hAnsi="Calibri"/>
          <w:i/>
          <w:iCs/>
          <w:lang w:val="en-US"/>
        </w:rPr>
        <w:t>The north-south divide: Regional change in britain in the 1980s</w:t>
      </w:r>
      <w:r w:rsidRPr="00E460EC">
        <w:rPr>
          <w:rFonts w:ascii="Calibri" w:hAnsi="Calibri"/>
          <w:lang w:val="en-US"/>
        </w:rPr>
        <w:t xml:space="preserve"> (pp. 213-247). London: Paul Chapman.</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 xml:space="preserve">Johnston, R., Pattie, C., &amp; Allsop, J. (1988). </w:t>
      </w:r>
      <w:r w:rsidRPr="00E460EC">
        <w:rPr>
          <w:rFonts w:ascii="Calibri" w:hAnsi="Calibri"/>
          <w:i/>
          <w:iCs/>
          <w:lang w:val="en-US"/>
        </w:rPr>
        <w:t>A nation dividing? the electoral map of great britain 1979-87</w:t>
      </w:r>
      <w:r w:rsidRPr="00E460EC">
        <w:rPr>
          <w:rFonts w:ascii="Calibri" w:hAnsi="Calibri"/>
          <w:lang w:val="en-US"/>
        </w:rPr>
        <w:t>. London: Longman.</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 xml:space="preserve">Lerner, D. (1958). </w:t>
      </w:r>
      <w:r w:rsidRPr="00E460EC">
        <w:rPr>
          <w:rFonts w:ascii="Calibri" w:hAnsi="Calibri"/>
          <w:i/>
          <w:iCs/>
          <w:lang w:val="en-US"/>
        </w:rPr>
        <w:t>The passing of traditional society: Modernizing the middle east</w:t>
      </w:r>
      <w:r w:rsidRPr="00E460EC">
        <w:rPr>
          <w:rFonts w:ascii="Calibri" w:hAnsi="Calibri"/>
          <w:lang w:val="en-US"/>
        </w:rPr>
        <w:t>. New York: Free Press.</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 xml:space="preserve">Lipset, S. M. (1960). </w:t>
      </w:r>
      <w:r w:rsidRPr="00E460EC">
        <w:rPr>
          <w:rFonts w:ascii="Calibri" w:hAnsi="Calibri"/>
          <w:i/>
          <w:iCs/>
          <w:lang w:val="en-US"/>
        </w:rPr>
        <w:t>Political man: The social bases of politics</w:t>
      </w:r>
      <w:r w:rsidRPr="00E460EC">
        <w:rPr>
          <w:rFonts w:ascii="Calibri" w:hAnsi="Calibri"/>
          <w:lang w:val="en-US"/>
        </w:rPr>
        <w:t>. New York: Doubleday.</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Lipset, S. M. (1959). Some social requisites of democracy: Economic development and political legitimacy.</w:t>
      </w:r>
      <w:r w:rsidRPr="00E460EC">
        <w:rPr>
          <w:rFonts w:ascii="Calibri" w:hAnsi="Calibri"/>
          <w:i/>
          <w:iCs/>
          <w:lang w:val="en-US"/>
        </w:rPr>
        <w:t xml:space="preserve"> The American Political Science Review, 53</w:t>
      </w:r>
      <w:r w:rsidRPr="00E460EC">
        <w:rPr>
          <w:rFonts w:ascii="Calibri" w:hAnsi="Calibri"/>
          <w:lang w:val="en-US"/>
        </w:rPr>
        <w:t xml:space="preserve">(1), 69-105. </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lastRenderedPageBreak/>
        <w:t>MacAllister, I., Johnston, R., Pattie, C., Tunstall, H., Dorling, D., &amp; Rossiter, D. (2001). Class dealignment and the neighbourhood effect: Miller revisited.</w:t>
      </w:r>
      <w:r w:rsidRPr="00E460EC">
        <w:rPr>
          <w:rFonts w:ascii="Calibri" w:hAnsi="Calibri"/>
          <w:i/>
          <w:iCs/>
          <w:lang w:val="en-US"/>
        </w:rPr>
        <w:t xml:space="preserve"> British Journal of Political Science, 31</w:t>
      </w:r>
      <w:r w:rsidRPr="00E460EC">
        <w:rPr>
          <w:rFonts w:ascii="Calibri" w:hAnsi="Calibri"/>
          <w:lang w:val="en-US"/>
        </w:rPr>
        <w:t xml:space="preserve">(1), 41-59. </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 xml:space="preserve">MacIntyre, S. (1980). </w:t>
      </w:r>
      <w:r w:rsidRPr="00E460EC">
        <w:rPr>
          <w:rFonts w:ascii="Calibri" w:hAnsi="Calibri"/>
          <w:i/>
          <w:iCs/>
          <w:lang w:val="en-US"/>
        </w:rPr>
        <w:t>Little moscows</w:t>
      </w:r>
      <w:r w:rsidRPr="00E460EC">
        <w:rPr>
          <w:rFonts w:ascii="Calibri" w:hAnsi="Calibri"/>
          <w:lang w:val="en-US"/>
        </w:rPr>
        <w:t>. London: Croom Helm.</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 xml:space="preserve">Manza, J., &amp; Brooks, C. (1999). </w:t>
      </w:r>
      <w:r w:rsidRPr="00E460EC">
        <w:rPr>
          <w:rFonts w:ascii="Calibri" w:hAnsi="Calibri"/>
          <w:i/>
          <w:iCs/>
          <w:lang w:val="en-US"/>
        </w:rPr>
        <w:t>Social cleavages and political change: Voter alignment and U.S. party coalitions</w:t>
      </w:r>
      <w:r w:rsidRPr="00E460EC">
        <w:rPr>
          <w:rFonts w:ascii="Calibri" w:hAnsi="Calibri"/>
          <w:lang w:val="en-US"/>
        </w:rPr>
        <w:t>. Oxford: Oxford University Press.</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Manza, J., Hout, M., &amp; Brooks, C. (1995). Class voting in capitalist democracies since world war II: Dealignment, realignment, or trendless fluctuation?</w:t>
      </w:r>
      <w:r w:rsidRPr="00E460EC">
        <w:rPr>
          <w:rFonts w:ascii="Calibri" w:hAnsi="Calibri"/>
          <w:i/>
          <w:iCs/>
          <w:lang w:val="en-US"/>
        </w:rPr>
        <w:t xml:space="preserve"> Annual Review of Sociology, 21</w:t>
      </w:r>
      <w:r w:rsidRPr="00E460EC">
        <w:rPr>
          <w:rFonts w:ascii="Calibri" w:hAnsi="Calibri"/>
          <w:lang w:val="en-US"/>
        </w:rPr>
        <w:t xml:space="preserve">, 137-162. </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 xml:space="preserve">Miller, W. (1977). </w:t>
      </w:r>
      <w:r w:rsidRPr="00E460EC">
        <w:rPr>
          <w:rFonts w:ascii="Calibri" w:hAnsi="Calibri"/>
          <w:i/>
          <w:iCs/>
          <w:lang w:val="en-US"/>
        </w:rPr>
        <w:t>Electoral dynamics</w:t>
      </w:r>
      <w:r w:rsidRPr="00E460EC">
        <w:rPr>
          <w:rFonts w:ascii="Calibri" w:hAnsi="Calibri"/>
          <w:lang w:val="en-US"/>
        </w:rPr>
        <w:t>. London: Macmillan.</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rPr>
        <w:t xml:space="preserve">Pye, L., &amp; Verba, S. (Eds.). </w:t>
      </w:r>
      <w:r w:rsidRPr="00E460EC">
        <w:rPr>
          <w:rFonts w:ascii="Calibri" w:hAnsi="Calibri"/>
          <w:lang w:val="en-US"/>
        </w:rPr>
        <w:t xml:space="preserve">(1963). </w:t>
      </w:r>
      <w:r w:rsidRPr="00E460EC">
        <w:rPr>
          <w:rFonts w:ascii="Calibri" w:hAnsi="Calibri"/>
          <w:i/>
          <w:iCs/>
          <w:lang w:val="en-US"/>
        </w:rPr>
        <w:t>Political culture and political development</w:t>
      </w:r>
      <w:r w:rsidRPr="00E460EC">
        <w:rPr>
          <w:rFonts w:ascii="Calibri" w:hAnsi="Calibri"/>
          <w:lang w:val="en-US"/>
        </w:rPr>
        <w:t>. Princeton: Princeton University Press.</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Savage, M. (1987). Understanding political alignments in contemporary britain: Do localities matter?</w:t>
      </w:r>
      <w:r w:rsidRPr="00E460EC">
        <w:rPr>
          <w:rFonts w:ascii="Calibri" w:hAnsi="Calibri"/>
          <w:i/>
          <w:iCs/>
          <w:lang w:val="en-US"/>
        </w:rPr>
        <w:t xml:space="preserve"> Political Geography Quarterly, 6</w:t>
      </w:r>
      <w:r w:rsidRPr="00E460EC">
        <w:rPr>
          <w:rFonts w:ascii="Calibri" w:hAnsi="Calibri"/>
          <w:lang w:val="en-US"/>
        </w:rPr>
        <w:t>(1), 53-76. doi:10.1016/0260-9827(87)90034-6</w:t>
      </w:r>
    </w:p>
    <w:p w:rsidR="00E460EC" w:rsidRPr="00E460EC" w:rsidRDefault="00E460EC">
      <w:pPr>
        <w:pStyle w:val="NormalWeb"/>
        <w:spacing w:line="480" w:lineRule="auto"/>
        <w:ind w:left="450" w:hanging="450"/>
        <w:divId w:val="1695493334"/>
        <w:rPr>
          <w:rFonts w:ascii="Calibri" w:hAnsi="Calibri"/>
        </w:rPr>
      </w:pPr>
      <w:r w:rsidRPr="00E460EC">
        <w:rPr>
          <w:rFonts w:ascii="Calibri" w:hAnsi="Calibri"/>
          <w:lang w:val="en-US"/>
        </w:rPr>
        <w:t xml:space="preserve">Savage, M., Warde, A., &amp; Ward, K. (2003). </w:t>
      </w:r>
      <w:r w:rsidRPr="00E460EC">
        <w:rPr>
          <w:rFonts w:ascii="Calibri" w:hAnsi="Calibri"/>
          <w:i/>
          <w:iCs/>
          <w:lang w:val="en-US"/>
        </w:rPr>
        <w:t>Urban sociology, capitalism and modernity</w:t>
      </w:r>
      <w:r w:rsidRPr="00E460EC">
        <w:rPr>
          <w:rFonts w:ascii="Calibri" w:hAnsi="Calibri"/>
          <w:lang w:val="en-US"/>
        </w:rPr>
        <w:t xml:space="preserve"> (Second ed.). </w:t>
      </w:r>
      <w:r w:rsidRPr="00E460EC">
        <w:rPr>
          <w:rFonts w:ascii="Calibri" w:hAnsi="Calibri"/>
        </w:rPr>
        <w:t>New York: Macmillan.</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rPr>
        <w:t xml:space="preserve">Siegfried, A. (2010 [1913]). </w:t>
      </w:r>
      <w:r w:rsidRPr="00E460EC">
        <w:rPr>
          <w:rFonts w:ascii="Calibri" w:hAnsi="Calibri"/>
          <w:i/>
          <w:iCs/>
        </w:rPr>
        <w:t>Tableau politique de la france de l'ouest sous la troisieme republique</w:t>
      </w:r>
      <w:r w:rsidRPr="00E460EC">
        <w:rPr>
          <w:rFonts w:ascii="Calibri" w:hAnsi="Calibri"/>
        </w:rPr>
        <w:t xml:space="preserve">. </w:t>
      </w:r>
      <w:r w:rsidRPr="00E460EC">
        <w:rPr>
          <w:rFonts w:ascii="Calibri" w:hAnsi="Calibri"/>
          <w:lang w:val="en-US"/>
        </w:rPr>
        <w:t>Brussels: Editions de l'Université de Bruxelles.</w:t>
      </w:r>
    </w:p>
    <w:p w:rsidR="00E460EC" w:rsidRPr="00E460EC" w:rsidRDefault="00E460EC">
      <w:pPr>
        <w:pStyle w:val="NormalWeb"/>
        <w:spacing w:line="480" w:lineRule="auto"/>
        <w:ind w:left="450" w:hanging="450"/>
        <w:divId w:val="1695493334"/>
        <w:rPr>
          <w:rFonts w:ascii="Calibri" w:hAnsi="Calibri"/>
          <w:lang w:val="en-US"/>
        </w:rPr>
      </w:pPr>
      <w:r w:rsidRPr="00E460EC">
        <w:rPr>
          <w:rFonts w:ascii="Calibri" w:hAnsi="Calibri"/>
          <w:lang w:val="en-US"/>
        </w:rPr>
        <w:t xml:space="preserve">Wallerstein, I. (1974). </w:t>
      </w:r>
      <w:r w:rsidRPr="00E460EC">
        <w:rPr>
          <w:rFonts w:ascii="Calibri" w:hAnsi="Calibri"/>
          <w:i/>
          <w:iCs/>
          <w:lang w:val="en-US"/>
        </w:rPr>
        <w:t>The modern world-system I</w:t>
      </w:r>
      <w:r w:rsidRPr="00E460EC">
        <w:rPr>
          <w:rFonts w:ascii="Calibri" w:hAnsi="Calibri"/>
          <w:lang w:val="en-US"/>
        </w:rPr>
        <w:t>. New York: Academic Press.</w:t>
      </w:r>
    </w:p>
    <w:p w:rsidR="00190332" w:rsidRPr="00190332" w:rsidRDefault="00E460EC" w:rsidP="00E13848">
      <w:pPr>
        <w:pStyle w:val="NormalWeb"/>
        <w:spacing w:line="480" w:lineRule="auto"/>
        <w:ind w:left="450" w:hanging="450"/>
        <w:rPr>
          <w:lang w:val="en-US"/>
        </w:rPr>
      </w:pPr>
      <w:r w:rsidRPr="00E460EC">
        <w:rPr>
          <w:rFonts w:ascii="Calibri" w:hAnsi="Calibri"/>
          <w:lang w:val="en-US"/>
        </w:rPr>
        <w:t xml:space="preserve">Weber, M. (1996 [1905]). </w:t>
      </w:r>
      <w:r w:rsidRPr="00E460EC">
        <w:rPr>
          <w:rFonts w:ascii="Calibri" w:hAnsi="Calibri"/>
          <w:i/>
          <w:iCs/>
          <w:lang w:val="en-US"/>
        </w:rPr>
        <w:t>The protestant ethic and the spirit of capitalism</w:t>
      </w:r>
      <w:r w:rsidRPr="00E460EC">
        <w:rPr>
          <w:rFonts w:ascii="Calibri" w:hAnsi="Calibri"/>
          <w:lang w:val="en-US"/>
        </w:rPr>
        <w:t xml:space="preserve">. </w:t>
      </w:r>
      <w:r w:rsidRPr="00E460EC">
        <w:rPr>
          <w:rFonts w:ascii="Calibri" w:hAnsi="Calibri"/>
        </w:rPr>
        <w:t>Los Angeles, Calif.: Roxbury Pub. Co.</w:t>
      </w:r>
      <w:r>
        <w:rPr>
          <w:lang w:val="en-US"/>
        </w:rPr>
        <w:fldChar w:fldCharType="end"/>
      </w:r>
    </w:p>
    <w:sectPr w:rsidR="00190332" w:rsidRPr="00190332">
      <w:footerReference w:type="even" r:id="rId25"/>
      <w:footerReference w:type="default" r:id="rId26"/>
      <w:pgSz w:w="11906" w:h="16838"/>
      <w:pgMar w:top="1417" w:right="1701" w:bottom="1417" w:left="1701" w:header="720" w:footer="708" w:gutter="0"/>
      <w:cols w:space="720"/>
      <w:docGrid w:linePitch="24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535" w:rsidRDefault="00075535" w:rsidP="005A1E5C">
      <w:pPr>
        <w:spacing w:after="0" w:line="240" w:lineRule="auto"/>
      </w:pPr>
      <w:r>
        <w:separator/>
      </w:r>
    </w:p>
  </w:endnote>
  <w:endnote w:type="continuationSeparator" w:id="0">
    <w:p w:rsidR="00075535" w:rsidRDefault="00075535" w:rsidP="005A1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C70" w:rsidRDefault="00E15C70">
    <w:pPr>
      <w:pStyle w:val="Piedepgina"/>
      <w:ind w:right="360"/>
    </w:pPr>
    <w:r>
      <w:fldChar w:fldCharType="begin"/>
    </w:r>
    <w:r>
      <w:instrText xml:space="preserve"> PAGE </w:instrText>
    </w:r>
    <w:r>
      <w:fldChar w:fldCharType="separate"/>
    </w:r>
    <w:r>
      <w:rPr>
        <w:noProof/>
      </w:rPr>
      <w:t>2</w:t>
    </w:r>
    <w:r>
      <w:fldChar w:fldCharType="end"/>
    </w:r>
    <w:r>
      <w:cr/>
    </w:r>
  </w:p>
  <w:p w:rsidR="00E15C70" w:rsidRDefault="00E15C70">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C70" w:rsidRDefault="00E15C70">
    <w:pPr>
      <w:pStyle w:val="Piedepgina"/>
      <w:jc w:val="right"/>
    </w:pPr>
    <w:r>
      <w:fldChar w:fldCharType="begin"/>
    </w:r>
    <w:r>
      <w:instrText>PAGE   \* MERGEFORMAT</w:instrText>
    </w:r>
    <w:r>
      <w:fldChar w:fldCharType="separate"/>
    </w:r>
    <w:r w:rsidR="00E83335" w:rsidRPr="00E83335">
      <w:rPr>
        <w:noProof/>
        <w:lang w:val="es-ES"/>
      </w:rPr>
      <w:t>2</w:t>
    </w:r>
    <w:r>
      <w:fldChar w:fldCharType="end"/>
    </w:r>
  </w:p>
  <w:p w:rsidR="00E15C70" w:rsidRDefault="00E15C70">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C70" w:rsidRDefault="00E15C70">
    <w:pPr>
      <w:pStyle w:val="Piedepgina"/>
      <w:ind w:right="360"/>
    </w:pPr>
    <w:r>
      <w:fldChar w:fldCharType="begin"/>
    </w:r>
    <w:r>
      <w:instrText xml:space="preserve"> PAGE </w:instrText>
    </w:r>
    <w:r>
      <w:fldChar w:fldCharType="separate"/>
    </w:r>
    <w:r>
      <w:rPr>
        <w:noProof/>
      </w:rPr>
      <w:t>16</w:t>
    </w:r>
    <w:r>
      <w:fldChar w:fldCharType="end"/>
    </w:r>
    <w:r>
      <w:cr/>
    </w:r>
  </w:p>
  <w:p w:rsidR="00E15C70" w:rsidRDefault="00E15C70">
    <w:pPr>
      <w:pStyle w:val="Piedepgin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C70" w:rsidRDefault="00E15C70">
    <w:pPr>
      <w:pStyle w:val="Piedepgina"/>
    </w:pPr>
    <w:r>
      <w:fldChar w:fldCharType="begin"/>
    </w:r>
    <w:r>
      <w:instrText xml:space="preserve"> PAGE </w:instrText>
    </w:r>
    <w:r>
      <w:fldChar w:fldCharType="separate"/>
    </w:r>
    <w:r w:rsidR="00E83335">
      <w:rPr>
        <w:noProof/>
      </w:rPr>
      <w:t>19</w:t>
    </w:r>
    <w:r>
      <w:fldChar w:fldCharType="end"/>
    </w:r>
    <w:r>
      <w:cr/>
    </w:r>
  </w:p>
  <w:p w:rsidR="00E15C70" w:rsidRDefault="00E15C70">
    <w:pPr>
      <w:pStyle w:val="Piedepgina"/>
    </w:pPr>
  </w:p>
  <w:p w:rsidR="00E15C70" w:rsidRDefault="00E15C70">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535" w:rsidRDefault="00075535" w:rsidP="005A1E5C">
      <w:pPr>
        <w:spacing w:after="0" w:line="240" w:lineRule="auto"/>
      </w:pPr>
      <w:r>
        <w:separator/>
      </w:r>
    </w:p>
  </w:footnote>
  <w:footnote w:type="continuationSeparator" w:id="0">
    <w:p w:rsidR="00075535" w:rsidRDefault="00075535" w:rsidP="005A1E5C">
      <w:pPr>
        <w:spacing w:after="0" w:line="240" w:lineRule="auto"/>
      </w:pPr>
      <w:r>
        <w:continuationSeparator/>
      </w:r>
    </w:p>
  </w:footnote>
  <w:footnote w:id="1">
    <w:p w:rsidR="00E15C70" w:rsidRPr="00824B5C" w:rsidRDefault="00E15C70" w:rsidP="005A1E5C">
      <w:pPr>
        <w:pStyle w:val="Textonotapie"/>
        <w:rPr>
          <w:lang w:val="en-US"/>
        </w:rPr>
      </w:pPr>
      <w:r>
        <w:rPr>
          <w:rStyle w:val="Refdenotaalpie"/>
        </w:rPr>
        <w:footnoteRef/>
      </w:r>
      <w:r w:rsidRPr="00824B5C">
        <w:rPr>
          <w:lang w:val="en-US"/>
        </w:rPr>
        <w:t xml:space="preserve"> Research developed </w:t>
      </w:r>
      <w:r>
        <w:rPr>
          <w:lang w:val="en-US"/>
        </w:rPr>
        <w:t>within</w:t>
      </w:r>
      <w:r w:rsidRPr="00824B5C">
        <w:rPr>
          <w:lang w:val="en-US"/>
        </w:rPr>
        <w:t xml:space="preserve"> the project “</w:t>
      </w:r>
      <w:proofErr w:type="spellStart"/>
      <w:r w:rsidRPr="00824B5C">
        <w:rPr>
          <w:lang w:val="en-US"/>
        </w:rPr>
        <w:t>Análisis</w:t>
      </w:r>
      <w:proofErr w:type="spellEnd"/>
      <w:r w:rsidRPr="00824B5C">
        <w:rPr>
          <w:lang w:val="en-US"/>
        </w:rPr>
        <w:t xml:space="preserve"> y prognosis de </w:t>
      </w:r>
      <w:proofErr w:type="spellStart"/>
      <w:r w:rsidRPr="00824B5C">
        <w:rPr>
          <w:lang w:val="en-US"/>
        </w:rPr>
        <w:t>las</w:t>
      </w:r>
      <w:proofErr w:type="spellEnd"/>
      <w:r w:rsidRPr="00824B5C">
        <w:rPr>
          <w:lang w:val="en-US"/>
        </w:rPr>
        <w:t xml:space="preserve"> </w:t>
      </w:r>
      <w:proofErr w:type="spellStart"/>
      <w:r w:rsidRPr="00824B5C">
        <w:rPr>
          <w:lang w:val="en-US"/>
        </w:rPr>
        <w:t>nuevas</w:t>
      </w:r>
      <w:proofErr w:type="spellEnd"/>
      <w:r w:rsidRPr="00824B5C">
        <w:rPr>
          <w:lang w:val="en-US"/>
        </w:rPr>
        <w:t xml:space="preserve"> </w:t>
      </w:r>
      <w:proofErr w:type="spellStart"/>
      <w:r w:rsidRPr="00824B5C">
        <w:rPr>
          <w:lang w:val="en-US"/>
        </w:rPr>
        <w:t>migraciones</w:t>
      </w:r>
      <w:proofErr w:type="spellEnd"/>
      <w:r w:rsidRPr="00824B5C">
        <w:rPr>
          <w:lang w:val="en-US"/>
        </w:rPr>
        <w:t xml:space="preserve"> </w:t>
      </w:r>
      <w:proofErr w:type="spellStart"/>
      <w:r w:rsidRPr="00824B5C">
        <w:rPr>
          <w:lang w:val="en-US"/>
        </w:rPr>
        <w:t>residenciales</w:t>
      </w:r>
      <w:proofErr w:type="spellEnd"/>
      <w:r w:rsidRPr="00824B5C">
        <w:rPr>
          <w:lang w:val="en-US"/>
        </w:rPr>
        <w:t xml:space="preserve"> en </w:t>
      </w:r>
      <w:proofErr w:type="spellStart"/>
      <w:r w:rsidRPr="00824B5C">
        <w:rPr>
          <w:lang w:val="en-US"/>
        </w:rPr>
        <w:t>España</w:t>
      </w:r>
      <w:proofErr w:type="spellEnd"/>
      <w:r w:rsidRPr="00824B5C">
        <w:rPr>
          <w:lang w:val="en-US"/>
        </w:rPr>
        <w:t>”, funded by the Spanish Ministry of Economy and Competitiveness</w:t>
      </w:r>
      <w:r>
        <w:rPr>
          <w:lang w:val="en-US"/>
        </w:rPr>
        <w:t xml:space="preserve"> (CSO2010-16675/SOCI), to which the authors express their gratitude as well as to the “Plan </w:t>
      </w:r>
      <w:proofErr w:type="spellStart"/>
      <w:r>
        <w:rPr>
          <w:lang w:val="en-US"/>
        </w:rPr>
        <w:t>Galego</w:t>
      </w:r>
      <w:proofErr w:type="spellEnd"/>
      <w:r>
        <w:rPr>
          <w:lang w:val="en-US"/>
        </w:rPr>
        <w:t xml:space="preserve"> de </w:t>
      </w:r>
      <w:proofErr w:type="spellStart"/>
      <w:r>
        <w:rPr>
          <w:lang w:val="en-US"/>
        </w:rPr>
        <w:t>Investigación</w:t>
      </w:r>
      <w:proofErr w:type="spellEnd"/>
      <w:r>
        <w:rPr>
          <w:lang w:val="en-US"/>
        </w:rPr>
        <w:t xml:space="preserve">, </w:t>
      </w:r>
      <w:proofErr w:type="spellStart"/>
      <w:r>
        <w:rPr>
          <w:lang w:val="en-US"/>
        </w:rPr>
        <w:t>Innovación</w:t>
      </w:r>
      <w:proofErr w:type="spellEnd"/>
      <w:r>
        <w:rPr>
          <w:lang w:val="en-US"/>
        </w:rPr>
        <w:t xml:space="preserve"> e </w:t>
      </w:r>
      <w:proofErr w:type="spellStart"/>
      <w:r>
        <w:rPr>
          <w:lang w:val="en-US"/>
        </w:rPr>
        <w:t>Crecemento</w:t>
      </w:r>
      <w:proofErr w:type="spellEnd"/>
      <w:r>
        <w:rPr>
          <w:lang w:val="en-US"/>
        </w:rPr>
        <w:t xml:space="preserve"> 2011-2015 (Plan I2C)”, for its support.</w:t>
      </w:r>
    </w:p>
  </w:footnote>
  <w:footnote w:id="2">
    <w:p w:rsidR="00E15C70" w:rsidRPr="005F3989" w:rsidRDefault="00E15C70" w:rsidP="005A1E5C">
      <w:pPr>
        <w:pStyle w:val="Textonotap"/>
        <w:rPr>
          <w:lang w:val="en-US"/>
        </w:rPr>
      </w:pPr>
      <w:r>
        <w:rPr>
          <w:rStyle w:val="Caracteresdenotaalpie"/>
          <w:rFonts w:ascii="Calibri" w:hAnsi="Calibri"/>
        </w:rPr>
        <w:footnoteRef/>
      </w:r>
      <w:r>
        <w:rPr>
          <w:lang w:val="en-US"/>
        </w:rPr>
        <w:tab/>
        <w:t xml:space="preserve">Average annual growth rates </w:t>
      </w:r>
      <w:r>
        <w:rPr>
          <w:i/>
          <w:lang w:val="en-US"/>
        </w:rPr>
        <w:t>r</w:t>
      </w:r>
      <w:r>
        <w:rPr>
          <w:lang w:val="en-US"/>
        </w:rPr>
        <w:t xml:space="preserve"> has been calculated using the function </w:t>
      </w:r>
      <w:r>
        <w:rPr>
          <w:i/>
          <w:lang w:val="en-US"/>
        </w:rPr>
        <w:t xml:space="preserve">r </w:t>
      </w:r>
      <w:r>
        <w:rPr>
          <w:lang w:val="en-US"/>
        </w:rPr>
        <w:t>=</w:t>
      </w:r>
      <w:r>
        <w:fldChar w:fldCharType="begin"/>
      </w:r>
      <w:r w:rsidRPr="005F3989">
        <w:rPr>
          <w:lang w:val="en-US"/>
        </w:rPr>
        <w:instrText xml:space="preserve"> QUOTE  </w:instrText>
      </w:r>
      <w:r>
        <w:rPr>
          <w:position w:val="-13"/>
          <w:lang w:val="en-US"/>
        </w:rPr>
        <w:fldChar w:fldCharType="separate"/>
      </w:r>
      <w:r>
        <w:rPr>
          <w:noProof/>
          <w:position w:val="-13"/>
          <w:lang w:eastAsia="es-ES"/>
        </w:rPr>
        <w:drawing>
          <wp:inline distT="0" distB="0" distL="0" distR="0" wp14:anchorId="362C205E" wp14:editId="55E28B0B">
            <wp:extent cx="847725" cy="285750"/>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285750"/>
                    </a:xfrm>
                    <a:prstGeom prst="rect">
                      <a:avLst/>
                    </a:prstGeom>
                    <a:solidFill>
                      <a:srgbClr val="FFFFFF">
                        <a:alpha val="0"/>
                      </a:srgbClr>
                    </a:solidFill>
                    <a:ln>
                      <a:noFill/>
                    </a:ln>
                  </pic:spPr>
                </pic:pic>
              </a:graphicData>
            </a:graphic>
          </wp:inline>
        </w:drawing>
      </w:r>
      <w:r>
        <w:rPr>
          <w:position w:val="-13"/>
          <w:lang w:val="en-US"/>
        </w:rPr>
        <w:fldChar w:fldCharType="end"/>
      </w:r>
      <w:r>
        <w:rPr>
          <w:lang w:val="en-US"/>
        </w:rPr>
        <w:t>l and this has been expressed as a percentage.</w:t>
      </w:r>
    </w:p>
  </w:footnote>
  <w:footnote w:id="3">
    <w:p w:rsidR="00E15C70" w:rsidRDefault="00E15C70">
      <w:pPr>
        <w:pStyle w:val="Textonotapie"/>
        <w:rPr>
          <w:lang w:val="en-US"/>
        </w:rPr>
      </w:pPr>
      <w:r w:rsidRPr="00B2767D">
        <w:rPr>
          <w:rStyle w:val="Refdenotaalpie"/>
          <w:lang w:val="en-US"/>
        </w:rPr>
        <w:footnoteRef/>
      </w:r>
      <w:r w:rsidRPr="00B2767D">
        <w:rPr>
          <w:lang w:val="en-US"/>
        </w:rPr>
        <w:t xml:space="preserve"> </w:t>
      </w:r>
      <w:r>
        <w:rPr>
          <w:lang w:val="en-US"/>
        </w:rPr>
        <w:t>The notation that will be used, as cited above:</w:t>
      </w:r>
    </w:p>
    <w:p w:rsidR="00E15C70" w:rsidRDefault="00E15C70">
      <w:pPr>
        <w:pStyle w:val="Textonotapie"/>
        <w:rPr>
          <w:lang w:val="en-US"/>
        </w:rPr>
      </w:pPr>
      <w:r>
        <w:rPr>
          <w:lang w:val="en-US"/>
        </w:rPr>
        <w:t>Manualized Rural: MR</w:t>
      </w:r>
    </w:p>
    <w:p w:rsidR="00E15C70" w:rsidRDefault="00E15C70">
      <w:pPr>
        <w:pStyle w:val="Textonotapie"/>
        <w:rPr>
          <w:lang w:val="en-US"/>
        </w:rPr>
      </w:pPr>
      <w:r>
        <w:rPr>
          <w:lang w:val="en-US"/>
        </w:rPr>
        <w:t>Agrarian Rural: AR</w:t>
      </w:r>
    </w:p>
    <w:p w:rsidR="00E15C70" w:rsidRDefault="00E15C70">
      <w:pPr>
        <w:pStyle w:val="Textonotapie"/>
        <w:rPr>
          <w:lang w:val="en-US"/>
        </w:rPr>
      </w:pPr>
      <w:r>
        <w:rPr>
          <w:lang w:val="en-US"/>
        </w:rPr>
        <w:t>Deactivated Rural: DA</w:t>
      </w:r>
    </w:p>
    <w:p w:rsidR="00E15C70" w:rsidRDefault="00E15C70" w:rsidP="00B2767D">
      <w:pPr>
        <w:pStyle w:val="Textonotapie"/>
        <w:rPr>
          <w:lang w:val="en-US"/>
        </w:rPr>
      </w:pPr>
      <w:r>
        <w:rPr>
          <w:lang w:val="en-US"/>
        </w:rPr>
        <w:t>Small Urban Areas: SUA</w:t>
      </w:r>
    </w:p>
    <w:p w:rsidR="00E15C70" w:rsidRPr="00B2767D" w:rsidRDefault="00E15C70">
      <w:pPr>
        <w:pStyle w:val="Textonotapie"/>
        <w:rPr>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numFmt w:val="bullet"/>
      <w:lvlText w:val="-"/>
      <w:lvlJc w:val="left"/>
      <w:pPr>
        <w:tabs>
          <w:tab w:val="num" w:pos="0"/>
        </w:tabs>
        <w:ind w:left="360" w:hanging="360"/>
      </w:pPr>
      <w:rPr>
        <w:rFonts w:ascii="Cambria" w:hAnsi="Cambria" w:cs="Cambria"/>
        <w:sz w:val="18"/>
        <w:szCs w:val="18"/>
      </w:rPr>
    </w:lvl>
  </w:abstractNum>
  <w:abstractNum w:abstractNumId="1">
    <w:nsid w:val="00000003"/>
    <w:multiLevelType w:val="singleLevel"/>
    <w:tmpl w:val="00000003"/>
    <w:name w:val="WW8Num3"/>
    <w:lvl w:ilvl="0">
      <w:numFmt w:val="bullet"/>
      <w:lvlText w:val="-"/>
      <w:lvlJc w:val="left"/>
      <w:pPr>
        <w:tabs>
          <w:tab w:val="num" w:pos="0"/>
        </w:tabs>
        <w:ind w:left="360" w:hanging="360"/>
      </w:pPr>
      <w:rPr>
        <w:rFonts w:ascii="Cambria" w:hAnsi="Cambria" w:cs="Cambria"/>
        <w:sz w:val="18"/>
        <w:szCs w:val="18"/>
      </w:rPr>
    </w:lvl>
  </w:abstractNum>
  <w:abstractNum w:abstractNumId="2">
    <w:nsid w:val="08734401"/>
    <w:multiLevelType w:val="hybridMultilevel"/>
    <w:tmpl w:val="122C79BC"/>
    <w:lvl w:ilvl="0" w:tplc="0C0A000F">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38583984"/>
    <w:multiLevelType w:val="hybridMultilevel"/>
    <w:tmpl w:val="D4B81B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F786B41"/>
    <w:multiLevelType w:val="hybridMultilevel"/>
    <w:tmpl w:val="B4FEF7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58C42FFE"/>
    <w:multiLevelType w:val="hybridMultilevel"/>
    <w:tmpl w:val="D4B81B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9BE7CE3"/>
    <w:multiLevelType w:val="hybridMultilevel"/>
    <w:tmpl w:val="B4FEF7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E5C"/>
    <w:rsid w:val="000107DF"/>
    <w:rsid w:val="000122CB"/>
    <w:rsid w:val="00030FB1"/>
    <w:rsid w:val="00064EE0"/>
    <w:rsid w:val="00074122"/>
    <w:rsid w:val="00075535"/>
    <w:rsid w:val="000A190B"/>
    <w:rsid w:val="000A2519"/>
    <w:rsid w:val="000B16AD"/>
    <w:rsid w:val="000B17B2"/>
    <w:rsid w:val="00101E06"/>
    <w:rsid w:val="001061E5"/>
    <w:rsid w:val="00124DEB"/>
    <w:rsid w:val="00151714"/>
    <w:rsid w:val="00182260"/>
    <w:rsid w:val="00190332"/>
    <w:rsid w:val="001C0581"/>
    <w:rsid w:val="001F0DE3"/>
    <w:rsid w:val="0021338C"/>
    <w:rsid w:val="002310D2"/>
    <w:rsid w:val="0025302D"/>
    <w:rsid w:val="00286354"/>
    <w:rsid w:val="00290A18"/>
    <w:rsid w:val="002C5764"/>
    <w:rsid w:val="003056F7"/>
    <w:rsid w:val="003102E3"/>
    <w:rsid w:val="00337ED5"/>
    <w:rsid w:val="003939FC"/>
    <w:rsid w:val="00393AB3"/>
    <w:rsid w:val="0039713D"/>
    <w:rsid w:val="003A1090"/>
    <w:rsid w:val="003C1EBE"/>
    <w:rsid w:val="003C625A"/>
    <w:rsid w:val="003E12E0"/>
    <w:rsid w:val="003F718D"/>
    <w:rsid w:val="00412F23"/>
    <w:rsid w:val="00422C5D"/>
    <w:rsid w:val="00502CA4"/>
    <w:rsid w:val="005200AA"/>
    <w:rsid w:val="00546B53"/>
    <w:rsid w:val="005807F0"/>
    <w:rsid w:val="005A1E5C"/>
    <w:rsid w:val="005A7822"/>
    <w:rsid w:val="0061306D"/>
    <w:rsid w:val="00633627"/>
    <w:rsid w:val="006A46EA"/>
    <w:rsid w:val="006A720B"/>
    <w:rsid w:val="006B2225"/>
    <w:rsid w:val="006C3A65"/>
    <w:rsid w:val="006E3686"/>
    <w:rsid w:val="00706DA5"/>
    <w:rsid w:val="00712A5B"/>
    <w:rsid w:val="00746C38"/>
    <w:rsid w:val="00747AF4"/>
    <w:rsid w:val="00786A47"/>
    <w:rsid w:val="007C13B5"/>
    <w:rsid w:val="007C2F2B"/>
    <w:rsid w:val="007C5800"/>
    <w:rsid w:val="00813427"/>
    <w:rsid w:val="00832F4A"/>
    <w:rsid w:val="00851A8A"/>
    <w:rsid w:val="00865473"/>
    <w:rsid w:val="00890565"/>
    <w:rsid w:val="008B4412"/>
    <w:rsid w:val="008B68D8"/>
    <w:rsid w:val="009053D3"/>
    <w:rsid w:val="009141E4"/>
    <w:rsid w:val="00921FEB"/>
    <w:rsid w:val="00972EFE"/>
    <w:rsid w:val="009776EA"/>
    <w:rsid w:val="00995EF8"/>
    <w:rsid w:val="009E394E"/>
    <w:rsid w:val="00A2335B"/>
    <w:rsid w:val="00A27B82"/>
    <w:rsid w:val="00AB638E"/>
    <w:rsid w:val="00AC3A0A"/>
    <w:rsid w:val="00AE5C4E"/>
    <w:rsid w:val="00AE7A71"/>
    <w:rsid w:val="00AF6425"/>
    <w:rsid w:val="00B2767D"/>
    <w:rsid w:val="00B37DE7"/>
    <w:rsid w:val="00B51681"/>
    <w:rsid w:val="00B81C37"/>
    <w:rsid w:val="00BB289A"/>
    <w:rsid w:val="00BB6940"/>
    <w:rsid w:val="00BC3891"/>
    <w:rsid w:val="00BD6171"/>
    <w:rsid w:val="00BE38AB"/>
    <w:rsid w:val="00BF211C"/>
    <w:rsid w:val="00C12621"/>
    <w:rsid w:val="00C41C72"/>
    <w:rsid w:val="00C67D9F"/>
    <w:rsid w:val="00C7700C"/>
    <w:rsid w:val="00CD0BDD"/>
    <w:rsid w:val="00CF1F22"/>
    <w:rsid w:val="00D03B7A"/>
    <w:rsid w:val="00D66217"/>
    <w:rsid w:val="00D97D63"/>
    <w:rsid w:val="00DB293A"/>
    <w:rsid w:val="00DD354F"/>
    <w:rsid w:val="00DF07B4"/>
    <w:rsid w:val="00E06AB9"/>
    <w:rsid w:val="00E13848"/>
    <w:rsid w:val="00E15C70"/>
    <w:rsid w:val="00E17F43"/>
    <w:rsid w:val="00E2431E"/>
    <w:rsid w:val="00E367C4"/>
    <w:rsid w:val="00E41DAC"/>
    <w:rsid w:val="00E460EC"/>
    <w:rsid w:val="00E636FF"/>
    <w:rsid w:val="00E83335"/>
    <w:rsid w:val="00E91773"/>
    <w:rsid w:val="00E9253D"/>
    <w:rsid w:val="00EE218A"/>
    <w:rsid w:val="00F243D7"/>
    <w:rsid w:val="00FB1064"/>
    <w:rsid w:val="00FB5788"/>
    <w:rsid w:val="00FB6992"/>
    <w:rsid w:val="00FB7A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E5C"/>
    <w:pPr>
      <w:suppressAutoHyphens/>
      <w:spacing w:line="100" w:lineRule="atLeast"/>
    </w:pPr>
    <w:rPr>
      <w:rFonts w:ascii="Calibri" w:eastAsia="SimSun" w:hAnsi="Calibri" w:cs="Calibri"/>
      <w:kern w:val="1"/>
      <w:sz w:val="24"/>
      <w:szCs w:val="24"/>
      <w:lang w:val="pt-PT" w:eastAsia="zh-CN"/>
    </w:rPr>
  </w:style>
  <w:style w:type="paragraph" w:styleId="Ttulo1">
    <w:name w:val="heading 1"/>
    <w:basedOn w:val="Normal"/>
    <w:next w:val="Textoindependiente"/>
    <w:link w:val="Ttulo1Car"/>
    <w:qFormat/>
    <w:rsid w:val="005A1E5C"/>
    <w:pPr>
      <w:keepNext/>
      <w:keepLines/>
      <w:spacing w:before="480" w:after="0" w:line="276" w:lineRule="auto"/>
      <w:outlineLvl w:val="0"/>
    </w:pPr>
    <w:rPr>
      <w:rFonts w:ascii="Cambria" w:hAnsi="Cambria" w:cs="Cambria"/>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A1E5C"/>
    <w:rPr>
      <w:rFonts w:ascii="Cambria" w:eastAsia="SimSun" w:hAnsi="Cambria" w:cs="Cambria"/>
      <w:b/>
      <w:bCs/>
      <w:color w:val="365F91"/>
      <w:kern w:val="1"/>
      <w:sz w:val="28"/>
      <w:szCs w:val="28"/>
      <w:lang w:val="en-US" w:eastAsia="zh-CN"/>
    </w:rPr>
  </w:style>
  <w:style w:type="character" w:customStyle="1" w:styleId="Caracteresdenotaalpie">
    <w:name w:val="Caracteres de nota al pie"/>
    <w:rsid w:val="005A1E5C"/>
    <w:rPr>
      <w:vertAlign w:val="superscript"/>
    </w:rPr>
  </w:style>
  <w:style w:type="character" w:styleId="Hipervnculo">
    <w:name w:val="Hyperlink"/>
    <w:rsid w:val="005A1E5C"/>
    <w:rPr>
      <w:color w:val="000080"/>
      <w:u w:val="single"/>
    </w:rPr>
  </w:style>
  <w:style w:type="character" w:styleId="Refdenotaalpie">
    <w:name w:val="footnote reference"/>
    <w:rsid w:val="005A1E5C"/>
    <w:rPr>
      <w:vertAlign w:val="superscript"/>
    </w:rPr>
  </w:style>
  <w:style w:type="paragraph" w:styleId="Textoindependiente">
    <w:name w:val="Body Text"/>
    <w:basedOn w:val="Normal"/>
    <w:link w:val="TextoindependienteCar"/>
    <w:rsid w:val="005A1E5C"/>
    <w:pPr>
      <w:spacing w:after="120"/>
    </w:pPr>
  </w:style>
  <w:style w:type="character" w:customStyle="1" w:styleId="TextoindependienteCar">
    <w:name w:val="Texto independiente Car"/>
    <w:basedOn w:val="Fuentedeprrafopredeter"/>
    <w:link w:val="Textoindependiente"/>
    <w:rsid w:val="005A1E5C"/>
    <w:rPr>
      <w:rFonts w:ascii="Calibri" w:eastAsia="SimSun" w:hAnsi="Calibri" w:cs="Calibri"/>
      <w:kern w:val="1"/>
      <w:sz w:val="24"/>
      <w:szCs w:val="24"/>
      <w:lang w:val="pt-PT" w:eastAsia="zh-CN"/>
    </w:rPr>
  </w:style>
  <w:style w:type="paragraph" w:styleId="Epgrafe">
    <w:name w:val="caption"/>
    <w:basedOn w:val="Normal"/>
    <w:qFormat/>
    <w:rsid w:val="005A1E5C"/>
    <w:pPr>
      <w:suppressLineNumbers/>
      <w:spacing w:before="120" w:after="120"/>
    </w:pPr>
    <w:rPr>
      <w:rFonts w:cs="Mangal"/>
      <w:i/>
      <w:iCs/>
    </w:rPr>
  </w:style>
  <w:style w:type="paragraph" w:styleId="Piedepgina">
    <w:name w:val="footer"/>
    <w:basedOn w:val="Normal"/>
    <w:link w:val="PiedepginaCar"/>
    <w:uiPriority w:val="99"/>
    <w:rsid w:val="005A1E5C"/>
    <w:pPr>
      <w:suppressLineNumbers/>
      <w:tabs>
        <w:tab w:val="center" w:pos="4419"/>
        <w:tab w:val="right" w:pos="8838"/>
      </w:tabs>
      <w:spacing w:after="0"/>
    </w:pPr>
  </w:style>
  <w:style w:type="character" w:customStyle="1" w:styleId="PiedepginaCar">
    <w:name w:val="Pie de página Car"/>
    <w:basedOn w:val="Fuentedeprrafopredeter"/>
    <w:link w:val="Piedepgina"/>
    <w:uiPriority w:val="99"/>
    <w:rsid w:val="005A1E5C"/>
    <w:rPr>
      <w:rFonts w:ascii="Calibri" w:eastAsia="SimSun" w:hAnsi="Calibri" w:cs="Calibri"/>
      <w:kern w:val="1"/>
      <w:sz w:val="24"/>
      <w:szCs w:val="24"/>
      <w:lang w:val="pt-PT" w:eastAsia="zh-CN"/>
    </w:rPr>
  </w:style>
  <w:style w:type="paragraph" w:styleId="NormalWeb">
    <w:name w:val="Normal (Web)"/>
    <w:basedOn w:val="Normal"/>
    <w:uiPriority w:val="99"/>
    <w:rsid w:val="005A1E5C"/>
    <w:pPr>
      <w:spacing w:before="28" w:after="28"/>
    </w:pPr>
    <w:rPr>
      <w:rFonts w:ascii="Times New Roman" w:hAnsi="Times New Roman" w:cs="Times New Roman"/>
      <w:lang w:val="es-ES"/>
    </w:rPr>
  </w:style>
  <w:style w:type="paragraph" w:styleId="Textonotapie">
    <w:name w:val="footnote text"/>
    <w:basedOn w:val="Normal"/>
    <w:link w:val="TextonotapieCar"/>
    <w:rsid w:val="005A1E5C"/>
    <w:pPr>
      <w:suppressLineNumbers/>
      <w:ind w:left="283" w:hanging="283"/>
    </w:pPr>
    <w:rPr>
      <w:sz w:val="20"/>
      <w:szCs w:val="20"/>
    </w:rPr>
  </w:style>
  <w:style w:type="character" w:customStyle="1" w:styleId="TextonotapieCar">
    <w:name w:val="Texto nota pie Car"/>
    <w:basedOn w:val="Fuentedeprrafopredeter"/>
    <w:link w:val="Textonotapie"/>
    <w:rsid w:val="005A1E5C"/>
    <w:rPr>
      <w:rFonts w:ascii="Calibri" w:eastAsia="SimSun" w:hAnsi="Calibri" w:cs="Calibri"/>
      <w:kern w:val="1"/>
      <w:sz w:val="20"/>
      <w:szCs w:val="20"/>
      <w:lang w:val="pt-PT" w:eastAsia="zh-CN"/>
    </w:rPr>
  </w:style>
  <w:style w:type="paragraph" w:customStyle="1" w:styleId="Textonotap">
    <w:name w:val="Texto nota pé"/>
    <w:basedOn w:val="Normal"/>
    <w:rsid w:val="005A1E5C"/>
    <w:pPr>
      <w:suppressAutoHyphens w:val="0"/>
      <w:spacing w:after="0" w:line="240" w:lineRule="auto"/>
      <w:ind w:left="284" w:hanging="284"/>
      <w:jc w:val="both"/>
    </w:pPr>
    <w:rPr>
      <w:rFonts w:ascii="Times New Roman" w:eastAsia="Times New Roman" w:hAnsi="Times New Roman" w:cs="Times New Roman"/>
      <w:sz w:val="20"/>
      <w:szCs w:val="20"/>
      <w:lang w:val="es-ES"/>
    </w:rPr>
  </w:style>
  <w:style w:type="paragraph" w:customStyle="1" w:styleId="NormalArtigoEnglish">
    <w:name w:val="Normal Artigo English"/>
    <w:basedOn w:val="Normal"/>
    <w:rsid w:val="005A1E5C"/>
    <w:pPr>
      <w:suppressAutoHyphens w:val="0"/>
      <w:spacing w:after="0" w:line="360" w:lineRule="auto"/>
      <w:ind w:firstLine="708"/>
      <w:jc w:val="both"/>
    </w:pPr>
    <w:rPr>
      <w:rFonts w:ascii="Times New Roman" w:eastAsia="Times New Roman" w:hAnsi="Times New Roman" w:cs="Times New Roman"/>
      <w:sz w:val="23"/>
      <w:szCs w:val="23"/>
      <w:lang w:val="es-ES"/>
    </w:rPr>
  </w:style>
  <w:style w:type="paragraph" w:customStyle="1" w:styleId="Pargrafodelista">
    <w:name w:val="Parágrafo de lista"/>
    <w:basedOn w:val="Normal"/>
    <w:rsid w:val="005A1E5C"/>
    <w:pPr>
      <w:suppressAutoHyphens w:val="0"/>
      <w:spacing w:before="200" w:line="276" w:lineRule="auto"/>
      <w:ind w:left="720" w:firstLine="284"/>
      <w:contextualSpacing/>
      <w:jc w:val="both"/>
    </w:pPr>
    <w:rPr>
      <w:rFonts w:ascii="Cambria" w:eastAsia="Calibri" w:hAnsi="Cambria" w:cs="Times New Roman"/>
      <w:szCs w:val="22"/>
      <w:lang w:val="es-ES"/>
    </w:rPr>
  </w:style>
  <w:style w:type="paragraph" w:styleId="Ttulo">
    <w:name w:val="Title"/>
    <w:basedOn w:val="Normal"/>
    <w:next w:val="Normal"/>
    <w:link w:val="TtuloCar"/>
    <w:uiPriority w:val="10"/>
    <w:qFormat/>
    <w:rsid w:val="005A1E5C"/>
    <w:pPr>
      <w:spacing w:before="240" w:after="60"/>
      <w:jc w:val="center"/>
      <w:outlineLvl w:val="0"/>
    </w:pPr>
    <w:rPr>
      <w:rFonts w:ascii="Cambria" w:eastAsia="Times New Roman" w:hAnsi="Cambria" w:cs="Times New Roman"/>
      <w:b/>
      <w:bCs/>
      <w:kern w:val="28"/>
      <w:sz w:val="32"/>
      <w:szCs w:val="32"/>
    </w:rPr>
  </w:style>
  <w:style w:type="character" w:customStyle="1" w:styleId="TtuloCar">
    <w:name w:val="Título Car"/>
    <w:basedOn w:val="Fuentedeprrafopredeter"/>
    <w:link w:val="Ttulo"/>
    <w:uiPriority w:val="10"/>
    <w:rsid w:val="005A1E5C"/>
    <w:rPr>
      <w:rFonts w:ascii="Cambria" w:eastAsia="Times New Roman" w:hAnsi="Cambria" w:cs="Times New Roman"/>
      <w:b/>
      <w:bCs/>
      <w:kern w:val="28"/>
      <w:sz w:val="32"/>
      <w:szCs w:val="32"/>
      <w:lang w:val="pt-PT" w:eastAsia="zh-CN"/>
    </w:rPr>
  </w:style>
  <w:style w:type="paragraph" w:styleId="Textodeglobo">
    <w:name w:val="Balloon Text"/>
    <w:basedOn w:val="Normal"/>
    <w:link w:val="TextodegloboCar"/>
    <w:uiPriority w:val="99"/>
    <w:semiHidden/>
    <w:unhideWhenUsed/>
    <w:rsid w:val="005A1E5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A1E5C"/>
    <w:rPr>
      <w:rFonts w:ascii="Tahoma" w:eastAsia="SimSun" w:hAnsi="Tahoma" w:cs="Tahoma"/>
      <w:kern w:val="1"/>
      <w:sz w:val="16"/>
      <w:szCs w:val="16"/>
      <w:lang w:val="pt-PT" w:eastAsia="zh-CN"/>
    </w:rPr>
  </w:style>
  <w:style w:type="paragraph" w:styleId="Prrafodelista">
    <w:name w:val="List Paragraph"/>
    <w:basedOn w:val="Normal"/>
    <w:uiPriority w:val="34"/>
    <w:qFormat/>
    <w:rsid w:val="00995EF8"/>
    <w:pPr>
      <w:ind w:left="720"/>
      <w:contextualSpacing/>
    </w:pPr>
  </w:style>
  <w:style w:type="paragraph" w:styleId="Sinespaciado">
    <w:name w:val="No Spacing"/>
    <w:uiPriority w:val="1"/>
    <w:qFormat/>
    <w:rsid w:val="00C41C72"/>
    <w:pPr>
      <w:suppressAutoHyphens/>
      <w:spacing w:after="0" w:line="240" w:lineRule="auto"/>
    </w:pPr>
    <w:rPr>
      <w:rFonts w:ascii="Calibri" w:eastAsia="SimSun" w:hAnsi="Calibri" w:cs="Calibri"/>
      <w:kern w:val="1"/>
      <w:sz w:val="24"/>
      <w:szCs w:val="24"/>
      <w:lang w:val="pt-PT"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E5C"/>
    <w:pPr>
      <w:suppressAutoHyphens/>
      <w:spacing w:line="100" w:lineRule="atLeast"/>
    </w:pPr>
    <w:rPr>
      <w:rFonts w:ascii="Calibri" w:eastAsia="SimSun" w:hAnsi="Calibri" w:cs="Calibri"/>
      <w:kern w:val="1"/>
      <w:sz w:val="24"/>
      <w:szCs w:val="24"/>
      <w:lang w:val="pt-PT" w:eastAsia="zh-CN"/>
    </w:rPr>
  </w:style>
  <w:style w:type="paragraph" w:styleId="Ttulo1">
    <w:name w:val="heading 1"/>
    <w:basedOn w:val="Normal"/>
    <w:next w:val="Textoindependiente"/>
    <w:link w:val="Ttulo1Car"/>
    <w:qFormat/>
    <w:rsid w:val="005A1E5C"/>
    <w:pPr>
      <w:keepNext/>
      <w:keepLines/>
      <w:spacing w:before="480" w:after="0" w:line="276" w:lineRule="auto"/>
      <w:outlineLvl w:val="0"/>
    </w:pPr>
    <w:rPr>
      <w:rFonts w:ascii="Cambria" w:hAnsi="Cambria" w:cs="Cambria"/>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A1E5C"/>
    <w:rPr>
      <w:rFonts w:ascii="Cambria" w:eastAsia="SimSun" w:hAnsi="Cambria" w:cs="Cambria"/>
      <w:b/>
      <w:bCs/>
      <w:color w:val="365F91"/>
      <w:kern w:val="1"/>
      <w:sz w:val="28"/>
      <w:szCs w:val="28"/>
      <w:lang w:val="en-US" w:eastAsia="zh-CN"/>
    </w:rPr>
  </w:style>
  <w:style w:type="character" w:customStyle="1" w:styleId="Caracteresdenotaalpie">
    <w:name w:val="Caracteres de nota al pie"/>
    <w:rsid w:val="005A1E5C"/>
    <w:rPr>
      <w:vertAlign w:val="superscript"/>
    </w:rPr>
  </w:style>
  <w:style w:type="character" w:styleId="Hipervnculo">
    <w:name w:val="Hyperlink"/>
    <w:rsid w:val="005A1E5C"/>
    <w:rPr>
      <w:color w:val="000080"/>
      <w:u w:val="single"/>
    </w:rPr>
  </w:style>
  <w:style w:type="character" w:styleId="Refdenotaalpie">
    <w:name w:val="footnote reference"/>
    <w:rsid w:val="005A1E5C"/>
    <w:rPr>
      <w:vertAlign w:val="superscript"/>
    </w:rPr>
  </w:style>
  <w:style w:type="paragraph" w:styleId="Textoindependiente">
    <w:name w:val="Body Text"/>
    <w:basedOn w:val="Normal"/>
    <w:link w:val="TextoindependienteCar"/>
    <w:rsid w:val="005A1E5C"/>
    <w:pPr>
      <w:spacing w:after="120"/>
    </w:pPr>
  </w:style>
  <w:style w:type="character" w:customStyle="1" w:styleId="TextoindependienteCar">
    <w:name w:val="Texto independiente Car"/>
    <w:basedOn w:val="Fuentedeprrafopredeter"/>
    <w:link w:val="Textoindependiente"/>
    <w:rsid w:val="005A1E5C"/>
    <w:rPr>
      <w:rFonts w:ascii="Calibri" w:eastAsia="SimSun" w:hAnsi="Calibri" w:cs="Calibri"/>
      <w:kern w:val="1"/>
      <w:sz w:val="24"/>
      <w:szCs w:val="24"/>
      <w:lang w:val="pt-PT" w:eastAsia="zh-CN"/>
    </w:rPr>
  </w:style>
  <w:style w:type="paragraph" w:styleId="Epgrafe">
    <w:name w:val="caption"/>
    <w:basedOn w:val="Normal"/>
    <w:qFormat/>
    <w:rsid w:val="005A1E5C"/>
    <w:pPr>
      <w:suppressLineNumbers/>
      <w:spacing w:before="120" w:after="120"/>
    </w:pPr>
    <w:rPr>
      <w:rFonts w:cs="Mangal"/>
      <w:i/>
      <w:iCs/>
    </w:rPr>
  </w:style>
  <w:style w:type="paragraph" w:styleId="Piedepgina">
    <w:name w:val="footer"/>
    <w:basedOn w:val="Normal"/>
    <w:link w:val="PiedepginaCar"/>
    <w:uiPriority w:val="99"/>
    <w:rsid w:val="005A1E5C"/>
    <w:pPr>
      <w:suppressLineNumbers/>
      <w:tabs>
        <w:tab w:val="center" w:pos="4419"/>
        <w:tab w:val="right" w:pos="8838"/>
      </w:tabs>
      <w:spacing w:after="0"/>
    </w:pPr>
  </w:style>
  <w:style w:type="character" w:customStyle="1" w:styleId="PiedepginaCar">
    <w:name w:val="Pie de página Car"/>
    <w:basedOn w:val="Fuentedeprrafopredeter"/>
    <w:link w:val="Piedepgina"/>
    <w:uiPriority w:val="99"/>
    <w:rsid w:val="005A1E5C"/>
    <w:rPr>
      <w:rFonts w:ascii="Calibri" w:eastAsia="SimSun" w:hAnsi="Calibri" w:cs="Calibri"/>
      <w:kern w:val="1"/>
      <w:sz w:val="24"/>
      <w:szCs w:val="24"/>
      <w:lang w:val="pt-PT" w:eastAsia="zh-CN"/>
    </w:rPr>
  </w:style>
  <w:style w:type="paragraph" w:styleId="NormalWeb">
    <w:name w:val="Normal (Web)"/>
    <w:basedOn w:val="Normal"/>
    <w:uiPriority w:val="99"/>
    <w:rsid w:val="005A1E5C"/>
    <w:pPr>
      <w:spacing w:before="28" w:after="28"/>
    </w:pPr>
    <w:rPr>
      <w:rFonts w:ascii="Times New Roman" w:hAnsi="Times New Roman" w:cs="Times New Roman"/>
      <w:lang w:val="es-ES"/>
    </w:rPr>
  </w:style>
  <w:style w:type="paragraph" w:styleId="Textonotapie">
    <w:name w:val="footnote text"/>
    <w:basedOn w:val="Normal"/>
    <w:link w:val="TextonotapieCar"/>
    <w:rsid w:val="005A1E5C"/>
    <w:pPr>
      <w:suppressLineNumbers/>
      <w:ind w:left="283" w:hanging="283"/>
    </w:pPr>
    <w:rPr>
      <w:sz w:val="20"/>
      <w:szCs w:val="20"/>
    </w:rPr>
  </w:style>
  <w:style w:type="character" w:customStyle="1" w:styleId="TextonotapieCar">
    <w:name w:val="Texto nota pie Car"/>
    <w:basedOn w:val="Fuentedeprrafopredeter"/>
    <w:link w:val="Textonotapie"/>
    <w:rsid w:val="005A1E5C"/>
    <w:rPr>
      <w:rFonts w:ascii="Calibri" w:eastAsia="SimSun" w:hAnsi="Calibri" w:cs="Calibri"/>
      <w:kern w:val="1"/>
      <w:sz w:val="20"/>
      <w:szCs w:val="20"/>
      <w:lang w:val="pt-PT" w:eastAsia="zh-CN"/>
    </w:rPr>
  </w:style>
  <w:style w:type="paragraph" w:customStyle="1" w:styleId="Textonotap">
    <w:name w:val="Texto nota pé"/>
    <w:basedOn w:val="Normal"/>
    <w:rsid w:val="005A1E5C"/>
    <w:pPr>
      <w:suppressAutoHyphens w:val="0"/>
      <w:spacing w:after="0" w:line="240" w:lineRule="auto"/>
      <w:ind w:left="284" w:hanging="284"/>
      <w:jc w:val="both"/>
    </w:pPr>
    <w:rPr>
      <w:rFonts w:ascii="Times New Roman" w:eastAsia="Times New Roman" w:hAnsi="Times New Roman" w:cs="Times New Roman"/>
      <w:sz w:val="20"/>
      <w:szCs w:val="20"/>
      <w:lang w:val="es-ES"/>
    </w:rPr>
  </w:style>
  <w:style w:type="paragraph" w:customStyle="1" w:styleId="NormalArtigoEnglish">
    <w:name w:val="Normal Artigo English"/>
    <w:basedOn w:val="Normal"/>
    <w:rsid w:val="005A1E5C"/>
    <w:pPr>
      <w:suppressAutoHyphens w:val="0"/>
      <w:spacing w:after="0" w:line="360" w:lineRule="auto"/>
      <w:ind w:firstLine="708"/>
      <w:jc w:val="both"/>
    </w:pPr>
    <w:rPr>
      <w:rFonts w:ascii="Times New Roman" w:eastAsia="Times New Roman" w:hAnsi="Times New Roman" w:cs="Times New Roman"/>
      <w:sz w:val="23"/>
      <w:szCs w:val="23"/>
      <w:lang w:val="es-ES"/>
    </w:rPr>
  </w:style>
  <w:style w:type="paragraph" w:customStyle="1" w:styleId="Pargrafodelista">
    <w:name w:val="Parágrafo de lista"/>
    <w:basedOn w:val="Normal"/>
    <w:rsid w:val="005A1E5C"/>
    <w:pPr>
      <w:suppressAutoHyphens w:val="0"/>
      <w:spacing w:before="200" w:line="276" w:lineRule="auto"/>
      <w:ind w:left="720" w:firstLine="284"/>
      <w:contextualSpacing/>
      <w:jc w:val="both"/>
    </w:pPr>
    <w:rPr>
      <w:rFonts w:ascii="Cambria" w:eastAsia="Calibri" w:hAnsi="Cambria" w:cs="Times New Roman"/>
      <w:szCs w:val="22"/>
      <w:lang w:val="es-ES"/>
    </w:rPr>
  </w:style>
  <w:style w:type="paragraph" w:styleId="Ttulo">
    <w:name w:val="Title"/>
    <w:basedOn w:val="Normal"/>
    <w:next w:val="Normal"/>
    <w:link w:val="TtuloCar"/>
    <w:uiPriority w:val="10"/>
    <w:qFormat/>
    <w:rsid w:val="005A1E5C"/>
    <w:pPr>
      <w:spacing w:before="240" w:after="60"/>
      <w:jc w:val="center"/>
      <w:outlineLvl w:val="0"/>
    </w:pPr>
    <w:rPr>
      <w:rFonts w:ascii="Cambria" w:eastAsia="Times New Roman" w:hAnsi="Cambria" w:cs="Times New Roman"/>
      <w:b/>
      <w:bCs/>
      <w:kern w:val="28"/>
      <w:sz w:val="32"/>
      <w:szCs w:val="32"/>
    </w:rPr>
  </w:style>
  <w:style w:type="character" w:customStyle="1" w:styleId="TtuloCar">
    <w:name w:val="Título Car"/>
    <w:basedOn w:val="Fuentedeprrafopredeter"/>
    <w:link w:val="Ttulo"/>
    <w:uiPriority w:val="10"/>
    <w:rsid w:val="005A1E5C"/>
    <w:rPr>
      <w:rFonts w:ascii="Cambria" w:eastAsia="Times New Roman" w:hAnsi="Cambria" w:cs="Times New Roman"/>
      <w:b/>
      <w:bCs/>
      <w:kern w:val="28"/>
      <w:sz w:val="32"/>
      <w:szCs w:val="32"/>
      <w:lang w:val="pt-PT" w:eastAsia="zh-CN"/>
    </w:rPr>
  </w:style>
  <w:style w:type="paragraph" w:styleId="Textodeglobo">
    <w:name w:val="Balloon Text"/>
    <w:basedOn w:val="Normal"/>
    <w:link w:val="TextodegloboCar"/>
    <w:uiPriority w:val="99"/>
    <w:semiHidden/>
    <w:unhideWhenUsed/>
    <w:rsid w:val="005A1E5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A1E5C"/>
    <w:rPr>
      <w:rFonts w:ascii="Tahoma" w:eastAsia="SimSun" w:hAnsi="Tahoma" w:cs="Tahoma"/>
      <w:kern w:val="1"/>
      <w:sz w:val="16"/>
      <w:szCs w:val="16"/>
      <w:lang w:val="pt-PT" w:eastAsia="zh-CN"/>
    </w:rPr>
  </w:style>
  <w:style w:type="paragraph" w:styleId="Prrafodelista">
    <w:name w:val="List Paragraph"/>
    <w:basedOn w:val="Normal"/>
    <w:uiPriority w:val="34"/>
    <w:qFormat/>
    <w:rsid w:val="00995EF8"/>
    <w:pPr>
      <w:ind w:left="720"/>
      <w:contextualSpacing/>
    </w:pPr>
  </w:style>
  <w:style w:type="paragraph" w:styleId="Sinespaciado">
    <w:name w:val="No Spacing"/>
    <w:uiPriority w:val="1"/>
    <w:qFormat/>
    <w:rsid w:val="00C41C72"/>
    <w:pPr>
      <w:suppressAutoHyphens/>
      <w:spacing w:after="0" w:line="240" w:lineRule="auto"/>
    </w:pPr>
    <w:rPr>
      <w:rFonts w:ascii="Calibri" w:eastAsia="SimSun" w:hAnsi="Calibri" w:cs="Calibri"/>
      <w:kern w:val="1"/>
      <w:sz w:val="24"/>
      <w:szCs w:val="24"/>
      <w:lang w:val="pt-PT"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94620">
      <w:bodyDiv w:val="1"/>
      <w:marLeft w:val="0"/>
      <w:marRight w:val="0"/>
      <w:marTop w:val="0"/>
      <w:marBottom w:val="0"/>
      <w:divBdr>
        <w:top w:val="none" w:sz="0" w:space="0" w:color="auto"/>
        <w:left w:val="none" w:sz="0" w:space="0" w:color="auto"/>
        <w:bottom w:val="none" w:sz="0" w:space="0" w:color="auto"/>
        <w:right w:val="none" w:sz="0" w:space="0" w:color="auto"/>
      </w:divBdr>
    </w:div>
    <w:div w:id="55788378">
      <w:bodyDiv w:val="1"/>
      <w:marLeft w:val="0"/>
      <w:marRight w:val="0"/>
      <w:marTop w:val="0"/>
      <w:marBottom w:val="0"/>
      <w:divBdr>
        <w:top w:val="none" w:sz="0" w:space="0" w:color="auto"/>
        <w:left w:val="none" w:sz="0" w:space="0" w:color="auto"/>
        <w:bottom w:val="none" w:sz="0" w:space="0" w:color="auto"/>
        <w:right w:val="none" w:sz="0" w:space="0" w:color="auto"/>
      </w:divBdr>
    </w:div>
    <w:div w:id="195583575">
      <w:bodyDiv w:val="1"/>
      <w:marLeft w:val="0"/>
      <w:marRight w:val="0"/>
      <w:marTop w:val="0"/>
      <w:marBottom w:val="0"/>
      <w:divBdr>
        <w:top w:val="none" w:sz="0" w:space="0" w:color="auto"/>
        <w:left w:val="none" w:sz="0" w:space="0" w:color="auto"/>
        <w:bottom w:val="none" w:sz="0" w:space="0" w:color="auto"/>
        <w:right w:val="none" w:sz="0" w:space="0" w:color="auto"/>
      </w:divBdr>
    </w:div>
    <w:div w:id="272127843">
      <w:bodyDiv w:val="1"/>
      <w:marLeft w:val="0"/>
      <w:marRight w:val="0"/>
      <w:marTop w:val="0"/>
      <w:marBottom w:val="0"/>
      <w:divBdr>
        <w:top w:val="none" w:sz="0" w:space="0" w:color="auto"/>
        <w:left w:val="none" w:sz="0" w:space="0" w:color="auto"/>
        <w:bottom w:val="none" w:sz="0" w:space="0" w:color="auto"/>
        <w:right w:val="none" w:sz="0" w:space="0" w:color="auto"/>
      </w:divBdr>
    </w:div>
    <w:div w:id="332268392">
      <w:bodyDiv w:val="1"/>
      <w:marLeft w:val="0"/>
      <w:marRight w:val="0"/>
      <w:marTop w:val="0"/>
      <w:marBottom w:val="0"/>
      <w:divBdr>
        <w:top w:val="none" w:sz="0" w:space="0" w:color="auto"/>
        <w:left w:val="none" w:sz="0" w:space="0" w:color="auto"/>
        <w:bottom w:val="none" w:sz="0" w:space="0" w:color="auto"/>
        <w:right w:val="none" w:sz="0" w:space="0" w:color="auto"/>
      </w:divBdr>
    </w:div>
    <w:div w:id="335306206">
      <w:bodyDiv w:val="1"/>
      <w:marLeft w:val="0"/>
      <w:marRight w:val="0"/>
      <w:marTop w:val="0"/>
      <w:marBottom w:val="0"/>
      <w:divBdr>
        <w:top w:val="none" w:sz="0" w:space="0" w:color="auto"/>
        <w:left w:val="none" w:sz="0" w:space="0" w:color="auto"/>
        <w:bottom w:val="none" w:sz="0" w:space="0" w:color="auto"/>
        <w:right w:val="none" w:sz="0" w:space="0" w:color="auto"/>
      </w:divBdr>
    </w:div>
    <w:div w:id="352729818">
      <w:bodyDiv w:val="1"/>
      <w:marLeft w:val="0"/>
      <w:marRight w:val="0"/>
      <w:marTop w:val="0"/>
      <w:marBottom w:val="0"/>
      <w:divBdr>
        <w:top w:val="none" w:sz="0" w:space="0" w:color="auto"/>
        <w:left w:val="none" w:sz="0" w:space="0" w:color="auto"/>
        <w:bottom w:val="none" w:sz="0" w:space="0" w:color="auto"/>
        <w:right w:val="none" w:sz="0" w:space="0" w:color="auto"/>
      </w:divBdr>
    </w:div>
    <w:div w:id="373384120">
      <w:bodyDiv w:val="1"/>
      <w:marLeft w:val="0"/>
      <w:marRight w:val="0"/>
      <w:marTop w:val="0"/>
      <w:marBottom w:val="0"/>
      <w:divBdr>
        <w:top w:val="none" w:sz="0" w:space="0" w:color="auto"/>
        <w:left w:val="none" w:sz="0" w:space="0" w:color="auto"/>
        <w:bottom w:val="none" w:sz="0" w:space="0" w:color="auto"/>
        <w:right w:val="none" w:sz="0" w:space="0" w:color="auto"/>
      </w:divBdr>
    </w:div>
    <w:div w:id="395444828">
      <w:bodyDiv w:val="1"/>
      <w:marLeft w:val="0"/>
      <w:marRight w:val="0"/>
      <w:marTop w:val="0"/>
      <w:marBottom w:val="0"/>
      <w:divBdr>
        <w:top w:val="none" w:sz="0" w:space="0" w:color="auto"/>
        <w:left w:val="none" w:sz="0" w:space="0" w:color="auto"/>
        <w:bottom w:val="none" w:sz="0" w:space="0" w:color="auto"/>
        <w:right w:val="none" w:sz="0" w:space="0" w:color="auto"/>
      </w:divBdr>
    </w:div>
    <w:div w:id="472331703">
      <w:bodyDiv w:val="1"/>
      <w:marLeft w:val="0"/>
      <w:marRight w:val="0"/>
      <w:marTop w:val="0"/>
      <w:marBottom w:val="0"/>
      <w:divBdr>
        <w:top w:val="none" w:sz="0" w:space="0" w:color="auto"/>
        <w:left w:val="none" w:sz="0" w:space="0" w:color="auto"/>
        <w:bottom w:val="none" w:sz="0" w:space="0" w:color="auto"/>
        <w:right w:val="none" w:sz="0" w:space="0" w:color="auto"/>
      </w:divBdr>
    </w:div>
    <w:div w:id="473108539">
      <w:bodyDiv w:val="1"/>
      <w:marLeft w:val="0"/>
      <w:marRight w:val="0"/>
      <w:marTop w:val="0"/>
      <w:marBottom w:val="0"/>
      <w:divBdr>
        <w:top w:val="none" w:sz="0" w:space="0" w:color="auto"/>
        <w:left w:val="none" w:sz="0" w:space="0" w:color="auto"/>
        <w:bottom w:val="none" w:sz="0" w:space="0" w:color="auto"/>
        <w:right w:val="none" w:sz="0" w:space="0" w:color="auto"/>
      </w:divBdr>
    </w:div>
    <w:div w:id="486166047">
      <w:bodyDiv w:val="1"/>
      <w:marLeft w:val="0"/>
      <w:marRight w:val="0"/>
      <w:marTop w:val="0"/>
      <w:marBottom w:val="0"/>
      <w:divBdr>
        <w:top w:val="none" w:sz="0" w:space="0" w:color="auto"/>
        <w:left w:val="none" w:sz="0" w:space="0" w:color="auto"/>
        <w:bottom w:val="none" w:sz="0" w:space="0" w:color="auto"/>
        <w:right w:val="none" w:sz="0" w:space="0" w:color="auto"/>
      </w:divBdr>
    </w:div>
    <w:div w:id="495340316">
      <w:bodyDiv w:val="1"/>
      <w:marLeft w:val="0"/>
      <w:marRight w:val="0"/>
      <w:marTop w:val="0"/>
      <w:marBottom w:val="0"/>
      <w:divBdr>
        <w:top w:val="none" w:sz="0" w:space="0" w:color="auto"/>
        <w:left w:val="none" w:sz="0" w:space="0" w:color="auto"/>
        <w:bottom w:val="none" w:sz="0" w:space="0" w:color="auto"/>
        <w:right w:val="none" w:sz="0" w:space="0" w:color="auto"/>
      </w:divBdr>
    </w:div>
    <w:div w:id="507521657">
      <w:bodyDiv w:val="1"/>
      <w:marLeft w:val="0"/>
      <w:marRight w:val="0"/>
      <w:marTop w:val="0"/>
      <w:marBottom w:val="0"/>
      <w:divBdr>
        <w:top w:val="none" w:sz="0" w:space="0" w:color="auto"/>
        <w:left w:val="none" w:sz="0" w:space="0" w:color="auto"/>
        <w:bottom w:val="none" w:sz="0" w:space="0" w:color="auto"/>
        <w:right w:val="none" w:sz="0" w:space="0" w:color="auto"/>
      </w:divBdr>
    </w:div>
    <w:div w:id="527720685">
      <w:bodyDiv w:val="1"/>
      <w:marLeft w:val="0"/>
      <w:marRight w:val="0"/>
      <w:marTop w:val="0"/>
      <w:marBottom w:val="0"/>
      <w:divBdr>
        <w:top w:val="none" w:sz="0" w:space="0" w:color="auto"/>
        <w:left w:val="none" w:sz="0" w:space="0" w:color="auto"/>
        <w:bottom w:val="none" w:sz="0" w:space="0" w:color="auto"/>
        <w:right w:val="none" w:sz="0" w:space="0" w:color="auto"/>
      </w:divBdr>
    </w:div>
    <w:div w:id="563368506">
      <w:bodyDiv w:val="1"/>
      <w:marLeft w:val="0"/>
      <w:marRight w:val="0"/>
      <w:marTop w:val="0"/>
      <w:marBottom w:val="0"/>
      <w:divBdr>
        <w:top w:val="none" w:sz="0" w:space="0" w:color="auto"/>
        <w:left w:val="none" w:sz="0" w:space="0" w:color="auto"/>
        <w:bottom w:val="none" w:sz="0" w:space="0" w:color="auto"/>
        <w:right w:val="none" w:sz="0" w:space="0" w:color="auto"/>
      </w:divBdr>
    </w:div>
    <w:div w:id="572273785">
      <w:bodyDiv w:val="1"/>
      <w:marLeft w:val="0"/>
      <w:marRight w:val="0"/>
      <w:marTop w:val="0"/>
      <w:marBottom w:val="0"/>
      <w:divBdr>
        <w:top w:val="none" w:sz="0" w:space="0" w:color="auto"/>
        <w:left w:val="none" w:sz="0" w:space="0" w:color="auto"/>
        <w:bottom w:val="none" w:sz="0" w:space="0" w:color="auto"/>
        <w:right w:val="none" w:sz="0" w:space="0" w:color="auto"/>
      </w:divBdr>
    </w:div>
    <w:div w:id="577832021">
      <w:bodyDiv w:val="1"/>
      <w:marLeft w:val="0"/>
      <w:marRight w:val="0"/>
      <w:marTop w:val="0"/>
      <w:marBottom w:val="0"/>
      <w:divBdr>
        <w:top w:val="none" w:sz="0" w:space="0" w:color="auto"/>
        <w:left w:val="none" w:sz="0" w:space="0" w:color="auto"/>
        <w:bottom w:val="none" w:sz="0" w:space="0" w:color="auto"/>
        <w:right w:val="none" w:sz="0" w:space="0" w:color="auto"/>
      </w:divBdr>
    </w:div>
    <w:div w:id="579025426">
      <w:bodyDiv w:val="1"/>
      <w:marLeft w:val="0"/>
      <w:marRight w:val="0"/>
      <w:marTop w:val="0"/>
      <w:marBottom w:val="0"/>
      <w:divBdr>
        <w:top w:val="none" w:sz="0" w:space="0" w:color="auto"/>
        <w:left w:val="none" w:sz="0" w:space="0" w:color="auto"/>
        <w:bottom w:val="none" w:sz="0" w:space="0" w:color="auto"/>
        <w:right w:val="none" w:sz="0" w:space="0" w:color="auto"/>
      </w:divBdr>
    </w:div>
    <w:div w:id="613900090">
      <w:bodyDiv w:val="1"/>
      <w:marLeft w:val="0"/>
      <w:marRight w:val="0"/>
      <w:marTop w:val="0"/>
      <w:marBottom w:val="0"/>
      <w:divBdr>
        <w:top w:val="none" w:sz="0" w:space="0" w:color="auto"/>
        <w:left w:val="none" w:sz="0" w:space="0" w:color="auto"/>
        <w:bottom w:val="none" w:sz="0" w:space="0" w:color="auto"/>
        <w:right w:val="none" w:sz="0" w:space="0" w:color="auto"/>
      </w:divBdr>
    </w:div>
    <w:div w:id="634991264">
      <w:bodyDiv w:val="1"/>
      <w:marLeft w:val="0"/>
      <w:marRight w:val="0"/>
      <w:marTop w:val="0"/>
      <w:marBottom w:val="0"/>
      <w:divBdr>
        <w:top w:val="none" w:sz="0" w:space="0" w:color="auto"/>
        <w:left w:val="none" w:sz="0" w:space="0" w:color="auto"/>
        <w:bottom w:val="none" w:sz="0" w:space="0" w:color="auto"/>
        <w:right w:val="none" w:sz="0" w:space="0" w:color="auto"/>
      </w:divBdr>
    </w:div>
    <w:div w:id="727728542">
      <w:bodyDiv w:val="1"/>
      <w:marLeft w:val="0"/>
      <w:marRight w:val="0"/>
      <w:marTop w:val="0"/>
      <w:marBottom w:val="0"/>
      <w:divBdr>
        <w:top w:val="none" w:sz="0" w:space="0" w:color="auto"/>
        <w:left w:val="none" w:sz="0" w:space="0" w:color="auto"/>
        <w:bottom w:val="none" w:sz="0" w:space="0" w:color="auto"/>
        <w:right w:val="none" w:sz="0" w:space="0" w:color="auto"/>
      </w:divBdr>
    </w:div>
    <w:div w:id="729380723">
      <w:bodyDiv w:val="1"/>
      <w:marLeft w:val="0"/>
      <w:marRight w:val="0"/>
      <w:marTop w:val="0"/>
      <w:marBottom w:val="0"/>
      <w:divBdr>
        <w:top w:val="none" w:sz="0" w:space="0" w:color="auto"/>
        <w:left w:val="none" w:sz="0" w:space="0" w:color="auto"/>
        <w:bottom w:val="none" w:sz="0" w:space="0" w:color="auto"/>
        <w:right w:val="none" w:sz="0" w:space="0" w:color="auto"/>
      </w:divBdr>
    </w:div>
    <w:div w:id="731197017">
      <w:bodyDiv w:val="1"/>
      <w:marLeft w:val="0"/>
      <w:marRight w:val="0"/>
      <w:marTop w:val="0"/>
      <w:marBottom w:val="0"/>
      <w:divBdr>
        <w:top w:val="none" w:sz="0" w:space="0" w:color="auto"/>
        <w:left w:val="none" w:sz="0" w:space="0" w:color="auto"/>
        <w:bottom w:val="none" w:sz="0" w:space="0" w:color="auto"/>
        <w:right w:val="none" w:sz="0" w:space="0" w:color="auto"/>
      </w:divBdr>
    </w:div>
    <w:div w:id="753013223">
      <w:bodyDiv w:val="1"/>
      <w:marLeft w:val="0"/>
      <w:marRight w:val="0"/>
      <w:marTop w:val="0"/>
      <w:marBottom w:val="0"/>
      <w:divBdr>
        <w:top w:val="none" w:sz="0" w:space="0" w:color="auto"/>
        <w:left w:val="none" w:sz="0" w:space="0" w:color="auto"/>
        <w:bottom w:val="none" w:sz="0" w:space="0" w:color="auto"/>
        <w:right w:val="none" w:sz="0" w:space="0" w:color="auto"/>
      </w:divBdr>
    </w:div>
    <w:div w:id="778574448">
      <w:bodyDiv w:val="1"/>
      <w:marLeft w:val="0"/>
      <w:marRight w:val="0"/>
      <w:marTop w:val="0"/>
      <w:marBottom w:val="0"/>
      <w:divBdr>
        <w:top w:val="none" w:sz="0" w:space="0" w:color="auto"/>
        <w:left w:val="none" w:sz="0" w:space="0" w:color="auto"/>
        <w:bottom w:val="none" w:sz="0" w:space="0" w:color="auto"/>
        <w:right w:val="none" w:sz="0" w:space="0" w:color="auto"/>
      </w:divBdr>
    </w:div>
    <w:div w:id="857159601">
      <w:bodyDiv w:val="1"/>
      <w:marLeft w:val="0"/>
      <w:marRight w:val="0"/>
      <w:marTop w:val="0"/>
      <w:marBottom w:val="0"/>
      <w:divBdr>
        <w:top w:val="none" w:sz="0" w:space="0" w:color="auto"/>
        <w:left w:val="none" w:sz="0" w:space="0" w:color="auto"/>
        <w:bottom w:val="none" w:sz="0" w:space="0" w:color="auto"/>
        <w:right w:val="none" w:sz="0" w:space="0" w:color="auto"/>
      </w:divBdr>
    </w:div>
    <w:div w:id="867908243">
      <w:bodyDiv w:val="1"/>
      <w:marLeft w:val="0"/>
      <w:marRight w:val="0"/>
      <w:marTop w:val="0"/>
      <w:marBottom w:val="0"/>
      <w:divBdr>
        <w:top w:val="none" w:sz="0" w:space="0" w:color="auto"/>
        <w:left w:val="none" w:sz="0" w:space="0" w:color="auto"/>
        <w:bottom w:val="none" w:sz="0" w:space="0" w:color="auto"/>
        <w:right w:val="none" w:sz="0" w:space="0" w:color="auto"/>
      </w:divBdr>
    </w:div>
    <w:div w:id="881092783">
      <w:bodyDiv w:val="1"/>
      <w:marLeft w:val="0"/>
      <w:marRight w:val="0"/>
      <w:marTop w:val="0"/>
      <w:marBottom w:val="0"/>
      <w:divBdr>
        <w:top w:val="none" w:sz="0" w:space="0" w:color="auto"/>
        <w:left w:val="none" w:sz="0" w:space="0" w:color="auto"/>
        <w:bottom w:val="none" w:sz="0" w:space="0" w:color="auto"/>
        <w:right w:val="none" w:sz="0" w:space="0" w:color="auto"/>
      </w:divBdr>
    </w:div>
    <w:div w:id="900408520">
      <w:bodyDiv w:val="1"/>
      <w:marLeft w:val="0"/>
      <w:marRight w:val="0"/>
      <w:marTop w:val="0"/>
      <w:marBottom w:val="0"/>
      <w:divBdr>
        <w:top w:val="none" w:sz="0" w:space="0" w:color="auto"/>
        <w:left w:val="none" w:sz="0" w:space="0" w:color="auto"/>
        <w:bottom w:val="none" w:sz="0" w:space="0" w:color="auto"/>
        <w:right w:val="none" w:sz="0" w:space="0" w:color="auto"/>
      </w:divBdr>
    </w:div>
    <w:div w:id="904491627">
      <w:bodyDiv w:val="1"/>
      <w:marLeft w:val="0"/>
      <w:marRight w:val="0"/>
      <w:marTop w:val="0"/>
      <w:marBottom w:val="0"/>
      <w:divBdr>
        <w:top w:val="none" w:sz="0" w:space="0" w:color="auto"/>
        <w:left w:val="none" w:sz="0" w:space="0" w:color="auto"/>
        <w:bottom w:val="none" w:sz="0" w:space="0" w:color="auto"/>
        <w:right w:val="none" w:sz="0" w:space="0" w:color="auto"/>
      </w:divBdr>
    </w:div>
    <w:div w:id="964234445">
      <w:bodyDiv w:val="1"/>
      <w:marLeft w:val="0"/>
      <w:marRight w:val="0"/>
      <w:marTop w:val="0"/>
      <w:marBottom w:val="0"/>
      <w:divBdr>
        <w:top w:val="none" w:sz="0" w:space="0" w:color="auto"/>
        <w:left w:val="none" w:sz="0" w:space="0" w:color="auto"/>
        <w:bottom w:val="none" w:sz="0" w:space="0" w:color="auto"/>
        <w:right w:val="none" w:sz="0" w:space="0" w:color="auto"/>
      </w:divBdr>
    </w:div>
    <w:div w:id="966667722">
      <w:bodyDiv w:val="1"/>
      <w:marLeft w:val="0"/>
      <w:marRight w:val="0"/>
      <w:marTop w:val="0"/>
      <w:marBottom w:val="0"/>
      <w:divBdr>
        <w:top w:val="none" w:sz="0" w:space="0" w:color="auto"/>
        <w:left w:val="none" w:sz="0" w:space="0" w:color="auto"/>
        <w:bottom w:val="none" w:sz="0" w:space="0" w:color="auto"/>
        <w:right w:val="none" w:sz="0" w:space="0" w:color="auto"/>
      </w:divBdr>
    </w:div>
    <w:div w:id="1023165147">
      <w:bodyDiv w:val="1"/>
      <w:marLeft w:val="0"/>
      <w:marRight w:val="0"/>
      <w:marTop w:val="0"/>
      <w:marBottom w:val="0"/>
      <w:divBdr>
        <w:top w:val="none" w:sz="0" w:space="0" w:color="auto"/>
        <w:left w:val="none" w:sz="0" w:space="0" w:color="auto"/>
        <w:bottom w:val="none" w:sz="0" w:space="0" w:color="auto"/>
        <w:right w:val="none" w:sz="0" w:space="0" w:color="auto"/>
      </w:divBdr>
    </w:div>
    <w:div w:id="1046488585">
      <w:bodyDiv w:val="1"/>
      <w:marLeft w:val="0"/>
      <w:marRight w:val="0"/>
      <w:marTop w:val="0"/>
      <w:marBottom w:val="0"/>
      <w:divBdr>
        <w:top w:val="none" w:sz="0" w:space="0" w:color="auto"/>
        <w:left w:val="none" w:sz="0" w:space="0" w:color="auto"/>
        <w:bottom w:val="none" w:sz="0" w:space="0" w:color="auto"/>
        <w:right w:val="none" w:sz="0" w:space="0" w:color="auto"/>
      </w:divBdr>
    </w:div>
    <w:div w:id="1089305077">
      <w:bodyDiv w:val="1"/>
      <w:marLeft w:val="0"/>
      <w:marRight w:val="0"/>
      <w:marTop w:val="0"/>
      <w:marBottom w:val="0"/>
      <w:divBdr>
        <w:top w:val="none" w:sz="0" w:space="0" w:color="auto"/>
        <w:left w:val="none" w:sz="0" w:space="0" w:color="auto"/>
        <w:bottom w:val="none" w:sz="0" w:space="0" w:color="auto"/>
        <w:right w:val="none" w:sz="0" w:space="0" w:color="auto"/>
      </w:divBdr>
    </w:div>
    <w:div w:id="1095857945">
      <w:bodyDiv w:val="1"/>
      <w:marLeft w:val="0"/>
      <w:marRight w:val="0"/>
      <w:marTop w:val="0"/>
      <w:marBottom w:val="0"/>
      <w:divBdr>
        <w:top w:val="none" w:sz="0" w:space="0" w:color="auto"/>
        <w:left w:val="none" w:sz="0" w:space="0" w:color="auto"/>
        <w:bottom w:val="none" w:sz="0" w:space="0" w:color="auto"/>
        <w:right w:val="none" w:sz="0" w:space="0" w:color="auto"/>
      </w:divBdr>
    </w:div>
    <w:div w:id="1122043546">
      <w:bodyDiv w:val="1"/>
      <w:marLeft w:val="0"/>
      <w:marRight w:val="0"/>
      <w:marTop w:val="0"/>
      <w:marBottom w:val="0"/>
      <w:divBdr>
        <w:top w:val="none" w:sz="0" w:space="0" w:color="auto"/>
        <w:left w:val="none" w:sz="0" w:space="0" w:color="auto"/>
        <w:bottom w:val="none" w:sz="0" w:space="0" w:color="auto"/>
        <w:right w:val="none" w:sz="0" w:space="0" w:color="auto"/>
      </w:divBdr>
    </w:div>
    <w:div w:id="1123353436">
      <w:bodyDiv w:val="1"/>
      <w:marLeft w:val="0"/>
      <w:marRight w:val="0"/>
      <w:marTop w:val="0"/>
      <w:marBottom w:val="0"/>
      <w:divBdr>
        <w:top w:val="none" w:sz="0" w:space="0" w:color="auto"/>
        <w:left w:val="none" w:sz="0" w:space="0" w:color="auto"/>
        <w:bottom w:val="none" w:sz="0" w:space="0" w:color="auto"/>
        <w:right w:val="none" w:sz="0" w:space="0" w:color="auto"/>
      </w:divBdr>
    </w:div>
    <w:div w:id="1138643820">
      <w:bodyDiv w:val="1"/>
      <w:marLeft w:val="0"/>
      <w:marRight w:val="0"/>
      <w:marTop w:val="0"/>
      <w:marBottom w:val="0"/>
      <w:divBdr>
        <w:top w:val="none" w:sz="0" w:space="0" w:color="auto"/>
        <w:left w:val="none" w:sz="0" w:space="0" w:color="auto"/>
        <w:bottom w:val="none" w:sz="0" w:space="0" w:color="auto"/>
        <w:right w:val="none" w:sz="0" w:space="0" w:color="auto"/>
      </w:divBdr>
    </w:div>
    <w:div w:id="1162695458">
      <w:bodyDiv w:val="1"/>
      <w:marLeft w:val="0"/>
      <w:marRight w:val="0"/>
      <w:marTop w:val="0"/>
      <w:marBottom w:val="0"/>
      <w:divBdr>
        <w:top w:val="none" w:sz="0" w:space="0" w:color="auto"/>
        <w:left w:val="none" w:sz="0" w:space="0" w:color="auto"/>
        <w:bottom w:val="none" w:sz="0" w:space="0" w:color="auto"/>
        <w:right w:val="none" w:sz="0" w:space="0" w:color="auto"/>
      </w:divBdr>
    </w:div>
    <w:div w:id="1190073620">
      <w:bodyDiv w:val="1"/>
      <w:marLeft w:val="0"/>
      <w:marRight w:val="0"/>
      <w:marTop w:val="0"/>
      <w:marBottom w:val="0"/>
      <w:divBdr>
        <w:top w:val="none" w:sz="0" w:space="0" w:color="auto"/>
        <w:left w:val="none" w:sz="0" w:space="0" w:color="auto"/>
        <w:bottom w:val="none" w:sz="0" w:space="0" w:color="auto"/>
        <w:right w:val="none" w:sz="0" w:space="0" w:color="auto"/>
      </w:divBdr>
    </w:div>
    <w:div w:id="1262298388">
      <w:bodyDiv w:val="1"/>
      <w:marLeft w:val="0"/>
      <w:marRight w:val="0"/>
      <w:marTop w:val="0"/>
      <w:marBottom w:val="0"/>
      <w:divBdr>
        <w:top w:val="none" w:sz="0" w:space="0" w:color="auto"/>
        <w:left w:val="none" w:sz="0" w:space="0" w:color="auto"/>
        <w:bottom w:val="none" w:sz="0" w:space="0" w:color="auto"/>
        <w:right w:val="none" w:sz="0" w:space="0" w:color="auto"/>
      </w:divBdr>
    </w:div>
    <w:div w:id="1283536412">
      <w:bodyDiv w:val="1"/>
      <w:marLeft w:val="0"/>
      <w:marRight w:val="0"/>
      <w:marTop w:val="0"/>
      <w:marBottom w:val="0"/>
      <w:divBdr>
        <w:top w:val="none" w:sz="0" w:space="0" w:color="auto"/>
        <w:left w:val="none" w:sz="0" w:space="0" w:color="auto"/>
        <w:bottom w:val="none" w:sz="0" w:space="0" w:color="auto"/>
        <w:right w:val="none" w:sz="0" w:space="0" w:color="auto"/>
      </w:divBdr>
    </w:div>
    <w:div w:id="1314985070">
      <w:bodyDiv w:val="1"/>
      <w:marLeft w:val="0"/>
      <w:marRight w:val="0"/>
      <w:marTop w:val="0"/>
      <w:marBottom w:val="0"/>
      <w:divBdr>
        <w:top w:val="none" w:sz="0" w:space="0" w:color="auto"/>
        <w:left w:val="none" w:sz="0" w:space="0" w:color="auto"/>
        <w:bottom w:val="none" w:sz="0" w:space="0" w:color="auto"/>
        <w:right w:val="none" w:sz="0" w:space="0" w:color="auto"/>
      </w:divBdr>
    </w:div>
    <w:div w:id="1346204759">
      <w:bodyDiv w:val="1"/>
      <w:marLeft w:val="0"/>
      <w:marRight w:val="0"/>
      <w:marTop w:val="0"/>
      <w:marBottom w:val="0"/>
      <w:divBdr>
        <w:top w:val="none" w:sz="0" w:space="0" w:color="auto"/>
        <w:left w:val="none" w:sz="0" w:space="0" w:color="auto"/>
        <w:bottom w:val="none" w:sz="0" w:space="0" w:color="auto"/>
        <w:right w:val="none" w:sz="0" w:space="0" w:color="auto"/>
      </w:divBdr>
    </w:div>
    <w:div w:id="1349407824">
      <w:bodyDiv w:val="1"/>
      <w:marLeft w:val="0"/>
      <w:marRight w:val="0"/>
      <w:marTop w:val="0"/>
      <w:marBottom w:val="0"/>
      <w:divBdr>
        <w:top w:val="none" w:sz="0" w:space="0" w:color="auto"/>
        <w:left w:val="none" w:sz="0" w:space="0" w:color="auto"/>
        <w:bottom w:val="none" w:sz="0" w:space="0" w:color="auto"/>
        <w:right w:val="none" w:sz="0" w:space="0" w:color="auto"/>
      </w:divBdr>
    </w:div>
    <w:div w:id="1372073942">
      <w:bodyDiv w:val="1"/>
      <w:marLeft w:val="0"/>
      <w:marRight w:val="0"/>
      <w:marTop w:val="0"/>
      <w:marBottom w:val="0"/>
      <w:divBdr>
        <w:top w:val="none" w:sz="0" w:space="0" w:color="auto"/>
        <w:left w:val="none" w:sz="0" w:space="0" w:color="auto"/>
        <w:bottom w:val="none" w:sz="0" w:space="0" w:color="auto"/>
        <w:right w:val="none" w:sz="0" w:space="0" w:color="auto"/>
      </w:divBdr>
    </w:div>
    <w:div w:id="1376808195">
      <w:bodyDiv w:val="1"/>
      <w:marLeft w:val="0"/>
      <w:marRight w:val="0"/>
      <w:marTop w:val="0"/>
      <w:marBottom w:val="0"/>
      <w:divBdr>
        <w:top w:val="none" w:sz="0" w:space="0" w:color="auto"/>
        <w:left w:val="none" w:sz="0" w:space="0" w:color="auto"/>
        <w:bottom w:val="none" w:sz="0" w:space="0" w:color="auto"/>
        <w:right w:val="none" w:sz="0" w:space="0" w:color="auto"/>
      </w:divBdr>
    </w:div>
    <w:div w:id="1412964955">
      <w:bodyDiv w:val="1"/>
      <w:marLeft w:val="0"/>
      <w:marRight w:val="0"/>
      <w:marTop w:val="0"/>
      <w:marBottom w:val="0"/>
      <w:divBdr>
        <w:top w:val="none" w:sz="0" w:space="0" w:color="auto"/>
        <w:left w:val="none" w:sz="0" w:space="0" w:color="auto"/>
        <w:bottom w:val="none" w:sz="0" w:space="0" w:color="auto"/>
        <w:right w:val="none" w:sz="0" w:space="0" w:color="auto"/>
      </w:divBdr>
    </w:div>
    <w:div w:id="1419209087">
      <w:bodyDiv w:val="1"/>
      <w:marLeft w:val="0"/>
      <w:marRight w:val="0"/>
      <w:marTop w:val="0"/>
      <w:marBottom w:val="0"/>
      <w:divBdr>
        <w:top w:val="none" w:sz="0" w:space="0" w:color="auto"/>
        <w:left w:val="none" w:sz="0" w:space="0" w:color="auto"/>
        <w:bottom w:val="none" w:sz="0" w:space="0" w:color="auto"/>
        <w:right w:val="none" w:sz="0" w:space="0" w:color="auto"/>
      </w:divBdr>
    </w:div>
    <w:div w:id="1451897079">
      <w:bodyDiv w:val="1"/>
      <w:marLeft w:val="0"/>
      <w:marRight w:val="0"/>
      <w:marTop w:val="0"/>
      <w:marBottom w:val="0"/>
      <w:divBdr>
        <w:top w:val="none" w:sz="0" w:space="0" w:color="auto"/>
        <w:left w:val="none" w:sz="0" w:space="0" w:color="auto"/>
        <w:bottom w:val="none" w:sz="0" w:space="0" w:color="auto"/>
        <w:right w:val="none" w:sz="0" w:space="0" w:color="auto"/>
      </w:divBdr>
    </w:div>
    <w:div w:id="1468666135">
      <w:bodyDiv w:val="1"/>
      <w:marLeft w:val="0"/>
      <w:marRight w:val="0"/>
      <w:marTop w:val="0"/>
      <w:marBottom w:val="0"/>
      <w:divBdr>
        <w:top w:val="none" w:sz="0" w:space="0" w:color="auto"/>
        <w:left w:val="none" w:sz="0" w:space="0" w:color="auto"/>
        <w:bottom w:val="none" w:sz="0" w:space="0" w:color="auto"/>
        <w:right w:val="none" w:sz="0" w:space="0" w:color="auto"/>
      </w:divBdr>
    </w:div>
    <w:div w:id="1513766007">
      <w:bodyDiv w:val="1"/>
      <w:marLeft w:val="0"/>
      <w:marRight w:val="0"/>
      <w:marTop w:val="0"/>
      <w:marBottom w:val="0"/>
      <w:divBdr>
        <w:top w:val="none" w:sz="0" w:space="0" w:color="auto"/>
        <w:left w:val="none" w:sz="0" w:space="0" w:color="auto"/>
        <w:bottom w:val="none" w:sz="0" w:space="0" w:color="auto"/>
        <w:right w:val="none" w:sz="0" w:space="0" w:color="auto"/>
      </w:divBdr>
    </w:div>
    <w:div w:id="1535532632">
      <w:bodyDiv w:val="1"/>
      <w:marLeft w:val="0"/>
      <w:marRight w:val="0"/>
      <w:marTop w:val="0"/>
      <w:marBottom w:val="0"/>
      <w:divBdr>
        <w:top w:val="none" w:sz="0" w:space="0" w:color="auto"/>
        <w:left w:val="none" w:sz="0" w:space="0" w:color="auto"/>
        <w:bottom w:val="none" w:sz="0" w:space="0" w:color="auto"/>
        <w:right w:val="none" w:sz="0" w:space="0" w:color="auto"/>
      </w:divBdr>
    </w:div>
    <w:div w:id="1551384407">
      <w:bodyDiv w:val="1"/>
      <w:marLeft w:val="0"/>
      <w:marRight w:val="0"/>
      <w:marTop w:val="0"/>
      <w:marBottom w:val="0"/>
      <w:divBdr>
        <w:top w:val="none" w:sz="0" w:space="0" w:color="auto"/>
        <w:left w:val="none" w:sz="0" w:space="0" w:color="auto"/>
        <w:bottom w:val="none" w:sz="0" w:space="0" w:color="auto"/>
        <w:right w:val="none" w:sz="0" w:space="0" w:color="auto"/>
      </w:divBdr>
    </w:div>
    <w:div w:id="1563980642">
      <w:bodyDiv w:val="1"/>
      <w:marLeft w:val="0"/>
      <w:marRight w:val="0"/>
      <w:marTop w:val="0"/>
      <w:marBottom w:val="0"/>
      <w:divBdr>
        <w:top w:val="none" w:sz="0" w:space="0" w:color="auto"/>
        <w:left w:val="none" w:sz="0" w:space="0" w:color="auto"/>
        <w:bottom w:val="none" w:sz="0" w:space="0" w:color="auto"/>
        <w:right w:val="none" w:sz="0" w:space="0" w:color="auto"/>
      </w:divBdr>
    </w:div>
    <w:div w:id="1571036332">
      <w:bodyDiv w:val="1"/>
      <w:marLeft w:val="0"/>
      <w:marRight w:val="0"/>
      <w:marTop w:val="0"/>
      <w:marBottom w:val="0"/>
      <w:divBdr>
        <w:top w:val="none" w:sz="0" w:space="0" w:color="auto"/>
        <w:left w:val="none" w:sz="0" w:space="0" w:color="auto"/>
        <w:bottom w:val="none" w:sz="0" w:space="0" w:color="auto"/>
        <w:right w:val="none" w:sz="0" w:space="0" w:color="auto"/>
      </w:divBdr>
    </w:div>
    <w:div w:id="1592621952">
      <w:bodyDiv w:val="1"/>
      <w:marLeft w:val="0"/>
      <w:marRight w:val="0"/>
      <w:marTop w:val="0"/>
      <w:marBottom w:val="0"/>
      <w:divBdr>
        <w:top w:val="none" w:sz="0" w:space="0" w:color="auto"/>
        <w:left w:val="none" w:sz="0" w:space="0" w:color="auto"/>
        <w:bottom w:val="none" w:sz="0" w:space="0" w:color="auto"/>
        <w:right w:val="none" w:sz="0" w:space="0" w:color="auto"/>
      </w:divBdr>
    </w:div>
    <w:div w:id="1616446895">
      <w:bodyDiv w:val="1"/>
      <w:marLeft w:val="0"/>
      <w:marRight w:val="0"/>
      <w:marTop w:val="0"/>
      <w:marBottom w:val="0"/>
      <w:divBdr>
        <w:top w:val="none" w:sz="0" w:space="0" w:color="auto"/>
        <w:left w:val="none" w:sz="0" w:space="0" w:color="auto"/>
        <w:bottom w:val="none" w:sz="0" w:space="0" w:color="auto"/>
        <w:right w:val="none" w:sz="0" w:space="0" w:color="auto"/>
      </w:divBdr>
    </w:div>
    <w:div w:id="1630820080">
      <w:bodyDiv w:val="1"/>
      <w:marLeft w:val="0"/>
      <w:marRight w:val="0"/>
      <w:marTop w:val="0"/>
      <w:marBottom w:val="0"/>
      <w:divBdr>
        <w:top w:val="none" w:sz="0" w:space="0" w:color="auto"/>
        <w:left w:val="none" w:sz="0" w:space="0" w:color="auto"/>
        <w:bottom w:val="none" w:sz="0" w:space="0" w:color="auto"/>
        <w:right w:val="none" w:sz="0" w:space="0" w:color="auto"/>
      </w:divBdr>
    </w:div>
    <w:div w:id="1667397267">
      <w:bodyDiv w:val="1"/>
      <w:marLeft w:val="0"/>
      <w:marRight w:val="0"/>
      <w:marTop w:val="0"/>
      <w:marBottom w:val="0"/>
      <w:divBdr>
        <w:top w:val="none" w:sz="0" w:space="0" w:color="auto"/>
        <w:left w:val="none" w:sz="0" w:space="0" w:color="auto"/>
        <w:bottom w:val="none" w:sz="0" w:space="0" w:color="auto"/>
        <w:right w:val="none" w:sz="0" w:space="0" w:color="auto"/>
      </w:divBdr>
    </w:div>
    <w:div w:id="1695493334">
      <w:bodyDiv w:val="1"/>
      <w:marLeft w:val="0"/>
      <w:marRight w:val="0"/>
      <w:marTop w:val="0"/>
      <w:marBottom w:val="0"/>
      <w:divBdr>
        <w:top w:val="none" w:sz="0" w:space="0" w:color="auto"/>
        <w:left w:val="none" w:sz="0" w:space="0" w:color="auto"/>
        <w:bottom w:val="none" w:sz="0" w:space="0" w:color="auto"/>
        <w:right w:val="none" w:sz="0" w:space="0" w:color="auto"/>
      </w:divBdr>
    </w:div>
    <w:div w:id="1764836372">
      <w:bodyDiv w:val="1"/>
      <w:marLeft w:val="0"/>
      <w:marRight w:val="0"/>
      <w:marTop w:val="0"/>
      <w:marBottom w:val="0"/>
      <w:divBdr>
        <w:top w:val="none" w:sz="0" w:space="0" w:color="auto"/>
        <w:left w:val="none" w:sz="0" w:space="0" w:color="auto"/>
        <w:bottom w:val="none" w:sz="0" w:space="0" w:color="auto"/>
        <w:right w:val="none" w:sz="0" w:space="0" w:color="auto"/>
      </w:divBdr>
    </w:div>
    <w:div w:id="1792237447">
      <w:bodyDiv w:val="1"/>
      <w:marLeft w:val="0"/>
      <w:marRight w:val="0"/>
      <w:marTop w:val="0"/>
      <w:marBottom w:val="0"/>
      <w:divBdr>
        <w:top w:val="none" w:sz="0" w:space="0" w:color="auto"/>
        <w:left w:val="none" w:sz="0" w:space="0" w:color="auto"/>
        <w:bottom w:val="none" w:sz="0" w:space="0" w:color="auto"/>
        <w:right w:val="none" w:sz="0" w:space="0" w:color="auto"/>
      </w:divBdr>
    </w:div>
    <w:div w:id="1820343791">
      <w:bodyDiv w:val="1"/>
      <w:marLeft w:val="0"/>
      <w:marRight w:val="0"/>
      <w:marTop w:val="0"/>
      <w:marBottom w:val="0"/>
      <w:divBdr>
        <w:top w:val="none" w:sz="0" w:space="0" w:color="auto"/>
        <w:left w:val="none" w:sz="0" w:space="0" w:color="auto"/>
        <w:bottom w:val="none" w:sz="0" w:space="0" w:color="auto"/>
        <w:right w:val="none" w:sz="0" w:space="0" w:color="auto"/>
      </w:divBdr>
    </w:div>
    <w:div w:id="1850024782">
      <w:bodyDiv w:val="1"/>
      <w:marLeft w:val="0"/>
      <w:marRight w:val="0"/>
      <w:marTop w:val="0"/>
      <w:marBottom w:val="0"/>
      <w:divBdr>
        <w:top w:val="none" w:sz="0" w:space="0" w:color="auto"/>
        <w:left w:val="none" w:sz="0" w:space="0" w:color="auto"/>
        <w:bottom w:val="none" w:sz="0" w:space="0" w:color="auto"/>
        <w:right w:val="none" w:sz="0" w:space="0" w:color="auto"/>
      </w:divBdr>
    </w:div>
    <w:div w:id="1934776569">
      <w:bodyDiv w:val="1"/>
      <w:marLeft w:val="0"/>
      <w:marRight w:val="0"/>
      <w:marTop w:val="0"/>
      <w:marBottom w:val="0"/>
      <w:divBdr>
        <w:top w:val="none" w:sz="0" w:space="0" w:color="auto"/>
        <w:left w:val="none" w:sz="0" w:space="0" w:color="auto"/>
        <w:bottom w:val="none" w:sz="0" w:space="0" w:color="auto"/>
        <w:right w:val="none" w:sz="0" w:space="0" w:color="auto"/>
      </w:divBdr>
    </w:div>
    <w:div w:id="1968851167">
      <w:bodyDiv w:val="1"/>
      <w:marLeft w:val="0"/>
      <w:marRight w:val="0"/>
      <w:marTop w:val="0"/>
      <w:marBottom w:val="0"/>
      <w:divBdr>
        <w:top w:val="none" w:sz="0" w:space="0" w:color="auto"/>
        <w:left w:val="none" w:sz="0" w:space="0" w:color="auto"/>
        <w:bottom w:val="none" w:sz="0" w:space="0" w:color="auto"/>
        <w:right w:val="none" w:sz="0" w:space="0" w:color="auto"/>
      </w:divBdr>
    </w:div>
    <w:div w:id="1985042142">
      <w:bodyDiv w:val="1"/>
      <w:marLeft w:val="0"/>
      <w:marRight w:val="0"/>
      <w:marTop w:val="0"/>
      <w:marBottom w:val="0"/>
      <w:divBdr>
        <w:top w:val="none" w:sz="0" w:space="0" w:color="auto"/>
        <w:left w:val="none" w:sz="0" w:space="0" w:color="auto"/>
        <w:bottom w:val="none" w:sz="0" w:space="0" w:color="auto"/>
        <w:right w:val="none" w:sz="0" w:space="0" w:color="auto"/>
      </w:divBdr>
    </w:div>
    <w:div w:id="2014449641">
      <w:bodyDiv w:val="1"/>
      <w:marLeft w:val="0"/>
      <w:marRight w:val="0"/>
      <w:marTop w:val="0"/>
      <w:marBottom w:val="0"/>
      <w:divBdr>
        <w:top w:val="none" w:sz="0" w:space="0" w:color="auto"/>
        <w:left w:val="none" w:sz="0" w:space="0" w:color="auto"/>
        <w:bottom w:val="none" w:sz="0" w:space="0" w:color="auto"/>
        <w:right w:val="none" w:sz="0" w:space="0" w:color="auto"/>
      </w:divBdr>
    </w:div>
    <w:div w:id="2051832275">
      <w:bodyDiv w:val="1"/>
      <w:marLeft w:val="0"/>
      <w:marRight w:val="0"/>
      <w:marTop w:val="0"/>
      <w:marBottom w:val="0"/>
      <w:divBdr>
        <w:top w:val="none" w:sz="0" w:space="0" w:color="auto"/>
        <w:left w:val="none" w:sz="0" w:space="0" w:color="auto"/>
        <w:bottom w:val="none" w:sz="0" w:space="0" w:color="auto"/>
        <w:right w:val="none" w:sz="0" w:space="0" w:color="auto"/>
      </w:divBdr>
    </w:div>
    <w:div w:id="2073043914">
      <w:bodyDiv w:val="1"/>
      <w:marLeft w:val="0"/>
      <w:marRight w:val="0"/>
      <w:marTop w:val="0"/>
      <w:marBottom w:val="0"/>
      <w:divBdr>
        <w:top w:val="none" w:sz="0" w:space="0" w:color="auto"/>
        <w:left w:val="none" w:sz="0" w:space="0" w:color="auto"/>
        <w:bottom w:val="none" w:sz="0" w:space="0" w:color="auto"/>
        <w:right w:val="none" w:sz="0" w:space="0" w:color="auto"/>
      </w:divBdr>
    </w:div>
    <w:div w:id="2073850296">
      <w:bodyDiv w:val="1"/>
      <w:marLeft w:val="0"/>
      <w:marRight w:val="0"/>
      <w:marTop w:val="0"/>
      <w:marBottom w:val="0"/>
      <w:divBdr>
        <w:top w:val="none" w:sz="0" w:space="0" w:color="auto"/>
        <w:left w:val="none" w:sz="0" w:space="0" w:color="auto"/>
        <w:bottom w:val="none" w:sz="0" w:space="0" w:color="auto"/>
        <w:right w:val="none" w:sz="0" w:space="0" w:color="auto"/>
      </w:divBdr>
    </w:div>
    <w:div w:id="2088384226">
      <w:bodyDiv w:val="1"/>
      <w:marLeft w:val="0"/>
      <w:marRight w:val="0"/>
      <w:marTop w:val="0"/>
      <w:marBottom w:val="0"/>
      <w:divBdr>
        <w:top w:val="none" w:sz="0" w:space="0" w:color="auto"/>
        <w:left w:val="none" w:sz="0" w:space="0" w:color="auto"/>
        <w:bottom w:val="none" w:sz="0" w:space="0" w:color="auto"/>
        <w:right w:val="none" w:sz="0" w:space="0" w:color="auto"/>
      </w:divBdr>
    </w:div>
    <w:div w:id="2097313708">
      <w:bodyDiv w:val="1"/>
      <w:marLeft w:val="0"/>
      <w:marRight w:val="0"/>
      <w:marTop w:val="0"/>
      <w:marBottom w:val="0"/>
      <w:divBdr>
        <w:top w:val="none" w:sz="0" w:space="0" w:color="auto"/>
        <w:left w:val="none" w:sz="0" w:space="0" w:color="auto"/>
        <w:bottom w:val="none" w:sz="0" w:space="0" w:color="auto"/>
        <w:right w:val="none" w:sz="0" w:space="0" w:color="auto"/>
      </w:divBdr>
    </w:div>
    <w:div w:id="2102557387">
      <w:bodyDiv w:val="1"/>
      <w:marLeft w:val="0"/>
      <w:marRight w:val="0"/>
      <w:marTop w:val="0"/>
      <w:marBottom w:val="0"/>
      <w:divBdr>
        <w:top w:val="none" w:sz="0" w:space="0" w:color="auto"/>
        <w:left w:val="none" w:sz="0" w:space="0" w:color="auto"/>
        <w:bottom w:val="none" w:sz="0" w:space="0" w:color="auto"/>
        <w:right w:val="none" w:sz="0" w:space="0" w:color="auto"/>
      </w:divBdr>
    </w:div>
    <w:div w:id="2107844034">
      <w:bodyDiv w:val="1"/>
      <w:marLeft w:val="0"/>
      <w:marRight w:val="0"/>
      <w:marTop w:val="0"/>
      <w:marBottom w:val="0"/>
      <w:divBdr>
        <w:top w:val="none" w:sz="0" w:space="0" w:color="auto"/>
        <w:left w:val="none" w:sz="0" w:space="0" w:color="auto"/>
        <w:bottom w:val="none" w:sz="0" w:space="0" w:color="auto"/>
        <w:right w:val="none" w:sz="0" w:space="0" w:color="auto"/>
      </w:divBdr>
    </w:div>
    <w:div w:id="212626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18" Type="http://schemas.openxmlformats.org/officeDocument/2006/relationships/chart" Target="charts/chart1.xm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chart" Target="charts/chart4.xml"/><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footer" Target="footer2.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chart" Target="charts/chart7.xml"/><Relationship Id="rId5" Type="http://schemas.openxmlformats.org/officeDocument/2006/relationships/settings" Target="settings.xml"/><Relationship Id="rId15" Type="http://schemas.openxmlformats.org/officeDocument/2006/relationships/image" Target="media/image8.emf"/><Relationship Id="rId23" Type="http://schemas.openxmlformats.org/officeDocument/2006/relationships/chart" Target="charts/chart6.xml"/><Relationship Id="rId28"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7.emf"/><Relationship Id="rId22" Type="http://schemas.openxmlformats.org/officeDocument/2006/relationships/chart" Target="charts/chart5.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image" Target="media/image4.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oleObject" Target="file:///C:\Users\Arturo\Documents\Arturo\Publicaciones\AECPA2013\analis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rturo\Documents\Arturo\Publicaciones\AECPA2013\analise.xlsx"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Fig. 7 PSOE's vote over census in the SGEs</a:t>
            </a:r>
          </a:p>
        </c:rich>
      </c:tx>
      <c:overlay val="0"/>
    </c:title>
    <c:autoTitleDeleted val="0"/>
    <c:plotArea>
      <c:layout>
        <c:manualLayout>
          <c:layoutTarget val="inner"/>
          <c:xMode val="edge"/>
          <c:yMode val="edge"/>
          <c:x val="0.14051947210302415"/>
          <c:y val="0.15163084344186706"/>
          <c:w val="0.84050252977637052"/>
          <c:h val="0.69277548414556289"/>
        </c:manualLayout>
      </c:layout>
      <c:lineChart>
        <c:grouping val="standard"/>
        <c:varyColors val="0"/>
        <c:ser>
          <c:idx val="0"/>
          <c:order val="0"/>
          <c:tx>
            <c:strRef>
              <c:f>Hoja1!$A$2</c:f>
              <c:strCache>
                <c:ptCount val="1"/>
                <c:pt idx="0">
                  <c:v>MR</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Hoja1!$B$4:$L$4</c:f>
              <c:numCache>
                <c:formatCode>0.00</c:formatCode>
                <c:ptCount val="11"/>
                <c:pt idx="0">
                  <c:v>18.492433386765104</c:v>
                </c:pt>
                <c:pt idx="1">
                  <c:v>19.234921187409874</c:v>
                </c:pt>
                <c:pt idx="2">
                  <c:v>32.574138111841258</c:v>
                </c:pt>
                <c:pt idx="3">
                  <c:v>31.286786125656022</c:v>
                </c:pt>
                <c:pt idx="4">
                  <c:v>31.033407248322412</c:v>
                </c:pt>
                <c:pt idx="5">
                  <c:v>32.874936074279802</c:v>
                </c:pt>
                <c:pt idx="6">
                  <c:v>33.153147579546946</c:v>
                </c:pt>
                <c:pt idx="7">
                  <c:v>26.539455223822181</c:v>
                </c:pt>
                <c:pt idx="8">
                  <c:v>33.195368639752644</c:v>
                </c:pt>
                <c:pt idx="9">
                  <c:v>33.878822050508766</c:v>
                </c:pt>
                <c:pt idx="10">
                  <c:v>22.252156314991968</c:v>
                </c:pt>
              </c:numCache>
            </c:numRef>
          </c:val>
          <c:smooth val="0"/>
        </c:ser>
        <c:ser>
          <c:idx val="1"/>
          <c:order val="1"/>
          <c:tx>
            <c:strRef>
              <c:f>Hoja1!$A$13</c:f>
              <c:strCache>
                <c:ptCount val="1"/>
                <c:pt idx="0">
                  <c:v>AR</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Hoja1!$B$15:$L$15</c:f>
              <c:numCache>
                <c:formatCode>0.00</c:formatCode>
                <c:ptCount val="11"/>
                <c:pt idx="0">
                  <c:v>15.357584071940586</c:v>
                </c:pt>
                <c:pt idx="1">
                  <c:v>17.521914577011302</c:v>
                </c:pt>
                <c:pt idx="2">
                  <c:v>30.697414194044427</c:v>
                </c:pt>
                <c:pt idx="3">
                  <c:v>32.371107711694201</c:v>
                </c:pt>
                <c:pt idx="4">
                  <c:v>32.2129168881646</c:v>
                </c:pt>
                <c:pt idx="5">
                  <c:v>34.536957066586368</c:v>
                </c:pt>
                <c:pt idx="6">
                  <c:v>35.733070878846064</c:v>
                </c:pt>
                <c:pt idx="7">
                  <c:v>29.739631344800824</c:v>
                </c:pt>
                <c:pt idx="8">
                  <c:v>37.637826150067205</c:v>
                </c:pt>
                <c:pt idx="9">
                  <c:v>38.237038587677063</c:v>
                </c:pt>
                <c:pt idx="10">
                  <c:v>27.976951736253625</c:v>
                </c:pt>
              </c:numCache>
            </c:numRef>
          </c:val>
          <c:smooth val="0"/>
        </c:ser>
        <c:ser>
          <c:idx val="2"/>
          <c:order val="2"/>
          <c:tx>
            <c:strRef>
              <c:f>Hoja1!$A$24</c:f>
              <c:strCache>
                <c:ptCount val="1"/>
                <c:pt idx="0">
                  <c:v>DR</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Hoja1!$B$26:$L$26</c:f>
              <c:numCache>
                <c:formatCode>0.00</c:formatCode>
                <c:ptCount val="11"/>
                <c:pt idx="0">
                  <c:v>13.785845859513746</c:v>
                </c:pt>
                <c:pt idx="1">
                  <c:v>16.03153399962099</c:v>
                </c:pt>
                <c:pt idx="2">
                  <c:v>28.391838395483482</c:v>
                </c:pt>
                <c:pt idx="3">
                  <c:v>30.01194336711842</c:v>
                </c:pt>
                <c:pt idx="4">
                  <c:v>31.219479241625425</c:v>
                </c:pt>
                <c:pt idx="5">
                  <c:v>34.827111700753989</c:v>
                </c:pt>
                <c:pt idx="6">
                  <c:v>34.594734467218998</c:v>
                </c:pt>
                <c:pt idx="7">
                  <c:v>27.984517248698221</c:v>
                </c:pt>
                <c:pt idx="8">
                  <c:v>33.874526889117249</c:v>
                </c:pt>
                <c:pt idx="9">
                  <c:v>35.724076307779846</c:v>
                </c:pt>
                <c:pt idx="10">
                  <c:v>25.675576723116638</c:v>
                </c:pt>
              </c:numCache>
            </c:numRef>
          </c:val>
          <c:smooth val="0"/>
        </c:ser>
        <c:ser>
          <c:idx val="3"/>
          <c:order val="3"/>
          <c:tx>
            <c:strRef>
              <c:f>Hoja1!$A$35</c:f>
              <c:strCache>
                <c:ptCount val="1"/>
                <c:pt idx="0">
                  <c:v>SUA</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Hoja1!$B$37:$L$37</c:f>
              <c:numCache>
                <c:formatCode>0.00</c:formatCode>
                <c:ptCount val="11"/>
                <c:pt idx="0">
                  <c:v>23.638283140975389</c:v>
                </c:pt>
                <c:pt idx="1">
                  <c:v>21.945763170656168</c:v>
                </c:pt>
                <c:pt idx="2">
                  <c:v>37.150094261988059</c:v>
                </c:pt>
                <c:pt idx="3">
                  <c:v>28.494270523596921</c:v>
                </c:pt>
                <c:pt idx="4">
                  <c:v>31.596950073146143</c:v>
                </c:pt>
                <c:pt idx="5">
                  <c:v>32.760364077652234</c:v>
                </c:pt>
                <c:pt idx="6">
                  <c:v>32.58485880181594</c:v>
                </c:pt>
                <c:pt idx="7">
                  <c:v>25.187771793691113</c:v>
                </c:pt>
                <c:pt idx="8">
                  <c:v>32.742885836993629</c:v>
                </c:pt>
                <c:pt idx="9">
                  <c:v>32.928701613504892</c:v>
                </c:pt>
                <c:pt idx="10">
                  <c:v>20.886951519274128</c:v>
                </c:pt>
              </c:numCache>
            </c:numRef>
          </c:val>
          <c:smooth val="0"/>
        </c:ser>
        <c:ser>
          <c:idx val="4"/>
          <c:order val="4"/>
          <c:tx>
            <c:strRef>
              <c:f>Hoja1!$A$46</c:f>
              <c:strCache>
                <c:ptCount val="1"/>
                <c:pt idx="0">
                  <c:v>Peripheries</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Hoja1!$B$48:$L$48</c:f>
              <c:numCache>
                <c:formatCode>0.00</c:formatCode>
                <c:ptCount val="11"/>
                <c:pt idx="0">
                  <c:v>28.263660621762181</c:v>
                </c:pt>
                <c:pt idx="1">
                  <c:v>23.745525570872402</c:v>
                </c:pt>
                <c:pt idx="2">
                  <c:v>43.549254211090286</c:v>
                </c:pt>
                <c:pt idx="3">
                  <c:v>34.404382964573792</c:v>
                </c:pt>
                <c:pt idx="4">
                  <c:v>29.329324433271349</c:v>
                </c:pt>
                <c:pt idx="5">
                  <c:v>31.352872669058396</c:v>
                </c:pt>
                <c:pt idx="6">
                  <c:v>30.40781436413744</c:v>
                </c:pt>
                <c:pt idx="7">
                  <c:v>24.127854720868733</c:v>
                </c:pt>
                <c:pt idx="8">
                  <c:v>33.777569410025947</c:v>
                </c:pt>
                <c:pt idx="9">
                  <c:v>33.201652394828862</c:v>
                </c:pt>
                <c:pt idx="10">
                  <c:v>19.883841724342346</c:v>
                </c:pt>
              </c:numCache>
            </c:numRef>
          </c:val>
          <c:smooth val="0"/>
        </c:ser>
        <c:ser>
          <c:idx val="5"/>
          <c:order val="5"/>
          <c:tx>
            <c:strRef>
              <c:f>Hoja1!$A$57</c:f>
              <c:strCache>
                <c:ptCount val="1"/>
                <c:pt idx="0">
                  <c:v>Cities</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Hoja1!$B$59:$L$59</c:f>
              <c:numCache>
                <c:formatCode>0.00</c:formatCode>
                <c:ptCount val="11"/>
                <c:pt idx="0">
                  <c:v>23.371882585932237</c:v>
                </c:pt>
                <c:pt idx="1">
                  <c:v>19.429485003409315</c:v>
                </c:pt>
                <c:pt idx="2">
                  <c:v>38.303423449047969</c:v>
                </c:pt>
                <c:pt idx="3">
                  <c:v>26.983548457878378</c:v>
                </c:pt>
                <c:pt idx="4">
                  <c:v>22.941509834448294</c:v>
                </c:pt>
                <c:pt idx="5">
                  <c:v>25.674724118500038</c:v>
                </c:pt>
                <c:pt idx="6">
                  <c:v>24.824751257774768</c:v>
                </c:pt>
                <c:pt idx="7">
                  <c:v>21.166178869838618</c:v>
                </c:pt>
                <c:pt idx="8">
                  <c:v>31.083695844679326</c:v>
                </c:pt>
                <c:pt idx="9">
                  <c:v>31.181684819474938</c:v>
                </c:pt>
                <c:pt idx="10">
                  <c:v>18.93433137243802</c:v>
                </c:pt>
              </c:numCache>
            </c:numRef>
          </c:val>
          <c:smooth val="0"/>
        </c:ser>
        <c:dLbls>
          <c:showLegendKey val="0"/>
          <c:showVal val="0"/>
          <c:showCatName val="0"/>
          <c:showSerName val="0"/>
          <c:showPercent val="0"/>
          <c:showBubbleSize val="0"/>
        </c:dLbls>
        <c:marker val="1"/>
        <c:smooth val="0"/>
        <c:axId val="624748416"/>
        <c:axId val="624749952"/>
      </c:lineChart>
      <c:catAx>
        <c:axId val="624748416"/>
        <c:scaling>
          <c:orientation val="minMax"/>
        </c:scaling>
        <c:delete val="0"/>
        <c:axPos val="b"/>
        <c:numFmt formatCode="General" sourceLinked="1"/>
        <c:majorTickMark val="none"/>
        <c:minorTickMark val="none"/>
        <c:tickLblPos val="nextTo"/>
        <c:crossAx val="624749952"/>
        <c:crosses val="autoZero"/>
        <c:auto val="1"/>
        <c:lblAlgn val="ctr"/>
        <c:lblOffset val="100"/>
        <c:noMultiLvlLbl val="0"/>
      </c:catAx>
      <c:valAx>
        <c:axId val="624749952"/>
        <c:scaling>
          <c:orientation val="minMax"/>
          <c:max val="50"/>
        </c:scaling>
        <c:delete val="0"/>
        <c:axPos val="l"/>
        <c:majorGridlines/>
        <c:title>
          <c:tx>
            <c:rich>
              <a:bodyPr/>
              <a:lstStyle/>
              <a:p>
                <a:pPr>
                  <a:defRPr/>
                </a:pPr>
                <a:r>
                  <a:rPr lang="es-ES"/>
                  <a:t>Percentage</a:t>
                </a:r>
              </a:p>
            </c:rich>
          </c:tx>
          <c:overlay val="0"/>
        </c:title>
        <c:numFmt formatCode="0.00" sourceLinked="1"/>
        <c:majorTickMark val="none"/>
        <c:minorTickMark val="none"/>
        <c:tickLblPos val="nextTo"/>
        <c:crossAx val="624748416"/>
        <c:crosses val="autoZero"/>
        <c:crossBetween val="between"/>
      </c:valAx>
    </c:plotArea>
    <c:legend>
      <c:legendPos val="r"/>
      <c:layout>
        <c:manualLayout>
          <c:xMode val="edge"/>
          <c:yMode val="edge"/>
          <c:x val="5.2156628569576952E-2"/>
          <c:y val="0.9245523549743534"/>
          <c:w val="0.9290309081735153"/>
          <c:h val="5.9450379513371648E-2"/>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sz="1800" b="1" i="0" baseline="0">
                <a:effectLst/>
              </a:rPr>
              <a:t>Fig. 8 PP's vote over census in the SGEs</a:t>
            </a:r>
            <a:endParaRPr lang="es-ES">
              <a:effectLst/>
            </a:endParaRPr>
          </a:p>
        </c:rich>
      </c:tx>
      <c:overlay val="0"/>
    </c:title>
    <c:autoTitleDeleted val="0"/>
    <c:plotArea>
      <c:layout>
        <c:manualLayout>
          <c:layoutTarget val="inner"/>
          <c:xMode val="edge"/>
          <c:yMode val="edge"/>
          <c:x val="0.14053599602965905"/>
          <c:y val="0.15152163865724921"/>
          <c:w val="0.82399940748147227"/>
          <c:h val="0.68984799208345271"/>
        </c:manualLayout>
      </c:layout>
      <c:lineChart>
        <c:grouping val="standard"/>
        <c:varyColors val="0"/>
        <c:ser>
          <c:idx val="0"/>
          <c:order val="0"/>
          <c:tx>
            <c:strRef>
              <c:f>Hoja1!$A$2</c:f>
              <c:strCache>
                <c:ptCount val="1"/>
                <c:pt idx="0">
                  <c:v>MR</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Hoja1!$B$5:$L$5</c:f>
              <c:numCache>
                <c:formatCode>0.00</c:formatCode>
                <c:ptCount val="11"/>
                <c:pt idx="0">
                  <c:v>6.7845169880406093</c:v>
                </c:pt>
                <c:pt idx="1">
                  <c:v>3.3522699020436577</c:v>
                </c:pt>
                <c:pt idx="2">
                  <c:v>20.023737102611054</c:v>
                </c:pt>
                <c:pt idx="3">
                  <c:v>17.140365159545347</c:v>
                </c:pt>
                <c:pt idx="4">
                  <c:v>19.012136248051558</c:v>
                </c:pt>
                <c:pt idx="5">
                  <c:v>26.500491061606731</c:v>
                </c:pt>
                <c:pt idx="6">
                  <c:v>29.563773690408414</c:v>
                </c:pt>
                <c:pt idx="7">
                  <c:v>31.616071712241187</c:v>
                </c:pt>
                <c:pt idx="8">
                  <c:v>29.05860909230956</c:v>
                </c:pt>
                <c:pt idx="9">
                  <c:v>29.378595433281301</c:v>
                </c:pt>
                <c:pt idx="10">
                  <c:v>32.012628431723414</c:v>
                </c:pt>
              </c:numCache>
            </c:numRef>
          </c:val>
          <c:smooth val="0"/>
        </c:ser>
        <c:ser>
          <c:idx val="1"/>
          <c:order val="1"/>
          <c:tx>
            <c:strRef>
              <c:f>Hoja1!$A$13</c:f>
              <c:strCache>
                <c:ptCount val="1"/>
                <c:pt idx="0">
                  <c:v>AR</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Hoja1!$B$16:$L$16</c:f>
              <c:numCache>
                <c:formatCode>0.00</c:formatCode>
                <c:ptCount val="11"/>
                <c:pt idx="0">
                  <c:v>7.420129860801862</c:v>
                </c:pt>
                <c:pt idx="1">
                  <c:v>3.9142456122110816</c:v>
                </c:pt>
                <c:pt idx="2">
                  <c:v>20.694857048711043</c:v>
                </c:pt>
                <c:pt idx="3">
                  <c:v>21.238698180318721</c:v>
                </c:pt>
                <c:pt idx="4">
                  <c:v>22.245074031146242</c:v>
                </c:pt>
                <c:pt idx="5">
                  <c:v>30.538781795266164</c:v>
                </c:pt>
                <c:pt idx="6">
                  <c:v>33.554196672349597</c:v>
                </c:pt>
                <c:pt idx="7">
                  <c:v>34.755353297602177</c:v>
                </c:pt>
                <c:pt idx="8">
                  <c:v>31.97415871615495</c:v>
                </c:pt>
                <c:pt idx="9">
                  <c:v>31.288232968157608</c:v>
                </c:pt>
                <c:pt idx="10">
                  <c:v>35.295528946152643</c:v>
                </c:pt>
              </c:numCache>
            </c:numRef>
          </c:val>
          <c:smooth val="0"/>
        </c:ser>
        <c:ser>
          <c:idx val="2"/>
          <c:order val="2"/>
          <c:tx>
            <c:strRef>
              <c:f>Hoja1!$A$24</c:f>
              <c:strCache>
                <c:ptCount val="1"/>
                <c:pt idx="0">
                  <c:v>DR</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Hoja1!$B$27:$L$27</c:f>
              <c:numCache>
                <c:formatCode>0.00</c:formatCode>
                <c:ptCount val="11"/>
                <c:pt idx="0">
                  <c:v>8.2221663408058241</c:v>
                </c:pt>
                <c:pt idx="1">
                  <c:v>4.1853253301914002</c:v>
                </c:pt>
                <c:pt idx="2">
                  <c:v>20.022605191847436</c:v>
                </c:pt>
                <c:pt idx="3">
                  <c:v>22.474179493292802</c:v>
                </c:pt>
                <c:pt idx="4">
                  <c:v>23.602073634587988</c:v>
                </c:pt>
                <c:pt idx="5">
                  <c:v>32.229799527047895</c:v>
                </c:pt>
                <c:pt idx="6">
                  <c:v>36.085204279009773</c:v>
                </c:pt>
                <c:pt idx="7">
                  <c:v>38.717122420462083</c:v>
                </c:pt>
                <c:pt idx="8">
                  <c:v>37.086585307164675</c:v>
                </c:pt>
                <c:pt idx="9">
                  <c:v>35.715111299466841</c:v>
                </c:pt>
                <c:pt idx="10">
                  <c:v>39.373025336584007</c:v>
                </c:pt>
              </c:numCache>
            </c:numRef>
          </c:val>
          <c:smooth val="0"/>
        </c:ser>
        <c:ser>
          <c:idx val="3"/>
          <c:order val="3"/>
          <c:tx>
            <c:strRef>
              <c:f>Hoja1!$A$35</c:f>
              <c:strCache>
                <c:ptCount val="1"/>
                <c:pt idx="0">
                  <c:v>SUA</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Hoja1!$B$38:$L$38</c:f>
              <c:numCache>
                <c:formatCode>0.00</c:formatCode>
                <c:ptCount val="11"/>
                <c:pt idx="0">
                  <c:v>6.2825484200962709</c:v>
                </c:pt>
                <c:pt idx="1">
                  <c:v>3.4758587226543511</c:v>
                </c:pt>
                <c:pt idx="2">
                  <c:v>19.794172598290725</c:v>
                </c:pt>
                <c:pt idx="3">
                  <c:v>21.289598182189362</c:v>
                </c:pt>
                <c:pt idx="4">
                  <c:v>16.668461125127966</c:v>
                </c:pt>
                <c:pt idx="5">
                  <c:v>25.830304327432081</c:v>
                </c:pt>
                <c:pt idx="6">
                  <c:v>28.829160962590858</c:v>
                </c:pt>
                <c:pt idx="7">
                  <c:v>30.962032251008459</c:v>
                </c:pt>
                <c:pt idx="8">
                  <c:v>28.878673137841695</c:v>
                </c:pt>
                <c:pt idx="9">
                  <c:v>30.289884455003708</c:v>
                </c:pt>
                <c:pt idx="10">
                  <c:v>32.856948273408648</c:v>
                </c:pt>
              </c:numCache>
            </c:numRef>
          </c:val>
          <c:smooth val="0"/>
        </c:ser>
        <c:ser>
          <c:idx val="4"/>
          <c:order val="4"/>
          <c:tx>
            <c:strRef>
              <c:f>Hoja1!$A$46</c:f>
              <c:strCache>
                <c:ptCount val="1"/>
                <c:pt idx="0">
                  <c:v>Peripheries</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Hoja1!$B$49:$L$49</c:f>
              <c:numCache>
                <c:formatCode>0.00</c:formatCode>
                <c:ptCount val="11"/>
                <c:pt idx="0">
                  <c:v>3.5659243303759123</c:v>
                </c:pt>
                <c:pt idx="1">
                  <c:v>2.3140958944056753</c:v>
                </c:pt>
                <c:pt idx="2">
                  <c:v>15.505913886699426</c:v>
                </c:pt>
                <c:pt idx="3">
                  <c:v>13.04710953196445</c:v>
                </c:pt>
                <c:pt idx="4">
                  <c:v>11.827510395803383</c:v>
                </c:pt>
                <c:pt idx="5">
                  <c:v>20.823312190185604</c:v>
                </c:pt>
                <c:pt idx="6">
                  <c:v>24.618360559827668</c:v>
                </c:pt>
                <c:pt idx="7">
                  <c:v>26.039715974539376</c:v>
                </c:pt>
                <c:pt idx="8">
                  <c:v>24.264479462411199</c:v>
                </c:pt>
                <c:pt idx="9">
                  <c:v>26.69102094197774</c:v>
                </c:pt>
                <c:pt idx="10">
                  <c:v>28.483051832819001</c:v>
                </c:pt>
              </c:numCache>
            </c:numRef>
          </c:val>
          <c:smooth val="0"/>
        </c:ser>
        <c:ser>
          <c:idx val="5"/>
          <c:order val="5"/>
          <c:tx>
            <c:strRef>
              <c:f>Hoja1!$A$57</c:f>
              <c:strCache>
                <c:ptCount val="1"/>
                <c:pt idx="0">
                  <c:v>Cities</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Hoja1!$B$60:$L$60</c:f>
              <c:numCache>
                <c:formatCode>0.00</c:formatCode>
                <c:ptCount val="11"/>
                <c:pt idx="0">
                  <c:v>7.259785247280778</c:v>
                </c:pt>
                <c:pt idx="1">
                  <c:v>5.4156417996494115</c:v>
                </c:pt>
                <c:pt idx="2">
                  <c:v>24.360641998199629</c:v>
                </c:pt>
                <c:pt idx="3">
                  <c:v>13.832046335617971</c:v>
                </c:pt>
                <c:pt idx="4">
                  <c:v>20.669063090951585</c:v>
                </c:pt>
                <c:pt idx="5">
                  <c:v>29.856323478446431</c:v>
                </c:pt>
                <c:pt idx="6">
                  <c:v>33.675881888659319</c:v>
                </c:pt>
                <c:pt idx="7">
                  <c:v>33.224440174032893</c:v>
                </c:pt>
                <c:pt idx="8">
                  <c:v>31.025099216981793</c:v>
                </c:pt>
                <c:pt idx="9">
                  <c:v>32.211168463856325</c:v>
                </c:pt>
                <c:pt idx="10">
                  <c:v>32.632368440669858</c:v>
                </c:pt>
              </c:numCache>
            </c:numRef>
          </c:val>
          <c:smooth val="0"/>
        </c:ser>
        <c:dLbls>
          <c:showLegendKey val="0"/>
          <c:showVal val="0"/>
          <c:showCatName val="0"/>
          <c:showSerName val="0"/>
          <c:showPercent val="0"/>
          <c:showBubbleSize val="0"/>
        </c:dLbls>
        <c:marker val="1"/>
        <c:smooth val="0"/>
        <c:axId val="626638208"/>
        <c:axId val="626644096"/>
      </c:lineChart>
      <c:catAx>
        <c:axId val="626638208"/>
        <c:scaling>
          <c:orientation val="minMax"/>
        </c:scaling>
        <c:delete val="0"/>
        <c:axPos val="b"/>
        <c:numFmt formatCode="General" sourceLinked="1"/>
        <c:majorTickMark val="none"/>
        <c:minorTickMark val="none"/>
        <c:tickLblPos val="nextTo"/>
        <c:crossAx val="626644096"/>
        <c:crosses val="autoZero"/>
        <c:auto val="1"/>
        <c:lblAlgn val="ctr"/>
        <c:lblOffset val="100"/>
        <c:noMultiLvlLbl val="0"/>
      </c:catAx>
      <c:valAx>
        <c:axId val="626644096"/>
        <c:scaling>
          <c:orientation val="minMax"/>
          <c:max val="50"/>
        </c:scaling>
        <c:delete val="0"/>
        <c:axPos val="l"/>
        <c:majorGridlines/>
        <c:title>
          <c:tx>
            <c:rich>
              <a:bodyPr/>
              <a:lstStyle/>
              <a:p>
                <a:pPr>
                  <a:defRPr/>
                </a:pPr>
                <a:r>
                  <a:rPr lang="es-ES"/>
                  <a:t>Percentage</a:t>
                </a:r>
              </a:p>
            </c:rich>
          </c:tx>
          <c:overlay val="0"/>
        </c:title>
        <c:numFmt formatCode="0.00" sourceLinked="1"/>
        <c:majorTickMark val="none"/>
        <c:minorTickMark val="none"/>
        <c:tickLblPos val="nextTo"/>
        <c:crossAx val="626638208"/>
        <c:crosses val="autoZero"/>
        <c:crossBetween val="between"/>
      </c:valAx>
    </c:plotArea>
    <c:legend>
      <c:legendPos val="r"/>
      <c:layout>
        <c:manualLayout>
          <c:xMode val="edge"/>
          <c:yMode val="edge"/>
          <c:x val="4.2750396941123092E-2"/>
          <c:y val="0.90358427918872397"/>
          <c:w val="0.92432779235928841"/>
          <c:h val="7.386479392778604E-2"/>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sz="1800" b="1" i="0" baseline="0">
                <a:effectLst/>
              </a:rPr>
              <a:t>Fig. 9 Other right-wing parties' vote over census in the SGEs</a:t>
            </a:r>
            <a:endParaRPr lang="es-ES">
              <a:effectLst/>
            </a:endParaRPr>
          </a:p>
        </c:rich>
      </c:tx>
      <c:overlay val="0"/>
    </c:title>
    <c:autoTitleDeleted val="0"/>
    <c:plotArea>
      <c:layout>
        <c:manualLayout>
          <c:layoutTarget val="inner"/>
          <c:xMode val="edge"/>
          <c:yMode val="edge"/>
          <c:x val="0.14051947210302415"/>
          <c:y val="0.23081989075689863"/>
          <c:w val="0.83579941396214363"/>
          <c:h val="0.5847887172187739"/>
        </c:manualLayout>
      </c:layout>
      <c:lineChart>
        <c:grouping val="standard"/>
        <c:varyColors val="0"/>
        <c:ser>
          <c:idx val="0"/>
          <c:order val="0"/>
          <c:tx>
            <c:strRef>
              <c:f>Hoja1!$A$2</c:f>
              <c:strCache>
                <c:ptCount val="1"/>
                <c:pt idx="0">
                  <c:v>MR</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Hoja1!$B$6:$L$6</c:f>
              <c:numCache>
                <c:formatCode>0.00</c:formatCode>
                <c:ptCount val="11"/>
                <c:pt idx="0">
                  <c:v>32.814424034454369</c:v>
                </c:pt>
                <c:pt idx="1">
                  <c:v>29.946820148177615</c:v>
                </c:pt>
                <c:pt idx="2">
                  <c:v>11.477911769902592</c:v>
                </c:pt>
                <c:pt idx="3">
                  <c:v>6.1903145905342392</c:v>
                </c:pt>
                <c:pt idx="4">
                  <c:v>6.0808309807852163</c:v>
                </c:pt>
                <c:pt idx="5">
                  <c:v>1.4352740357662426</c:v>
                </c:pt>
                <c:pt idx="6">
                  <c:v>0.1650810682405135</c:v>
                </c:pt>
                <c:pt idx="7">
                  <c:v>0.31259914052503213</c:v>
                </c:pt>
                <c:pt idx="8">
                  <c:v>0.20624267516994516</c:v>
                </c:pt>
                <c:pt idx="9">
                  <c:v>0.52726938517385824</c:v>
                </c:pt>
                <c:pt idx="10">
                  <c:v>2.1471875592326661</c:v>
                </c:pt>
              </c:numCache>
            </c:numRef>
          </c:val>
          <c:smooth val="0"/>
        </c:ser>
        <c:ser>
          <c:idx val="1"/>
          <c:order val="1"/>
          <c:tx>
            <c:strRef>
              <c:f>Hoja1!$A$13</c:f>
              <c:strCache>
                <c:ptCount val="1"/>
                <c:pt idx="0">
                  <c:v>AR</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Hoja1!$B$17:$L$17</c:f>
              <c:numCache>
                <c:formatCode>0.00</c:formatCode>
                <c:ptCount val="11"/>
                <c:pt idx="0">
                  <c:v>37.067429934064037</c:v>
                </c:pt>
                <c:pt idx="1">
                  <c:v>31.158012385228698</c:v>
                </c:pt>
                <c:pt idx="2">
                  <c:v>13.552527025937005</c:v>
                </c:pt>
                <c:pt idx="3">
                  <c:v>6.6474380139074922</c:v>
                </c:pt>
                <c:pt idx="4">
                  <c:v>5.8597460544318469</c:v>
                </c:pt>
                <c:pt idx="5">
                  <c:v>1.513154454627905</c:v>
                </c:pt>
                <c:pt idx="6">
                  <c:v>0.19970922050658735</c:v>
                </c:pt>
                <c:pt idx="7">
                  <c:v>0.26634409033109013</c:v>
                </c:pt>
                <c:pt idx="8">
                  <c:v>0.1885124295670435</c:v>
                </c:pt>
                <c:pt idx="9">
                  <c:v>0.3669201963110274</c:v>
                </c:pt>
                <c:pt idx="10">
                  <c:v>1.6865840625142514</c:v>
                </c:pt>
              </c:numCache>
            </c:numRef>
          </c:val>
          <c:smooth val="0"/>
        </c:ser>
        <c:ser>
          <c:idx val="2"/>
          <c:order val="2"/>
          <c:tx>
            <c:strRef>
              <c:f>Hoja1!$A$24</c:f>
              <c:strCache>
                <c:ptCount val="1"/>
                <c:pt idx="0">
                  <c:v>DR</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Hoja1!$B$28:$L$28</c:f>
              <c:numCache>
                <c:formatCode>0.00</c:formatCode>
                <c:ptCount val="11"/>
                <c:pt idx="0">
                  <c:v>38.602048582855367</c:v>
                </c:pt>
                <c:pt idx="1">
                  <c:v>32.937210078356088</c:v>
                </c:pt>
                <c:pt idx="2">
                  <c:v>16.592267328998787</c:v>
                </c:pt>
                <c:pt idx="3">
                  <c:v>7.7739240280867969</c:v>
                </c:pt>
                <c:pt idx="4">
                  <c:v>6.7951771841452135</c:v>
                </c:pt>
                <c:pt idx="5">
                  <c:v>1.9625106971232966</c:v>
                </c:pt>
                <c:pt idx="6">
                  <c:v>0.22278194854708963</c:v>
                </c:pt>
                <c:pt idx="7">
                  <c:v>0.29728168041817621</c:v>
                </c:pt>
                <c:pt idx="8">
                  <c:v>0.19886934637803011</c:v>
                </c:pt>
                <c:pt idx="9">
                  <c:v>0.42439312080089381</c:v>
                </c:pt>
                <c:pt idx="10">
                  <c:v>1.8816485313013296</c:v>
                </c:pt>
              </c:numCache>
            </c:numRef>
          </c:val>
          <c:smooth val="0"/>
        </c:ser>
        <c:ser>
          <c:idx val="3"/>
          <c:order val="3"/>
          <c:tx>
            <c:strRef>
              <c:f>Hoja1!$A$35</c:f>
              <c:strCache>
                <c:ptCount val="1"/>
                <c:pt idx="0">
                  <c:v>SUA</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Hoja1!$B$39:$L$39</c:f>
              <c:numCache>
                <c:formatCode>0.00</c:formatCode>
                <c:ptCount val="11"/>
                <c:pt idx="0">
                  <c:v>29.502291701237692</c:v>
                </c:pt>
                <c:pt idx="1">
                  <c:v>26.757816722905382</c:v>
                </c:pt>
                <c:pt idx="2">
                  <c:v>8.9131229472600371</c:v>
                </c:pt>
                <c:pt idx="3">
                  <c:v>8.1807691966306599</c:v>
                </c:pt>
                <c:pt idx="4">
                  <c:v>6.2694363066380658</c:v>
                </c:pt>
                <c:pt idx="5">
                  <c:v>1.4454539917480973</c:v>
                </c:pt>
                <c:pt idx="6">
                  <c:v>0.15430652446487231</c:v>
                </c:pt>
                <c:pt idx="7">
                  <c:v>0.30480962481112245</c:v>
                </c:pt>
                <c:pt idx="8">
                  <c:v>0.24913498348154528</c:v>
                </c:pt>
                <c:pt idx="9">
                  <c:v>0.62537186996315763</c:v>
                </c:pt>
                <c:pt idx="10">
                  <c:v>2.7412846278936973</c:v>
                </c:pt>
              </c:numCache>
            </c:numRef>
          </c:val>
          <c:smooth val="0"/>
        </c:ser>
        <c:ser>
          <c:idx val="4"/>
          <c:order val="4"/>
          <c:tx>
            <c:strRef>
              <c:f>Hoja1!$A$46</c:f>
              <c:strCache>
                <c:ptCount val="1"/>
                <c:pt idx="0">
                  <c:v>Peripheries</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Hoja1!$B$50:$L$50</c:f>
              <c:numCache>
                <c:formatCode>0.00</c:formatCode>
                <c:ptCount val="11"/>
                <c:pt idx="0">
                  <c:v>20.316371936151324</c:v>
                </c:pt>
                <c:pt idx="1">
                  <c:v>18.912428495032426</c:v>
                </c:pt>
                <c:pt idx="2">
                  <c:v>5.24309266921294</c:v>
                </c:pt>
                <c:pt idx="3">
                  <c:v>5.0513916490131461</c:v>
                </c:pt>
                <c:pt idx="4">
                  <c:v>6.4275703681182952</c:v>
                </c:pt>
                <c:pt idx="5">
                  <c:v>1.4961846172304145</c:v>
                </c:pt>
                <c:pt idx="6">
                  <c:v>0.18056337892269381</c:v>
                </c:pt>
                <c:pt idx="7">
                  <c:v>0.526582771357341</c:v>
                </c:pt>
                <c:pt idx="8">
                  <c:v>0.30719183965074714</c:v>
                </c:pt>
                <c:pt idx="9">
                  <c:v>1.0900912162371816</c:v>
                </c:pt>
                <c:pt idx="10">
                  <c:v>4.2301226199847894</c:v>
                </c:pt>
              </c:numCache>
            </c:numRef>
          </c:val>
          <c:smooth val="0"/>
        </c:ser>
        <c:ser>
          <c:idx val="5"/>
          <c:order val="5"/>
          <c:tx>
            <c:strRef>
              <c:f>Hoja1!$A$57</c:f>
              <c:strCache>
                <c:ptCount val="1"/>
                <c:pt idx="0">
                  <c:v>Cities</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Hoja1!$B$61:$L$61</c:f>
              <c:numCache>
                <c:formatCode>0.00</c:formatCode>
                <c:ptCount val="11"/>
                <c:pt idx="0">
                  <c:v>26.118478879403536</c:v>
                </c:pt>
                <c:pt idx="1">
                  <c:v>23.956409802435392</c:v>
                </c:pt>
                <c:pt idx="2">
                  <c:v>6.7228789242178868</c:v>
                </c:pt>
                <c:pt idx="3">
                  <c:v>5.3193973231878271</c:v>
                </c:pt>
                <c:pt idx="4">
                  <c:v>6.8135442300667872</c:v>
                </c:pt>
                <c:pt idx="5">
                  <c:v>1.8871941723128536</c:v>
                </c:pt>
                <c:pt idx="6">
                  <c:v>0.21669895748566523</c:v>
                </c:pt>
                <c:pt idx="7">
                  <c:v>0.51381940518289093</c:v>
                </c:pt>
                <c:pt idx="8">
                  <c:v>0.30777207368669651</c:v>
                </c:pt>
                <c:pt idx="9">
                  <c:v>1.5171367409093071</c:v>
                </c:pt>
                <c:pt idx="10">
                  <c:v>4.849258424778303</c:v>
                </c:pt>
              </c:numCache>
            </c:numRef>
          </c:val>
          <c:smooth val="0"/>
        </c:ser>
        <c:dLbls>
          <c:showLegendKey val="0"/>
          <c:showVal val="0"/>
          <c:showCatName val="0"/>
          <c:showSerName val="0"/>
          <c:showPercent val="0"/>
          <c:showBubbleSize val="0"/>
        </c:dLbls>
        <c:marker val="1"/>
        <c:smooth val="0"/>
        <c:axId val="627197056"/>
        <c:axId val="627198592"/>
      </c:lineChart>
      <c:catAx>
        <c:axId val="627197056"/>
        <c:scaling>
          <c:orientation val="minMax"/>
        </c:scaling>
        <c:delete val="0"/>
        <c:axPos val="b"/>
        <c:numFmt formatCode="General" sourceLinked="1"/>
        <c:majorTickMark val="none"/>
        <c:minorTickMark val="none"/>
        <c:tickLblPos val="nextTo"/>
        <c:crossAx val="627198592"/>
        <c:crosses val="autoZero"/>
        <c:auto val="1"/>
        <c:lblAlgn val="ctr"/>
        <c:lblOffset val="100"/>
        <c:noMultiLvlLbl val="0"/>
      </c:catAx>
      <c:valAx>
        <c:axId val="627198592"/>
        <c:scaling>
          <c:orientation val="minMax"/>
          <c:max val="50"/>
        </c:scaling>
        <c:delete val="0"/>
        <c:axPos val="l"/>
        <c:majorGridlines/>
        <c:title>
          <c:tx>
            <c:rich>
              <a:bodyPr/>
              <a:lstStyle/>
              <a:p>
                <a:pPr>
                  <a:defRPr/>
                </a:pPr>
                <a:r>
                  <a:rPr lang="es-ES"/>
                  <a:t>Percentage</a:t>
                </a:r>
              </a:p>
            </c:rich>
          </c:tx>
          <c:overlay val="0"/>
        </c:title>
        <c:numFmt formatCode="0.00" sourceLinked="1"/>
        <c:majorTickMark val="none"/>
        <c:minorTickMark val="none"/>
        <c:tickLblPos val="nextTo"/>
        <c:crossAx val="627197056"/>
        <c:crosses val="autoZero"/>
        <c:crossBetween val="between"/>
      </c:valAx>
    </c:plotArea>
    <c:legend>
      <c:legendPos val="r"/>
      <c:layout>
        <c:manualLayout>
          <c:xMode val="edge"/>
          <c:yMode val="edge"/>
          <c:x val="6.3891643174232834E-2"/>
          <c:y val="0.91080302484695719"/>
          <c:w val="0.91023955338915974"/>
          <c:h val="5.9407563251568693E-2"/>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sz="1800" b="1" i="0" baseline="0">
                <a:effectLst/>
              </a:rPr>
              <a:t>Fig. 10 Other left-wing parties' vote over census in the SGEs</a:t>
            </a:r>
            <a:endParaRPr lang="es-ES">
              <a:effectLst/>
            </a:endParaRPr>
          </a:p>
        </c:rich>
      </c:tx>
      <c:overlay val="0"/>
    </c:title>
    <c:autoTitleDeleted val="0"/>
    <c:plotArea>
      <c:layout>
        <c:manualLayout>
          <c:layoutTarget val="inner"/>
          <c:xMode val="edge"/>
          <c:yMode val="edge"/>
          <c:x val="0.14051947210302415"/>
          <c:y val="0.23081989075689863"/>
          <c:w val="0.83344785605503013"/>
          <c:h val="0.60279375863036921"/>
        </c:manualLayout>
      </c:layout>
      <c:lineChart>
        <c:grouping val="standard"/>
        <c:varyColors val="0"/>
        <c:ser>
          <c:idx val="0"/>
          <c:order val="0"/>
          <c:tx>
            <c:strRef>
              <c:f>Hoja1!$A$2</c:f>
              <c:strCache>
                <c:ptCount val="1"/>
                <c:pt idx="0">
                  <c:v>MR</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Hoja1!$B$7:$L$7</c:f>
              <c:numCache>
                <c:formatCode>0.00</c:formatCode>
                <c:ptCount val="11"/>
                <c:pt idx="0">
                  <c:v>8.3285550696502195</c:v>
                </c:pt>
                <c:pt idx="1">
                  <c:v>7.6989209885137484</c:v>
                </c:pt>
                <c:pt idx="2">
                  <c:v>3.5821374789906346</c:v>
                </c:pt>
                <c:pt idx="3">
                  <c:v>5.1705947553305371</c:v>
                </c:pt>
                <c:pt idx="4">
                  <c:v>4.9336166058518849</c:v>
                </c:pt>
                <c:pt idx="5">
                  <c:v>5.2543226456269938</c:v>
                </c:pt>
                <c:pt idx="6">
                  <c:v>5.8726450681470048</c:v>
                </c:pt>
                <c:pt idx="7">
                  <c:v>3.3710886544791832</c:v>
                </c:pt>
                <c:pt idx="8">
                  <c:v>3.4364842088138352</c:v>
                </c:pt>
                <c:pt idx="9">
                  <c:v>4.2306970011539891</c:v>
                </c:pt>
                <c:pt idx="10">
                  <c:v>4.9694990711880722</c:v>
                </c:pt>
              </c:numCache>
            </c:numRef>
          </c:val>
          <c:smooth val="0"/>
        </c:ser>
        <c:ser>
          <c:idx val="1"/>
          <c:order val="1"/>
          <c:tx>
            <c:strRef>
              <c:f>Hoja1!$A$13</c:f>
              <c:strCache>
                <c:ptCount val="1"/>
                <c:pt idx="0">
                  <c:v>AR</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Hoja1!$B$18:$L$18</c:f>
              <c:numCache>
                <c:formatCode>0.00</c:formatCode>
                <c:ptCount val="11"/>
                <c:pt idx="0">
                  <c:v>7.5887406087943345</c:v>
                </c:pt>
                <c:pt idx="1">
                  <c:v>6.7254520998356</c:v>
                </c:pt>
                <c:pt idx="2">
                  <c:v>3.8070573778791483</c:v>
                </c:pt>
                <c:pt idx="3">
                  <c:v>4.5169792223857854</c:v>
                </c:pt>
                <c:pt idx="4">
                  <c:v>5.2211348247043547</c:v>
                </c:pt>
                <c:pt idx="5">
                  <c:v>5.1416959518790915</c:v>
                </c:pt>
                <c:pt idx="6">
                  <c:v>5.6709172103095851</c:v>
                </c:pt>
                <c:pt idx="7">
                  <c:v>3.7752726292278935</c:v>
                </c:pt>
                <c:pt idx="8">
                  <c:v>3.5319688803681273</c:v>
                </c:pt>
                <c:pt idx="9">
                  <c:v>3.7711565448638926</c:v>
                </c:pt>
                <c:pt idx="10">
                  <c:v>5.3089922729625068</c:v>
                </c:pt>
              </c:numCache>
            </c:numRef>
          </c:val>
          <c:smooth val="0"/>
        </c:ser>
        <c:ser>
          <c:idx val="2"/>
          <c:order val="2"/>
          <c:tx>
            <c:strRef>
              <c:f>Hoja1!$A$24</c:f>
              <c:strCache>
                <c:ptCount val="1"/>
                <c:pt idx="0">
                  <c:v>DR</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Hoja1!$B$29:$L$29</c:f>
              <c:numCache>
                <c:formatCode>0.00</c:formatCode>
                <c:ptCount val="11"/>
                <c:pt idx="0">
                  <c:v>5.6255100034891656</c:v>
                </c:pt>
                <c:pt idx="1">
                  <c:v>4.4710758101327359</c:v>
                </c:pt>
                <c:pt idx="2">
                  <c:v>2.3398634081282599</c:v>
                </c:pt>
                <c:pt idx="3">
                  <c:v>4.0885448415837535</c:v>
                </c:pt>
                <c:pt idx="4">
                  <c:v>3.4761869795720557</c:v>
                </c:pt>
                <c:pt idx="5">
                  <c:v>3.5859415747178236</c:v>
                </c:pt>
                <c:pt idx="6">
                  <c:v>4.0839065950794859</c:v>
                </c:pt>
                <c:pt idx="7">
                  <c:v>2.2435393124892453</c:v>
                </c:pt>
                <c:pt idx="8">
                  <c:v>1.935119052674191</c:v>
                </c:pt>
                <c:pt idx="9">
                  <c:v>2.1912406682413468</c:v>
                </c:pt>
                <c:pt idx="10">
                  <c:v>3.7101897449692571</c:v>
                </c:pt>
              </c:numCache>
            </c:numRef>
          </c:val>
          <c:smooth val="0"/>
        </c:ser>
        <c:ser>
          <c:idx val="3"/>
          <c:order val="3"/>
          <c:tx>
            <c:strRef>
              <c:f>Hoja1!$A$35</c:f>
              <c:strCache>
                <c:ptCount val="1"/>
                <c:pt idx="0">
                  <c:v>SUA</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Hoja1!$B$40:$L$40</c:f>
              <c:numCache>
                <c:formatCode>0.00</c:formatCode>
                <c:ptCount val="11"/>
                <c:pt idx="0">
                  <c:v>10.255116670449612</c:v>
                </c:pt>
                <c:pt idx="1">
                  <c:v>8.9724643227893583</c:v>
                </c:pt>
                <c:pt idx="2">
                  <c:v>3.8927356591946136</c:v>
                </c:pt>
                <c:pt idx="3">
                  <c:v>5.8646760693395343</c:v>
                </c:pt>
                <c:pt idx="4">
                  <c:v>5.8057382013101302</c:v>
                </c:pt>
                <c:pt idx="5">
                  <c:v>6.4639337790030504</c:v>
                </c:pt>
                <c:pt idx="6">
                  <c:v>7.017849679516333</c:v>
                </c:pt>
                <c:pt idx="7">
                  <c:v>3.4896881246424165</c:v>
                </c:pt>
                <c:pt idx="8">
                  <c:v>3.3496234746767093</c:v>
                </c:pt>
                <c:pt idx="9">
                  <c:v>3.4494445949663146</c:v>
                </c:pt>
                <c:pt idx="10">
                  <c:v>4.9502188980012658</c:v>
                </c:pt>
              </c:numCache>
            </c:numRef>
          </c:val>
          <c:smooth val="0"/>
        </c:ser>
        <c:ser>
          <c:idx val="4"/>
          <c:order val="4"/>
          <c:tx>
            <c:strRef>
              <c:f>Hoja1!$A$46</c:f>
              <c:strCache>
                <c:ptCount val="1"/>
                <c:pt idx="0">
                  <c:v>Peripheries</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Hoja1!$B$51:$L$51</c:f>
              <c:numCache>
                <c:formatCode>0.00</c:formatCode>
                <c:ptCount val="11"/>
                <c:pt idx="0">
                  <c:v>16.74992332375443</c:v>
                </c:pt>
                <c:pt idx="1">
                  <c:v>14.828383672771771</c:v>
                </c:pt>
                <c:pt idx="2">
                  <c:v>5.2366105989867258</c:v>
                </c:pt>
                <c:pt idx="3">
                  <c:v>5.2364023660140715</c:v>
                </c:pt>
                <c:pt idx="4">
                  <c:v>8.1089350689917836</c:v>
                </c:pt>
                <c:pt idx="5">
                  <c:v>8.7581240291296822</c:v>
                </c:pt>
                <c:pt idx="6">
                  <c:v>9.8571719550536621</c:v>
                </c:pt>
                <c:pt idx="7">
                  <c:v>4.2422328338191475</c:v>
                </c:pt>
                <c:pt idx="8">
                  <c:v>4.6757682439948045</c:v>
                </c:pt>
                <c:pt idx="9">
                  <c:v>4.4995518533589722</c:v>
                </c:pt>
                <c:pt idx="10">
                  <c:v>6.2719178695802178</c:v>
                </c:pt>
              </c:numCache>
            </c:numRef>
          </c:val>
          <c:smooth val="0"/>
        </c:ser>
        <c:ser>
          <c:idx val="5"/>
          <c:order val="5"/>
          <c:tx>
            <c:strRef>
              <c:f>Hoja1!$A$57</c:f>
              <c:strCache>
                <c:ptCount val="1"/>
                <c:pt idx="0">
                  <c:v>Cities</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Hoja1!$B$62:$L$62</c:f>
              <c:numCache>
                <c:formatCode>0.00</c:formatCode>
                <c:ptCount val="11"/>
                <c:pt idx="0">
                  <c:v>14.832805202814161</c:v>
                </c:pt>
                <c:pt idx="1">
                  <c:v>10.536882775210632</c:v>
                </c:pt>
                <c:pt idx="2">
                  <c:v>3.9226612765121942</c:v>
                </c:pt>
                <c:pt idx="3">
                  <c:v>4.2079996506993602</c:v>
                </c:pt>
                <c:pt idx="4">
                  <c:v>8.1575713909944962</c:v>
                </c:pt>
                <c:pt idx="5">
                  <c:v>8.7160473422736242</c:v>
                </c:pt>
                <c:pt idx="6">
                  <c:v>9.3123400516793442</c:v>
                </c:pt>
                <c:pt idx="7">
                  <c:v>4.3188137005326803</c:v>
                </c:pt>
                <c:pt idx="8">
                  <c:v>4.1329167757002834</c:v>
                </c:pt>
                <c:pt idx="9">
                  <c:v>3.8031001861789542</c:v>
                </c:pt>
                <c:pt idx="10">
                  <c:v>6.4125032038134604</c:v>
                </c:pt>
              </c:numCache>
            </c:numRef>
          </c:val>
          <c:smooth val="0"/>
        </c:ser>
        <c:dLbls>
          <c:showLegendKey val="0"/>
          <c:showVal val="0"/>
          <c:showCatName val="0"/>
          <c:showSerName val="0"/>
          <c:showPercent val="0"/>
          <c:showBubbleSize val="0"/>
        </c:dLbls>
        <c:marker val="1"/>
        <c:smooth val="0"/>
        <c:axId val="627227648"/>
        <c:axId val="627241728"/>
      </c:lineChart>
      <c:catAx>
        <c:axId val="627227648"/>
        <c:scaling>
          <c:orientation val="minMax"/>
        </c:scaling>
        <c:delete val="0"/>
        <c:axPos val="b"/>
        <c:numFmt formatCode="General" sourceLinked="1"/>
        <c:majorTickMark val="none"/>
        <c:minorTickMark val="none"/>
        <c:tickLblPos val="nextTo"/>
        <c:crossAx val="627241728"/>
        <c:crosses val="autoZero"/>
        <c:auto val="1"/>
        <c:lblAlgn val="ctr"/>
        <c:lblOffset val="100"/>
        <c:noMultiLvlLbl val="0"/>
      </c:catAx>
      <c:valAx>
        <c:axId val="627241728"/>
        <c:scaling>
          <c:orientation val="minMax"/>
          <c:max val="50"/>
        </c:scaling>
        <c:delete val="0"/>
        <c:axPos val="l"/>
        <c:majorGridlines/>
        <c:title>
          <c:tx>
            <c:rich>
              <a:bodyPr/>
              <a:lstStyle/>
              <a:p>
                <a:pPr>
                  <a:defRPr/>
                </a:pPr>
                <a:r>
                  <a:rPr lang="es-ES"/>
                  <a:t>Percentage</a:t>
                </a:r>
              </a:p>
            </c:rich>
          </c:tx>
          <c:overlay val="0"/>
        </c:title>
        <c:numFmt formatCode="0.00" sourceLinked="1"/>
        <c:majorTickMark val="none"/>
        <c:minorTickMark val="none"/>
        <c:tickLblPos val="nextTo"/>
        <c:crossAx val="627227648"/>
        <c:crosses val="autoZero"/>
        <c:crossBetween val="between"/>
      </c:valAx>
    </c:plotArea>
    <c:legend>
      <c:legendPos val="r"/>
      <c:layout>
        <c:manualLayout>
          <c:xMode val="edge"/>
          <c:yMode val="edge"/>
          <c:x val="5.4485411545778975E-2"/>
          <c:y val="0.91080018940736474"/>
          <c:w val="0.91259111129627313"/>
          <c:h val="5.580655496924964E-2"/>
        </c:manualLayout>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sz="1800" b="1" i="0" baseline="0">
                <a:effectLst/>
              </a:rPr>
              <a:t>Fig. 11 Right-wing nationalist parties' vote over census in the SGEs</a:t>
            </a:r>
            <a:endParaRPr lang="es-ES">
              <a:effectLst/>
            </a:endParaRPr>
          </a:p>
        </c:rich>
      </c:tx>
      <c:overlay val="0"/>
    </c:title>
    <c:autoTitleDeleted val="0"/>
    <c:plotArea>
      <c:layout>
        <c:manualLayout>
          <c:layoutTarget val="inner"/>
          <c:xMode val="edge"/>
          <c:yMode val="edge"/>
          <c:x val="0.14051947210302415"/>
          <c:y val="0.23081989075689863"/>
          <c:w val="0.83579941396214363"/>
          <c:h val="0.63146598567071011"/>
        </c:manualLayout>
      </c:layout>
      <c:lineChart>
        <c:grouping val="standard"/>
        <c:varyColors val="0"/>
        <c:ser>
          <c:idx val="0"/>
          <c:order val="0"/>
          <c:tx>
            <c:strRef>
              <c:f>Hoja1!$A$2</c:f>
              <c:strCache>
                <c:ptCount val="1"/>
                <c:pt idx="0">
                  <c:v>MR</c:v>
                </c:pt>
              </c:strCache>
            </c:strRef>
          </c:tx>
          <c:cat>
            <c:numRef>
              <c:f>Hoja1!$B$3:$L$3</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Hoja1!$B$8:$L$8</c:f>
              <c:numCache>
                <c:formatCode>0.00</c:formatCode>
                <c:ptCount val="11"/>
                <c:pt idx="0">
                  <c:v>2.3644249467940108</c:v>
                </c:pt>
                <c:pt idx="1">
                  <c:v>3.350231216747054</c:v>
                </c:pt>
                <c:pt idx="2">
                  <c:v>5.4204488295256041</c:v>
                </c:pt>
                <c:pt idx="3">
                  <c:v>5.5688748083159574</c:v>
                </c:pt>
                <c:pt idx="4">
                  <c:v>5.7425851107913752</c:v>
                </c:pt>
                <c:pt idx="5">
                  <c:v>6.3646505812215413</c:v>
                </c:pt>
                <c:pt idx="6">
                  <c:v>6.4009706039520751</c:v>
                </c:pt>
                <c:pt idx="7">
                  <c:v>6.1369855570816894</c:v>
                </c:pt>
                <c:pt idx="8">
                  <c:v>5.6574158522160012</c:v>
                </c:pt>
                <c:pt idx="9">
                  <c:v>4.7159609090259575</c:v>
                </c:pt>
                <c:pt idx="10">
                  <c:v>4.7996741670479786</c:v>
                </c:pt>
              </c:numCache>
            </c:numRef>
          </c:val>
          <c:smooth val="0"/>
        </c:ser>
        <c:ser>
          <c:idx val="1"/>
          <c:order val="1"/>
          <c:tx>
            <c:strRef>
              <c:f>Hoja1!$A$13</c:f>
              <c:strCache>
                <c:ptCount val="1"/>
                <c:pt idx="0">
                  <c:v>AR</c:v>
                </c:pt>
              </c:strCache>
            </c:strRef>
          </c:tx>
          <c:val>
            <c:numRef>
              <c:f>Hoja1!$B$19:$L$19</c:f>
              <c:numCache>
                <c:formatCode>0.00</c:formatCode>
                <c:ptCount val="11"/>
                <c:pt idx="0">
                  <c:v>0.27670837343599614</c:v>
                </c:pt>
                <c:pt idx="1">
                  <c:v>0.50148479787904587</c:v>
                </c:pt>
                <c:pt idx="2">
                  <c:v>1.0146203497282389</c:v>
                </c:pt>
                <c:pt idx="3">
                  <c:v>1.5915182465544859</c:v>
                </c:pt>
                <c:pt idx="4">
                  <c:v>2.0347018274669062</c:v>
                </c:pt>
                <c:pt idx="5">
                  <c:v>1.642255811814938</c:v>
                </c:pt>
                <c:pt idx="6">
                  <c:v>1.4967435206548454</c:v>
                </c:pt>
                <c:pt idx="7">
                  <c:v>1.3789045278495355</c:v>
                </c:pt>
                <c:pt idx="8">
                  <c:v>1.2933837792594856</c:v>
                </c:pt>
                <c:pt idx="9">
                  <c:v>1.15115638979989</c:v>
                </c:pt>
                <c:pt idx="10">
                  <c:v>1.3689367937454024</c:v>
                </c:pt>
              </c:numCache>
            </c:numRef>
          </c:val>
          <c:smooth val="0"/>
        </c:ser>
        <c:ser>
          <c:idx val="2"/>
          <c:order val="2"/>
          <c:tx>
            <c:strRef>
              <c:f>Hoja1!$A$24</c:f>
              <c:strCache>
                <c:ptCount val="1"/>
                <c:pt idx="0">
                  <c:v>DR</c:v>
                </c:pt>
              </c:strCache>
            </c:strRef>
          </c:tx>
          <c:val>
            <c:numRef>
              <c:f>Hoja1!$B$30:$L$30</c:f>
              <c:numCache>
                <c:formatCode>0.00</c:formatCode>
                <c:ptCount val="11"/>
                <c:pt idx="0">
                  <c:v>0.14667938373376599</c:v>
                </c:pt>
                <c:pt idx="1">
                  <c:v>0.3068637790539594</c:v>
                </c:pt>
                <c:pt idx="2">
                  <c:v>0.56439512745089726</c:v>
                </c:pt>
                <c:pt idx="3">
                  <c:v>1.4649435009842029</c:v>
                </c:pt>
                <c:pt idx="4">
                  <c:v>1.693389922605848</c:v>
                </c:pt>
                <c:pt idx="5">
                  <c:v>0.82399497678281164</c:v>
                </c:pt>
                <c:pt idx="6">
                  <c:v>0.76979177193719883</c:v>
                </c:pt>
                <c:pt idx="7">
                  <c:v>0.7978397531222946</c:v>
                </c:pt>
                <c:pt idx="8">
                  <c:v>0.73617044164564738</c:v>
                </c:pt>
                <c:pt idx="9">
                  <c:v>0.66652243622989538</c:v>
                </c:pt>
                <c:pt idx="10">
                  <c:v>0.76986340859567759</c:v>
                </c:pt>
              </c:numCache>
            </c:numRef>
          </c:val>
          <c:smooth val="0"/>
        </c:ser>
        <c:ser>
          <c:idx val="3"/>
          <c:order val="3"/>
          <c:tx>
            <c:strRef>
              <c:f>Hoja1!$A$35</c:f>
              <c:strCache>
                <c:ptCount val="1"/>
                <c:pt idx="0">
                  <c:v>SUA</c:v>
                </c:pt>
              </c:strCache>
            </c:strRef>
          </c:tx>
          <c:val>
            <c:numRef>
              <c:f>Hoja1!$B$41:$L$41</c:f>
              <c:numCache>
                <c:formatCode>0.00</c:formatCode>
                <c:ptCount val="11"/>
                <c:pt idx="0">
                  <c:v>2.3321056248883396</c:v>
                </c:pt>
                <c:pt idx="1">
                  <c:v>2.622660725402219</c:v>
                </c:pt>
                <c:pt idx="2">
                  <c:v>3.9715079270755238</c:v>
                </c:pt>
                <c:pt idx="3">
                  <c:v>2.4997736612730002</c:v>
                </c:pt>
                <c:pt idx="4">
                  <c:v>3.9409570461858472</c:v>
                </c:pt>
                <c:pt idx="5">
                  <c:v>4.4757945240814765</c:v>
                </c:pt>
                <c:pt idx="6">
                  <c:v>4.3637360094228068</c:v>
                </c:pt>
                <c:pt idx="7">
                  <c:v>4.1791170921323824</c:v>
                </c:pt>
                <c:pt idx="8">
                  <c:v>3.9311301767571591</c:v>
                </c:pt>
                <c:pt idx="9">
                  <c:v>3.2578030434075451</c:v>
                </c:pt>
                <c:pt idx="10">
                  <c:v>3.0277287041079992</c:v>
                </c:pt>
              </c:numCache>
            </c:numRef>
          </c:val>
          <c:smooth val="0"/>
        </c:ser>
        <c:ser>
          <c:idx val="4"/>
          <c:order val="4"/>
          <c:tx>
            <c:strRef>
              <c:f>Hoja1!$A$46</c:f>
              <c:strCache>
                <c:ptCount val="1"/>
                <c:pt idx="0">
                  <c:v>Peripheries</c:v>
                </c:pt>
              </c:strCache>
            </c:strRef>
          </c:tx>
          <c:val>
            <c:numRef>
              <c:f>Hoja1!$B$52:$L$52</c:f>
              <c:numCache>
                <c:formatCode>0.00</c:formatCode>
                <c:ptCount val="11"/>
                <c:pt idx="0">
                  <c:v>2.6787383274153318</c:v>
                </c:pt>
                <c:pt idx="1">
                  <c:v>4.3528409486362403</c:v>
                </c:pt>
                <c:pt idx="2">
                  <c:v>6.1963245325308041</c:v>
                </c:pt>
                <c:pt idx="3">
                  <c:v>7.6051874031137841</c:v>
                </c:pt>
                <c:pt idx="4">
                  <c:v>6.5176677939497996</c:v>
                </c:pt>
                <c:pt idx="5">
                  <c:v>8.1165176974364197</c:v>
                </c:pt>
                <c:pt idx="6">
                  <c:v>7.6043246253030423</c:v>
                </c:pt>
                <c:pt idx="7">
                  <c:v>6.6910384883702063</c:v>
                </c:pt>
                <c:pt idx="8">
                  <c:v>6.1475742697725098</c:v>
                </c:pt>
                <c:pt idx="9">
                  <c:v>5.0366776922856422</c:v>
                </c:pt>
                <c:pt idx="10">
                  <c:v>5.3905807723171995</c:v>
                </c:pt>
              </c:numCache>
            </c:numRef>
          </c:val>
          <c:smooth val="0"/>
        </c:ser>
        <c:ser>
          <c:idx val="5"/>
          <c:order val="5"/>
          <c:tx>
            <c:strRef>
              <c:f>Hoja1!$A$57</c:f>
              <c:strCache>
                <c:ptCount val="1"/>
                <c:pt idx="0">
                  <c:v>Cities</c:v>
                </c:pt>
              </c:strCache>
            </c:strRef>
          </c:tx>
          <c:val>
            <c:numRef>
              <c:f>Hoja1!$B$63:$L$63</c:f>
              <c:numCache>
                <c:formatCode>0.00</c:formatCode>
                <c:ptCount val="11"/>
                <c:pt idx="0">
                  <c:v>1.5985052850569863</c:v>
                </c:pt>
                <c:pt idx="1">
                  <c:v>2.6927725475621211</c:v>
                </c:pt>
                <c:pt idx="2">
                  <c:v>4.2515626567491864</c:v>
                </c:pt>
                <c:pt idx="3">
                  <c:v>13.14894897139472</c:v>
                </c:pt>
                <c:pt idx="4">
                  <c:v>4.2738774920889426</c:v>
                </c:pt>
                <c:pt idx="5">
                  <c:v>4.6633373858367619</c:v>
                </c:pt>
                <c:pt idx="6">
                  <c:v>4.3438188246079505</c:v>
                </c:pt>
                <c:pt idx="7">
                  <c:v>3.6473331295430045</c:v>
                </c:pt>
                <c:pt idx="8">
                  <c:v>3.3427167210961954</c:v>
                </c:pt>
                <c:pt idx="9">
                  <c:v>2.7566140437751887</c:v>
                </c:pt>
                <c:pt idx="10">
                  <c:v>3.1023003160455387</c:v>
                </c:pt>
              </c:numCache>
            </c:numRef>
          </c:val>
          <c:smooth val="0"/>
        </c:ser>
        <c:dLbls>
          <c:showLegendKey val="0"/>
          <c:showVal val="0"/>
          <c:showCatName val="0"/>
          <c:showSerName val="0"/>
          <c:showPercent val="0"/>
          <c:showBubbleSize val="0"/>
        </c:dLbls>
        <c:marker val="1"/>
        <c:smooth val="0"/>
        <c:axId val="645973120"/>
        <c:axId val="645974656"/>
      </c:lineChart>
      <c:catAx>
        <c:axId val="645973120"/>
        <c:scaling>
          <c:orientation val="minMax"/>
        </c:scaling>
        <c:delete val="0"/>
        <c:axPos val="b"/>
        <c:numFmt formatCode="General" sourceLinked="1"/>
        <c:majorTickMark val="none"/>
        <c:minorTickMark val="none"/>
        <c:tickLblPos val="nextTo"/>
        <c:crossAx val="645974656"/>
        <c:crosses val="autoZero"/>
        <c:auto val="1"/>
        <c:lblAlgn val="ctr"/>
        <c:lblOffset val="100"/>
        <c:noMultiLvlLbl val="0"/>
      </c:catAx>
      <c:valAx>
        <c:axId val="645974656"/>
        <c:scaling>
          <c:orientation val="minMax"/>
          <c:max val="15"/>
        </c:scaling>
        <c:delete val="0"/>
        <c:axPos val="l"/>
        <c:majorGridlines/>
        <c:title>
          <c:tx>
            <c:rich>
              <a:bodyPr/>
              <a:lstStyle/>
              <a:p>
                <a:pPr>
                  <a:defRPr/>
                </a:pPr>
                <a:r>
                  <a:rPr lang="es-ES"/>
                  <a:t>Percentage</a:t>
                </a:r>
              </a:p>
            </c:rich>
          </c:tx>
          <c:overlay val="0"/>
        </c:title>
        <c:numFmt formatCode="0.00" sourceLinked="1"/>
        <c:majorTickMark val="none"/>
        <c:minorTickMark val="none"/>
        <c:tickLblPos val="nextTo"/>
        <c:crossAx val="645973120"/>
        <c:crosses val="autoZero"/>
        <c:crossBetween val="between"/>
      </c:valAx>
    </c:plotArea>
    <c:legend>
      <c:legendPos val="r"/>
      <c:layout>
        <c:manualLayout>
          <c:xMode val="edge"/>
          <c:yMode val="edge"/>
          <c:x val="6.6243201081346292E-2"/>
          <c:y val="0.90360356017795218"/>
          <c:w val="0.89848176385359235"/>
          <c:h val="6.3008571533887739E-2"/>
        </c:manualLayout>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sz="1800" b="1" i="0" baseline="0">
                <a:effectLst/>
              </a:rPr>
              <a:t>Fig. 12 Left-wing nationalist parties' vote over census in the SGEs</a:t>
            </a:r>
            <a:endParaRPr lang="es-ES">
              <a:effectLst/>
            </a:endParaRPr>
          </a:p>
        </c:rich>
      </c:tx>
      <c:overlay val="0"/>
    </c:title>
    <c:autoTitleDeleted val="0"/>
    <c:plotArea>
      <c:layout/>
      <c:lineChart>
        <c:grouping val="standard"/>
        <c:varyColors val="0"/>
        <c:ser>
          <c:idx val="0"/>
          <c:order val="0"/>
          <c:tx>
            <c:strRef>
              <c:f>Hoja1!$A$2</c:f>
              <c:strCache>
                <c:ptCount val="1"/>
                <c:pt idx="0">
                  <c:v>MR</c:v>
                </c:pt>
              </c:strCache>
            </c:strRef>
          </c:tx>
          <c:cat>
            <c:numRef>
              <c:f>Hoja1!$B$3:$L$3</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Hoja1!$B$9:$L$9</c:f>
              <c:numCache>
                <c:formatCode>0.00</c:formatCode>
                <c:ptCount val="11"/>
                <c:pt idx="0">
                  <c:v>1.7660683746033397</c:v>
                </c:pt>
                <c:pt idx="1">
                  <c:v>2.8945353289244693</c:v>
                </c:pt>
                <c:pt idx="2">
                  <c:v>2.9484281390574743</c:v>
                </c:pt>
                <c:pt idx="3">
                  <c:v>2.6337006305301913</c:v>
                </c:pt>
                <c:pt idx="4">
                  <c:v>3.447886000179913</c:v>
                </c:pt>
                <c:pt idx="5">
                  <c:v>3.9075152282699452</c:v>
                </c:pt>
                <c:pt idx="6">
                  <c:v>3.8927112375318456</c:v>
                </c:pt>
                <c:pt idx="7">
                  <c:v>3.6538736922659685</c:v>
                </c:pt>
                <c:pt idx="8">
                  <c:v>5.6936338564267421</c:v>
                </c:pt>
                <c:pt idx="9">
                  <c:v>2.3475067349224337</c:v>
                </c:pt>
                <c:pt idx="10">
                  <c:v>4.4788476392086523</c:v>
                </c:pt>
              </c:numCache>
            </c:numRef>
          </c:val>
          <c:smooth val="0"/>
        </c:ser>
        <c:ser>
          <c:idx val="1"/>
          <c:order val="1"/>
          <c:tx>
            <c:strRef>
              <c:f>Hoja1!$A$13</c:f>
              <c:strCache>
                <c:ptCount val="1"/>
                <c:pt idx="0">
                  <c:v>AR</c:v>
                </c:pt>
              </c:strCache>
            </c:strRef>
          </c:tx>
          <c:val>
            <c:numRef>
              <c:f>Hoja1!$B$20:$L$20</c:f>
              <c:numCache>
                <c:formatCode>0.00</c:formatCode>
                <c:ptCount val="11"/>
                <c:pt idx="0">
                  <c:v>0.48643931449585565</c:v>
                </c:pt>
                <c:pt idx="1">
                  <c:v>1.6573203459546568</c:v>
                </c:pt>
                <c:pt idx="2">
                  <c:v>0.95060590614761764</c:v>
                </c:pt>
                <c:pt idx="3">
                  <c:v>1.7201978710550865</c:v>
                </c:pt>
                <c:pt idx="4">
                  <c:v>1.1630602445337215</c:v>
                </c:pt>
                <c:pt idx="5">
                  <c:v>1.5232517674805222</c:v>
                </c:pt>
                <c:pt idx="6">
                  <c:v>1.8724980324877063</c:v>
                </c:pt>
                <c:pt idx="7">
                  <c:v>3.0990282630794623</c:v>
                </c:pt>
                <c:pt idx="8">
                  <c:v>3.0684168160627672</c:v>
                </c:pt>
                <c:pt idx="9">
                  <c:v>1.8221958613417688</c:v>
                </c:pt>
                <c:pt idx="10">
                  <c:v>1.6649713582097543</c:v>
                </c:pt>
              </c:numCache>
            </c:numRef>
          </c:val>
          <c:smooth val="0"/>
        </c:ser>
        <c:ser>
          <c:idx val="2"/>
          <c:order val="2"/>
          <c:tx>
            <c:strRef>
              <c:f>Hoja1!$A$24</c:f>
              <c:strCache>
                <c:ptCount val="1"/>
                <c:pt idx="0">
                  <c:v>DR</c:v>
                </c:pt>
              </c:strCache>
            </c:strRef>
          </c:tx>
          <c:val>
            <c:numRef>
              <c:f>Hoja1!$B$31:$L$31</c:f>
              <c:numCache>
                <c:formatCode>0.00</c:formatCode>
                <c:ptCount val="11"/>
                <c:pt idx="0">
                  <c:v>0.45661588987453006</c:v>
                </c:pt>
                <c:pt idx="1">
                  <c:v>0.90406116883223886</c:v>
                </c:pt>
                <c:pt idx="2">
                  <c:v>0.59248207832133848</c:v>
                </c:pt>
                <c:pt idx="3">
                  <c:v>1.2933451155138496</c:v>
                </c:pt>
                <c:pt idx="4">
                  <c:v>0.79632267633971188</c:v>
                </c:pt>
                <c:pt idx="5">
                  <c:v>1.191811447061266</c:v>
                </c:pt>
                <c:pt idx="6">
                  <c:v>1.7685449397085489</c:v>
                </c:pt>
                <c:pt idx="7">
                  <c:v>2.6495564543937093</c:v>
                </c:pt>
                <c:pt idx="8">
                  <c:v>2.6499871194942917</c:v>
                </c:pt>
                <c:pt idx="9">
                  <c:v>1.9997154906452732</c:v>
                </c:pt>
                <c:pt idx="10">
                  <c:v>1.7165456657414637</c:v>
                </c:pt>
              </c:numCache>
            </c:numRef>
          </c:val>
          <c:smooth val="0"/>
        </c:ser>
        <c:ser>
          <c:idx val="3"/>
          <c:order val="3"/>
          <c:tx>
            <c:strRef>
              <c:f>Hoja1!$A$35</c:f>
              <c:strCache>
                <c:ptCount val="1"/>
                <c:pt idx="0">
                  <c:v>SUA</c:v>
                </c:pt>
              </c:strCache>
            </c:strRef>
          </c:tx>
          <c:val>
            <c:numRef>
              <c:f>Hoja1!$B$42:$L$42</c:f>
              <c:numCache>
                <c:formatCode>0.00</c:formatCode>
                <c:ptCount val="11"/>
                <c:pt idx="0">
                  <c:v>1.4926099072447514</c:v>
                </c:pt>
                <c:pt idx="1">
                  <c:v>3.687550666089725</c:v>
                </c:pt>
                <c:pt idx="2">
                  <c:v>2.9462574301371376</c:v>
                </c:pt>
                <c:pt idx="3">
                  <c:v>1.6256446215705245</c:v>
                </c:pt>
                <c:pt idx="4">
                  <c:v>3.7262243665373402</c:v>
                </c:pt>
                <c:pt idx="5">
                  <c:v>3.7252708027126498</c:v>
                </c:pt>
                <c:pt idx="6">
                  <c:v>3.8000485877878853</c:v>
                </c:pt>
                <c:pt idx="7">
                  <c:v>3.8167218547033981</c:v>
                </c:pt>
                <c:pt idx="8">
                  <c:v>4.9313557915574897</c:v>
                </c:pt>
                <c:pt idx="9">
                  <c:v>2.1372796654322497</c:v>
                </c:pt>
                <c:pt idx="10">
                  <c:v>3.6625501622222263</c:v>
                </c:pt>
              </c:numCache>
            </c:numRef>
          </c:val>
          <c:smooth val="0"/>
        </c:ser>
        <c:ser>
          <c:idx val="4"/>
          <c:order val="4"/>
          <c:tx>
            <c:strRef>
              <c:f>Hoja1!$A$46</c:f>
              <c:strCache>
                <c:ptCount val="1"/>
                <c:pt idx="0">
                  <c:v>Peripheries</c:v>
                </c:pt>
              </c:strCache>
            </c:strRef>
          </c:tx>
          <c:val>
            <c:numRef>
              <c:f>Hoja1!$B$53:$L$53</c:f>
              <c:numCache>
                <c:formatCode>0.00</c:formatCode>
                <c:ptCount val="11"/>
                <c:pt idx="0">
                  <c:v>2.3824383267902265</c:v>
                </c:pt>
                <c:pt idx="1">
                  <c:v>4.0943350181179694</c:v>
                </c:pt>
                <c:pt idx="2">
                  <c:v>4.0618021959516462</c:v>
                </c:pt>
                <c:pt idx="3">
                  <c:v>2.7510416487789802</c:v>
                </c:pt>
                <c:pt idx="4">
                  <c:v>3.1392922321956842</c:v>
                </c:pt>
                <c:pt idx="5">
                  <c:v>2.9803071744540759</c:v>
                </c:pt>
                <c:pt idx="6">
                  <c:v>2.8020682949651352</c:v>
                </c:pt>
                <c:pt idx="7">
                  <c:v>2.5276968087695293</c:v>
                </c:pt>
                <c:pt idx="8">
                  <c:v>4.3327828769350551</c:v>
                </c:pt>
                <c:pt idx="9">
                  <c:v>1.0877369564898323</c:v>
                </c:pt>
                <c:pt idx="10">
                  <c:v>3.00509502905863</c:v>
                </c:pt>
              </c:numCache>
            </c:numRef>
          </c:val>
          <c:smooth val="0"/>
        </c:ser>
        <c:ser>
          <c:idx val="5"/>
          <c:order val="5"/>
          <c:tx>
            <c:strRef>
              <c:f>Hoja1!$A$57</c:f>
              <c:strCache>
                <c:ptCount val="1"/>
                <c:pt idx="0">
                  <c:v>Cities</c:v>
                </c:pt>
              </c:strCache>
            </c:strRef>
          </c:tx>
          <c:val>
            <c:numRef>
              <c:f>Hoja1!$B$64:$L$64</c:f>
              <c:numCache>
                <c:formatCode>0.00</c:formatCode>
                <c:ptCount val="11"/>
                <c:pt idx="0">
                  <c:v>1.8627921622743622</c:v>
                </c:pt>
                <c:pt idx="1">
                  <c:v>3.7165086140042316</c:v>
                </c:pt>
                <c:pt idx="2">
                  <c:v>2.6875257331071358</c:v>
                </c:pt>
                <c:pt idx="3">
                  <c:v>2.7013446224537407</c:v>
                </c:pt>
                <c:pt idx="4">
                  <c:v>2.4092954916503495</c:v>
                </c:pt>
                <c:pt idx="5">
                  <c:v>2.2804766349131604</c:v>
                </c:pt>
                <c:pt idx="6">
                  <c:v>2.6406116441714702</c:v>
                </c:pt>
                <c:pt idx="7">
                  <c:v>2.9669552191380446</c:v>
                </c:pt>
                <c:pt idx="8">
                  <c:v>3.7346550031999382</c:v>
                </c:pt>
                <c:pt idx="9">
                  <c:v>1.3226566611288475</c:v>
                </c:pt>
                <c:pt idx="10">
                  <c:v>2.3340576760888343</c:v>
                </c:pt>
              </c:numCache>
            </c:numRef>
          </c:val>
          <c:smooth val="0"/>
        </c:ser>
        <c:dLbls>
          <c:showLegendKey val="0"/>
          <c:showVal val="0"/>
          <c:showCatName val="0"/>
          <c:showSerName val="0"/>
          <c:showPercent val="0"/>
          <c:showBubbleSize val="0"/>
        </c:dLbls>
        <c:marker val="1"/>
        <c:smooth val="0"/>
        <c:axId val="627461120"/>
        <c:axId val="627475200"/>
      </c:lineChart>
      <c:catAx>
        <c:axId val="627461120"/>
        <c:scaling>
          <c:orientation val="minMax"/>
        </c:scaling>
        <c:delete val="0"/>
        <c:axPos val="b"/>
        <c:numFmt formatCode="General" sourceLinked="1"/>
        <c:majorTickMark val="none"/>
        <c:minorTickMark val="none"/>
        <c:tickLblPos val="nextTo"/>
        <c:crossAx val="627475200"/>
        <c:crosses val="autoZero"/>
        <c:auto val="1"/>
        <c:lblAlgn val="ctr"/>
        <c:lblOffset val="100"/>
        <c:noMultiLvlLbl val="0"/>
      </c:catAx>
      <c:valAx>
        <c:axId val="627475200"/>
        <c:scaling>
          <c:orientation val="minMax"/>
          <c:max val="15"/>
        </c:scaling>
        <c:delete val="0"/>
        <c:axPos val="l"/>
        <c:majorGridlines/>
        <c:title>
          <c:tx>
            <c:rich>
              <a:bodyPr/>
              <a:lstStyle/>
              <a:p>
                <a:pPr>
                  <a:defRPr/>
                </a:pPr>
                <a:r>
                  <a:rPr lang="es-ES"/>
                  <a:t>Percentage</a:t>
                </a:r>
              </a:p>
            </c:rich>
          </c:tx>
          <c:overlay val="0"/>
        </c:title>
        <c:numFmt formatCode="0.00" sourceLinked="1"/>
        <c:majorTickMark val="none"/>
        <c:minorTickMark val="none"/>
        <c:tickLblPos val="nextTo"/>
        <c:crossAx val="627461120"/>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sz="1800" b="1" i="0" baseline="0">
                <a:effectLst/>
              </a:rPr>
              <a:t>Fig. 13 Green parties' vote over census in the SGEs</a:t>
            </a:r>
            <a:endParaRPr lang="es-ES">
              <a:effectLst/>
            </a:endParaRPr>
          </a:p>
        </c:rich>
      </c:tx>
      <c:overlay val="0"/>
    </c:title>
    <c:autoTitleDeleted val="0"/>
    <c:plotArea>
      <c:layout>
        <c:manualLayout>
          <c:layoutTarget val="inner"/>
          <c:xMode val="edge"/>
          <c:yMode val="edge"/>
          <c:x val="0.12859707351395891"/>
          <c:y val="0.23081989075689863"/>
          <c:w val="0.85477648627254932"/>
          <c:h val="0.61725501879832589"/>
        </c:manualLayout>
      </c:layout>
      <c:lineChart>
        <c:grouping val="standard"/>
        <c:varyColors val="0"/>
        <c:ser>
          <c:idx val="0"/>
          <c:order val="0"/>
          <c:tx>
            <c:strRef>
              <c:f>Hoja1!$A$2</c:f>
              <c:strCache>
                <c:ptCount val="1"/>
                <c:pt idx="0">
                  <c:v>MR</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Hoja1!$B$10:$L$10</c:f>
              <c:numCache>
                <c:formatCode>0.00</c:formatCode>
                <c:ptCount val="11"/>
                <c:pt idx="0">
                  <c:v>0</c:v>
                </c:pt>
                <c:pt idx="1">
                  <c:v>0</c:v>
                </c:pt>
                <c:pt idx="2">
                  <c:v>0</c:v>
                </c:pt>
                <c:pt idx="3">
                  <c:v>0.23896110136487816</c:v>
                </c:pt>
                <c:pt idx="4">
                  <c:v>0.68187437663414641</c:v>
                </c:pt>
                <c:pt idx="5">
                  <c:v>0.51562077813103246</c:v>
                </c:pt>
                <c:pt idx="6">
                  <c:v>0.13461982120428659</c:v>
                </c:pt>
                <c:pt idx="7">
                  <c:v>0.58714213292163009</c:v>
                </c:pt>
                <c:pt idx="8">
                  <c:v>0.13587431943552628</c:v>
                </c:pt>
                <c:pt idx="9">
                  <c:v>0.29370654429410115</c:v>
                </c:pt>
                <c:pt idx="10">
                  <c:v>0.21892721293240255</c:v>
                </c:pt>
              </c:numCache>
            </c:numRef>
          </c:val>
          <c:smooth val="0"/>
        </c:ser>
        <c:ser>
          <c:idx val="1"/>
          <c:order val="1"/>
          <c:tx>
            <c:strRef>
              <c:f>Hoja1!$A$13</c:f>
              <c:strCache>
                <c:ptCount val="1"/>
                <c:pt idx="0">
                  <c:v>AR</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Hoja1!$B$21:$L$21</c:f>
              <c:numCache>
                <c:formatCode>0.00</c:formatCode>
                <c:ptCount val="11"/>
                <c:pt idx="0">
                  <c:v>0</c:v>
                </c:pt>
                <c:pt idx="1">
                  <c:v>0</c:v>
                </c:pt>
                <c:pt idx="2">
                  <c:v>0</c:v>
                </c:pt>
                <c:pt idx="3">
                  <c:v>8.0956424825867998E-2</c:v>
                </c:pt>
                <c:pt idx="4">
                  <c:v>0.50736825593251356</c:v>
                </c:pt>
                <c:pt idx="5">
                  <c:v>0.33212946918786951</c:v>
                </c:pt>
                <c:pt idx="6">
                  <c:v>4.7327858360627521E-2</c:v>
                </c:pt>
                <c:pt idx="7">
                  <c:v>0.14975023409860197</c:v>
                </c:pt>
                <c:pt idx="8">
                  <c:v>4.0718684786481399E-2</c:v>
                </c:pt>
                <c:pt idx="9">
                  <c:v>0.16417401282379301</c:v>
                </c:pt>
                <c:pt idx="10">
                  <c:v>0.10746867644988529</c:v>
                </c:pt>
              </c:numCache>
            </c:numRef>
          </c:val>
          <c:smooth val="0"/>
        </c:ser>
        <c:ser>
          <c:idx val="2"/>
          <c:order val="2"/>
          <c:tx>
            <c:strRef>
              <c:f>Hoja1!$A$24</c:f>
              <c:strCache>
                <c:ptCount val="1"/>
                <c:pt idx="0">
                  <c:v>DR</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Hoja1!$B$32:$L$32</c:f>
              <c:numCache>
                <c:formatCode>0.00</c:formatCode>
                <c:ptCount val="11"/>
                <c:pt idx="0">
                  <c:v>0</c:v>
                </c:pt>
                <c:pt idx="1">
                  <c:v>0</c:v>
                </c:pt>
                <c:pt idx="2">
                  <c:v>0</c:v>
                </c:pt>
                <c:pt idx="3">
                  <c:v>0.14008298185007742</c:v>
                </c:pt>
                <c:pt idx="4">
                  <c:v>0.45872556650463336</c:v>
                </c:pt>
                <c:pt idx="5">
                  <c:v>0.33610487991371407</c:v>
                </c:pt>
                <c:pt idx="6">
                  <c:v>6.7523335459663977E-2</c:v>
                </c:pt>
                <c:pt idx="7">
                  <c:v>0.14676609087311762</c:v>
                </c:pt>
                <c:pt idx="8">
                  <c:v>3.9207693200508424E-2</c:v>
                </c:pt>
                <c:pt idx="9">
                  <c:v>0.18656108208391248</c:v>
                </c:pt>
                <c:pt idx="10">
                  <c:v>0.13912729800913076</c:v>
                </c:pt>
              </c:numCache>
            </c:numRef>
          </c:val>
          <c:smooth val="0"/>
        </c:ser>
        <c:ser>
          <c:idx val="3"/>
          <c:order val="3"/>
          <c:tx>
            <c:strRef>
              <c:f>Hoja1!$A$35</c:f>
              <c:strCache>
                <c:ptCount val="1"/>
                <c:pt idx="0">
                  <c:v>SUA</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Hoja1!$B$43:$L$43</c:f>
              <c:numCache>
                <c:formatCode>0.00</c:formatCode>
                <c:ptCount val="11"/>
                <c:pt idx="0">
                  <c:v>0</c:v>
                </c:pt>
                <c:pt idx="1">
                  <c:v>0</c:v>
                </c:pt>
                <c:pt idx="2">
                  <c:v>0</c:v>
                </c:pt>
                <c:pt idx="3">
                  <c:v>0.46961291639668745</c:v>
                </c:pt>
                <c:pt idx="4">
                  <c:v>0.87577102107698124</c:v>
                </c:pt>
                <c:pt idx="5">
                  <c:v>0.66297192251665804</c:v>
                </c:pt>
                <c:pt idx="6">
                  <c:v>0.2273033432312721</c:v>
                </c:pt>
                <c:pt idx="7">
                  <c:v>0.68695475675771545</c:v>
                </c:pt>
                <c:pt idx="8">
                  <c:v>0.2091038021952597</c:v>
                </c:pt>
                <c:pt idx="9">
                  <c:v>0.3343238843487773</c:v>
                </c:pt>
                <c:pt idx="10">
                  <c:v>0.22950440972850233</c:v>
                </c:pt>
              </c:numCache>
            </c:numRef>
          </c:val>
          <c:smooth val="0"/>
        </c:ser>
        <c:ser>
          <c:idx val="4"/>
          <c:order val="4"/>
          <c:tx>
            <c:strRef>
              <c:f>Hoja1!$A$46</c:f>
              <c:strCache>
                <c:ptCount val="1"/>
                <c:pt idx="0">
                  <c:v>Peripheries</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Hoja1!$B$54:$L$54</c:f>
              <c:numCache>
                <c:formatCode>0.00</c:formatCode>
                <c:ptCount val="11"/>
                <c:pt idx="0">
                  <c:v>0</c:v>
                </c:pt>
                <c:pt idx="1">
                  <c:v>0</c:v>
                </c:pt>
                <c:pt idx="2">
                  <c:v>0</c:v>
                </c:pt>
                <c:pt idx="3">
                  <c:v>0.41371292175262381</c:v>
                </c:pt>
                <c:pt idx="4">
                  <c:v>1.3238374388986882</c:v>
                </c:pt>
                <c:pt idx="5">
                  <c:v>1.0484337408644699</c:v>
                </c:pt>
                <c:pt idx="6">
                  <c:v>0.38762586044127595</c:v>
                </c:pt>
                <c:pt idx="7">
                  <c:v>1.5325477386662918</c:v>
                </c:pt>
                <c:pt idx="8">
                  <c:v>0.53249802781360378</c:v>
                </c:pt>
                <c:pt idx="9">
                  <c:v>0.5805565135127122</c:v>
                </c:pt>
                <c:pt idx="10">
                  <c:v>0.35636611777084376</c:v>
                </c:pt>
              </c:numCache>
            </c:numRef>
          </c:val>
          <c:smooth val="0"/>
        </c:ser>
        <c:ser>
          <c:idx val="5"/>
          <c:order val="5"/>
          <c:tx>
            <c:strRef>
              <c:f>Hoja1!$A$57</c:f>
              <c:strCache>
                <c:ptCount val="1"/>
                <c:pt idx="0">
                  <c:v>Cities</c:v>
                </c:pt>
              </c:strCache>
            </c:strRef>
          </c:tx>
          <c:cat>
            <c:numRef>
              <c:f>Hoja1!$B$58:$L$58</c:f>
              <c:numCache>
                <c:formatCode>General</c:formatCode>
                <c:ptCount val="11"/>
                <c:pt idx="0">
                  <c:v>1977</c:v>
                </c:pt>
                <c:pt idx="1">
                  <c:v>1979</c:v>
                </c:pt>
                <c:pt idx="2">
                  <c:v>1982</c:v>
                </c:pt>
                <c:pt idx="3">
                  <c:v>1986</c:v>
                </c:pt>
                <c:pt idx="4">
                  <c:v>1989</c:v>
                </c:pt>
                <c:pt idx="5">
                  <c:v>1993</c:v>
                </c:pt>
                <c:pt idx="6">
                  <c:v>1996</c:v>
                </c:pt>
                <c:pt idx="7">
                  <c:v>2000</c:v>
                </c:pt>
                <c:pt idx="8">
                  <c:v>2004</c:v>
                </c:pt>
                <c:pt idx="9">
                  <c:v>2008</c:v>
                </c:pt>
                <c:pt idx="10">
                  <c:v>2011</c:v>
                </c:pt>
              </c:numCache>
            </c:numRef>
          </c:cat>
          <c:val>
            <c:numRef>
              <c:f>Hoja1!$B$65:$L$65</c:f>
              <c:numCache>
                <c:formatCode>0.00</c:formatCode>
                <c:ptCount val="11"/>
                <c:pt idx="0">
                  <c:v>0</c:v>
                </c:pt>
                <c:pt idx="1">
                  <c:v>0</c:v>
                </c:pt>
                <c:pt idx="2">
                  <c:v>0</c:v>
                </c:pt>
                <c:pt idx="3">
                  <c:v>0.52946428604466234</c:v>
                </c:pt>
                <c:pt idx="4">
                  <c:v>1.4381059617066516</c:v>
                </c:pt>
                <c:pt idx="5">
                  <c:v>0.99801178157615378</c:v>
                </c:pt>
                <c:pt idx="6">
                  <c:v>0.3288806075523637</c:v>
                </c:pt>
                <c:pt idx="7">
                  <c:v>0.93194765250744227</c:v>
                </c:pt>
                <c:pt idx="8">
                  <c:v>0.38715825885251248</c:v>
                </c:pt>
                <c:pt idx="9">
                  <c:v>0.48648437491244595</c:v>
                </c:pt>
                <c:pt idx="10">
                  <c:v>0.3235881621805004</c:v>
                </c:pt>
              </c:numCache>
            </c:numRef>
          </c:val>
          <c:smooth val="0"/>
        </c:ser>
        <c:dLbls>
          <c:showLegendKey val="0"/>
          <c:showVal val="0"/>
          <c:showCatName val="0"/>
          <c:showSerName val="0"/>
          <c:showPercent val="0"/>
          <c:showBubbleSize val="0"/>
        </c:dLbls>
        <c:marker val="1"/>
        <c:smooth val="0"/>
        <c:axId val="646370432"/>
        <c:axId val="646371968"/>
      </c:lineChart>
      <c:catAx>
        <c:axId val="646370432"/>
        <c:scaling>
          <c:orientation val="minMax"/>
        </c:scaling>
        <c:delete val="0"/>
        <c:axPos val="b"/>
        <c:numFmt formatCode="General" sourceLinked="1"/>
        <c:majorTickMark val="none"/>
        <c:minorTickMark val="none"/>
        <c:tickLblPos val="nextTo"/>
        <c:crossAx val="646371968"/>
        <c:crosses val="autoZero"/>
        <c:auto val="1"/>
        <c:lblAlgn val="ctr"/>
        <c:lblOffset val="100"/>
        <c:noMultiLvlLbl val="0"/>
      </c:catAx>
      <c:valAx>
        <c:axId val="646371968"/>
        <c:scaling>
          <c:orientation val="minMax"/>
          <c:max val="2"/>
        </c:scaling>
        <c:delete val="0"/>
        <c:axPos val="l"/>
        <c:majorGridlines/>
        <c:title>
          <c:tx>
            <c:rich>
              <a:bodyPr/>
              <a:lstStyle/>
              <a:p>
                <a:pPr>
                  <a:defRPr/>
                </a:pPr>
                <a:r>
                  <a:rPr lang="es-ES"/>
                  <a:t>Percentage</a:t>
                </a:r>
              </a:p>
            </c:rich>
          </c:tx>
          <c:overlay val="0"/>
        </c:title>
        <c:numFmt formatCode="0.00" sourceLinked="1"/>
        <c:majorTickMark val="none"/>
        <c:minorTickMark val="none"/>
        <c:tickLblPos val="nextTo"/>
        <c:crossAx val="646370432"/>
        <c:crosses val="autoZero"/>
        <c:crossBetween val="between"/>
      </c:valAx>
    </c:plotArea>
    <c:legend>
      <c:legendPos val="r"/>
      <c:layout>
        <c:manualLayout>
          <c:xMode val="edge"/>
          <c:yMode val="edge"/>
          <c:x val="5.9211302290917325E-2"/>
          <c:y val="0.91432946106799673"/>
          <c:w val="0.91021844491660764"/>
          <c:h val="5.5846775909768019E-2"/>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17E33948-753F-4DE6-BF5B-1C7FF0977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19</Pages>
  <Words>4427</Words>
  <Characters>24353</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_</vt:lpstr>
    </vt:vector>
  </TitlesOfParts>
  <Company/>
  <LinksUpToDate>false</LinksUpToDate>
  <CharactersWithSpaces>28723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Arturo</dc:creator>
  <cp:keywords/>
  <cp:lastModifiedBy>Arturo</cp:lastModifiedBy>
  <cp:revision>96</cp:revision>
  <dcterms:created xsi:type="dcterms:W3CDTF">2013-09-04T16:02:00Z</dcterms:created>
  <dcterms:modified xsi:type="dcterms:W3CDTF">2013-09-09T20:09:00Z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2925</vt:lpwstr>
  </property>
  <property fmtid="{D5CDD505-2E9C-101B-9397-08002B2CF9AE}" pid="3" name="WnCSubscriberId">
    <vt:lpwstr>4119</vt:lpwstr>
  </property>
  <property fmtid="{D5CDD505-2E9C-101B-9397-08002B2CF9AE}" pid="4" name="WnCOutputStyleId">
    <vt:lpwstr>1669</vt:lpwstr>
  </property>
  <property fmtid="{D5CDD505-2E9C-101B-9397-08002B2CF9AE}" pid="5" name="RWProductId">
    <vt:lpwstr>WnC</vt:lpwstr>
  </property>
</Properties>
</file>