
<file path=[Content_Types].xml><?xml version="1.0" encoding="utf-8"?>
<Types xmlns="http://schemas.openxmlformats.org/package/2006/content-types">
  <Override PartName="/word/glossary/settings.xml" ContentType="application/vnd.openxmlformats-officedocument.wordprocessingml.settings+xml"/>
  <Override PartName="/word/webSettings.xml" ContentType="application/vnd.openxmlformats-officedocument.wordprocessingml.webSettings+xml"/>
  <Override PartName="/word/glossary/styles.xml" ContentType="application/vnd.openxmlformats-officedocument.wordprocessingml.styles+xml"/>
  <Override PartName="/word/stylesWithEffects.xml" ContentType="application/vnd.ms-word.stylesWithEffects+xml"/>
  <Override PartName="/word/footnotes.xml" ContentType="application/vnd.openxmlformats-officedocument.wordprocessingml.footnotes+xml"/>
  <Override PartName="/word/endnotes.xml" ContentType="application/vnd.openxmlformats-officedocument.wordprocessingml.endnotes+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glossary/webSettings.xml" ContentType="application/vnd.openxmlformats-officedocument.wordprocessingml.webSettings+xml"/>
  <Default Extension="xml" ContentType="applicatio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Override PartName="/word/glossary/document.xml" ContentType="application/vnd.openxmlformats-officedocument.wordprocessingml.document.glossary+xml"/>
  <Override PartName="/word/settings.xml" ContentType="application/vnd.openxmlformats-officedocument.wordprocessingml.settings+xml"/>
  <Default Extension="rels" ContentType="application/vnd.openxmlformats-package.relationships+xml"/>
  <Override PartName="/word/glossary/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26769" w:rsidRPr="00A7612A" w:rsidRDefault="00926769" w:rsidP="00926769">
      <w:pPr>
        <w:spacing w:before="120" w:after="0"/>
        <w:jc w:val="both"/>
        <w:rPr>
          <w:b/>
          <w:sz w:val="28"/>
        </w:rPr>
      </w:pPr>
      <w:r w:rsidRPr="00A7612A">
        <w:rPr>
          <w:b/>
          <w:sz w:val="28"/>
        </w:rPr>
        <w:t>Regimenes de Bienestar</w:t>
      </w:r>
      <w:r w:rsidR="00360D0E">
        <w:rPr>
          <w:b/>
          <w:sz w:val="28"/>
        </w:rPr>
        <w:t xml:space="preserve"> </w:t>
      </w:r>
      <w:r w:rsidRPr="00A7612A">
        <w:rPr>
          <w:b/>
          <w:sz w:val="28"/>
        </w:rPr>
        <w:t>y gobiernos progresistas en América Latina: ¿hacia un nuevo mundo del bienestar?</w:t>
      </w:r>
    </w:p>
    <w:p w:rsidR="004934DE" w:rsidRPr="001C7C9E" w:rsidRDefault="004934DE" w:rsidP="004934DE">
      <w:pPr>
        <w:spacing w:before="120" w:after="0"/>
        <w:jc w:val="center"/>
        <w:rPr>
          <w:rFonts w:ascii="Times New Roman" w:hAnsi="Times New Roman" w:cs="Times New Roman"/>
          <w:i/>
        </w:rPr>
      </w:pPr>
      <w:r w:rsidRPr="001C7C9E">
        <w:rPr>
          <w:rFonts w:ascii="Times New Roman" w:hAnsi="Times New Roman" w:cs="Times New Roman"/>
          <w:i/>
        </w:rPr>
        <w:t xml:space="preserve">Documento para su presentación en el </w:t>
      </w:r>
      <w:r>
        <w:rPr>
          <w:rFonts w:ascii="Times New Roman" w:hAnsi="Times New Roman" w:cs="Times New Roman"/>
          <w:i/>
        </w:rPr>
        <w:t>Congreso de la Asociación Española de Ciencia Política (Sevilla, Estado español) 18-20 de septiembre 2013.</w:t>
      </w:r>
    </w:p>
    <w:p w:rsidR="004934DE" w:rsidRDefault="004934DE" w:rsidP="004934DE">
      <w:pPr>
        <w:spacing w:before="120" w:after="0"/>
        <w:jc w:val="both"/>
        <w:rPr>
          <w:rFonts w:ascii="Times New Roman" w:hAnsi="Times New Roman" w:cs="Times New Roman"/>
        </w:rPr>
      </w:pPr>
    </w:p>
    <w:p w:rsidR="004934DE" w:rsidRPr="008C2C67" w:rsidRDefault="004934DE" w:rsidP="004934DE">
      <w:pPr>
        <w:spacing w:before="120" w:after="0"/>
        <w:jc w:val="both"/>
        <w:rPr>
          <w:rFonts w:ascii="Times New Roman" w:hAnsi="Times New Roman"/>
        </w:rPr>
      </w:pPr>
      <w:r w:rsidRPr="008C2C67">
        <w:rPr>
          <w:rFonts w:ascii="Times New Roman" w:hAnsi="Times New Roman"/>
        </w:rPr>
        <w:t>Analía Minteguiaga. Escuela de Gobierno y Administración Públicas. Ins</w:t>
      </w:r>
      <w:r>
        <w:rPr>
          <w:rFonts w:ascii="Times New Roman" w:hAnsi="Times New Roman"/>
        </w:rPr>
        <w:t>t</w:t>
      </w:r>
      <w:r w:rsidRPr="008C2C67">
        <w:rPr>
          <w:rFonts w:ascii="Times New Roman" w:hAnsi="Times New Roman"/>
        </w:rPr>
        <w:t>ituto de Altos Estudios Nacionales del Ecuador</w:t>
      </w:r>
      <w:r>
        <w:rPr>
          <w:rFonts w:ascii="Times New Roman" w:hAnsi="Times New Roman"/>
        </w:rPr>
        <w:t xml:space="preserve">. E-mail: </w:t>
      </w:r>
      <w:r w:rsidR="00447357">
        <w:fldChar w:fldCharType="begin"/>
      </w:r>
      <w:r>
        <w:instrText>HYPERLINK "mailto:analia.minteguiaga@iaen.edu.ec"</w:instrText>
      </w:r>
      <w:r w:rsidR="00447357">
        <w:fldChar w:fldCharType="separate"/>
      </w:r>
      <w:r w:rsidRPr="008C2C67">
        <w:rPr>
          <w:rStyle w:val="Hipervnculo"/>
          <w:rFonts w:ascii="Times New Roman" w:hAnsi="Times New Roman"/>
        </w:rPr>
        <w:t>analia.minteguiaga@iaen.edu.ec</w:t>
      </w:r>
      <w:r w:rsidR="00447357">
        <w:fldChar w:fldCharType="end"/>
      </w:r>
      <w:r>
        <w:rPr>
          <w:rFonts w:ascii="Times New Roman" w:hAnsi="Times New Roman"/>
        </w:rPr>
        <w:t>.</w:t>
      </w:r>
    </w:p>
    <w:p w:rsidR="004934DE" w:rsidRPr="008C2C67" w:rsidRDefault="004934DE" w:rsidP="004934DE">
      <w:pPr>
        <w:spacing w:before="120" w:after="0"/>
        <w:jc w:val="both"/>
        <w:rPr>
          <w:rFonts w:ascii="Times New Roman" w:hAnsi="Times New Roman"/>
        </w:rPr>
      </w:pPr>
      <w:r w:rsidRPr="008C2C67">
        <w:rPr>
          <w:rFonts w:ascii="Times New Roman" w:hAnsi="Times New Roman"/>
        </w:rPr>
        <w:t>Gemma Ubasart-Gonzàlez. Insituto de Gobierno y Políticas Públicas. Un</w:t>
      </w:r>
      <w:r>
        <w:rPr>
          <w:rFonts w:ascii="Times New Roman" w:hAnsi="Times New Roman"/>
        </w:rPr>
        <w:t xml:space="preserve">iversitat Autònoma de Barcelona. E-mail: </w:t>
      </w:r>
      <w:r w:rsidR="00447357">
        <w:fldChar w:fldCharType="begin"/>
      </w:r>
      <w:r>
        <w:instrText>HYPERLINK "mailto:gemmaubasartg@gmail.com"</w:instrText>
      </w:r>
      <w:r w:rsidR="00447357">
        <w:fldChar w:fldCharType="separate"/>
      </w:r>
      <w:r w:rsidRPr="008C2C67">
        <w:rPr>
          <w:rStyle w:val="Hipervnculo"/>
          <w:rFonts w:ascii="Times New Roman" w:hAnsi="Times New Roman"/>
        </w:rPr>
        <w:t>gemmaubasartg@gmail.com</w:t>
      </w:r>
      <w:r w:rsidR="00447357">
        <w:fldChar w:fldCharType="end"/>
      </w:r>
      <w:r>
        <w:rPr>
          <w:rFonts w:ascii="Times New Roman" w:hAnsi="Times New Roman"/>
        </w:rPr>
        <w:t>.</w:t>
      </w:r>
    </w:p>
    <w:p w:rsidR="00926769" w:rsidRDefault="00926769" w:rsidP="00926769">
      <w:pPr>
        <w:spacing w:before="120" w:after="0"/>
        <w:jc w:val="both"/>
      </w:pPr>
    </w:p>
    <w:p w:rsidR="00926769" w:rsidRPr="004934DE" w:rsidRDefault="00926769" w:rsidP="004934DE">
      <w:pPr>
        <w:spacing w:before="120" w:after="0"/>
        <w:jc w:val="both"/>
      </w:pPr>
      <w:r w:rsidRPr="004934DE">
        <w:rPr>
          <w:b/>
        </w:rPr>
        <w:t>Resumen</w:t>
      </w:r>
      <w:r w:rsidRPr="004934DE">
        <w:t>: Varios han sido los autores que, a partir de los trabajos de Esping Andersen (1993, 2000), han aplicado el concepto de régimen de bienestar para estudiar las políticas sociales en América Latina. Entre otras, Martínez (2007) elabora una tipología, con trabajo de campo que se situa en el cambio de milenio, y que establece tres categorías comparativas: regímenes Estal-productivistas, Estatal-proteccionistas y familiaristas. La mayoría de países de la región los sitúa en la última categoría. Nuestra hipótesis es que con la irrupción de gobiernos de izquierdas en muchos países de América Latina a partir de los 2000, el mapa de los modelos de bienestar y cuidado puede haber cambiado de maneras substantiva. Las experiencias transformadoras son distintas, a razón de las diversas realidades económico-sociales y de acción política en las que se asientan,  pero estas poseen varios puntos de contacto pudiendo resumirse en una mayor intervención del estado en el mercado y la recuperación de la función social por</w:t>
      </w:r>
      <w:r w:rsidR="00A67233" w:rsidRPr="004934DE">
        <w:t xml:space="preserve"> parte de los poderes públicos. </w:t>
      </w:r>
      <w:r w:rsidRPr="004934DE">
        <w:t>En el presente texto se presentará un modelo de analisi</w:t>
      </w:r>
      <w:r w:rsidR="00347A66" w:rsidRPr="004934DE">
        <w:t>s</w:t>
      </w:r>
      <w:r w:rsidRPr="004934DE">
        <w:t xml:space="preserve"> de los régimenes de bienestar latinoamericanos, basado en Esping Andersen y Martínez, pero que quiere dar cuenta de los cambios económicos, políticos y sociales que se han producido en la última década en la región.</w:t>
      </w:r>
    </w:p>
    <w:p w:rsidR="00A356F1" w:rsidRPr="004934DE" w:rsidRDefault="00A356F1" w:rsidP="00926769">
      <w:pPr>
        <w:spacing w:before="120" w:after="0"/>
        <w:ind w:left="708"/>
        <w:jc w:val="both"/>
      </w:pPr>
    </w:p>
    <w:p w:rsidR="00084A50" w:rsidRDefault="004934DE" w:rsidP="004934DE">
      <w:pPr>
        <w:spacing w:before="120" w:after="0"/>
        <w:jc w:val="both"/>
        <w:rPr>
          <w:rFonts w:ascii="Times New Roman" w:hAnsi="Times New Roman" w:cs="Times New Roman"/>
        </w:rPr>
      </w:pPr>
      <w:r w:rsidRPr="004934DE">
        <w:rPr>
          <w:rFonts w:ascii="Times New Roman" w:hAnsi="Times New Roman" w:cs="Times New Roman"/>
          <w:b/>
        </w:rPr>
        <w:t>Palabras clave:</w:t>
      </w:r>
      <w:r w:rsidRPr="004934DE">
        <w:rPr>
          <w:rFonts w:ascii="Times New Roman" w:hAnsi="Times New Roman" w:cs="Times New Roman"/>
        </w:rPr>
        <w:t xml:space="preserve"> </w:t>
      </w:r>
      <w:sdt>
        <w:sdtPr>
          <w:rPr>
            <w:rFonts w:ascii="Times New Roman" w:hAnsi="Times New Roman" w:cs="Times New Roman"/>
          </w:rPr>
          <w:alias w:val="Palabras clave"/>
          <w:id w:val="2307728"/>
          <w:placeholder>
            <w:docPart w:val="EABBC91B1797ED41A4AABF2BDC170F88"/>
          </w:placeholder>
          <w:dataBinding w:prefixMappings="xmlns:ns0='http://purl.org/dc/elements/1.1/' xmlns:ns1='http://schemas.openxmlformats.org/package/2006/metadata/core-properties' " w:xpath="/ns1:coreProperties[1]/ns1:keywords[1]" w:storeItemID="{6C3C8BC8-F283-45AE-878A-BAB7291924A1}"/>
          <w:text/>
        </w:sdtPr>
        <w:sdtContent>
          <w:r w:rsidRPr="004934DE">
            <w:rPr>
              <w:rFonts w:ascii="Times New Roman" w:hAnsi="Times New Roman" w:cs="Times New Roman"/>
            </w:rPr>
            <w:t>Regimen de Bienestar, Política Social, Ecuador, Bolivia, Venezuela</w:t>
          </w:r>
        </w:sdtContent>
      </w:sdt>
      <w:r w:rsidRPr="004934DE">
        <w:rPr>
          <w:rFonts w:ascii="Times New Roman" w:hAnsi="Times New Roman" w:cs="Times New Roman"/>
        </w:rPr>
        <w:t xml:space="preserve"> </w:t>
      </w:r>
    </w:p>
    <w:p w:rsidR="004934DE" w:rsidRPr="00084A50" w:rsidRDefault="004934DE" w:rsidP="004934DE">
      <w:pPr>
        <w:spacing w:before="120" w:after="0"/>
        <w:jc w:val="both"/>
        <w:rPr>
          <w:rFonts w:ascii="Times New Roman" w:hAnsi="Times New Roman" w:cs="Times New Roman"/>
        </w:rPr>
      </w:pPr>
    </w:p>
    <w:p w:rsidR="004934DE" w:rsidRDefault="004934DE" w:rsidP="004934DE">
      <w:pPr>
        <w:spacing w:before="120" w:after="0"/>
        <w:jc w:val="both"/>
        <w:rPr>
          <w:rFonts w:ascii="Times New Roman" w:hAnsi="Times New Roman" w:cs="Times New Roman"/>
        </w:rPr>
      </w:pPr>
      <w:r w:rsidRPr="004934DE">
        <w:rPr>
          <w:rFonts w:ascii="Times New Roman" w:hAnsi="Times New Roman" w:cs="Times New Roman"/>
          <w:b/>
        </w:rPr>
        <w:t>Nota biográfica</w:t>
      </w:r>
      <w:r w:rsidRPr="004934DE">
        <w:rPr>
          <w:rFonts w:ascii="Times New Roman" w:hAnsi="Times New Roman" w:cs="Times New Roman"/>
        </w:rPr>
        <w:t>: Analía Minteguiaga es Doctora en Investigación en Ciencias Sociales</w:t>
      </w:r>
      <w:r w:rsidRPr="00620EE6">
        <w:rPr>
          <w:rFonts w:ascii="Times New Roman" w:hAnsi="Times New Roman" w:cs="Times New Roman"/>
        </w:rPr>
        <w:t xml:space="preserve"> con Espec</w:t>
      </w:r>
      <w:r>
        <w:rPr>
          <w:rFonts w:ascii="Times New Roman" w:hAnsi="Times New Roman" w:cs="Times New Roman"/>
        </w:rPr>
        <w:t>ialización en Ciencia Política por FLACSO-Mexico y Profesora-Investigadora en la Escuela de Gobierno y Administración Pública del Insituto de Altos Estudios Nacionales del Ecuador. Gemma Ubasart-González es Doctora en Ciencia Política por la Universitat Autònoma de Barcelona y Investigadora del Instituo de Gobierno y Políticas Públicas de la misma universidad.</w:t>
      </w:r>
    </w:p>
    <w:p w:rsidR="004934DE" w:rsidRPr="001B6F27" w:rsidRDefault="004934DE" w:rsidP="004934DE">
      <w:pPr>
        <w:spacing w:before="120" w:after="0"/>
        <w:jc w:val="both"/>
        <w:rPr>
          <w:rFonts w:ascii="Times New Roman" w:hAnsi="Times New Roman" w:cs="Times New Roman"/>
        </w:rPr>
      </w:pPr>
    </w:p>
    <w:p w:rsidR="004934DE" w:rsidRPr="007971AC" w:rsidRDefault="00447357" w:rsidP="004934DE">
      <w:pPr>
        <w:spacing w:before="120" w:after="0"/>
        <w:jc w:val="center"/>
      </w:pPr>
      <w:sdt>
        <w:sdtPr>
          <w:rPr>
            <w:rFonts w:ascii="Times New Roman" w:hAnsi="Times New Roman" w:cs="Times New Roman"/>
            <w:i/>
          </w:rPr>
          <w:alias w:val="Comentarios"/>
          <w:id w:val="2307727"/>
          <w:placeholder>
            <w:docPart w:val="C6EFD93E10694B46A3BE6299E33B930E"/>
          </w:placeholder>
          <w:dataBinding w:prefixMappings="xmlns:ns0='http://purl.org/dc/elements/1.1/' xmlns:ns1='http://schemas.openxmlformats.org/package/2006/metadata/core-properties' " w:xpath="/ns1:coreProperties[1]/ns0:description[1]" w:storeItemID="{6C3C8BC8-F283-45AE-878A-BAB7291924A1}"/>
          <w:text w:multiLine="1"/>
        </w:sdtPr>
        <w:sdtContent>
          <w:r w:rsidR="004934DE">
            <w:rPr>
              <w:rFonts w:ascii="Times New Roman" w:hAnsi="Times New Roman" w:cs="Times New Roman"/>
              <w:i/>
            </w:rPr>
            <w:t>Work in process. Por favor, no citar sin consultar a las autoras. Este trabajo se enmarca dentro del proyecto de investigación “Revolución Ciudadana y Régimen de Bienestar en el Ecuador” que está siendo financiado por CLACSO. En este trabajo participan también la Dra. Valeria Coronel y Gregorio Paez.</w:t>
          </w:r>
        </w:sdtContent>
      </w:sdt>
    </w:p>
    <w:p w:rsidR="004934DE" w:rsidRDefault="004934DE" w:rsidP="00926769">
      <w:pPr>
        <w:spacing w:before="120" w:after="0"/>
        <w:ind w:left="708"/>
        <w:jc w:val="both"/>
        <w:rPr>
          <w:sz w:val="20"/>
        </w:rPr>
      </w:pPr>
    </w:p>
    <w:p w:rsidR="00926769" w:rsidRPr="00A7612A" w:rsidRDefault="00926769" w:rsidP="004934DE">
      <w:pPr>
        <w:spacing w:before="120" w:after="0"/>
        <w:jc w:val="both"/>
        <w:rPr>
          <w:sz w:val="20"/>
        </w:rPr>
      </w:pPr>
    </w:p>
    <w:p w:rsidR="00926769" w:rsidRPr="00BE0A82" w:rsidRDefault="00926769" w:rsidP="00926769">
      <w:pPr>
        <w:spacing w:before="120" w:after="0"/>
        <w:jc w:val="both"/>
        <w:rPr>
          <w:rFonts w:ascii="Cambria" w:hAnsi="Cambria"/>
          <w:b/>
          <w:color w:val="000000"/>
          <w:u w:val="single"/>
        </w:rPr>
      </w:pPr>
      <w:r w:rsidRPr="00BE0A82">
        <w:rPr>
          <w:rFonts w:ascii="Cambria" w:hAnsi="Cambria"/>
          <w:b/>
          <w:color w:val="000000"/>
          <w:u w:val="single"/>
        </w:rPr>
        <w:t>1.</w:t>
      </w:r>
      <w:r w:rsidR="00347A66">
        <w:rPr>
          <w:rFonts w:ascii="Arial" w:hAnsi="Arial"/>
          <w:b/>
          <w:color w:val="000000"/>
          <w:u w:val="single"/>
        </w:rPr>
        <w:t xml:space="preserve"> </w:t>
      </w:r>
      <w:r w:rsidRPr="00BE0A82">
        <w:rPr>
          <w:rFonts w:ascii="Cambria" w:hAnsi="Cambria"/>
          <w:b/>
          <w:color w:val="000000"/>
          <w:u w:val="single"/>
        </w:rPr>
        <w:t>Introducción</w:t>
      </w:r>
    </w:p>
    <w:p w:rsidR="00926769" w:rsidRPr="003B189C" w:rsidRDefault="00360D0E" w:rsidP="00926769">
      <w:pPr>
        <w:spacing w:before="120" w:after="0"/>
        <w:jc w:val="both"/>
        <w:rPr>
          <w:rFonts w:ascii="Cambria" w:hAnsi="Cambria"/>
          <w:color w:val="000000"/>
        </w:rPr>
      </w:pPr>
      <w:r w:rsidRPr="00A67233">
        <w:rPr>
          <w:rFonts w:ascii="Cambria" w:hAnsi="Cambria"/>
          <w:color w:val="000000"/>
        </w:rPr>
        <w:t>Con el triu</w:t>
      </w:r>
      <w:r w:rsidR="00A67233" w:rsidRPr="00A67233">
        <w:rPr>
          <w:rFonts w:ascii="Cambria" w:hAnsi="Cambria"/>
          <w:color w:val="000000"/>
        </w:rPr>
        <w:t>n</w:t>
      </w:r>
      <w:r w:rsidR="00926769" w:rsidRPr="00A67233">
        <w:rPr>
          <w:rFonts w:ascii="Cambria" w:hAnsi="Cambria"/>
          <w:color w:val="000000"/>
        </w:rPr>
        <w:t>fo</w:t>
      </w:r>
      <w:r w:rsidR="00926769" w:rsidRPr="003B189C">
        <w:rPr>
          <w:rFonts w:ascii="Cambria" w:hAnsi="Cambria"/>
          <w:color w:val="000000"/>
        </w:rPr>
        <w:t xml:space="preserve"> de Hugo Chavez en las urnas en 1998 se abre un peri</w:t>
      </w:r>
      <w:r w:rsidR="003775FF">
        <w:rPr>
          <w:rFonts w:ascii="Cambria" w:hAnsi="Cambria"/>
          <w:color w:val="000000"/>
        </w:rPr>
        <w:t>odo de cambio en América Latina</w:t>
      </w:r>
      <w:r w:rsidR="003775FF" w:rsidRPr="00C12BB1">
        <w:rPr>
          <w:rStyle w:val="Refdenotaalpie"/>
        </w:rPr>
        <w:footnoteReference w:id="2"/>
      </w:r>
      <w:r w:rsidR="00926769" w:rsidRPr="003B189C">
        <w:rPr>
          <w:rFonts w:ascii="Cambria" w:hAnsi="Cambria"/>
          <w:color w:val="000000"/>
        </w:rPr>
        <w:t>. Si bien cada Estado tiene sus propias especificidades, todas estas experiencias tienen como objetivo “desmontar el núcleo duro de la agenda neoliberal y recuperar ciertas funciones de bienestar social y regulación económica, como se venía realizando aunque de modo muy desigual, en los años previos al ajuste estructural” (Ramírez, 2006: 33). Estos procesos buscan revertir las condiciones materiales y simbólicas heredadas de la implementación durante dos décadas de políticas neoliberales deriv</w:t>
      </w:r>
      <w:r w:rsidR="003775FF">
        <w:rPr>
          <w:rFonts w:ascii="Cambria" w:hAnsi="Cambria"/>
          <w:color w:val="000000"/>
        </w:rPr>
        <w:t>adas del Consenso de Washington</w:t>
      </w:r>
      <w:r w:rsidR="00926769" w:rsidRPr="003B189C">
        <w:rPr>
          <w:rFonts w:ascii="Cambria" w:hAnsi="Cambria"/>
          <w:color w:val="000000"/>
        </w:rPr>
        <w:t>. Estas se caracterizaron por promover la “flexibilización laboral, la privatización, la desregulación, la apertura de las cuentas comercial y financiera, la reducción del tamaño del Estado, etc.” (Falconí/ Muñoz, 2012: 77); medidas que terminaron provocando el aumento de la desigualdad y la pobreza, así como la reproducción de una estructura productiva ociosa y rentista, enfocada más en los beneficios del comercio exterior de materias primas, que en la satisfacción de las necesidades del país. A este período se lo conoce también como el de las décadas pérdidas o sufridas</w:t>
      </w:r>
      <w:r w:rsidR="003775FF" w:rsidRPr="00C12BB1">
        <w:rPr>
          <w:rStyle w:val="Refdenotaalpie"/>
        </w:rPr>
        <w:footnoteReference w:id="3"/>
      </w:r>
      <w:r w:rsidR="00926769" w:rsidRPr="003B189C">
        <w:rPr>
          <w:rFonts w:ascii="Cambria" w:hAnsi="Cambria"/>
          <w:color w:val="000000"/>
        </w:rPr>
        <w:t xml:space="preserve"> . </w:t>
      </w:r>
    </w:p>
    <w:p w:rsidR="007B71BA" w:rsidRDefault="00347A66" w:rsidP="00926769">
      <w:pPr>
        <w:spacing w:before="120" w:after="0"/>
        <w:jc w:val="both"/>
        <w:rPr>
          <w:rFonts w:ascii="Cambria" w:hAnsi="Cambria"/>
          <w:color w:val="000000"/>
        </w:rPr>
      </w:pPr>
      <w:r>
        <w:rPr>
          <w:rFonts w:ascii="Cambria" w:hAnsi="Cambria"/>
          <w:color w:val="000000"/>
        </w:rPr>
        <w:t>Para comprender el proceso de cambio estructural que están llevando a cabo en algunos países de Amé</w:t>
      </w:r>
      <w:r w:rsidR="006348CE">
        <w:rPr>
          <w:rFonts w:ascii="Cambria" w:hAnsi="Cambria"/>
          <w:color w:val="000000"/>
        </w:rPr>
        <w:t>rica Latina (de forma</w:t>
      </w:r>
      <w:r w:rsidR="009F3762">
        <w:rPr>
          <w:rFonts w:ascii="Cambria" w:hAnsi="Cambria"/>
          <w:color w:val="000000"/>
        </w:rPr>
        <w:t xml:space="preserve"> constitucionalizada</w:t>
      </w:r>
      <w:r>
        <w:rPr>
          <w:rFonts w:ascii="Cambria" w:hAnsi="Cambria"/>
          <w:color w:val="000000"/>
        </w:rPr>
        <w:t xml:space="preserve"> en el caso de Bolivia, el Ecuador y Venezuela) c</w:t>
      </w:r>
      <w:r w:rsidR="00991D9F" w:rsidRPr="00991D9F">
        <w:rPr>
          <w:rFonts w:ascii="Cambria" w:hAnsi="Cambria"/>
          <w:color w:val="000000"/>
        </w:rPr>
        <w:t>onsideramos importante analizar de manera específica el</w:t>
      </w:r>
      <w:r w:rsidR="00991D9F">
        <w:rPr>
          <w:rFonts w:ascii="Cambria" w:hAnsi="Cambria"/>
          <w:color w:val="000000"/>
        </w:rPr>
        <w:t xml:space="preserve"> tipo de intervención estatal en el campo social, en los procesos de distribución y redistribución de recursos, en la provisión de cuidados y bienestares a la ciudadadía. </w:t>
      </w:r>
      <w:r w:rsidR="00991D9F" w:rsidRPr="00C12BB1">
        <w:t>Diversas publicaciones recogen los logros conseguidos</w:t>
      </w:r>
      <w:r w:rsidR="00991D9F">
        <w:t xml:space="preserve"> durante el</w:t>
      </w:r>
      <w:r w:rsidR="00991D9F" w:rsidRPr="00C12BB1">
        <w:t xml:space="preserve"> período</w:t>
      </w:r>
      <w:r w:rsidR="00991D9F">
        <w:t xml:space="preserve"> en </w:t>
      </w:r>
      <w:r w:rsidR="009F3762">
        <w:t>el que han estado dirigiendo el país</w:t>
      </w:r>
      <w:r w:rsidR="00991D9F">
        <w:t xml:space="preserve"> los gobiernos progresistas en lo que tiene que ver </w:t>
      </w:r>
      <w:r w:rsidR="006348CE">
        <w:t xml:space="preserve">con </w:t>
      </w:r>
      <w:r w:rsidR="00991D9F">
        <w:t>mejoras en reducción de la pobreza y la desigualdad, el aumento de la cobertura en se</w:t>
      </w:r>
      <w:r w:rsidR="006348CE">
        <w:t>rvicios de salud y educación o aumento</w:t>
      </w:r>
      <w:r w:rsidR="00991D9F">
        <w:t xml:space="preserve"> de</w:t>
      </w:r>
      <w:r w:rsidR="006348CE">
        <w:t xml:space="preserve"> la calidad del trabajo productivo</w:t>
      </w:r>
      <w:r w:rsidR="00991D9F" w:rsidRPr="00C12BB1">
        <w:t xml:space="preserve"> –</w:t>
      </w:r>
      <w:r w:rsidR="00991D9F">
        <w:t xml:space="preserve">avances </w:t>
      </w:r>
      <w:r w:rsidR="00991D9F" w:rsidRPr="00C12BB1">
        <w:t>reconocidos también por organismos nacionales e internacionales-, aunque son pocos</w:t>
      </w:r>
      <w:r w:rsidR="00991D9F">
        <w:t xml:space="preserve"> aún</w:t>
      </w:r>
      <w:r w:rsidR="00991D9F" w:rsidRPr="00C12BB1">
        <w:t xml:space="preserve"> los análisis críticos que buscan comprender</w:t>
      </w:r>
      <w:r w:rsidR="00991D9F">
        <w:t>,</w:t>
      </w:r>
      <w:r w:rsidR="00991D9F" w:rsidRPr="009571A0">
        <w:t xml:space="preserve"> </w:t>
      </w:r>
      <w:r w:rsidR="00991D9F">
        <w:t>de una manera integral y estructural,</w:t>
      </w:r>
      <w:r w:rsidR="00991D9F" w:rsidRPr="00C12BB1">
        <w:t xml:space="preserve"> </w:t>
      </w:r>
      <w:r w:rsidR="00991D9F">
        <w:t xml:space="preserve">las intervenciones que se están realizando en </w:t>
      </w:r>
      <w:r w:rsidR="00EC51C1">
        <w:t xml:space="preserve">el </w:t>
      </w:r>
      <w:r w:rsidR="00991D9F">
        <w:t>régimen de bienestar</w:t>
      </w:r>
      <w:r w:rsidR="00EC51C1">
        <w:t xml:space="preserve">, </w:t>
      </w:r>
      <w:r w:rsidR="009F3762">
        <w:t>estudiando</w:t>
      </w:r>
      <w:r w:rsidR="006348CE">
        <w:t xml:space="preserve"> las </w:t>
      </w:r>
      <w:r w:rsidR="00EC51C1">
        <w:t xml:space="preserve">modificaciones cuantitativas </w:t>
      </w:r>
      <w:r w:rsidR="007B71BA">
        <w:t>pero sobretodo cualitativas y conceptuales</w:t>
      </w:r>
      <w:r w:rsidR="00991D9F">
        <w:t>.</w:t>
      </w:r>
      <w:r w:rsidR="006348CE">
        <w:t xml:space="preserve"> Es fundamental, pues, </w:t>
      </w:r>
      <w:r w:rsidR="006348CE" w:rsidRPr="00F06CAD">
        <w:t>identificar las dinámicas de</w:t>
      </w:r>
      <w:r w:rsidR="006348CE">
        <w:t xml:space="preserve"> continuidad y cambio que se producen en las agendas social, laboral y tributaria.</w:t>
      </w:r>
    </w:p>
    <w:p w:rsidR="00991D9F" w:rsidRDefault="007B71BA" w:rsidP="00926769">
      <w:pPr>
        <w:spacing w:before="120" w:after="0"/>
        <w:jc w:val="both"/>
        <w:rPr>
          <w:rFonts w:ascii="Cambria" w:hAnsi="Cambria"/>
          <w:color w:val="000000"/>
        </w:rPr>
      </w:pPr>
      <w:r>
        <w:rPr>
          <w:rFonts w:ascii="Cambria" w:hAnsi="Cambria"/>
          <w:color w:val="000000"/>
        </w:rPr>
        <w:t>En este sentido decir que l</w:t>
      </w:r>
      <w:r w:rsidR="00926769" w:rsidRPr="003B189C">
        <w:rPr>
          <w:rFonts w:ascii="Cambria" w:hAnsi="Cambria"/>
          <w:color w:val="000000"/>
        </w:rPr>
        <w:t>os procesos de cambio señalados no sólo están introduciendo modificaciones substanciales en las políticas y estructuras estatales de muchos países latinoamericanos, sino que también están provocando el surgimiento de nuevas preocupaciones intelectuales y académicas en la región. Así pues, parafraseando a Martínez (2007:4), podemos decir que “las consideraciones redistributivas (vuelven) a la escena” del debate. Se modifican realidades y también esquemas analíticos. En este sentido, no es gratuito que se empiece a hablar de sistemas nacionales de inclusión, de políticas estructurales de salud o de educación, así como también que en el campo académico comience a utilizarse el concepto de regímenes de bienestar, de cuño claramente europeo, que se consolidó a partir de las aportaciones realizadas por Gos</w:t>
      </w:r>
      <w:r w:rsidR="00926769" w:rsidRPr="00967AE3">
        <w:rPr>
          <w:rFonts w:ascii="Cambria" w:hAnsi="Cambria"/>
          <w:color w:val="000000"/>
        </w:rPr>
        <w:t>k</w:t>
      </w:r>
      <w:r w:rsidR="00926769" w:rsidRPr="003B189C">
        <w:rPr>
          <w:rFonts w:ascii="Cambria" w:hAnsi="Cambria"/>
          <w:color w:val="000000"/>
        </w:rPr>
        <w:t>a E</w:t>
      </w:r>
      <w:r w:rsidR="00967AE3">
        <w:rPr>
          <w:rFonts w:ascii="Cambria" w:hAnsi="Cambria"/>
          <w:color w:val="000000"/>
        </w:rPr>
        <w:t>sping Andersen (1993 y 2000). En la academia se</w:t>
      </w:r>
      <w:r w:rsidR="00926769" w:rsidRPr="003B189C">
        <w:rPr>
          <w:rFonts w:ascii="Cambria" w:hAnsi="Cambria"/>
          <w:color w:val="000000"/>
        </w:rPr>
        <w:t xml:space="preserve"> recupera la preocupación por la agenda social, a la vez que muta la perspectiva; ya no se trata de estudiar intervenciones parciales sino de comprender cómo se construye y modifica el sistema, la estructura, que se ocupa de los cuidados y el bi</w:t>
      </w:r>
      <w:r w:rsidR="00967AE3">
        <w:rPr>
          <w:rFonts w:ascii="Cambria" w:hAnsi="Cambria"/>
          <w:color w:val="000000"/>
        </w:rPr>
        <w:t>enestar de los y las ciudadanas, aunque aún hay pocos trabajos empíricos producidos en este nuevo milenio.</w:t>
      </w:r>
    </w:p>
    <w:p w:rsidR="00926769" w:rsidRPr="003B189C" w:rsidRDefault="00926769" w:rsidP="00926769">
      <w:pPr>
        <w:spacing w:before="120" w:after="0"/>
        <w:jc w:val="both"/>
        <w:rPr>
          <w:rFonts w:ascii="Cambria" w:hAnsi="Cambria"/>
          <w:color w:val="000000"/>
        </w:rPr>
      </w:pPr>
      <w:r w:rsidRPr="003B189C">
        <w:rPr>
          <w:rFonts w:ascii="Cambria" w:hAnsi="Cambria"/>
          <w:color w:val="000000"/>
        </w:rPr>
        <w:t>De la misma manera que esta nueva agenda de investigación</w:t>
      </w:r>
      <w:r w:rsidR="00967AE3">
        <w:rPr>
          <w:rFonts w:ascii="Cambria" w:hAnsi="Cambria"/>
          <w:color w:val="000000"/>
        </w:rPr>
        <w:t xml:space="preserve"> sobre régimenes de bienestar</w:t>
      </w:r>
      <w:r w:rsidRPr="003B189C">
        <w:rPr>
          <w:rFonts w:ascii="Cambria" w:hAnsi="Cambria"/>
          <w:color w:val="000000"/>
        </w:rPr>
        <w:t xml:space="preserve"> supuso un salto cualitativo en los trabajos que se venían haciendo en Europa sobre la evolución </w:t>
      </w:r>
      <w:r w:rsidRPr="00967AE3">
        <w:rPr>
          <w:rFonts w:ascii="Cambria" w:hAnsi="Cambria"/>
          <w:color w:val="000000"/>
        </w:rPr>
        <w:t>de los Estados del Bienestar, surgidos</w:t>
      </w:r>
      <w:r w:rsidRPr="003B189C">
        <w:rPr>
          <w:rFonts w:ascii="Cambria" w:hAnsi="Cambria"/>
          <w:color w:val="000000"/>
        </w:rPr>
        <w:t xml:space="preserve"> inmediatamente después de la Segunda Guerra Mundial (IIGM) -y en el caso del Sur de Europa a partir de los 80’-, </w:t>
      </w:r>
      <w:r w:rsidR="00967AE3">
        <w:rPr>
          <w:rFonts w:ascii="Cambria" w:hAnsi="Cambria"/>
          <w:color w:val="000000"/>
        </w:rPr>
        <w:t>esta agenda creemos que</w:t>
      </w:r>
      <w:r w:rsidRPr="003B189C">
        <w:rPr>
          <w:rFonts w:ascii="Cambria" w:hAnsi="Cambria"/>
          <w:color w:val="000000"/>
        </w:rPr>
        <w:t xml:space="preserve"> presenta grandes potencialidades para la comprensión de este momento de recuperación de la función social que están viviendo muchos estados de la región. Las características propias de las estructuras de bienestar en los países latinoamericanos -con aún importantes niveles de informalidad y precariedad en el mercado de trabajo, instituciones estatales poco sólidas y un peso importante de la familia (y en concreto de la mujer) en la provisión de cuidados- nos llevan a pensar en la necesidad de aplicar modelos de análisis más abiertos y flexibles que los que nos ofrecían las aproximaciones clásicas en el campo de estudio de las políticas sociales. </w:t>
      </w:r>
      <w:r w:rsidR="00967AE3">
        <w:rPr>
          <w:rFonts w:ascii="Cambria" w:hAnsi="Cambria"/>
          <w:color w:val="000000"/>
        </w:rPr>
        <w:t>Y algunos elementos de esta agenda inaugurada por Esping Andersen son de utilidad.</w:t>
      </w:r>
    </w:p>
    <w:p w:rsidR="004B52B1" w:rsidRDefault="00926769" w:rsidP="006348CE">
      <w:pPr>
        <w:spacing w:before="120" w:after="0"/>
        <w:jc w:val="both"/>
        <w:rPr>
          <w:rFonts w:ascii="Cambria" w:hAnsi="Cambria"/>
        </w:rPr>
      </w:pPr>
      <w:r w:rsidRPr="00991D9F">
        <w:rPr>
          <w:rFonts w:ascii="Cambria" w:hAnsi="Cambria"/>
        </w:rPr>
        <w:t xml:space="preserve">Así pues, en el presente texto queremos poner las bases teóricas y metodológicas que permitan abrir una agenda de investigación con la finalidad de indagar sobre el tipo y las principales </w:t>
      </w:r>
      <w:r w:rsidRPr="00967AE3">
        <w:rPr>
          <w:rFonts w:ascii="Cambria" w:hAnsi="Cambria"/>
        </w:rPr>
        <w:t>características del régimen de bienestar (</w:t>
      </w:r>
      <w:r w:rsidR="00360D0E" w:rsidRPr="00967AE3">
        <w:rPr>
          <w:rFonts w:ascii="Cambria" w:hAnsi="Cambria"/>
        </w:rPr>
        <w:t>que</w:t>
      </w:r>
      <w:r w:rsidR="00967AE3">
        <w:rPr>
          <w:rFonts w:ascii="Cambria" w:hAnsi="Cambria"/>
        </w:rPr>
        <w:t xml:space="preserve"> contempla pero</w:t>
      </w:r>
      <w:r w:rsidR="00360D0E" w:rsidRPr="00967AE3">
        <w:rPr>
          <w:rFonts w:ascii="Cambria" w:hAnsi="Cambria"/>
        </w:rPr>
        <w:t xml:space="preserve"> excede a las</w:t>
      </w:r>
      <w:r w:rsidRPr="00967AE3">
        <w:rPr>
          <w:rFonts w:ascii="Cambria" w:hAnsi="Cambria"/>
        </w:rPr>
        <w:t xml:space="preserve"> políticas</w:t>
      </w:r>
      <w:r w:rsidR="00991D9F" w:rsidRPr="00967AE3">
        <w:rPr>
          <w:rFonts w:ascii="Cambria" w:hAnsi="Cambria"/>
        </w:rPr>
        <w:t xml:space="preserve"> sociales) que se pr</w:t>
      </w:r>
      <w:r w:rsidR="00991D9F" w:rsidRPr="00991D9F">
        <w:rPr>
          <w:rFonts w:ascii="Cambria" w:hAnsi="Cambria"/>
        </w:rPr>
        <w:t>oyecta en los países en transformación en América Latina.</w:t>
      </w:r>
      <w:r w:rsidRPr="00991D9F">
        <w:rPr>
          <w:rFonts w:ascii="Cambria" w:hAnsi="Cambria"/>
        </w:rPr>
        <w:t xml:space="preserve"> A partir de un análisis bibliográfico y de una primera aproximación cualitativa trazaremos de modo aún bastante hipotético, ideas de caracterización de</w:t>
      </w:r>
      <w:r w:rsidR="00991D9F" w:rsidRPr="00991D9F">
        <w:rPr>
          <w:rFonts w:ascii="Cambria" w:hAnsi="Cambria"/>
        </w:rPr>
        <w:t xml:space="preserve"> los</w:t>
      </w:r>
      <w:r w:rsidRPr="00991D9F">
        <w:rPr>
          <w:rFonts w:ascii="Cambria" w:hAnsi="Cambria"/>
        </w:rPr>
        <w:t xml:space="preserve"> modelo</w:t>
      </w:r>
      <w:r w:rsidR="00991D9F" w:rsidRPr="00991D9F">
        <w:rPr>
          <w:rFonts w:ascii="Cambria" w:hAnsi="Cambria"/>
        </w:rPr>
        <w:t>s en construcción</w:t>
      </w:r>
      <w:r w:rsidRPr="00991D9F">
        <w:rPr>
          <w:rFonts w:ascii="Cambria" w:hAnsi="Cambria"/>
        </w:rPr>
        <w:t xml:space="preserve">. No se trata de un trabajo cerrado sino que nuestra principal intención es la de abrir preguntas y dejar apuntados retos para futuros desarrollos académicos. </w:t>
      </w:r>
      <w:r w:rsidR="00212D40">
        <w:rPr>
          <w:rFonts w:ascii="Cambria" w:hAnsi="Cambria"/>
        </w:rPr>
        <w:t xml:space="preserve"> </w:t>
      </w:r>
    </w:p>
    <w:p w:rsidR="00991D9F" w:rsidRDefault="00991D9F" w:rsidP="006348CE">
      <w:pPr>
        <w:spacing w:before="120" w:after="0"/>
        <w:jc w:val="both"/>
        <w:rPr>
          <w:rFonts w:ascii="Cambria" w:hAnsi="Cambria"/>
          <w:b/>
        </w:rPr>
      </w:pPr>
    </w:p>
    <w:p w:rsidR="00926769" w:rsidRPr="00BE0A82" w:rsidRDefault="00926769" w:rsidP="00926769">
      <w:pPr>
        <w:spacing w:before="120" w:after="0"/>
        <w:jc w:val="both"/>
        <w:rPr>
          <w:rFonts w:ascii="Cambria" w:hAnsi="Cambria"/>
          <w:b/>
          <w:color w:val="000000"/>
          <w:u w:val="single"/>
        </w:rPr>
      </w:pPr>
      <w:r w:rsidRPr="00BE0A82">
        <w:rPr>
          <w:rFonts w:ascii="Cambria" w:hAnsi="Cambria"/>
          <w:b/>
          <w:u w:val="single"/>
        </w:rPr>
        <w:t>2</w:t>
      </w:r>
      <w:r w:rsidR="006A18F3" w:rsidRPr="00BE0A82">
        <w:rPr>
          <w:rFonts w:ascii="Cambria" w:hAnsi="Cambria"/>
          <w:b/>
          <w:u w:val="single"/>
        </w:rPr>
        <w:t xml:space="preserve">. </w:t>
      </w:r>
      <w:r w:rsidRPr="00BE0A82">
        <w:rPr>
          <w:rFonts w:ascii="Cambria" w:hAnsi="Cambria"/>
          <w:b/>
          <w:color w:val="000000"/>
          <w:u w:val="single"/>
        </w:rPr>
        <w:t>Regímenes de bienestar: conceptos que innovan los análisis y las políticas</w:t>
      </w:r>
    </w:p>
    <w:p w:rsidR="00926769" w:rsidRPr="003B189C" w:rsidRDefault="00926769" w:rsidP="00926769">
      <w:pPr>
        <w:spacing w:before="120" w:after="0"/>
        <w:jc w:val="both"/>
        <w:rPr>
          <w:rFonts w:ascii="Cambria" w:hAnsi="Cambria"/>
          <w:color w:val="000000"/>
        </w:rPr>
      </w:pPr>
      <w:r w:rsidRPr="003B189C">
        <w:rPr>
          <w:rFonts w:ascii="Cambria" w:hAnsi="Cambria"/>
          <w:color w:val="000000"/>
        </w:rPr>
        <w:t xml:space="preserve">El concepto de régimen de bienestar busca superar los modelos teóricos clásicos del estudio del Estado de bienestar y las políticas sociales. Estos presentaban un análisis demasiado fragmentado y a-político (o a-ideológico) de la realidad, como si los proyectos de país no tuvieran que ver con las intervenciones sociales diseñadas e implementadas. </w:t>
      </w:r>
      <w:r w:rsidR="00967AE3">
        <w:rPr>
          <w:rFonts w:ascii="Cambria" w:hAnsi="Cambria"/>
          <w:color w:val="000000"/>
        </w:rPr>
        <w:t>De esta manera, los continuos y</w:t>
      </w:r>
      <w:r w:rsidRPr="003B189C">
        <w:rPr>
          <w:rFonts w:ascii="Cambria" w:hAnsi="Cambria"/>
          <w:color w:val="000000"/>
        </w:rPr>
        <w:t xml:space="preserve"> tipologías que se establecían en la literatura del bienestar y el cuidado en un pasado podían no dar cuenta realmente del tipo de modelo general que se estaba construyendo. Así pues, las obras de Esping Andersen (1993, 2000) supusieron un enriquecimiento cognitivo que permitiría: 1) construir una mirada integral más allá de la fragmentación sectorial de análisis previos, focalizados en un tipo concreto de políticas como las educativas, sanitarias, de seguro social, etc; 2) superar una aproximación cuantitivista, basada en el análisis de la cantidad de dinero que se gasta y no en el cómo se gasta, “sociologizando” el análisis; 3) considerar no solamente la esfera público-estatal como productora de bienestar sino también tener en cuenta la esfera mercantil, la comunitaria o social y la familiar; 4) facilitar el desarrollo de aproximaciones comparativas entre países y modelos .</w:t>
      </w:r>
    </w:p>
    <w:p w:rsidR="00926769" w:rsidRPr="003B189C" w:rsidRDefault="00926769" w:rsidP="00926769">
      <w:pPr>
        <w:spacing w:before="120" w:after="0"/>
        <w:jc w:val="both"/>
        <w:rPr>
          <w:rFonts w:ascii="Cambria" w:hAnsi="Cambria"/>
          <w:color w:val="000000"/>
        </w:rPr>
      </w:pPr>
      <w:r w:rsidRPr="003B189C">
        <w:rPr>
          <w:rFonts w:ascii="Cambria" w:hAnsi="Cambria"/>
          <w:color w:val="000000"/>
        </w:rPr>
        <w:t xml:space="preserve">Esta nueva agenda posibilitaba la comprensión de la naturaleza </w:t>
      </w:r>
      <w:r w:rsidR="00967AE3">
        <w:rPr>
          <w:rFonts w:ascii="Cambria" w:hAnsi="Cambria"/>
          <w:color w:val="000000"/>
        </w:rPr>
        <w:t xml:space="preserve">de </w:t>
      </w:r>
      <w:r w:rsidRPr="003B189C">
        <w:rPr>
          <w:rFonts w:ascii="Cambria" w:hAnsi="Cambria"/>
          <w:color w:val="000000"/>
        </w:rPr>
        <w:t xml:space="preserve">las diferentes esferas que están implicadas en la prestación de bienestar y cuidado, más allá del Estado. Como apuntan Gallego, Gomà y Subirats (2003a:47), “las políticas de bienestar se conforman como espacios de gestión colectiva de los múltiples ejes de desigualdad –de clase, de ciudadanía, de género, etc.-, que surcan múltiples esferas –pública, mercantil, asociativa, familiar”. Si una necesidad no es cubierta por el Estado, muy probablemente recaerá sobre otra esfera. Analizar por lo tanto el bienestar desde esta visión más amplia, permite no sólo mejorar los diagnósticos sino también las orientaciones en materia de políticas públicas </w:t>
      </w:r>
      <w:r w:rsidR="003775FF" w:rsidRPr="00C12BB1">
        <w:rPr>
          <w:rStyle w:val="Refdenotaalpie"/>
        </w:rPr>
        <w:footnoteReference w:id="4"/>
      </w:r>
      <w:r w:rsidRPr="003B189C">
        <w:rPr>
          <w:rFonts w:ascii="Cambria" w:hAnsi="Cambria"/>
          <w:color w:val="000000"/>
        </w:rPr>
        <w:t xml:space="preserve">. </w:t>
      </w:r>
    </w:p>
    <w:p w:rsidR="00926769" w:rsidRPr="003B189C" w:rsidRDefault="00926769" w:rsidP="00926769">
      <w:pPr>
        <w:spacing w:before="120" w:after="0"/>
        <w:jc w:val="both"/>
        <w:rPr>
          <w:rFonts w:ascii="Cambria" w:hAnsi="Cambria"/>
          <w:color w:val="000000"/>
        </w:rPr>
      </w:pPr>
      <w:r w:rsidRPr="003B189C">
        <w:rPr>
          <w:rFonts w:ascii="Cambria" w:hAnsi="Cambria"/>
          <w:color w:val="000000"/>
        </w:rPr>
        <w:t xml:space="preserve">La otra gran aportación que hace Esping Andersen (1993) es en lo referente al establecimiento de una tipología sobre regímenes de Estado del bienestar – en su caso en Europa -, es decir, la importancia de la utilización del método comparativo. Gracias a ello pudo establecer para el caso europeo tres regímenes de bienestar: el anglosajón (o liberal), el continental (o cristiano) y el nórdico (o socialista). En el estado del bienestar </w:t>
      </w:r>
      <w:r w:rsidRPr="003B189C">
        <w:rPr>
          <w:rFonts w:ascii="Cambria" w:hAnsi="Cambria"/>
          <w:i/>
          <w:color w:val="000000"/>
        </w:rPr>
        <w:t>liberal</w:t>
      </w:r>
      <w:r w:rsidRPr="003B189C">
        <w:rPr>
          <w:rFonts w:ascii="Cambria" w:hAnsi="Cambria"/>
          <w:color w:val="000000"/>
        </w:rPr>
        <w:t xml:space="preserve"> “predomina la ayuda a los que se comprueba no tienen medios”,  aparecen como centrales “normas tradicionales y liberales de la ética del trabajo”, y  la consecuencia es un régimen que “minimiza los efectos de la mercantilización, limita con efectividad el alcance de los derechos sociales” (1993:47) y construye un orden dual. En el estado del bienestar </w:t>
      </w:r>
      <w:r w:rsidRPr="003B189C">
        <w:rPr>
          <w:rFonts w:ascii="Cambria" w:hAnsi="Cambria"/>
          <w:i/>
          <w:color w:val="000000"/>
        </w:rPr>
        <w:t>cristiano</w:t>
      </w:r>
      <w:r w:rsidRPr="003B189C">
        <w:rPr>
          <w:rFonts w:ascii="Cambria" w:hAnsi="Cambria"/>
          <w:color w:val="000000"/>
        </w:rPr>
        <w:t xml:space="preserve">, “los derechos fueron vinculados a la clase y al status social”, con una “estructura estatal perfectamente preparada para desplazar al mercado como proveedor del bienestar social” y “fuertemente comprometidos con la conservación de la familia tradicional” (1993:48). En el estado del bienestar </w:t>
      </w:r>
      <w:r w:rsidRPr="003B189C">
        <w:rPr>
          <w:rFonts w:ascii="Cambria" w:hAnsi="Cambria"/>
          <w:i/>
          <w:color w:val="000000"/>
        </w:rPr>
        <w:t>socialista</w:t>
      </w:r>
      <w:r w:rsidRPr="003B189C">
        <w:rPr>
          <w:rFonts w:ascii="Cambria" w:hAnsi="Cambria"/>
          <w:color w:val="000000"/>
        </w:rPr>
        <w:t xml:space="preserve"> se busca promover “una igualdad en los estándares más elevados”, dándose así una elevada desmercantilización y “programas universalitas que, sin embargo, se adaptan a expectativas diferenciadas”, siendo destacable el hecho del alto compromiso con la prestación de servicios sociales “no sólo para atender a las necesidades de la familia, sino también parar permitir que las mujeres pueden elegir el trabajo en lugar del hogar” (1993:49).</w:t>
      </w:r>
    </w:p>
    <w:p w:rsidR="00BE0A82" w:rsidRDefault="00BE0A82" w:rsidP="00926769">
      <w:pPr>
        <w:spacing w:before="120" w:after="0"/>
        <w:jc w:val="both"/>
        <w:rPr>
          <w:rFonts w:ascii="Cambria" w:hAnsi="Cambria"/>
          <w:b/>
          <w:color w:val="000000"/>
        </w:rPr>
      </w:pPr>
    </w:p>
    <w:p w:rsidR="00926769" w:rsidRPr="003B189C" w:rsidRDefault="008D2AFB" w:rsidP="00926769">
      <w:pPr>
        <w:spacing w:before="120" w:after="0"/>
        <w:jc w:val="both"/>
        <w:rPr>
          <w:rFonts w:ascii="Cambria" w:hAnsi="Cambria"/>
          <w:b/>
          <w:color w:val="000000"/>
        </w:rPr>
      </w:pPr>
      <w:r>
        <w:rPr>
          <w:rFonts w:ascii="Cambria" w:hAnsi="Cambria"/>
          <w:b/>
          <w:color w:val="000000"/>
        </w:rPr>
        <w:t>2.1</w:t>
      </w:r>
      <w:r w:rsidR="00A356F1">
        <w:rPr>
          <w:rFonts w:ascii="Cambria" w:hAnsi="Cambria"/>
          <w:b/>
          <w:color w:val="000000"/>
        </w:rPr>
        <w:t xml:space="preserve">. </w:t>
      </w:r>
      <w:r w:rsidR="00926769" w:rsidRPr="003B189C">
        <w:rPr>
          <w:rFonts w:ascii="Cambria" w:hAnsi="Cambria"/>
          <w:b/>
          <w:color w:val="000000"/>
        </w:rPr>
        <w:t>Dimensiones  y conceptos para el análisis de los regimenes de bienestar</w:t>
      </w:r>
    </w:p>
    <w:p w:rsidR="00926769" w:rsidRPr="008D2AFB" w:rsidRDefault="00926769" w:rsidP="00926769">
      <w:pPr>
        <w:spacing w:before="120" w:after="0"/>
        <w:jc w:val="both"/>
        <w:rPr>
          <w:rFonts w:ascii="Cambria" w:hAnsi="Cambria"/>
        </w:rPr>
      </w:pPr>
      <w:r w:rsidRPr="003B189C">
        <w:rPr>
          <w:rFonts w:ascii="Cambria" w:hAnsi="Cambria"/>
          <w:color w:val="000000"/>
        </w:rPr>
        <w:t xml:space="preserve">Siendo conscientes que el contexto dónde se gestan modelos de bienestar en  la Europa del Sur o en Latinoamérica es distinto que aquel en que se construyen los Estados del bienestar de la Europa occidental democrática post-IIGM, interesa para avanzar en el análisis para detectar qué dimensiones utilizadas para construir la tipología clásica de Esping Andersen (1993) pueden ser recuperadas para caracterizar otros modelos y construir </w:t>
      </w:r>
      <w:r w:rsidRPr="008D2AFB">
        <w:rPr>
          <w:rFonts w:ascii="Cambria" w:hAnsi="Cambria"/>
        </w:rPr>
        <w:t>nuevas tipologías. Así pues, y inspirándonos en el trabajo de Adelantado y Gomà (2000:69), tomamos como dimensiones en las que profundizar: el referente normativo global del modelo; la manera como se configuran los derechos sociales pilares del bienestar (salud, educación y vivienda); el modo de estructura la protección social; el régimen de fiscalidad; las relaciones de empleo; y los efectos en la estructura social.</w:t>
      </w:r>
    </w:p>
    <w:p w:rsidR="00A90AE2" w:rsidRPr="008D2AFB" w:rsidRDefault="00926769" w:rsidP="00926769">
      <w:pPr>
        <w:spacing w:before="120" w:after="0"/>
        <w:jc w:val="both"/>
        <w:rPr>
          <w:rFonts w:ascii="Cambria" w:hAnsi="Cambria"/>
        </w:rPr>
      </w:pPr>
      <w:r w:rsidRPr="008D2AFB">
        <w:rPr>
          <w:rFonts w:ascii="Cambria" w:hAnsi="Cambria"/>
        </w:rPr>
        <w:t>Las dimensiones apuntadas permiten observar la relación que existe entre los referentes normativos políticos estructurales y las distintas formas de materializar las políticas sociales, como son el tipo de prestaciones, coberturas, nivel de regulación, etc. Además, el análisis de estas dimensiones</w:t>
      </w:r>
      <w:r w:rsidRPr="003B189C">
        <w:rPr>
          <w:rFonts w:ascii="Cambria" w:hAnsi="Cambria"/>
          <w:color w:val="000000"/>
        </w:rPr>
        <w:t xml:space="preserve"> ayuda a comprender como se van configurando los conceptos identificados por Eping Andersen – (des)mercantilización de las políticas sociales y estratificación de las sociedades -, que </w:t>
      </w:r>
      <w:r w:rsidR="00A90AE2">
        <w:rPr>
          <w:rFonts w:ascii="Cambria" w:hAnsi="Cambria"/>
          <w:color w:val="000000"/>
        </w:rPr>
        <w:t xml:space="preserve">segun el autor </w:t>
      </w:r>
      <w:r w:rsidRPr="003B189C">
        <w:rPr>
          <w:rFonts w:ascii="Cambria" w:hAnsi="Cambria"/>
          <w:color w:val="000000"/>
        </w:rPr>
        <w:t>son la base de la caracteriz</w:t>
      </w:r>
      <w:r w:rsidR="00A90AE2">
        <w:rPr>
          <w:rFonts w:ascii="Cambria" w:hAnsi="Cambria"/>
          <w:color w:val="000000"/>
        </w:rPr>
        <w:t>ación de un modelo de bienestar. Aunque de manera adaptada para el caso de Latinoamérica, estas dimensiones van a construirse como herramientas para nuestro objeto de estudio.</w:t>
      </w:r>
      <w:r w:rsidRPr="003B189C">
        <w:rPr>
          <w:rFonts w:ascii="Cambria" w:hAnsi="Cambria"/>
          <w:color w:val="000000"/>
        </w:rPr>
        <w:t xml:space="preserve"> </w:t>
      </w:r>
      <w:r w:rsidR="00A90AE2">
        <w:rPr>
          <w:rFonts w:ascii="Cambria" w:hAnsi="Cambria"/>
          <w:color w:val="000000"/>
        </w:rPr>
        <w:t>Así pues</w:t>
      </w:r>
      <w:r w:rsidRPr="003B189C">
        <w:rPr>
          <w:rFonts w:ascii="Cambria" w:hAnsi="Cambria"/>
          <w:color w:val="000000"/>
        </w:rPr>
        <w:t>, “</w:t>
      </w:r>
      <w:r w:rsidRPr="003B189C">
        <w:rPr>
          <w:rFonts w:ascii="Cambria" w:hAnsi="Cambria"/>
          <w:i/>
          <w:color w:val="000000"/>
        </w:rPr>
        <w:t>desmercantilización</w:t>
      </w:r>
      <w:r w:rsidRPr="003B189C">
        <w:rPr>
          <w:rFonts w:ascii="Cambria" w:hAnsi="Cambria"/>
          <w:color w:val="000000"/>
        </w:rPr>
        <w:t xml:space="preserve"> se produce cuando se presta un servicio como un asunto de derecho y cuando una persona puede ganarse la vida sin depender del mercado” (1993, 41); es decir, cuando se sustrae la efectivización de derechos sociales de la esfera mercantil; y la </w:t>
      </w:r>
      <w:r w:rsidRPr="003B189C">
        <w:rPr>
          <w:rFonts w:ascii="Cambria" w:hAnsi="Cambria"/>
          <w:i/>
          <w:color w:val="000000"/>
        </w:rPr>
        <w:t>estratificación</w:t>
      </w:r>
      <w:r w:rsidRPr="003B189C">
        <w:rPr>
          <w:rFonts w:ascii="Cambria" w:hAnsi="Cambria"/>
          <w:color w:val="000000"/>
        </w:rPr>
        <w:t xml:space="preserve"> nos da cuenta del impacto que tiene un modelo de bienestar sobre la estructura social y económica de un territorio, y no solo en la dimensión de clase sino también en otras como la de género, generacional, étnica, </w:t>
      </w:r>
      <w:r w:rsidRPr="008D2AFB">
        <w:rPr>
          <w:rFonts w:ascii="Cambria" w:hAnsi="Cambria"/>
        </w:rPr>
        <w:t xml:space="preserve">etc. </w:t>
      </w:r>
      <w:r w:rsidR="003775FF" w:rsidRPr="008D2AFB">
        <w:rPr>
          <w:rStyle w:val="Refdenotaalpie"/>
        </w:rPr>
        <w:footnoteReference w:id="5"/>
      </w:r>
      <w:r w:rsidRPr="008D2AFB">
        <w:rPr>
          <w:rFonts w:ascii="Cambria" w:hAnsi="Cambria"/>
        </w:rPr>
        <w:t>.</w:t>
      </w:r>
    </w:p>
    <w:p w:rsidR="000F0A0E" w:rsidRDefault="00A90AE2" w:rsidP="00926769">
      <w:pPr>
        <w:spacing w:before="120" w:after="0"/>
        <w:jc w:val="both"/>
        <w:rPr>
          <w:rFonts w:ascii="Cambria" w:hAnsi="Cambria"/>
        </w:rPr>
      </w:pPr>
      <w:r w:rsidRPr="008D2AFB">
        <w:rPr>
          <w:rFonts w:ascii="Cambria" w:hAnsi="Cambria"/>
        </w:rPr>
        <w:t>En el marco teórico y metodológico que proponemos, la (des)mercantilización se analizará tomando en cuenta el grado en que los servicios que garantizan los servicios sociales básicos, la salud y la educación, recaen en la esfera pública o en la privada, así como también la intensidad con la que se prestan estos servicios. La estratificación se va a estudiar desde un doble punto de vista: mediante una comprensión de las modificaciones que se producen en la estructura social (tomando indicadores cláscios como la desigualdad y la pobreza) así como también las estructuraciones y re-estructuraciones que introducen las políticas sociales, laborales y tributarias (universalismo versus focalización de los programas, modificación del cleavage de género, edat y etnia de las políticas, etc.).</w:t>
      </w:r>
    </w:p>
    <w:p w:rsidR="00084A50" w:rsidRDefault="00084A50" w:rsidP="00926769">
      <w:pPr>
        <w:spacing w:before="120" w:after="0"/>
        <w:jc w:val="both"/>
        <w:rPr>
          <w:rFonts w:ascii="Cambria" w:hAnsi="Cambria"/>
          <w:sz w:val="20"/>
          <w:u w:val="single"/>
        </w:rPr>
      </w:pPr>
    </w:p>
    <w:p w:rsidR="000F0A0E" w:rsidRPr="00084A50" w:rsidRDefault="00084A50" w:rsidP="00926769">
      <w:pPr>
        <w:spacing w:before="120" w:after="0"/>
        <w:jc w:val="both"/>
        <w:rPr>
          <w:rFonts w:ascii="Cambria" w:hAnsi="Cambria"/>
          <w:sz w:val="20"/>
          <w:u w:val="single"/>
        </w:rPr>
      </w:pPr>
      <w:r>
        <w:rPr>
          <w:rFonts w:ascii="Cambria" w:hAnsi="Cambria"/>
          <w:sz w:val="20"/>
          <w:u w:val="single"/>
        </w:rPr>
        <w:t>Gráfico 1. Marco teórico-metodológico para el estudio de los régimenes de bienestar</w:t>
      </w:r>
    </w:p>
    <w:p w:rsidR="000F0A0E" w:rsidRDefault="00084A50" w:rsidP="00926769">
      <w:pPr>
        <w:spacing w:before="120" w:after="0"/>
        <w:jc w:val="both"/>
        <w:rPr>
          <w:rFonts w:ascii="Cambria" w:hAnsi="Cambria"/>
        </w:rPr>
      </w:pPr>
      <w:r w:rsidRPr="000F0A0E">
        <w:rPr>
          <w:rFonts w:ascii="Cambria" w:hAnsi="Cambria"/>
          <w:noProof/>
          <w:lang w:val="es-ES_tradnl" w:eastAsia="es-ES_tradnl"/>
        </w:rPr>
        <w:drawing>
          <wp:inline distT="0" distB="0" distL="0" distR="0">
            <wp:extent cx="3400002" cy="2550002"/>
            <wp:effectExtent l="25400" t="0" r="3598"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408375" cy="2556282"/>
                    </a:xfrm>
                    <a:prstGeom prst="rect">
                      <a:avLst/>
                    </a:prstGeom>
                    <a:noFill/>
                    <a:ln w="9525">
                      <a:noFill/>
                      <a:miter lim="800000"/>
                      <a:headEnd/>
                      <a:tailEnd/>
                    </a:ln>
                  </pic:spPr>
                </pic:pic>
              </a:graphicData>
            </a:graphic>
          </wp:inline>
        </w:drawing>
      </w:r>
    </w:p>
    <w:p w:rsidR="00084A50" w:rsidRDefault="00084A50" w:rsidP="00926769">
      <w:pPr>
        <w:spacing w:before="120" w:after="0"/>
        <w:jc w:val="both"/>
        <w:rPr>
          <w:rFonts w:ascii="Cambria" w:hAnsi="Cambria"/>
          <w:sz w:val="20"/>
        </w:rPr>
      </w:pPr>
      <w:r>
        <w:rPr>
          <w:rFonts w:ascii="Cambria" w:hAnsi="Cambria"/>
          <w:sz w:val="20"/>
        </w:rPr>
        <w:t>Fuente: Elaboración propia</w:t>
      </w:r>
    </w:p>
    <w:p w:rsidR="00926769" w:rsidRPr="00084A50" w:rsidRDefault="00926769" w:rsidP="00926769">
      <w:pPr>
        <w:spacing w:before="120" w:after="0"/>
        <w:jc w:val="both"/>
        <w:rPr>
          <w:rFonts w:ascii="Cambria" w:hAnsi="Cambria"/>
          <w:sz w:val="20"/>
        </w:rPr>
      </w:pPr>
    </w:p>
    <w:p w:rsidR="00926769" w:rsidRPr="00BE0A82" w:rsidRDefault="00926769" w:rsidP="00926769">
      <w:pPr>
        <w:spacing w:before="120" w:after="0"/>
        <w:jc w:val="both"/>
        <w:rPr>
          <w:rFonts w:ascii="Cambria" w:hAnsi="Cambria"/>
          <w:b/>
          <w:color w:val="000000"/>
          <w:u w:val="single"/>
        </w:rPr>
      </w:pPr>
      <w:r w:rsidRPr="00A90AE2">
        <w:rPr>
          <w:rFonts w:ascii="Cambria" w:hAnsi="Cambria"/>
          <w:b/>
          <w:color w:val="000000"/>
          <w:u w:val="single"/>
        </w:rPr>
        <w:t>3. Regímenes de bienestar en América Latina</w:t>
      </w:r>
    </w:p>
    <w:p w:rsidR="004B52B1" w:rsidRDefault="00926769" w:rsidP="00926769">
      <w:pPr>
        <w:spacing w:before="120" w:after="0"/>
        <w:jc w:val="both"/>
        <w:rPr>
          <w:rFonts w:ascii="Cambria" w:hAnsi="Cambria"/>
          <w:color w:val="000000"/>
        </w:rPr>
      </w:pPr>
      <w:r w:rsidRPr="003B189C">
        <w:rPr>
          <w:rFonts w:ascii="Cambria" w:hAnsi="Cambria"/>
          <w:color w:val="000000"/>
        </w:rPr>
        <w:t>En el caso de la región latinoamericana, diversos estudios han intentado caracterizar las políticas de bienestar. Cabe señalar, sin embargo, que la producción académica es relativamente pequeña hasta el cambio de milenio, lo cual no es una casualidad. La poca presencia de investigaciones sobre regímenes de bienestar -si en cuestiones de “pobretología” o de políticas sociales unidimensionales- no puede desvincularse de la realidad política, social y económica del contexto latinoamericano durante los años ochenta y noventa, así como del tipo de intervenciones públicas, de mercado y comunitarias que se llevan a cabo en el campo de la inclusión y protección social</w:t>
      </w:r>
      <w:r w:rsidR="00D45D5D">
        <w:rPr>
          <w:rFonts w:ascii="Cambria" w:hAnsi="Cambria"/>
          <w:color w:val="000000"/>
        </w:rPr>
        <w:t>.</w:t>
      </w:r>
      <w:r w:rsidR="00503DD0">
        <w:rPr>
          <w:rFonts w:ascii="Cambria" w:hAnsi="Cambria"/>
          <w:color w:val="000000"/>
        </w:rPr>
        <w:t xml:space="preserve"> </w:t>
      </w:r>
    </w:p>
    <w:p w:rsidR="00926769" w:rsidRPr="003B189C" w:rsidRDefault="00926769" w:rsidP="00926769">
      <w:pPr>
        <w:spacing w:before="120" w:after="0"/>
        <w:jc w:val="both"/>
        <w:rPr>
          <w:rFonts w:ascii="Cambria" w:hAnsi="Cambria"/>
          <w:color w:val="000000"/>
        </w:rPr>
      </w:pPr>
      <w:r w:rsidRPr="003B189C">
        <w:rPr>
          <w:rFonts w:ascii="Cambria" w:hAnsi="Cambria"/>
          <w:color w:val="000000"/>
        </w:rPr>
        <w:t>Durante este período de décadas perdidas y sufridas, como ya se mencionó anteriormente, se apostó por el achicamiento del Estado y de su intervención en los campos económico y social. Así detectamos dos consecuencias en el proceso que tienen que ver con la producción académica: 1) El debilitamiento de la capacidad estatal, y la centralidad que adquiere la acción de los actores económicos, dificulta imaginar regímenes estructurales e integrales de bienestar de modo similar a la forma estatal que se construye después de la IIGM en la Europa democrática. 2) La importancia que toman en este período organismos internacionales y ONGs fomenta que las intervenciones que se llevan a cabo sean sectoriales y parciales; se trata de políticas de inclusión que actúan sobre las consecuencias del sistema y no sobre sus causas. Se busca reducir pobreza pero no cambiar el sistema de desigualdades e inequidades. Fueron estas políticas las que concentraron la mayor atención en los y las investigadoras.</w:t>
      </w:r>
    </w:p>
    <w:p w:rsidR="00883BD6" w:rsidRDefault="00926769" w:rsidP="00926769">
      <w:pPr>
        <w:spacing w:before="120" w:after="0"/>
        <w:jc w:val="both"/>
        <w:rPr>
          <w:rFonts w:ascii="Cambria" w:hAnsi="Cambria"/>
          <w:color w:val="000000"/>
        </w:rPr>
      </w:pPr>
      <w:r w:rsidRPr="003B189C">
        <w:rPr>
          <w:rFonts w:ascii="Cambria" w:hAnsi="Cambria"/>
          <w:color w:val="000000"/>
        </w:rPr>
        <w:t xml:space="preserve">Si bien existen diversas investigaciones previas sobre tipologías de países latinoamericanos analizando sus políticas sociales </w:t>
      </w:r>
      <w:r w:rsidR="003775FF">
        <w:rPr>
          <w:rStyle w:val="Refdenotaalpie"/>
        </w:rPr>
        <w:footnoteReference w:id="6"/>
      </w:r>
      <w:r w:rsidRPr="003B189C">
        <w:rPr>
          <w:rFonts w:ascii="Cambria" w:hAnsi="Cambria"/>
          <w:color w:val="000000"/>
        </w:rPr>
        <w:t>, la investigación más completa realizada hasta el momento sobre regimenes de bienestar en la región es el que lleva a cabo Martínez (2007), situando su trabajo de campo entre 1998 y 2003, trabajando a partir del concepto de regímenes de bienestar de Esping Andersen (1993, 2000) y agregando perspectivas feministas como la de Orloff (1993, 2009). A partir de una visión integral de la política pública, en su modelo analítico da importancia al trabajo productivo y reproductivo, además de analizar los servicios de salud y educación, o los niveles de protección social. Esta autora apunta que “todos los regímenes latinoamericanos son, en alguna medida, informales, en tanto una proporción de la población no puede (…) lidiar razonablemente con los riesgos sociales a través de su participación en los mercados laborales o en los servicios públicos (Gough y Wood, 2004). Por lo tanto, una proporción variable de la población en alguna medida depende de arreglos familiares y comunitarios” (Martínez, 2007: 23-24).</w:t>
      </w:r>
    </w:p>
    <w:p w:rsidR="00A97FB7" w:rsidRDefault="00883BD6" w:rsidP="00926769">
      <w:pPr>
        <w:spacing w:before="120" w:after="0"/>
        <w:jc w:val="both"/>
        <w:rPr>
          <w:rFonts w:ascii="Cambria" w:hAnsi="Cambria"/>
          <w:color w:val="000000"/>
        </w:rPr>
      </w:pPr>
      <w:r>
        <w:rPr>
          <w:rFonts w:ascii="Cambria" w:hAnsi="Cambria"/>
          <w:color w:val="000000"/>
        </w:rPr>
        <w:t>Necesitamos pues estudiar los régimenes de bienestar en América Latina con posterioridad al periodo de irrupción de las propuestas neoliberales. Si bien el trabajo de Martínez (2007) nos abre una interesante perspectiva de análisis, el periodo temporal en que ella situa el trabajo de campo nos empuja a desarrollar estudios sobre los gobiernos llamados progresistas que se constituyen en América Latina en cascada a partir del triumfo de Hugo Chavez en 1998.</w:t>
      </w:r>
    </w:p>
    <w:p w:rsidR="00926769" w:rsidRPr="003B189C" w:rsidRDefault="00926769" w:rsidP="00926769">
      <w:pPr>
        <w:spacing w:before="120" w:after="0"/>
        <w:jc w:val="both"/>
        <w:rPr>
          <w:rFonts w:ascii="Cambria" w:hAnsi="Cambria"/>
          <w:color w:val="000000"/>
        </w:rPr>
      </w:pPr>
    </w:p>
    <w:p w:rsidR="00926769" w:rsidRPr="003B189C" w:rsidRDefault="00A356F1" w:rsidP="00926769">
      <w:pPr>
        <w:spacing w:before="120" w:after="0"/>
        <w:jc w:val="both"/>
        <w:rPr>
          <w:rFonts w:ascii="Cambria" w:hAnsi="Cambria"/>
          <w:b/>
          <w:color w:val="000000"/>
        </w:rPr>
      </w:pPr>
      <w:r>
        <w:rPr>
          <w:rFonts w:ascii="Cambria" w:hAnsi="Cambria"/>
          <w:b/>
          <w:color w:val="000000"/>
        </w:rPr>
        <w:t xml:space="preserve">3.1. </w:t>
      </w:r>
      <w:r w:rsidR="00926769" w:rsidRPr="003B189C">
        <w:rPr>
          <w:rFonts w:ascii="Cambria" w:hAnsi="Cambria"/>
          <w:b/>
          <w:color w:val="000000"/>
        </w:rPr>
        <w:t>Nuevos conceptos para analizar el bienestar latinoamericano</w:t>
      </w:r>
    </w:p>
    <w:p w:rsidR="00883BD6" w:rsidRPr="008D2AFB" w:rsidRDefault="00926769" w:rsidP="00926769">
      <w:pPr>
        <w:spacing w:before="120" w:after="0"/>
        <w:jc w:val="both"/>
        <w:rPr>
          <w:rFonts w:ascii="Cambria" w:hAnsi="Cambria"/>
        </w:rPr>
      </w:pPr>
      <w:r w:rsidRPr="003B189C">
        <w:rPr>
          <w:rFonts w:ascii="Cambria" w:hAnsi="Cambria"/>
          <w:color w:val="000000"/>
        </w:rPr>
        <w:t xml:space="preserve">Esta autora introduce dos </w:t>
      </w:r>
      <w:r w:rsidRPr="00883BD6">
        <w:rPr>
          <w:rFonts w:ascii="Cambria" w:hAnsi="Cambria"/>
          <w:color w:val="000000"/>
        </w:rPr>
        <w:t>conceptos importante</w:t>
      </w:r>
      <w:r w:rsidR="00883BD6">
        <w:rPr>
          <w:rFonts w:ascii="Cambria" w:hAnsi="Cambria"/>
          <w:color w:val="000000"/>
        </w:rPr>
        <w:t>s</w:t>
      </w:r>
      <w:r w:rsidRPr="00883BD6">
        <w:rPr>
          <w:rFonts w:ascii="Cambria" w:hAnsi="Cambria"/>
          <w:color w:val="000000"/>
        </w:rPr>
        <w:t xml:space="preserve"> para el caso latinoamericano, y que no había sido abordados por Esping Andersen (1993, 2000), por la naturaleza de los casos europeos analizados y el momento en que se escribe la obra:</w:t>
      </w:r>
      <w:r w:rsidR="00883BD6" w:rsidRPr="00883BD6">
        <w:rPr>
          <w:rFonts w:ascii="Cambria" w:hAnsi="Cambria"/>
          <w:color w:val="000000"/>
        </w:rPr>
        <w:t xml:space="preserve"> la (des)mercantilización -</w:t>
      </w:r>
      <w:r w:rsidRPr="00883BD6">
        <w:rPr>
          <w:rFonts w:ascii="Cambria" w:hAnsi="Cambria"/>
          <w:color w:val="000000"/>
        </w:rPr>
        <w:t xml:space="preserve"> </w:t>
      </w:r>
      <w:r w:rsidR="00883BD6" w:rsidRPr="00883BD6">
        <w:rPr>
          <w:rFonts w:ascii="Cambria" w:hAnsi="Cambria"/>
          <w:color w:val="000000"/>
        </w:rPr>
        <w:t>que nosotra</w:t>
      </w:r>
      <w:r w:rsidRPr="00883BD6">
        <w:rPr>
          <w:rFonts w:ascii="Cambria" w:hAnsi="Cambria"/>
          <w:color w:val="000000"/>
        </w:rPr>
        <w:t xml:space="preserve">s vamos a llamar calidad de la fuerza de </w:t>
      </w:r>
      <w:r w:rsidR="00883BD6" w:rsidRPr="00883BD6">
        <w:rPr>
          <w:rFonts w:ascii="Cambria" w:hAnsi="Cambria"/>
          <w:color w:val="000000"/>
        </w:rPr>
        <w:t>t</w:t>
      </w:r>
      <w:r w:rsidR="002D3604" w:rsidRPr="00883BD6">
        <w:rPr>
          <w:rFonts w:ascii="Cambria" w:hAnsi="Cambria"/>
          <w:color w:val="000000"/>
        </w:rPr>
        <w:t>rabajo</w:t>
      </w:r>
      <w:r w:rsidRPr="00883BD6">
        <w:rPr>
          <w:rFonts w:ascii="Cambria" w:hAnsi="Cambria"/>
          <w:color w:val="000000"/>
        </w:rPr>
        <w:t xml:space="preserve">- y la (des)familiarización de la reproducción de la vida. Así pues, la </w:t>
      </w:r>
      <w:r w:rsidR="00883BD6">
        <w:rPr>
          <w:rFonts w:ascii="Cambria" w:hAnsi="Cambria"/>
          <w:color w:val="000000"/>
        </w:rPr>
        <w:t>(des)</w:t>
      </w:r>
      <w:r w:rsidRPr="00883BD6">
        <w:rPr>
          <w:rFonts w:ascii="Cambria" w:hAnsi="Cambria"/>
          <w:i/>
          <w:color w:val="000000"/>
        </w:rPr>
        <w:t>mercantilización</w:t>
      </w:r>
      <w:r w:rsidRPr="00883BD6">
        <w:rPr>
          <w:rFonts w:ascii="Cambria" w:hAnsi="Cambria"/>
          <w:color w:val="000000"/>
        </w:rPr>
        <w:t xml:space="preserve"> </w:t>
      </w:r>
      <w:r w:rsidRPr="003B189C">
        <w:rPr>
          <w:rFonts w:ascii="Cambria" w:hAnsi="Cambria"/>
          <w:color w:val="000000"/>
        </w:rPr>
        <w:t>refleja “la capacidad del mercado laboral para proveer trabajo remunerado, así como la calidad de dicho trabajo según estabilidad, protección social y otras garantías laborales” (Martínez, 2007:11). La (des)</w:t>
      </w:r>
      <w:r w:rsidRPr="003B189C">
        <w:rPr>
          <w:rFonts w:ascii="Cambria" w:hAnsi="Cambria"/>
          <w:i/>
          <w:color w:val="000000"/>
        </w:rPr>
        <w:t>familiarización</w:t>
      </w:r>
      <w:r w:rsidRPr="003B189C">
        <w:rPr>
          <w:rFonts w:ascii="Cambria" w:hAnsi="Cambria"/>
          <w:color w:val="000000"/>
        </w:rPr>
        <w:t xml:space="preserve"> se da cuando los cuidados y bienestar recaen de manera importante sobre la esfera familiar (y por lo tanto, sustentada mayoritariamente en la mujer), es </w:t>
      </w:r>
      <w:r w:rsidRPr="008D2AFB">
        <w:rPr>
          <w:rFonts w:ascii="Cambria" w:hAnsi="Cambria"/>
        </w:rPr>
        <w:t xml:space="preserve">decir, lo que está en juego es la “disponibilidad de trabajo femenino no remunerado en la división social del trabajo” (Orloff, 1993 </w:t>
      </w:r>
      <w:r w:rsidR="003775FF" w:rsidRPr="008D2AFB">
        <w:rPr>
          <w:rStyle w:val="Refdenotaalpie"/>
        </w:rPr>
        <w:footnoteReference w:id="7"/>
      </w:r>
      <w:r w:rsidRPr="008D2AFB">
        <w:rPr>
          <w:rFonts w:ascii="Cambria" w:hAnsi="Cambria"/>
        </w:rPr>
        <w:t xml:space="preserve">). Esta segunda idea </w:t>
      </w:r>
      <w:r w:rsidR="00883BD6" w:rsidRPr="008D2AFB">
        <w:rPr>
          <w:rFonts w:ascii="Cambria" w:hAnsi="Cambria"/>
        </w:rPr>
        <w:t>recien</w:t>
      </w:r>
      <w:r w:rsidR="002D3604" w:rsidRPr="008D2AFB">
        <w:rPr>
          <w:rFonts w:ascii="Cambria" w:hAnsi="Cambria"/>
        </w:rPr>
        <w:t xml:space="preserve"> </w:t>
      </w:r>
      <w:r w:rsidRPr="008D2AFB">
        <w:rPr>
          <w:rFonts w:ascii="Cambria" w:hAnsi="Cambria"/>
        </w:rPr>
        <w:t>aparece en las obras posteriores de Esping Andersen (2010).</w:t>
      </w:r>
    </w:p>
    <w:p w:rsidR="009402DB" w:rsidRPr="008D2AFB" w:rsidRDefault="00883BD6" w:rsidP="00926769">
      <w:pPr>
        <w:spacing w:before="120" w:after="0"/>
        <w:jc w:val="both"/>
        <w:rPr>
          <w:rFonts w:ascii="Cambria" w:hAnsi="Cambria"/>
        </w:rPr>
      </w:pPr>
      <w:r w:rsidRPr="008D2AFB">
        <w:rPr>
          <w:rFonts w:ascii="Cambria" w:hAnsi="Cambria"/>
        </w:rPr>
        <w:t xml:space="preserve">Concretando más, en nuestro modelo teórico y metodológico, la calidad de la fuerza de trabajo vamos a analizarlo a través del grado de formalidad del mercado de trabajo, de la calidad del trabajo vinculada a derechos de seguridad social, y al nivel de derechos laborales alcanzados. Por otro lado, la (des)familiarización la estudiaremos a través de  </w:t>
      </w:r>
      <w:r w:rsidR="009402DB" w:rsidRPr="008D2AFB">
        <w:rPr>
          <w:rFonts w:ascii="Cambria" w:hAnsi="Cambria"/>
        </w:rPr>
        <w:t>cambios en la estructura social (tomando indicadores como el aumento del trabajo productivo femenino y de uso del tiempo) así como también el incentivo o desincentivo que provocan las políticas sociales, laborales y tributarias en el mantenimiento de los clásicos roles de género.</w:t>
      </w:r>
      <w:r w:rsidR="00C11046" w:rsidRPr="008D2AFB">
        <w:rPr>
          <w:rFonts w:ascii="Cambria" w:hAnsi="Cambria"/>
        </w:rPr>
        <w:t xml:space="preserve"> También consideramos relevante, y relacionado con este último concepto, tener en cuenta la interrelación entre familia y comunidad, muy relevante en la provisión de bienestares y servicios en los países estudiados.</w:t>
      </w:r>
    </w:p>
    <w:p w:rsidR="00926769" w:rsidRPr="003B189C" w:rsidRDefault="009402DB" w:rsidP="00926769">
      <w:pPr>
        <w:spacing w:before="120" w:after="0"/>
        <w:jc w:val="both"/>
        <w:rPr>
          <w:rFonts w:ascii="Cambria" w:hAnsi="Cambria"/>
          <w:color w:val="000000"/>
        </w:rPr>
      </w:pPr>
      <w:r>
        <w:rPr>
          <w:rFonts w:ascii="Cambria" w:hAnsi="Cambria"/>
          <w:color w:val="000000"/>
        </w:rPr>
        <w:t xml:space="preserve">La </w:t>
      </w:r>
      <w:r w:rsidR="00926769" w:rsidRPr="003B189C">
        <w:rPr>
          <w:rFonts w:ascii="Cambria" w:hAnsi="Cambria"/>
          <w:color w:val="000000"/>
        </w:rPr>
        <w:t xml:space="preserve">autora elabora una tipología completa y compleja dibujando para la región latinoamericana tres modelos de regímenes de bienestar: estatal-proteccionista, estatal-productivista y familiarista. Considera como régimen </w:t>
      </w:r>
      <w:r w:rsidR="00926769" w:rsidRPr="003B189C">
        <w:rPr>
          <w:rFonts w:ascii="Cambria" w:hAnsi="Cambria"/>
          <w:i/>
          <w:color w:val="000000"/>
        </w:rPr>
        <w:t>estatal-productivista</w:t>
      </w:r>
      <w:r w:rsidR="00926769" w:rsidRPr="003B189C">
        <w:rPr>
          <w:rFonts w:ascii="Cambria" w:hAnsi="Cambria"/>
          <w:color w:val="000000"/>
        </w:rPr>
        <w:t xml:space="preserve"> al caso de Argentina y Chile: “El Estado interviene en aquellas áreas en que el mercado no resuelve o para aquella parte de la población para la cual el intercambio mercantil no es suficiente” (2007:24). El objetivo fundamental es conseguir una fuerza laboral con buenas condiciones para que participe con éxito en el mercado laboral. Estos países han logrado comparativamente mercantilizar su fuerza de trabajo de manera más importante que el resto de países, aunque la protección de riesgos (vejez) y la formación de capital humano (salud y educación) aún depende de manera importante del poder adquisitivo de la población. </w:t>
      </w:r>
    </w:p>
    <w:p w:rsidR="00926769" w:rsidRPr="003B189C" w:rsidRDefault="00926769" w:rsidP="00926769">
      <w:pPr>
        <w:spacing w:before="120" w:after="0"/>
        <w:jc w:val="both"/>
        <w:rPr>
          <w:rFonts w:ascii="Cambria" w:hAnsi="Cambria"/>
          <w:color w:val="000000"/>
        </w:rPr>
      </w:pPr>
      <w:r w:rsidRPr="003B189C">
        <w:rPr>
          <w:rFonts w:ascii="Cambria" w:hAnsi="Cambria"/>
          <w:color w:val="000000"/>
        </w:rPr>
        <w:t xml:space="preserve">Sitúa como régimen </w:t>
      </w:r>
      <w:r w:rsidRPr="003B189C">
        <w:rPr>
          <w:rFonts w:ascii="Cambria" w:hAnsi="Cambria"/>
          <w:i/>
          <w:color w:val="000000"/>
        </w:rPr>
        <w:t>estatal-proteccionista</w:t>
      </w:r>
      <w:r w:rsidRPr="003B189C">
        <w:rPr>
          <w:rFonts w:ascii="Cambria" w:hAnsi="Cambria"/>
          <w:color w:val="000000"/>
        </w:rPr>
        <w:t xml:space="preserve"> al caso de Brasil, Costa Rica, México, Panamá y Uruguay: “El estado en este caso interviene aún en áreas que podrían ser de predominio del mercado (como la seguridad social) y para población que no necesariamente se encuentra en condiciones de pobreza” (2007:24).  En este tipo de países las medidas ponen acento en la protección social, pero de manera prioritaria a las contribuciones asociadas al trabajo formal. Estos territorios tienen un grado menor de mercantilización de la fuerza de trabajo que los anteriormente citados, pero en términos de protección social y formación de capital humano son superiores, aunque con una fragmentación de grupos sociales. Señala como </w:t>
      </w:r>
      <w:r w:rsidRPr="003B189C">
        <w:rPr>
          <w:rFonts w:ascii="Cambria" w:hAnsi="Cambria"/>
          <w:i/>
          <w:color w:val="000000"/>
        </w:rPr>
        <w:t>régimen familiarista</w:t>
      </w:r>
      <w:r w:rsidRPr="003B189C">
        <w:rPr>
          <w:rFonts w:ascii="Cambria" w:hAnsi="Cambria"/>
          <w:color w:val="000000"/>
        </w:rPr>
        <w:t xml:space="preserve"> a dos grupos de casos: 1) Colombia, Ecuador, El Salvador, Guatemala, Perú, República Dominicana y Venezuela; 2) Bolivia, Honduras, Nicaragua y Paraguay. Estos tienen un peso importante de prácticas informales, aquí “la mayoría de la población depende sólo de arreglos familiares y comunitarios en el marco de mercados laborales y políticas públicas excluyentes” (2007:25). La diferencia entre los dos grupos de países es de grado. Un numero importante de la población no tiene un buen acceso a los servicios públicos. Estos países tienen muy poca capacidad para absorber la fuerza de trabajo y hacerlo con calidad. </w:t>
      </w:r>
    </w:p>
    <w:p w:rsidR="00E66905" w:rsidRDefault="00926769" w:rsidP="00926769">
      <w:pPr>
        <w:spacing w:before="120" w:after="0"/>
        <w:jc w:val="both"/>
        <w:rPr>
          <w:rFonts w:ascii="Cambria" w:hAnsi="Cambria"/>
          <w:color w:val="000000"/>
        </w:rPr>
      </w:pPr>
      <w:r w:rsidRPr="003B189C">
        <w:rPr>
          <w:rFonts w:ascii="Cambria" w:hAnsi="Cambria"/>
          <w:color w:val="000000"/>
        </w:rPr>
        <w:t>Expuesta la tipología, nuestra hipótesis es que con la irrupción de gobiernos de izquierdas en muchos países de América Latina</w:t>
      </w:r>
      <w:r w:rsidR="00E66905">
        <w:rPr>
          <w:rFonts w:ascii="Cambria" w:hAnsi="Cambria"/>
          <w:color w:val="000000"/>
        </w:rPr>
        <w:t xml:space="preserve"> a partir de la primera década del s. XXI</w:t>
      </w:r>
      <w:r w:rsidRPr="003B189C">
        <w:rPr>
          <w:rFonts w:ascii="Cambria" w:hAnsi="Cambria"/>
          <w:color w:val="000000"/>
        </w:rPr>
        <w:t xml:space="preserve">, el mapa de los modelos de bienestar y cuidado puede haber cambiado de </w:t>
      </w:r>
      <w:r w:rsidRPr="00E66905">
        <w:rPr>
          <w:rFonts w:ascii="Cambria" w:hAnsi="Cambria"/>
          <w:color w:val="000000"/>
        </w:rPr>
        <w:t>manera substantiva. Como ya hemos apuntado anteriormente, a pesar de que las</w:t>
      </w:r>
      <w:r w:rsidRPr="003B189C">
        <w:rPr>
          <w:rFonts w:ascii="Cambria" w:hAnsi="Cambria"/>
          <w:color w:val="000000"/>
        </w:rPr>
        <w:t xml:space="preserve"> experiencias transformadoras son distintas por las diversas realidades económico-sociales y de acción política en las que se asientan,  estas poseen varios puntos de contacto y caminan hacia prestar una mayor respuesta a las necesidades sociales desde el propio Estado. La </w:t>
      </w:r>
      <w:r w:rsidRPr="00E66905">
        <w:rPr>
          <w:rFonts w:ascii="Cambria" w:hAnsi="Cambria"/>
          <w:color w:val="000000"/>
        </w:rPr>
        <w:t xml:space="preserve">centralidad que ha tomado la agenda social </w:t>
      </w:r>
      <w:r w:rsidR="00E66905" w:rsidRPr="00E66905">
        <w:rPr>
          <w:rFonts w:ascii="Cambria" w:hAnsi="Cambria"/>
          <w:color w:val="000000"/>
        </w:rPr>
        <w:t>en los procesos de transformación, sobretodo de manera importante en los casos de Ecuador, Bolivia y Venezuela, nos hace pensar que se podrá estar abandonando</w:t>
      </w:r>
      <w:r w:rsidRPr="00E66905">
        <w:rPr>
          <w:rFonts w:ascii="Cambria" w:hAnsi="Cambria"/>
          <w:color w:val="000000"/>
        </w:rPr>
        <w:t xml:space="preserve"> la caracterización exclusiva de Estado familiarista</w:t>
      </w:r>
      <w:r w:rsidR="00E66905" w:rsidRPr="00E66905">
        <w:rPr>
          <w:rFonts w:ascii="Cambria" w:hAnsi="Cambria"/>
          <w:color w:val="000000"/>
        </w:rPr>
        <w:t xml:space="preserve"> que daba la autora con datos de 1998-2002</w:t>
      </w:r>
      <w:r w:rsidRPr="00E66905">
        <w:rPr>
          <w:rFonts w:ascii="Cambria" w:hAnsi="Cambria"/>
          <w:color w:val="000000"/>
        </w:rPr>
        <w:t>. Así pues, el Estado interviene en áreas que podrían ser de predominio del mercado, y se amplía la cobertura en salud, educación y protección social.</w:t>
      </w:r>
    </w:p>
    <w:p w:rsidR="00926769" w:rsidRPr="003B189C" w:rsidRDefault="00926769" w:rsidP="00926769">
      <w:pPr>
        <w:spacing w:before="120" w:after="0"/>
        <w:jc w:val="both"/>
        <w:rPr>
          <w:rFonts w:ascii="Cambria" w:hAnsi="Cambria"/>
          <w:color w:val="000000"/>
        </w:rPr>
      </w:pPr>
    </w:p>
    <w:p w:rsidR="00FF5BE8" w:rsidRDefault="00991D9F" w:rsidP="00926769">
      <w:pPr>
        <w:spacing w:before="120" w:after="0"/>
        <w:jc w:val="both"/>
        <w:rPr>
          <w:rFonts w:ascii="Cambria" w:hAnsi="Cambria"/>
          <w:b/>
          <w:color w:val="000000"/>
          <w:u w:val="single"/>
        </w:rPr>
      </w:pPr>
      <w:r w:rsidRPr="00A97FB7">
        <w:rPr>
          <w:rFonts w:ascii="Cambria" w:hAnsi="Cambria"/>
          <w:b/>
          <w:color w:val="000000"/>
          <w:u w:val="single"/>
        </w:rPr>
        <w:t>4.</w:t>
      </w:r>
      <w:r w:rsidR="002D3604">
        <w:rPr>
          <w:rFonts w:ascii="Cambria" w:hAnsi="Cambria"/>
          <w:b/>
          <w:color w:val="000000"/>
          <w:u w:val="single"/>
        </w:rPr>
        <w:t xml:space="preserve"> </w:t>
      </w:r>
      <w:r w:rsidR="00E66905">
        <w:rPr>
          <w:rFonts w:ascii="Cambria" w:hAnsi="Cambria"/>
          <w:b/>
          <w:color w:val="000000"/>
          <w:u w:val="single"/>
        </w:rPr>
        <w:t xml:space="preserve">Los casos </w:t>
      </w:r>
      <w:r w:rsidRPr="00A97FB7">
        <w:rPr>
          <w:rFonts w:ascii="Cambria" w:hAnsi="Cambria"/>
          <w:b/>
          <w:color w:val="000000"/>
          <w:u w:val="single"/>
        </w:rPr>
        <w:t>del Ecuador, Venezuela y Bolivia</w:t>
      </w:r>
    </w:p>
    <w:p w:rsidR="00C11046" w:rsidRDefault="00FF5BE8" w:rsidP="00926769">
      <w:pPr>
        <w:spacing w:before="120" w:after="0"/>
        <w:jc w:val="both"/>
        <w:rPr>
          <w:rFonts w:ascii="Cambria" w:hAnsi="Cambria"/>
          <w:color w:val="000000"/>
        </w:rPr>
      </w:pPr>
      <w:r>
        <w:rPr>
          <w:rFonts w:ascii="Cambria" w:hAnsi="Cambria"/>
          <w:color w:val="000000"/>
        </w:rPr>
        <w:t>Aunque los procesos de retorno del Estado, y de búsqueda de superación del modelo neolibera</w:t>
      </w:r>
      <w:r w:rsidR="00B60748">
        <w:rPr>
          <w:rFonts w:ascii="Cambria" w:hAnsi="Cambria"/>
          <w:color w:val="000000"/>
        </w:rPr>
        <w:t>l</w:t>
      </w:r>
      <w:r>
        <w:rPr>
          <w:rFonts w:ascii="Cambria" w:hAnsi="Cambria"/>
          <w:color w:val="000000"/>
        </w:rPr>
        <w:t xml:space="preserve"> antecedente se producen en distintos países de América Latina, en el presente artículo se analizan solamente los casos de Ecuador, Venezuela y </w:t>
      </w:r>
      <w:r w:rsidR="00C11046">
        <w:rPr>
          <w:rFonts w:ascii="Cambria" w:hAnsi="Cambria"/>
          <w:color w:val="000000"/>
        </w:rPr>
        <w:t>Bolivia por tres</w:t>
      </w:r>
      <w:r>
        <w:rPr>
          <w:rFonts w:ascii="Cambria" w:hAnsi="Cambria"/>
          <w:color w:val="000000"/>
        </w:rPr>
        <w:t xml:space="preserve"> motivos: 1) Los tres países vivieron procesos constituyentes que implicaron cambios substantivos, desde la misma carta magna, en la manera de entender el bienestar; 2) Durante los años que han dirigido el Estado gobierno</w:t>
      </w:r>
      <w:r w:rsidR="00C11046">
        <w:rPr>
          <w:rFonts w:ascii="Cambria" w:hAnsi="Cambria"/>
          <w:color w:val="000000"/>
        </w:rPr>
        <w:t xml:space="preserve">s autodenominados progresistas se han puesto en marcha importantes estrategias de retorno del Estado, planificación y desarrollo de políticas públicas en la agenda social, y en menor medida labora y tributaria; 3) Los tres países fueron tipificados como régimenes familiaristas por Martínez (2007), se trata de países andinos con presencia de población indígena y </w:t>
      </w:r>
      <w:r w:rsidR="006C5B9C">
        <w:rPr>
          <w:rFonts w:ascii="Cambria" w:hAnsi="Cambria"/>
          <w:color w:val="000000"/>
        </w:rPr>
        <w:t>unos niveles altos de pobreza, e</w:t>
      </w:r>
      <w:r w:rsidR="00C11046">
        <w:rPr>
          <w:rFonts w:ascii="Cambria" w:hAnsi="Cambria"/>
          <w:color w:val="000000"/>
        </w:rPr>
        <w:t xml:space="preserve"> intuimos que su localización en la clasificación puede haberse movido.</w:t>
      </w:r>
    </w:p>
    <w:p w:rsidR="007F76D5" w:rsidRDefault="00C11046" w:rsidP="00C11046">
      <w:pPr>
        <w:spacing w:before="120" w:after="0"/>
        <w:jc w:val="both"/>
        <w:rPr>
          <w:rFonts w:ascii="Cambria" w:hAnsi="Cambria"/>
          <w:color w:val="000000"/>
        </w:rPr>
      </w:pPr>
      <w:r>
        <w:rPr>
          <w:rFonts w:ascii="Cambria" w:hAnsi="Cambria"/>
          <w:color w:val="000000"/>
        </w:rPr>
        <w:t xml:space="preserve">Creemos pues que son los tres casos dónde se han producido modificaciones normativas, constitucionales, legales y programáticas y despliegue de las políticas públicas con una intensidad relevante y que merecen ser estudiados de manera detallada. </w:t>
      </w:r>
      <w:r w:rsidR="00552C54">
        <w:rPr>
          <w:rFonts w:ascii="Cambria" w:hAnsi="Cambria"/>
          <w:color w:val="000000"/>
        </w:rPr>
        <w:t>A continuación se presenta una primera exploración a los régimenes de bienestar que se construyen en estos países, dejando para futuros trabajos una descripción detallada y un análisis descriptivo de estos casos. También en</w:t>
      </w:r>
      <w:r w:rsidR="006C5B9C">
        <w:rPr>
          <w:rFonts w:ascii="Cambria" w:hAnsi="Cambria"/>
          <w:color w:val="000000"/>
        </w:rPr>
        <w:t xml:space="preserve"> un futuro será interesante añadir nuevos casos para tener una perspectiva compartiva más amplia.</w:t>
      </w:r>
    </w:p>
    <w:p w:rsidR="00C11046" w:rsidRDefault="00C11046" w:rsidP="00C11046">
      <w:pPr>
        <w:spacing w:before="120" w:after="0"/>
        <w:jc w:val="both"/>
        <w:rPr>
          <w:rFonts w:ascii="Cambria" w:hAnsi="Cambria"/>
          <w:color w:val="000000"/>
        </w:rPr>
      </w:pPr>
    </w:p>
    <w:p w:rsidR="00C11046" w:rsidRPr="00C11046" w:rsidRDefault="00C11046" w:rsidP="00926769">
      <w:pPr>
        <w:spacing w:before="120" w:after="0"/>
        <w:jc w:val="both"/>
        <w:rPr>
          <w:b/>
        </w:rPr>
      </w:pPr>
      <w:r w:rsidRPr="00C11046">
        <w:rPr>
          <w:b/>
        </w:rPr>
        <w:t>4.1 El bienestar en las constituciones</w:t>
      </w:r>
    </w:p>
    <w:p w:rsidR="006A5936" w:rsidRDefault="00A46A9C" w:rsidP="0035116A">
      <w:pPr>
        <w:spacing w:before="120" w:after="0"/>
        <w:jc w:val="both"/>
      </w:pPr>
      <w:r>
        <w:t xml:space="preserve">Los procesos constituyentes que se llevan a cabo en estos tres países marcan un antes y un después en las reglas de juego de la política y la gestión. </w:t>
      </w:r>
      <w:r w:rsidR="00BB1805">
        <w:t>Constitucionalistas como Viciano/Martínez (2010) apuntan que la ola de creación de nuevas constituciones latinoamericanas en el cambio de milenio tiene unas c</w:t>
      </w:r>
      <w:r w:rsidR="006A5936">
        <w:t>aracterísticas propias. De esta manera</w:t>
      </w:r>
      <w:r w:rsidR="00BB1805">
        <w:t>, las constituciones de Venezuela (1999), Bolivia (2007) y Ecuador (2008) conformarían el “nuevo constitucionalismo latinoamericano” que iría más lejos que el “neoconstitucionalismo” que inspiró, entre otras, las cartas magnas del Estado</w:t>
      </w:r>
      <w:r w:rsidR="006A5936">
        <w:t xml:space="preserve"> español (1978) y Brasil (1988) sobretodo en lo que se refiere al procedimiento de construcción de las cartas magnas. Así pues, desde el p</w:t>
      </w:r>
      <w:r w:rsidR="00760D7D">
        <w:t>unto de vista externo</w:t>
      </w:r>
      <w:r w:rsidR="006A5936">
        <w:t>, los tres procesos latinoamericanos “a</w:t>
      </w:r>
      <w:r w:rsidR="002B0B17">
        <w:t>sumen la necesidad de legitimar la voluntad social de cambio mediante un intach</w:t>
      </w:r>
      <w:r w:rsidR="006A5936">
        <w:t>a</w:t>
      </w:r>
      <w:r w:rsidR="002B0B17">
        <w:t>ble proceso constituyente de hechura democrática y, aunque los resultados son en buena medidida desiguales, consiguen aprobar constituciones que apuntan, en definitiva, hacia el Estado cosntitucional. Teoría y práctica se unen, por lo tanto, en el nuevo constitucionalismo latinoamericano” (2010: 26)</w:t>
      </w:r>
      <w:r w:rsidR="006A5936">
        <w:t>.</w:t>
      </w:r>
    </w:p>
    <w:p w:rsidR="00244EDC" w:rsidRDefault="00760D7D" w:rsidP="0035116A">
      <w:pPr>
        <w:spacing w:before="120" w:after="0"/>
        <w:jc w:val="both"/>
      </w:pPr>
      <w:r>
        <w:t>Desde el punto de vista interno</w:t>
      </w:r>
      <w:r w:rsidR="006A5936">
        <w:t xml:space="preserve"> se ha</w:t>
      </w:r>
      <w:r w:rsidR="00537260">
        <w:t>n</w:t>
      </w:r>
      <w:r w:rsidR="006A5936">
        <w:t xml:space="preserve"> apuntado también diferencias. Así pues</w:t>
      </w:r>
      <w:r w:rsidR="00613D5A">
        <w:t>, segun Martínez (2008: 75)</w:t>
      </w:r>
      <w:r w:rsidR="006A5936">
        <w:t xml:space="preserve"> se destaca: </w:t>
      </w:r>
      <w:r w:rsidR="002B0B17">
        <w:t xml:space="preserve">“su contenido innovador (originalidad), la ya relevante extensión de articulado (amplitud), la capacidad de conjugar elementos técnicamentes complejos con un lengiaje asequible (complejidad) y el hecho de que se apuesta por la activación del poder constituyente del pueblo ante cualquier campib constitucional </w:t>
      </w:r>
      <w:r w:rsidR="006A5936">
        <w:t>(rigidez)</w:t>
      </w:r>
      <w:r w:rsidR="00613D5A">
        <w:t>”</w:t>
      </w:r>
      <w:r w:rsidR="002B0B17">
        <w:t>.</w:t>
      </w:r>
      <w:r w:rsidR="00537260">
        <w:t xml:space="preserve"> Creemos pero que en lo que se </w:t>
      </w:r>
      <w:r w:rsidR="00881680">
        <w:t xml:space="preserve">refiere a estos aspectos </w:t>
      </w:r>
      <w:r w:rsidR="00537260">
        <w:t xml:space="preserve">las </w:t>
      </w:r>
      <w:r w:rsidR="00613D5A">
        <w:t>diferencias con el “neoconstitucionalismo” no son</w:t>
      </w:r>
      <w:r w:rsidR="00881680">
        <w:t xml:space="preserve"> tan </w:t>
      </w:r>
      <w:r w:rsidR="00537260">
        <w:t>relevante</w:t>
      </w:r>
      <w:r w:rsidR="00613D5A">
        <w:t>s</w:t>
      </w:r>
      <w:r w:rsidR="00537260">
        <w:t xml:space="preserve"> como se plantea</w:t>
      </w:r>
      <w:r w:rsidR="00613D5A">
        <w:t>n</w:t>
      </w:r>
      <w:r w:rsidR="00537260">
        <w:t>. Se</w:t>
      </w:r>
      <w:r w:rsidR="00881680">
        <w:t xml:space="preserve"> produce</w:t>
      </w:r>
      <w:r w:rsidR="00537260">
        <w:t xml:space="preserve"> simplemente</w:t>
      </w:r>
      <w:r w:rsidR="00881680">
        <w:t xml:space="preserve"> un proceso de construcción de constituciones en un nuevo conte</w:t>
      </w:r>
      <w:r w:rsidR="00613D5A">
        <w:t>xto político, social y cultural. E</w:t>
      </w:r>
      <w:r w:rsidR="00881680">
        <w:t>so es, las constituciones se adaptan a su tiempo. Así pues, textos de este tipo en el presente tendrán nuevas agendas, mayores complejidades y</w:t>
      </w:r>
      <w:r w:rsidR="00F14027">
        <w:t xml:space="preserve"> articulados </w:t>
      </w:r>
      <w:r w:rsidR="00613D5A">
        <w:t>mucho más</w:t>
      </w:r>
      <w:r w:rsidR="00F14027">
        <w:t xml:space="preserve"> amplios.</w:t>
      </w:r>
      <w:r w:rsidR="00613D5A">
        <w:t xml:space="preserve"> </w:t>
      </w:r>
      <w:r w:rsidR="00EB6B9C">
        <w:t xml:space="preserve"> </w:t>
      </w:r>
    </w:p>
    <w:p w:rsidR="007F76D5" w:rsidRDefault="007F76D5" w:rsidP="0035116A">
      <w:pPr>
        <w:spacing w:before="120" w:after="0"/>
        <w:jc w:val="both"/>
      </w:pPr>
    </w:p>
    <w:p w:rsidR="0035116A" w:rsidRPr="00C11046" w:rsidRDefault="00C11046" w:rsidP="0035116A">
      <w:pPr>
        <w:spacing w:before="120" w:after="0"/>
        <w:jc w:val="both"/>
        <w:rPr>
          <w:b/>
        </w:rPr>
      </w:pPr>
      <w:r w:rsidRPr="00C11046">
        <w:rPr>
          <w:b/>
        </w:rPr>
        <w:t>4.2. La caracterización de las políticas de bienestar en estos tres países</w:t>
      </w:r>
    </w:p>
    <w:p w:rsidR="007B413A" w:rsidRDefault="00D92364" w:rsidP="00926769">
      <w:pPr>
        <w:spacing w:before="120" w:after="0"/>
        <w:jc w:val="both"/>
      </w:pPr>
      <w:r w:rsidRPr="00D92364">
        <w:t>M</w:t>
      </w:r>
      <w:r>
        <w:t>artínez (2007) caracterizó, con datos de 1998-2002</w:t>
      </w:r>
      <w:r w:rsidR="0089287E">
        <w:t>,</w:t>
      </w:r>
      <w:r>
        <w:t xml:space="preserve"> a los tres países estudiados como regímenes familiaristas (Ecuador y Venezuela los situaba en el primer grupo y Bolivía en el segundo). Aunque algunas de las caracteristicas que apuntaba la autora actualmente se mantienen</w:t>
      </w:r>
      <w:r w:rsidR="007B413A">
        <w:t xml:space="preserve"> - </w:t>
      </w:r>
      <w:r>
        <w:t>son importante</w:t>
      </w:r>
      <w:r w:rsidR="006C5B9C">
        <w:t>s</w:t>
      </w:r>
      <w:r>
        <w:t xml:space="preserve"> aún los arreglos familiares y comunitarios en </w:t>
      </w:r>
      <w:r w:rsidR="0089287E">
        <w:t>el am</w:t>
      </w:r>
      <w:r w:rsidR="007B413A">
        <w:t>bito laboral y de cuidado</w:t>
      </w:r>
      <w:r w:rsidR="006C5B9C">
        <w:t>s</w:t>
      </w:r>
      <w:r w:rsidR="007B413A">
        <w:t xml:space="preserve"> - </w:t>
      </w:r>
      <w:r>
        <w:t>el retorno del Estado</w:t>
      </w:r>
      <w:r w:rsidR="009801A2">
        <w:t xml:space="preserve"> y la búsqueda activa de materialización de </w:t>
      </w:r>
      <w:r>
        <w:t>políticas progresistas</w:t>
      </w:r>
      <w:r w:rsidR="0089287E">
        <w:t xml:space="preserve"> matizaría la afirmación de dificultad de acceso a servicios públicos</w:t>
      </w:r>
      <w:r w:rsidR="006C5B9C">
        <w:t xml:space="preserve"> como la salud o la educación</w:t>
      </w:r>
      <w:r w:rsidR="0089287E">
        <w:t xml:space="preserve">, así como también debería tenerse en cuenta </w:t>
      </w:r>
      <w:r w:rsidR="006C5B9C">
        <w:t xml:space="preserve">la </w:t>
      </w:r>
      <w:r w:rsidR="0089287E">
        <w:t>dinamización y el aumento calidad en la fuerza de trabajo</w:t>
      </w:r>
      <w:r w:rsidR="009801A2">
        <w:t xml:space="preserve"> que se ha producido durante los últimos años</w:t>
      </w:r>
      <w:r w:rsidR="0089287E">
        <w:t>. Además apuntar que las tasas de pobreza y desigualdad, que aún son altas, han disminuido de manera destacada en estos tres países. Por lo tanto, encontraríamos también para estos tres casos caracterizaciones presentes en las dos otras categorías que presenta la autora: régimen de Estado-proteccionista y régimen de Estado.</w:t>
      </w:r>
    </w:p>
    <w:p w:rsidR="007B413A" w:rsidRDefault="007B413A" w:rsidP="00926769">
      <w:pPr>
        <w:spacing w:before="120" w:after="0"/>
        <w:jc w:val="both"/>
      </w:pPr>
    </w:p>
    <w:p w:rsidR="007F76D5" w:rsidRPr="00EB6B9C" w:rsidRDefault="00292E28" w:rsidP="00926769">
      <w:pPr>
        <w:spacing w:before="120" w:after="0"/>
        <w:jc w:val="both"/>
        <w:rPr>
          <w:u w:val="single"/>
        </w:rPr>
      </w:pPr>
      <w:r w:rsidRPr="00EB6B9C">
        <w:rPr>
          <w:u w:val="single"/>
        </w:rPr>
        <w:t>Ecuador: planificación y búsqueda de la calidad</w:t>
      </w:r>
    </w:p>
    <w:p w:rsidR="006C5B9C" w:rsidRDefault="006C5B9C" w:rsidP="006C5B9C">
      <w:pPr>
        <w:spacing w:before="120" w:after="0"/>
        <w:jc w:val="both"/>
      </w:pPr>
      <w:r>
        <w:t xml:space="preserve">De entrada podemos afirmar que la Constitución de Montecristi asienta las bases para la construcción de un régimen de bienestar que supere los modelos limitados anteriores. Más allá de la ley fundamental, cabe decir que las políticas públicas implementadas durante estos seis años -de gran calidad gracias al sistema de planificación que se construye en el país y con una fuerte inversión de recursos- aportan importantes avances en el campo social, y a la vista están los indicadores sobre logros conseguidos. Pero aún quedan muchas cuestiones por definir. Y será en el </w:t>
      </w:r>
      <w:r w:rsidR="001B7C12">
        <w:t>próximo periodo de gobie</w:t>
      </w:r>
      <w:r>
        <w:t>r</w:t>
      </w:r>
      <w:r w:rsidR="001B7C12">
        <w:t xml:space="preserve">no que visualizarmos </w:t>
      </w:r>
      <w:r>
        <w:t>el modelo propuesto por la Revolución Ciudadana. Como en todo proceso político real, se trata de un régimen en construcción y disputa, tanto entre gobierno y actores sociales y empresariales, como (y esta es una característica relevante para el caso del Ecuador) dentro el propio ejecutivo y otras instancias estatales.</w:t>
      </w:r>
    </w:p>
    <w:p w:rsidR="006C5B9C" w:rsidRDefault="006C5B9C" w:rsidP="006C5B9C">
      <w:pPr>
        <w:spacing w:before="120" w:after="0"/>
        <w:jc w:val="both"/>
      </w:pPr>
      <w:r>
        <w:t xml:space="preserve">Durante los primeros seis años de la Revolución Ciudadana </w:t>
      </w:r>
      <w:r w:rsidRPr="007971AC">
        <w:t>se identifica en tres claras dinámicas</w:t>
      </w:r>
      <w:r>
        <w:t xml:space="preserve"> que deben ser expuestas para entender el modelo en construcción</w:t>
      </w:r>
      <w:r w:rsidRPr="007971AC">
        <w:t>: 1) La (re)apropiación de recursos para el Estado; una porción importante de estos que restaban enajenados por la deuda externa, por el lucro de las empresas multinacionales explotadoras de petróleo o minería, y por la negativa de las clases adineradas de pagar impuestos, vuelven a manos de los poderes públicos. 2) La recuperación de la autonomía (relativa) del Estado y su capacidad de planificación; se produce un proceso de descorporativización del Estado y un retorno de la capacidad de los poderes públicos a la rectoría, regulación, control y planificación de la acción pública</w:t>
      </w:r>
      <w:r w:rsidR="00C36A07">
        <w:rPr>
          <w:rStyle w:val="Refdenotaalpie"/>
        </w:rPr>
        <w:footnoteReference w:id="8"/>
      </w:r>
      <w:r w:rsidRPr="007971AC">
        <w:t>. 3) La fuerte inversión social y extensión de políticas de bienestar; aumenta la cantidad de recursos que se destinan al desarrollo de políticas sociales, así como también las coberturas de estos servicios. En este sentido, saltan a la vista los importantes avances en indicadores</w:t>
      </w:r>
      <w:r>
        <w:t xml:space="preserve"> de bienestar social y desarrollo humano: disminución de pobreza y desigualdad, aumento de coberturas de salud y educación, consiguiento una universalización de mínimos, y mejoras en la calidad de la fuerza de trabajo (más trabajo pleno y más trabajadores afiliados a la seguridad social).</w:t>
      </w:r>
    </w:p>
    <w:p w:rsidR="00F35A8A" w:rsidRDefault="006C5B9C" w:rsidP="006C5B9C">
      <w:pPr>
        <w:spacing w:before="120" w:after="0"/>
        <w:jc w:val="both"/>
      </w:pPr>
      <w:r>
        <w:t xml:space="preserve">De todas formas se detectan aún importantes tendencias que vienen del periodo neoliberal: focalización y estructuras familiaristas </w:t>
      </w:r>
      <w:r w:rsidR="00C36A07">
        <w:t xml:space="preserve">permanecen </w:t>
      </w:r>
      <w:r>
        <w:t>en mu</w:t>
      </w:r>
      <w:r w:rsidR="003502EE">
        <w:t>chas políticas de inclusión y protección social (el ejemplo del Bono de Desarrollo Humano, el más paradigmático); la centralidad que toma la lucha contra la pobreza o las políticas de desarr</w:t>
      </w:r>
      <w:r w:rsidR="00C36A07">
        <w:t xml:space="preserve">ollo infantil; </w:t>
      </w:r>
      <w:r w:rsidR="003502EE">
        <w:t>la dualidad en la prestación de servicios de salud y educación (las clases populares en servicios prestados por el Estado, las clases medias y altas en servicios privados)</w:t>
      </w:r>
      <w:r w:rsidR="00C36A07">
        <w:t>, etc</w:t>
      </w:r>
      <w:r w:rsidR="00C36A07">
        <w:rPr>
          <w:rStyle w:val="Refdenotaalpie"/>
        </w:rPr>
        <w:footnoteReference w:id="9"/>
      </w:r>
      <w:r w:rsidR="003502EE">
        <w:t>.</w:t>
      </w:r>
      <w:r w:rsidR="00F35A8A">
        <w:t xml:space="preserve"> </w:t>
      </w:r>
      <w:r w:rsidR="00822DCF">
        <w:t>Existen pero tres</w:t>
      </w:r>
      <w:r w:rsidR="003502EE" w:rsidRPr="008D2AFB">
        <w:t xml:space="preserve"> características que pueden impulsar y llevar más lejos el régimen </w:t>
      </w:r>
      <w:r w:rsidR="00C36A07">
        <w:t>de bienestar del E</w:t>
      </w:r>
      <w:r w:rsidR="003502EE" w:rsidRPr="00822DCF">
        <w:t>cuador: 1) La centralidad de la planificació</w:t>
      </w:r>
      <w:r w:rsidR="00822DCF">
        <w:t xml:space="preserve">n; </w:t>
      </w:r>
      <w:r w:rsidR="00822DCF" w:rsidRPr="00822DCF">
        <w:t>2) La preocupación por la calidad</w:t>
      </w:r>
      <w:r w:rsidR="00822DCF">
        <w:t xml:space="preserve">; y 3) La importancia </w:t>
      </w:r>
      <w:r w:rsidR="00C36A07">
        <w:t>que se le está dando a</w:t>
      </w:r>
      <w:r w:rsidR="00822DCF">
        <w:t>l sistema tribuario</w:t>
      </w:r>
      <w:r w:rsidR="00822DCF" w:rsidRPr="00822DCF">
        <w:t xml:space="preserve">. </w:t>
      </w:r>
      <w:r w:rsidR="008D2AFB" w:rsidRPr="00822DCF">
        <w:t xml:space="preserve"> </w:t>
      </w:r>
    </w:p>
    <w:p w:rsidR="00822DCF" w:rsidRDefault="008D2AFB" w:rsidP="006C5B9C">
      <w:pPr>
        <w:spacing w:before="120" w:after="0"/>
        <w:jc w:val="both"/>
      </w:pPr>
      <w:r w:rsidRPr="00822DCF">
        <w:t>E</w:t>
      </w:r>
      <w:r w:rsidR="00822DCF">
        <w:t>ntrando en la primera, e</w:t>
      </w:r>
      <w:r w:rsidRPr="00822DCF">
        <w:t>l sistema nacional de</w:t>
      </w:r>
      <w:r w:rsidR="00E60A14">
        <w:t>scentralizado de planificación participativa</w:t>
      </w:r>
      <w:r w:rsidRPr="00822DCF">
        <w:t xml:space="preserve"> se dibuja e</w:t>
      </w:r>
      <w:r w:rsidR="00E60A14">
        <w:t>n la propia Constitución (art. 279-280</w:t>
      </w:r>
      <w:r w:rsidRPr="00822DCF">
        <w:t xml:space="preserve">) y se desarrolla en el Codigo de Planificación y Finanzas Públicas, y en un segundo plano en la Ley Orgánica de Participación Ciudadana y el Codigo Orgánico de Organización Territorial, Autonomía y Descentralización. A razón de este cuerpo normativo, cada legislatura tienen que ir precidida por la elaboración de un Plan Nacional del Buen Vivir (o plan de desarrollo) que es de obligado cumplimiento de todos los poderes públicos. Las instituciones sub-nacionales también tienen que planificar sus actuaciones. Además, </w:t>
      </w:r>
      <w:r w:rsidR="00822DCF" w:rsidRPr="00822DCF">
        <w:t xml:space="preserve">el desarrollo y el cumplimiento del Plan se lleva a cabo con instrumentos técnicos de alta calidad: evaluaciones, encuestas y estadísticas, procedimientos </w:t>
      </w:r>
      <w:r w:rsidR="00C36A07">
        <w:t xml:space="preserve">estandarizados </w:t>
      </w:r>
      <w:r w:rsidR="00822DCF" w:rsidRPr="00822DCF">
        <w:t xml:space="preserve">públicos y transparentes, etc. Este hecho puede jugar a fabor de la consecución de políticas públicas eficaces y eficientes en el campo de los social, laboral y tributario. </w:t>
      </w:r>
    </w:p>
    <w:p w:rsidR="006C5B9C" w:rsidRPr="00822DCF" w:rsidRDefault="00822DCF" w:rsidP="006C5B9C">
      <w:pPr>
        <w:spacing w:before="120" w:after="0"/>
        <w:jc w:val="both"/>
      </w:pPr>
      <w:r w:rsidRPr="00822DCF">
        <w:t xml:space="preserve">Vinculado a lo anterior, </w:t>
      </w:r>
      <w:r>
        <w:t xml:space="preserve">y como segunda característica, el gobierno de la Revolución Ciudadana pone un énfasi grande en la consecución de la calidad. No es de extrañar el énfasi puesto en la meritocracia o en el control de la implementación de políticas públicas mediante distintos mecanismos de gestión pública y seguimiento de las acciones institucionales. En el propio Programa de Gobierno con el que el presidente Rafael Correa gana las elecciones en febrero de 2013 la cuestión de la calidad esté presente, así como en distintos objetivos del Plan Nacional del Buen Vivir 2013-2017. Conseguir calidad en los servicios de educación y salud puede romper la dualidad existente actualmente entre el mercado público y el mercado privado de servicios. También, la posibilidad de repensar las políticas de inclusión y protección social en este marco pueden proyectar unas respuestas de acción pública emancipadoras en un futuro. </w:t>
      </w:r>
    </w:p>
    <w:p w:rsidR="00822DCF" w:rsidRDefault="00822DCF" w:rsidP="00926769">
      <w:pPr>
        <w:spacing w:before="120" w:after="0"/>
        <w:jc w:val="both"/>
      </w:pPr>
      <w:r>
        <w:t>La tecera característica, la impo</w:t>
      </w:r>
      <w:r w:rsidR="003C556D">
        <w:t>rtancia del sistema tributario. Ha sido una prioridad del gobierno de la Revolución Ciudadana hacer un sistema tributario eficaz y eficiente, que empiece a cumplir sus funciones distriubutivas y redistributivas. Si bien es cierto que no se ha llevado una reforma estructural que permita una transferencia improtante de rentas entre estractos sociales, si que es cierto que se ha conseguido lograr el cumplimiento de las leyes tributarias</w:t>
      </w:r>
      <w:r w:rsidR="00C36A07">
        <w:t xml:space="preserve"> existentes</w:t>
      </w:r>
      <w:r w:rsidR="003C556D">
        <w:t xml:space="preserve">, así como una credibilidad en la institución recaptadora. </w:t>
      </w:r>
    </w:p>
    <w:p w:rsidR="006C5B9C" w:rsidRDefault="006C5B9C" w:rsidP="00926769">
      <w:pPr>
        <w:spacing w:before="120" w:after="0"/>
        <w:jc w:val="both"/>
      </w:pPr>
    </w:p>
    <w:p w:rsidR="00292E28" w:rsidRPr="00EB6B9C" w:rsidRDefault="00292E28" w:rsidP="00926769">
      <w:pPr>
        <w:spacing w:before="120" w:after="0"/>
        <w:jc w:val="both"/>
        <w:rPr>
          <w:u w:val="single"/>
        </w:rPr>
      </w:pPr>
      <w:r w:rsidRPr="00EB6B9C">
        <w:rPr>
          <w:u w:val="single"/>
        </w:rPr>
        <w:t>Venezuela: construcción de una nueva institucionalidad</w:t>
      </w:r>
    </w:p>
    <w:p w:rsidR="000C7C7E" w:rsidRDefault="00856D17" w:rsidP="00926769">
      <w:pPr>
        <w:spacing w:before="120" w:after="0"/>
        <w:jc w:val="both"/>
      </w:pPr>
      <w:r>
        <w:t>En el caso venezolano la construcción del m</w:t>
      </w:r>
      <w:r w:rsidR="007F04FE">
        <w:t>odelo tie</w:t>
      </w:r>
      <w:r w:rsidR="007F4091">
        <w:t xml:space="preserve">ne una década y media de vida  y </w:t>
      </w:r>
      <w:r w:rsidR="007F04FE">
        <w:t>presenta</w:t>
      </w:r>
      <w:r>
        <w:t xml:space="preserve"> unas caracterí</w:t>
      </w:r>
      <w:r w:rsidR="00E60A14">
        <w:t>s</w:t>
      </w:r>
      <w:r>
        <w:t>ticas má</w:t>
      </w:r>
      <w:r w:rsidR="00E60A14">
        <w:t>s concretas</w:t>
      </w:r>
      <w:r>
        <w:t xml:space="preserve"> que permiten hacer una mayor definición</w:t>
      </w:r>
      <w:r w:rsidR="00D21405">
        <w:t xml:space="preserve"> de este</w:t>
      </w:r>
      <w:r w:rsidR="00B84F25">
        <w:rPr>
          <w:rStyle w:val="Refdenotaalpie"/>
        </w:rPr>
        <w:footnoteReference w:id="10"/>
      </w:r>
      <w:r>
        <w:t>.</w:t>
      </w:r>
      <w:r w:rsidR="00E60A14">
        <w:t xml:space="preserve"> </w:t>
      </w:r>
      <w:r w:rsidR="00B84F25">
        <w:t>De todas formas, la</w:t>
      </w:r>
      <w:r w:rsidR="007551EC">
        <w:t xml:space="preserve"> revolución bolivariana es un proceso en marcha y </w:t>
      </w:r>
      <w:r w:rsidR="00B84F25">
        <w:t xml:space="preserve">eso hace que </w:t>
      </w:r>
      <w:r w:rsidR="007551EC">
        <w:t>se pueden identificar</w:t>
      </w:r>
      <w:r w:rsidR="00ED2EEC">
        <w:t xml:space="preserve"> distintos periodos en la construcción del</w:t>
      </w:r>
      <w:r w:rsidR="00D21405">
        <w:t xml:space="preserve"> régimen de bienestar del país</w:t>
      </w:r>
      <w:r w:rsidR="00ED2EEC">
        <w:t>, destacando cláramente tres etapas que se exponene a continuación: una primera de exploración</w:t>
      </w:r>
      <w:r w:rsidR="00B84F25">
        <w:t xml:space="preserve"> en el campo de las políticas sociales</w:t>
      </w:r>
      <w:r w:rsidR="00ED2EEC">
        <w:t xml:space="preserve"> (</w:t>
      </w:r>
      <w:r w:rsidR="000C7C7E">
        <w:t xml:space="preserve">1998-2003), una segunda de expansión de las </w:t>
      </w:r>
      <w:r w:rsidR="00D21405">
        <w:t>misiones (2003-2006</w:t>
      </w:r>
      <w:r w:rsidR="000C7C7E">
        <w:t>), y una tercera de desaceleración del modelo y reestructuración permanente de esta (</w:t>
      </w:r>
      <w:r w:rsidR="00D21405">
        <w:t xml:space="preserve">desde 2007 </w:t>
      </w:r>
      <w:r w:rsidR="000C7C7E">
        <w:t>hasta la actualidad)</w:t>
      </w:r>
      <w:r w:rsidR="00ED2EEC">
        <w:t xml:space="preserve">. </w:t>
      </w:r>
    </w:p>
    <w:p w:rsidR="00BC49C7" w:rsidRDefault="00856D17" w:rsidP="00926769">
      <w:pPr>
        <w:spacing w:before="120" w:after="0"/>
        <w:jc w:val="both"/>
      </w:pPr>
      <w:r>
        <w:t>Desde que en 1998 Hugo Chavez ganó las elecciones en el país, se empezaron a dar pasos con la finalidad de luchar contra la po</w:t>
      </w:r>
      <w:r w:rsidR="00B84F25">
        <w:t>breza y la desigualdad presentes</w:t>
      </w:r>
      <w:r>
        <w:t xml:space="preserve"> en este contexto georgráfico tant rico de recursos naturales.</w:t>
      </w:r>
      <w:r w:rsidR="00532C22">
        <w:t xml:space="preserve"> Los índices de miseria y extrema pobreza eran alarmantes en diversas zonas del país</w:t>
      </w:r>
      <w:r w:rsidR="00C36A07">
        <w:t xml:space="preserve"> como resultado</w:t>
      </w:r>
      <w:r w:rsidR="00B84F25">
        <w:t>, en parte,</w:t>
      </w:r>
      <w:r w:rsidR="00C36A07">
        <w:t xml:space="preserve"> del periodo neoliberal experimentado</w:t>
      </w:r>
      <w:r w:rsidR="00210CC3">
        <w:rPr>
          <w:rStyle w:val="Refdenotaalpie"/>
        </w:rPr>
        <w:footnoteReference w:id="11"/>
      </w:r>
      <w:r w:rsidR="00210CC3">
        <w:t>. La Constitución de 1999 presenta importantes innov</w:t>
      </w:r>
      <w:r w:rsidR="00B84F25">
        <w:t>aciones. Se amplia el reconocim</w:t>
      </w:r>
      <w:r w:rsidR="00210CC3">
        <w:t>i</w:t>
      </w:r>
      <w:r w:rsidR="00B84F25">
        <w:t>e</w:t>
      </w:r>
      <w:r w:rsidR="00210CC3">
        <w:t>nto de los derechos sociales y además se plantea un nuevo contextos en el que estos deberán construirse poniendo en el centro la corresponsabilidad entre ciudadanos y estado. Así pues, “la política social debe tener como finalidad capacitar, preparar y garantizar la salud, el trabajo, la educación, la seguridad social, la vivienda. En fin, costruir una ciudadanía de contenido social” (Maingon, 2004: 55). A parte de la carta magna, otros instrumentos orientan la agenda social en este periodo: el Plan Bolivar 2000 que incluye la Agenda Social 2000</w:t>
      </w:r>
      <w:r w:rsidR="00BC49C7">
        <w:t xml:space="preserve"> y el Plan de Desarrollo Económico y Social de la Nación</w:t>
      </w:r>
      <w:r w:rsidR="002B7ED2">
        <w:t xml:space="preserve"> 2001-2007</w:t>
      </w:r>
      <w:r w:rsidR="00BC49C7">
        <w:t xml:space="preserve"> (PDES).</w:t>
      </w:r>
    </w:p>
    <w:p w:rsidR="00BC49C7" w:rsidRDefault="00BC49C7" w:rsidP="00926769">
      <w:pPr>
        <w:spacing w:before="120" w:after="0"/>
        <w:jc w:val="both"/>
      </w:pPr>
      <w:r>
        <w:t>De todas formas, la urgencia por operar, por la magnitud de los indicadores sociales del momento, lleva al gobierno bolivariano “en julio de 1999, la ratifación de 9 de los 14 programas sociales de la Agenda Venezuela, instrumentados por el gobierno de Rafael Caldera (1993-1998), programas de carácter básicamente compensatorio-asistencia</w:t>
      </w:r>
      <w:r w:rsidR="00B84F25">
        <w:t>”</w:t>
      </w:r>
      <w:r>
        <w:t xml:space="preserve"> (Maingon, 2004: 56). Se trata pues de </w:t>
      </w:r>
      <w:r w:rsidR="00B84F25">
        <w:t xml:space="preserve">continuar </w:t>
      </w:r>
      <w:r>
        <w:t>una política pública con fuertes influencias neoliberales. No se logran en estra primera etapa transformaciones estructurales en la manera de plantear el bienestar y el cuidado en la acción pública del país. Esto trae como consecuencia la dificultad para obtener resultados positivos en la mejora de la calidad de vida de la población.</w:t>
      </w:r>
    </w:p>
    <w:p w:rsidR="004E3F6E" w:rsidRDefault="002B7ED2" w:rsidP="00926769">
      <w:pPr>
        <w:spacing w:before="120" w:after="0"/>
        <w:jc w:val="both"/>
      </w:pPr>
      <w:r>
        <w:t xml:space="preserve">En 2003, en un contexto marcado por los intereses electorales que provoca el complicado escenario que se le plantea al gobierno con el Referendo Revocatorio, así como también por un aumento acelerado de la renta de origen petrolero (Vera, 2008) se inaugura una nueva etapa de la agenda social caracterizada por el desarrollo de las misiones, programas sociales implementados </w:t>
      </w:r>
      <w:r w:rsidR="00966F1B">
        <w:t>desde el margen de la institucionalidad</w:t>
      </w:r>
      <w:r>
        <w:t xml:space="preserve">. Así pues, </w:t>
      </w:r>
      <w:r w:rsidR="004E3F6E">
        <w:t>“estos programas sociales estaban concebidos como una plata</w:t>
      </w:r>
      <w:r w:rsidR="00966F1B">
        <w:t>forma operativa que habría de g</w:t>
      </w:r>
      <w:r w:rsidR="004E3F6E">
        <w:t>arantizar, con un bajo grado de institucionalización, un rápido abastecimiento de sectores necesitados de la población (...). Frente a las tradicionales políticas sociales, se distinguen especialmente por su carácter extrainstitucional” (Burchardt, 2009: 86) poniéndo énfasis en la necessidad de llegar dónde no lo hacían las instancias tradicionales así como desburicratizar la política y promover la participación ciudadana. En tan solo dos años se logran implementar 13 misiones en areas como la inclusión social, la educación, la salud, la alimentación y el hábitat que alcanzan coberturas importantes en los sectores populares. Así, “aproximadamente un 30% de la po</w:t>
      </w:r>
      <w:r w:rsidR="000C0F48">
        <w:t>blación (7.2 millones) en la Misión Barrio Adentro y 53% en la Misión Mercal (12 millonoes)”</w:t>
      </w:r>
      <w:r w:rsidR="000C0F48">
        <w:rPr>
          <w:rStyle w:val="Refdenotaalpie"/>
        </w:rPr>
        <w:footnoteReference w:id="12"/>
      </w:r>
      <w:r w:rsidR="000C0F48">
        <w:t>.</w:t>
      </w:r>
    </w:p>
    <w:p w:rsidR="002B7ED2" w:rsidRDefault="000C0F48" w:rsidP="00926769">
      <w:pPr>
        <w:spacing w:before="120" w:after="0"/>
        <w:jc w:val="both"/>
      </w:pPr>
      <w:r>
        <w:t>Cabe decir pero que a partir de 2006 y 2007 se detecta un debilitamiento de ciertas misiones y una reducción de su cobertura. De manera paralela, se diversifica el foco de atención de l</w:t>
      </w:r>
      <w:r w:rsidR="00966F1B">
        <w:t>as misiones y aparecen de nuevos prigramas</w:t>
      </w:r>
      <w:r>
        <w:t xml:space="preserve">: unas primeras </w:t>
      </w:r>
      <w:r w:rsidR="00966F1B">
        <w:t xml:space="preserve">misiones </w:t>
      </w:r>
      <w:r>
        <w:t>dirigidas a poblaciones específicas y de carácter asistencial como Misión Negra Hipólita, Misión Madres del Barrio, Misión José Gregorio Hernández y Misión Niño Jesús; unas segunda para el impulso del proyecto socialista como Misión Che Guervara o Misión Villanueva (D’Elia y Quiroz, 2010). Durante el último periodo de la vida de Chávez, este comienza a ejecutar medidas de centralización de la administración pública, y también de las misiones</w:t>
      </w:r>
      <w:r w:rsidR="00966F1B">
        <w:t>, con el objetivo de relanzar el proyecto</w:t>
      </w:r>
      <w:r w:rsidR="0084519E">
        <w:t xml:space="preserve">. Y a partir del discurso del entonces presidente en la victoria electoral del 8 de octubre de 2012 se empieza a hablar de buscar la eficacia de las políticas y los servicios públicos. Este último elemento puede ser el </w:t>
      </w:r>
      <w:r w:rsidR="00966F1B">
        <w:t xml:space="preserve">catalizador para el impulso de una </w:t>
      </w:r>
      <w:r w:rsidR="0084519E">
        <w:t>agenda social venezolana</w:t>
      </w:r>
      <w:r w:rsidR="00966F1B">
        <w:t xml:space="preserve"> renovada</w:t>
      </w:r>
      <w:r w:rsidR="0084519E">
        <w:t xml:space="preserve"> y para construir una redefinición del régimen de bienestar.</w:t>
      </w:r>
    </w:p>
    <w:p w:rsidR="00081A68" w:rsidRDefault="00966F1B" w:rsidP="0084519E">
      <w:pPr>
        <w:spacing w:before="120" w:after="0"/>
        <w:jc w:val="both"/>
      </w:pPr>
      <w:r>
        <w:t>De modo resumido, t</w:t>
      </w:r>
      <w:r w:rsidR="0084519E">
        <w:t>res han sido</w:t>
      </w:r>
      <w:r w:rsidR="003C556D">
        <w:t xml:space="preserve"> las características que pueden destacarse del régimen de bienestar venezolano</w:t>
      </w:r>
      <w:r w:rsidR="0084519E">
        <w:t>, centrado desde 2003 en el proyecto de las misiones</w:t>
      </w:r>
      <w:r>
        <w:t xml:space="preserve">. </w:t>
      </w:r>
      <w:r w:rsidR="003C556D">
        <w:t>1) La construcción de una nueva institucionalidad para la imple</w:t>
      </w:r>
      <w:r>
        <w:t>mentación de políticas sociales. En un primer momento esta realidad acompañó a un crecimiento importante en coberturas de las políticas sociales. Debe tenerse en cuenta la inoperancia de la adminsitración pública tradicional del país, así como también las necesidades inmediatas a cubrir. De todas formas, la falta de canalización por vías instituci</w:t>
      </w:r>
      <w:r w:rsidR="00081A68">
        <w:t>onales pronto</w:t>
      </w:r>
      <w:r>
        <w:t xml:space="preserve"> provoca una inestabilidad, fragmentación y focalización de las políticas sociales. También se han apuntado problemas de cali</w:t>
      </w:r>
      <w:r w:rsidR="00081A68">
        <w:t xml:space="preserve">dad, tendencia que en el último año se ha intentado corregir. Existe poca incidencia del sistema de planificación. </w:t>
      </w:r>
      <w:r w:rsidR="003C556D">
        <w:t xml:space="preserve"> 2) </w:t>
      </w:r>
      <w:r w:rsidR="00081A68">
        <w:t xml:space="preserve">Énfasis en lo comunitario y políticas sociales centradas en las clases populares. La política social venezolana asume la corresponsabilidad del Estado y la comunidad en la prestación de los servicios. Eso hace partícipe a la ciudadanía no solo de la decisión sino también de la ejecución de la acción pública. En algunos casos esta ha derivado en falta de profesionalización de los servicios y en “feminización” del trabajo voluntario. </w:t>
      </w:r>
      <w:r w:rsidR="00E60A14">
        <w:t xml:space="preserve"> 3) </w:t>
      </w:r>
      <w:r w:rsidR="003C556D">
        <w:t>La centralidad de los recursos provinentes de la explotación del petroleo</w:t>
      </w:r>
      <w:r w:rsidR="0084519E">
        <w:t>.</w:t>
      </w:r>
      <w:r w:rsidR="00081A68">
        <w:t xml:space="preserve"> Venezuela es</w:t>
      </w:r>
      <w:r w:rsidR="003C556D">
        <w:t xml:space="preserve"> un país rico en recursos naturales.</w:t>
      </w:r>
      <w:r w:rsidR="00532C22">
        <w:t xml:space="preserve"> </w:t>
      </w:r>
      <w:r w:rsidR="00081A68">
        <w:t xml:space="preserve">El sistema impositivo queda en un segundo plano en el modelo de construcción del bienestar. </w:t>
      </w:r>
    </w:p>
    <w:p w:rsidR="00081A68" w:rsidRDefault="00081A68" w:rsidP="00926769">
      <w:pPr>
        <w:spacing w:before="120" w:after="0"/>
        <w:jc w:val="both"/>
      </w:pPr>
    </w:p>
    <w:p w:rsidR="00292E28" w:rsidRPr="00EB6B9C" w:rsidRDefault="00292E28" w:rsidP="00926769">
      <w:pPr>
        <w:spacing w:before="120" w:after="0"/>
        <w:jc w:val="both"/>
        <w:rPr>
          <w:u w:val="single"/>
        </w:rPr>
      </w:pPr>
      <w:r w:rsidRPr="00EB6B9C">
        <w:rPr>
          <w:u w:val="single"/>
        </w:rPr>
        <w:t>Bolivia: la centralidad de la plurinacionalidad</w:t>
      </w:r>
    </w:p>
    <w:p w:rsidR="008E2EBA" w:rsidRDefault="000D3D59" w:rsidP="006A2A8B">
      <w:pPr>
        <w:spacing w:before="120" w:after="0"/>
        <w:jc w:val="both"/>
      </w:pPr>
      <w:r>
        <w:t>En Bolivia, a partir de la victoria de Evo Morales, se empieza a experimentar un proceso de recupera</w:t>
      </w:r>
      <w:r w:rsidR="00FF0F6F">
        <w:t>ción del Estado, de</w:t>
      </w:r>
      <w:r w:rsidR="007C4464">
        <w:t xml:space="preserve"> forma</w:t>
      </w:r>
      <w:r w:rsidR="00FF0F6F">
        <w:t xml:space="preserve"> paralela al reconocimiento de la plurinacionalidad. </w:t>
      </w:r>
      <w:r w:rsidR="002D5FD7">
        <w:t>De esta manera</w:t>
      </w:r>
      <w:r>
        <w:t>, se le da importancia al sistema de planificación, aunque de una manera menos completa que en el Ecuador, resultando un Plan nacional de desarrollo con vigencia de 2006 a 2009.</w:t>
      </w:r>
      <w:r w:rsidR="002D5FD7">
        <w:t xml:space="preserve"> Distintos indicadores nos dan cuenta del aumento de la intervención del Estado en la economía y del retorno de ciertas funciones sociales a las instituciones públicas. Estas transformac</w:t>
      </w:r>
      <w:r w:rsidR="008E2EBA">
        <w:t>iones, junto a un contexto económi</w:t>
      </w:r>
      <w:r w:rsidR="002D5FD7">
        <w:t xml:space="preserve">co favorable, dan lugar a mejoras en indicadores </w:t>
      </w:r>
      <w:r w:rsidR="004B6B6C">
        <w:t>socioeconómicos</w:t>
      </w:r>
      <w:r w:rsidR="002D5FD7">
        <w:t>. Así pues, de una cifra de pobreza moderada del 60,6% de la población al 200</w:t>
      </w:r>
      <w:r w:rsidR="00131334">
        <w:t>5 se pasa al 45% al 2012 (Ministerio de Economía y Finanzas Públicas, 2013a</w:t>
      </w:r>
      <w:r w:rsidR="004B6B6C">
        <w:t>). Y desctacarse también que 2008 fue declarado tercer país en Améric</w:t>
      </w:r>
      <w:r w:rsidR="008E2EBA">
        <w:t>a Latina libre de anlfabetismo: de</w:t>
      </w:r>
      <w:r w:rsidR="004B6B6C">
        <w:t xml:space="preserve"> </w:t>
      </w:r>
      <w:r w:rsidR="008E2EBA">
        <w:t xml:space="preserve">una tasa del </w:t>
      </w:r>
      <w:r w:rsidR="004B6B6C">
        <w:t>11% e</w:t>
      </w:r>
      <w:r w:rsidR="008E2EBA">
        <w:t>n 2005 se pasa al 3,4% en 2008.</w:t>
      </w:r>
    </w:p>
    <w:p w:rsidR="006A2A8B" w:rsidRDefault="002D5FD7" w:rsidP="006A2A8B">
      <w:pPr>
        <w:spacing w:before="120" w:after="0"/>
        <w:jc w:val="both"/>
      </w:pPr>
      <w:r>
        <w:t>En relación al campo social, la intervención se amplia en cuanto a coberturas e inversión social</w:t>
      </w:r>
      <w:r w:rsidR="007C4464">
        <w:t>, y se da importancia a la cuestión de la plurinacionalidad</w:t>
      </w:r>
      <w:r>
        <w:t>. El esquema de actuación, pero, aún sigue en un esquema marcado por la</w:t>
      </w:r>
      <w:r w:rsidR="006A2A8B">
        <w:t>s transferencias condicionadas</w:t>
      </w:r>
      <w:r w:rsidR="006A2A8B">
        <w:rPr>
          <w:rStyle w:val="Refdenotaalpie"/>
        </w:rPr>
        <w:footnoteReference w:id="13"/>
      </w:r>
      <w:r w:rsidR="006A2A8B">
        <w:t xml:space="preserve"> y la ejecución de programas focalizados</w:t>
      </w:r>
      <w:r w:rsidR="006A2A8B">
        <w:rPr>
          <w:rStyle w:val="Refdenotaalpie"/>
        </w:rPr>
        <w:footnoteReference w:id="14"/>
      </w:r>
      <w:r w:rsidR="006A2A8B">
        <w:t xml:space="preserve">, y con un marcado peso de la presencia de ONG y organismos internacionales. </w:t>
      </w:r>
      <w:r w:rsidR="004B6B6C">
        <w:t xml:space="preserve">Aunque con mejorías evidentes en el periodo estudiado, la fuerte presencia de necesidades insatisfechas en el país así como la falta de una administración pública estable y consolidada, son algunos de los motivos que pueden esgrimirse para explicar la cierta continuidad conceptual y operativa en la agenda social. </w:t>
      </w:r>
      <w:r>
        <w:t>Así pues, y citando a fuentes gubernamentales, “las principales medidad implementadas (...) fueron el descongelamiento del Salario Mínimo Nacional (SMN), los continuos increementos salariales por encima de la tasa de inflación – con lo que se incrementa el salario real y la capacidad de compra de los trabajadores-, y la entrega de la Renta Dignidad, el Bono Juancito Pinto y el Bono Juana Azurduy en favor de la población más vulnerable y que permitieron que miles de familias incrementen sus ingresos económicos y me</w:t>
      </w:r>
      <w:r w:rsidR="00131334">
        <w:t>joren su calidad de vida” (Ministerio de Economía y Finanzas Públicas, 2013b</w:t>
      </w:r>
      <w:r>
        <w:t>:154)</w:t>
      </w:r>
    </w:p>
    <w:p w:rsidR="008E2EBA" w:rsidRDefault="006A2A8B" w:rsidP="00926769">
      <w:pPr>
        <w:spacing w:before="120" w:after="0"/>
        <w:jc w:val="both"/>
      </w:pPr>
      <w:r>
        <w:t>Junto a estas medidas debe señalarse un aumento importante del gasto social de la Administración central que en 2012 llega al 11,5% del PIB. Desde 2006 esta cifra correspendo a un incremento de 97%. De forma desagregada, el sector Educación representa el 45,7% del gasto total, seguido por Protección Social con el 40,4%, después el Sector Salud, 11,7% y Vivienda y Servic</w:t>
      </w:r>
      <w:r w:rsidR="00131334">
        <w:t>ios Comunitarios con 2,3%. (Ministerio de Economía y Finanzas Públicas, 2013b)</w:t>
      </w:r>
      <w:r w:rsidR="008E2EBA">
        <w:t xml:space="preserve">. </w:t>
      </w:r>
      <w:r w:rsidR="004B6B6C">
        <w:t>También debe destacartse una e</w:t>
      </w:r>
      <w:r>
        <w:t>xtensión del sistema de pensiones vinculado a la seguridad social (contributiva y no contributiva) con la Ley 065, vigente desde diciembre de 2010.</w:t>
      </w:r>
      <w:r w:rsidR="004B6B6C">
        <w:t xml:space="preserve"> En este sentido, podemos hablar de una universaliz</w:t>
      </w:r>
      <w:r w:rsidR="007C4464">
        <w:t>ación de mínimos de cier</w:t>
      </w:r>
      <w:r w:rsidR="004B6B6C">
        <w:t>tos derechos de</w:t>
      </w:r>
      <w:r w:rsidR="007C4464">
        <w:t xml:space="preserve"> educación, salud y</w:t>
      </w:r>
      <w:r w:rsidR="004B6B6C">
        <w:t xml:space="preserve"> protección social.</w:t>
      </w:r>
    </w:p>
    <w:p w:rsidR="00081A68" w:rsidRDefault="00081A68" w:rsidP="00926769">
      <w:pPr>
        <w:spacing w:before="120" w:after="0"/>
        <w:jc w:val="both"/>
      </w:pPr>
    </w:p>
    <w:p w:rsidR="008E2EBA" w:rsidRDefault="00081A68" w:rsidP="00926769">
      <w:pPr>
        <w:spacing w:before="120" w:after="0"/>
        <w:jc w:val="both"/>
      </w:pPr>
      <w:r>
        <w:t xml:space="preserve">A modo de resúmen, se adjunta un primer cuadro descriptivo de como se estan conformando en cada país las dimensiones constitutivas del régimen de bienestar. </w:t>
      </w:r>
      <w:r w:rsidR="009A41B4">
        <w:t>En una fase posterior se van a introducir los conceptos de (des)mercantilización, estratificación, calidad de la fuerza de trabajo y (des)familiarización para profundizar en el análisis de los modelos de bienestar.</w:t>
      </w:r>
    </w:p>
    <w:p w:rsidR="00D92364" w:rsidRDefault="00D92364" w:rsidP="00926769">
      <w:pPr>
        <w:spacing w:before="120" w:after="0"/>
        <w:jc w:val="both"/>
      </w:pPr>
    </w:p>
    <w:p w:rsidR="00D92364" w:rsidRDefault="00D92364" w:rsidP="00D92364">
      <w:pPr>
        <w:spacing w:before="120" w:after="0"/>
        <w:jc w:val="both"/>
        <w:rPr>
          <w:sz w:val="20"/>
          <w:u w:val="single"/>
        </w:rPr>
      </w:pPr>
      <w:r w:rsidRPr="0062053A">
        <w:rPr>
          <w:sz w:val="20"/>
          <w:u w:val="single"/>
        </w:rPr>
        <w:t>Tabla 1. Dimensiones del bienestar en Ecuador, Venezuela y Bolivia</w:t>
      </w:r>
    </w:p>
    <w:p w:rsidR="00D92364" w:rsidRPr="007F76D5" w:rsidRDefault="00D92364" w:rsidP="00D92364">
      <w:pPr>
        <w:spacing w:before="120" w:after="0"/>
        <w:jc w:val="both"/>
        <w:rPr>
          <w:b/>
          <w:sz w:val="20"/>
          <w:u w:val="single"/>
        </w:rPr>
      </w:pPr>
    </w:p>
    <w:tbl>
      <w:tblPr>
        <w:tblStyle w:val="Tablaconcuadrcula"/>
        <w:tblW w:w="0" w:type="auto"/>
        <w:tblLook w:val="00BF"/>
      </w:tblPr>
      <w:tblGrid>
        <w:gridCol w:w="2159"/>
        <w:gridCol w:w="2159"/>
        <w:gridCol w:w="2160"/>
        <w:gridCol w:w="2160"/>
      </w:tblGrid>
      <w:tr w:rsidR="00D92364" w:rsidRPr="007F76D5">
        <w:tc>
          <w:tcPr>
            <w:tcW w:w="2159" w:type="dxa"/>
          </w:tcPr>
          <w:p w:rsidR="00D92364" w:rsidRPr="007F76D5" w:rsidRDefault="00D92364" w:rsidP="00926769">
            <w:pPr>
              <w:spacing w:before="120"/>
              <w:jc w:val="both"/>
              <w:rPr>
                <w:b/>
                <w:sz w:val="20"/>
              </w:rPr>
            </w:pPr>
            <w:r w:rsidRPr="007F76D5">
              <w:rPr>
                <w:b/>
                <w:sz w:val="20"/>
              </w:rPr>
              <w:t>Dimensiones del bienestar</w:t>
            </w:r>
          </w:p>
        </w:tc>
        <w:tc>
          <w:tcPr>
            <w:tcW w:w="2159" w:type="dxa"/>
          </w:tcPr>
          <w:p w:rsidR="00D92364" w:rsidRPr="007F76D5" w:rsidRDefault="00D92364" w:rsidP="00926769">
            <w:pPr>
              <w:spacing w:before="120"/>
              <w:jc w:val="both"/>
              <w:rPr>
                <w:b/>
                <w:sz w:val="20"/>
              </w:rPr>
            </w:pPr>
            <w:r w:rsidRPr="007F76D5">
              <w:rPr>
                <w:b/>
                <w:sz w:val="20"/>
              </w:rPr>
              <w:t>Ecuador</w:t>
            </w:r>
            <w:r w:rsidR="007F4091">
              <w:rPr>
                <w:rStyle w:val="Refdenotaalpie"/>
                <w:b/>
                <w:sz w:val="20"/>
              </w:rPr>
              <w:footnoteReference w:id="15"/>
            </w:r>
          </w:p>
        </w:tc>
        <w:tc>
          <w:tcPr>
            <w:tcW w:w="2160" w:type="dxa"/>
          </w:tcPr>
          <w:p w:rsidR="00D92364" w:rsidRPr="007F76D5" w:rsidRDefault="00D92364" w:rsidP="00926769">
            <w:pPr>
              <w:spacing w:before="120"/>
              <w:jc w:val="both"/>
              <w:rPr>
                <w:b/>
                <w:sz w:val="20"/>
              </w:rPr>
            </w:pPr>
            <w:r w:rsidRPr="007F76D5">
              <w:rPr>
                <w:b/>
                <w:sz w:val="20"/>
              </w:rPr>
              <w:t>Venezuela</w:t>
            </w:r>
          </w:p>
        </w:tc>
        <w:tc>
          <w:tcPr>
            <w:tcW w:w="2160" w:type="dxa"/>
          </w:tcPr>
          <w:p w:rsidR="00D92364" w:rsidRPr="007F76D5" w:rsidRDefault="00D92364" w:rsidP="00926769">
            <w:pPr>
              <w:spacing w:before="120"/>
              <w:jc w:val="both"/>
              <w:rPr>
                <w:b/>
                <w:sz w:val="20"/>
              </w:rPr>
            </w:pPr>
            <w:r w:rsidRPr="007F76D5">
              <w:rPr>
                <w:b/>
                <w:sz w:val="20"/>
              </w:rPr>
              <w:t>Bolivia</w:t>
            </w:r>
          </w:p>
        </w:tc>
      </w:tr>
      <w:tr w:rsidR="00D92364" w:rsidRPr="007F76D5">
        <w:tc>
          <w:tcPr>
            <w:tcW w:w="2159" w:type="dxa"/>
          </w:tcPr>
          <w:p w:rsidR="00D92364" w:rsidRPr="0062053A" w:rsidRDefault="00D92364" w:rsidP="00926769">
            <w:pPr>
              <w:spacing w:before="120"/>
              <w:jc w:val="both"/>
              <w:rPr>
                <w:i/>
                <w:sz w:val="20"/>
              </w:rPr>
            </w:pPr>
            <w:r w:rsidRPr="0062053A">
              <w:rPr>
                <w:i/>
                <w:sz w:val="20"/>
              </w:rPr>
              <w:t>Referente normativo global del modelo</w:t>
            </w:r>
          </w:p>
        </w:tc>
        <w:tc>
          <w:tcPr>
            <w:tcW w:w="2159" w:type="dxa"/>
          </w:tcPr>
          <w:p w:rsidR="00D92364" w:rsidRPr="0062053A" w:rsidRDefault="003502EE" w:rsidP="00926769">
            <w:pPr>
              <w:spacing w:before="120"/>
              <w:jc w:val="both"/>
              <w:rPr>
                <w:sz w:val="20"/>
              </w:rPr>
            </w:pPr>
            <w:r w:rsidRPr="0062053A">
              <w:rPr>
                <w:sz w:val="20"/>
              </w:rPr>
              <w:t>Discursivamente universalista</w:t>
            </w:r>
          </w:p>
        </w:tc>
        <w:tc>
          <w:tcPr>
            <w:tcW w:w="2160" w:type="dxa"/>
          </w:tcPr>
          <w:p w:rsidR="00D92364" w:rsidRPr="0062053A" w:rsidRDefault="00D21405" w:rsidP="00926769">
            <w:pPr>
              <w:spacing w:before="120"/>
              <w:jc w:val="both"/>
              <w:rPr>
                <w:sz w:val="20"/>
              </w:rPr>
            </w:pPr>
            <w:r w:rsidRPr="0062053A">
              <w:rPr>
                <w:sz w:val="20"/>
              </w:rPr>
              <w:t>Discursivamente universalista</w:t>
            </w:r>
            <w:r w:rsidR="0062053A" w:rsidRPr="0062053A">
              <w:rPr>
                <w:sz w:val="20"/>
              </w:rPr>
              <w:t xml:space="preserve"> en la carta magna. Focalización como fundamento de las misiones.</w:t>
            </w:r>
          </w:p>
        </w:tc>
        <w:tc>
          <w:tcPr>
            <w:tcW w:w="2160" w:type="dxa"/>
          </w:tcPr>
          <w:p w:rsidR="00D92364" w:rsidRPr="0062053A" w:rsidRDefault="00D21405" w:rsidP="0062053A">
            <w:pPr>
              <w:spacing w:before="120"/>
              <w:jc w:val="both"/>
              <w:rPr>
                <w:sz w:val="20"/>
              </w:rPr>
            </w:pPr>
            <w:r w:rsidRPr="0062053A">
              <w:rPr>
                <w:sz w:val="20"/>
              </w:rPr>
              <w:t>Discursivamente universalista</w:t>
            </w:r>
            <w:r w:rsidR="0062053A">
              <w:rPr>
                <w:sz w:val="20"/>
              </w:rPr>
              <w:t xml:space="preserve">. </w:t>
            </w:r>
          </w:p>
        </w:tc>
      </w:tr>
      <w:tr w:rsidR="00D92364" w:rsidRPr="007F76D5">
        <w:tc>
          <w:tcPr>
            <w:tcW w:w="2159" w:type="dxa"/>
          </w:tcPr>
          <w:p w:rsidR="00D92364" w:rsidRPr="0062053A" w:rsidRDefault="00D92364" w:rsidP="00926769">
            <w:pPr>
              <w:spacing w:before="120"/>
              <w:jc w:val="both"/>
              <w:rPr>
                <w:i/>
                <w:sz w:val="20"/>
              </w:rPr>
            </w:pPr>
            <w:r w:rsidRPr="0062053A">
              <w:rPr>
                <w:i/>
                <w:sz w:val="20"/>
              </w:rPr>
              <w:t>Manera como se configuran los derechos sociale</w:t>
            </w:r>
            <w:r w:rsidR="00D21405" w:rsidRPr="0062053A">
              <w:rPr>
                <w:i/>
                <w:sz w:val="20"/>
              </w:rPr>
              <w:t>s pilares del bienestar (salud y educación</w:t>
            </w:r>
            <w:r w:rsidRPr="0062053A">
              <w:rPr>
                <w:i/>
                <w:sz w:val="20"/>
              </w:rPr>
              <w:t>)</w:t>
            </w:r>
          </w:p>
        </w:tc>
        <w:tc>
          <w:tcPr>
            <w:tcW w:w="2159" w:type="dxa"/>
          </w:tcPr>
          <w:p w:rsidR="00D92364" w:rsidRPr="0062053A" w:rsidRDefault="007F4091" w:rsidP="00926769">
            <w:pPr>
              <w:spacing w:before="120"/>
              <w:jc w:val="both"/>
              <w:rPr>
                <w:sz w:val="20"/>
              </w:rPr>
            </w:pPr>
            <w:r w:rsidRPr="0062053A">
              <w:rPr>
                <w:sz w:val="20"/>
              </w:rPr>
              <w:t>Universalización de mínimos</w:t>
            </w:r>
          </w:p>
        </w:tc>
        <w:tc>
          <w:tcPr>
            <w:tcW w:w="2160" w:type="dxa"/>
          </w:tcPr>
          <w:p w:rsidR="00D92364" w:rsidRPr="0062053A" w:rsidRDefault="007F4091" w:rsidP="0062053A">
            <w:pPr>
              <w:spacing w:before="120"/>
              <w:jc w:val="both"/>
              <w:rPr>
                <w:sz w:val="20"/>
              </w:rPr>
            </w:pPr>
            <w:r w:rsidRPr="0062053A">
              <w:rPr>
                <w:sz w:val="20"/>
              </w:rPr>
              <w:t xml:space="preserve">Políticas </w:t>
            </w:r>
            <w:r w:rsidR="0062053A">
              <w:rPr>
                <w:sz w:val="20"/>
              </w:rPr>
              <w:t>destinadas  a</w:t>
            </w:r>
            <w:r w:rsidRPr="0062053A">
              <w:rPr>
                <w:sz w:val="20"/>
              </w:rPr>
              <w:t xml:space="preserve"> las clases populares</w:t>
            </w:r>
          </w:p>
        </w:tc>
        <w:tc>
          <w:tcPr>
            <w:tcW w:w="2160" w:type="dxa"/>
          </w:tcPr>
          <w:p w:rsidR="00D92364" w:rsidRPr="0062053A" w:rsidRDefault="0062053A" w:rsidP="00926769">
            <w:pPr>
              <w:spacing w:before="120"/>
              <w:jc w:val="both"/>
              <w:rPr>
                <w:sz w:val="20"/>
              </w:rPr>
            </w:pPr>
            <w:r w:rsidRPr="0062053A">
              <w:rPr>
                <w:sz w:val="20"/>
              </w:rPr>
              <w:t>Universalización de mínimos</w:t>
            </w:r>
          </w:p>
        </w:tc>
      </w:tr>
      <w:tr w:rsidR="00D92364" w:rsidRPr="007F76D5">
        <w:tc>
          <w:tcPr>
            <w:tcW w:w="2159" w:type="dxa"/>
          </w:tcPr>
          <w:p w:rsidR="00D92364" w:rsidRPr="0062053A" w:rsidRDefault="00D92364" w:rsidP="00926769">
            <w:pPr>
              <w:spacing w:before="120"/>
              <w:jc w:val="both"/>
              <w:rPr>
                <w:i/>
                <w:sz w:val="20"/>
              </w:rPr>
            </w:pPr>
            <w:r w:rsidRPr="0062053A">
              <w:rPr>
                <w:i/>
                <w:sz w:val="20"/>
              </w:rPr>
              <w:t>Modo de estructura la protección social</w:t>
            </w:r>
          </w:p>
        </w:tc>
        <w:tc>
          <w:tcPr>
            <w:tcW w:w="2159" w:type="dxa"/>
          </w:tcPr>
          <w:p w:rsidR="00D92364" w:rsidRPr="0062053A" w:rsidRDefault="007F4091" w:rsidP="007C4464">
            <w:pPr>
              <w:spacing w:before="120"/>
              <w:jc w:val="both"/>
              <w:rPr>
                <w:sz w:val="20"/>
              </w:rPr>
            </w:pPr>
            <w:r w:rsidRPr="0062053A">
              <w:rPr>
                <w:sz w:val="20"/>
              </w:rPr>
              <w:t>Discursivamente con una concepción amplia y progresista</w:t>
            </w:r>
            <w:r w:rsidR="007C4464">
              <w:rPr>
                <w:sz w:val="20"/>
              </w:rPr>
              <w:t xml:space="preserve"> de la protección social. Aumento de políticas de atención a la dependencia e inclusión, pero conceptualmente</w:t>
            </w:r>
            <w:r w:rsidRPr="0062053A">
              <w:rPr>
                <w:sz w:val="20"/>
              </w:rPr>
              <w:t xml:space="preserve"> aún herederas de perspectivas propias de la etapa neoliberal</w:t>
            </w:r>
          </w:p>
        </w:tc>
        <w:tc>
          <w:tcPr>
            <w:tcW w:w="2160" w:type="dxa"/>
          </w:tcPr>
          <w:p w:rsidR="007C4464" w:rsidRDefault="007F4091" w:rsidP="00926769">
            <w:pPr>
              <w:spacing w:before="120"/>
              <w:jc w:val="both"/>
              <w:rPr>
                <w:sz w:val="20"/>
              </w:rPr>
            </w:pPr>
            <w:r w:rsidRPr="0062053A">
              <w:rPr>
                <w:sz w:val="20"/>
              </w:rPr>
              <w:t xml:space="preserve">La seguridad social no es una prioridad del régimen. </w:t>
            </w:r>
          </w:p>
          <w:p w:rsidR="00D92364" w:rsidRPr="0062053A" w:rsidRDefault="007F4091" w:rsidP="00926769">
            <w:pPr>
              <w:spacing w:before="120"/>
              <w:jc w:val="both"/>
              <w:rPr>
                <w:sz w:val="20"/>
              </w:rPr>
            </w:pPr>
            <w:r w:rsidRPr="0062053A">
              <w:rPr>
                <w:sz w:val="20"/>
              </w:rPr>
              <w:t>Las políticas de atención a la dependencia y las de inclusión social se realizan a través de misiones.</w:t>
            </w:r>
          </w:p>
        </w:tc>
        <w:tc>
          <w:tcPr>
            <w:tcW w:w="2160" w:type="dxa"/>
          </w:tcPr>
          <w:p w:rsidR="007C4464" w:rsidRDefault="0062053A" w:rsidP="007C4464">
            <w:pPr>
              <w:spacing w:before="120"/>
              <w:jc w:val="both"/>
              <w:rPr>
                <w:sz w:val="20"/>
              </w:rPr>
            </w:pPr>
            <w:r w:rsidRPr="0062053A">
              <w:rPr>
                <w:sz w:val="20"/>
              </w:rPr>
              <w:t xml:space="preserve">Discursivamente con una concepción amplia y progresista de la protección social. </w:t>
            </w:r>
          </w:p>
          <w:p w:rsidR="00D92364" w:rsidRPr="0062053A" w:rsidRDefault="007C4464" w:rsidP="007C4464">
            <w:pPr>
              <w:spacing w:before="120"/>
              <w:jc w:val="both"/>
              <w:rPr>
                <w:sz w:val="20"/>
              </w:rPr>
            </w:pPr>
            <w:r>
              <w:rPr>
                <w:sz w:val="20"/>
              </w:rPr>
              <w:t xml:space="preserve">Universalización de mínimos de algunas prestaciones de la seguidad social. </w:t>
            </w:r>
            <w:r w:rsidR="0062053A">
              <w:rPr>
                <w:sz w:val="20"/>
              </w:rPr>
              <w:t xml:space="preserve"> </w:t>
            </w:r>
          </w:p>
        </w:tc>
      </w:tr>
      <w:tr w:rsidR="00D92364" w:rsidRPr="007F76D5">
        <w:tc>
          <w:tcPr>
            <w:tcW w:w="2159" w:type="dxa"/>
          </w:tcPr>
          <w:p w:rsidR="00D92364" w:rsidRPr="0062053A" w:rsidRDefault="00D92364" w:rsidP="00926769">
            <w:pPr>
              <w:spacing w:before="120"/>
              <w:jc w:val="both"/>
              <w:rPr>
                <w:i/>
                <w:sz w:val="20"/>
              </w:rPr>
            </w:pPr>
            <w:r w:rsidRPr="0062053A">
              <w:rPr>
                <w:i/>
                <w:sz w:val="20"/>
              </w:rPr>
              <w:t>Régimen de fiscalidad</w:t>
            </w:r>
          </w:p>
        </w:tc>
        <w:tc>
          <w:tcPr>
            <w:tcW w:w="2159" w:type="dxa"/>
          </w:tcPr>
          <w:p w:rsidR="00D92364" w:rsidRPr="0062053A" w:rsidRDefault="007F4091" w:rsidP="00926769">
            <w:pPr>
              <w:spacing w:before="120"/>
              <w:jc w:val="both"/>
              <w:rPr>
                <w:sz w:val="20"/>
              </w:rPr>
            </w:pPr>
            <w:r w:rsidRPr="0062053A">
              <w:rPr>
                <w:sz w:val="20"/>
              </w:rPr>
              <w:t>Aumenta la eficacia y eficiencia del sistema tritutario</w:t>
            </w:r>
          </w:p>
        </w:tc>
        <w:tc>
          <w:tcPr>
            <w:tcW w:w="2160" w:type="dxa"/>
          </w:tcPr>
          <w:p w:rsidR="00D92364" w:rsidRPr="0062053A" w:rsidRDefault="007F4091" w:rsidP="00926769">
            <w:pPr>
              <w:spacing w:before="120"/>
              <w:jc w:val="both"/>
              <w:rPr>
                <w:sz w:val="20"/>
              </w:rPr>
            </w:pPr>
            <w:r w:rsidRPr="0062053A">
              <w:rPr>
                <w:sz w:val="20"/>
              </w:rPr>
              <w:t>Los ingresos de las misiones provienen mayoritariamente de las rentas petroleras</w:t>
            </w:r>
          </w:p>
        </w:tc>
        <w:tc>
          <w:tcPr>
            <w:tcW w:w="2160" w:type="dxa"/>
          </w:tcPr>
          <w:p w:rsidR="00D92364" w:rsidRPr="0062053A" w:rsidRDefault="008E2EBA" w:rsidP="00926769">
            <w:pPr>
              <w:spacing w:before="120"/>
              <w:jc w:val="both"/>
              <w:rPr>
                <w:sz w:val="20"/>
              </w:rPr>
            </w:pPr>
            <w:r>
              <w:rPr>
                <w:sz w:val="20"/>
              </w:rPr>
              <w:t>Se introducen algunas reformas tributarias pero aún innecesarias para construir un sistema progresivo.</w:t>
            </w:r>
          </w:p>
        </w:tc>
      </w:tr>
      <w:tr w:rsidR="00D92364" w:rsidRPr="007F76D5">
        <w:trPr>
          <w:trHeight w:val="989"/>
        </w:trPr>
        <w:tc>
          <w:tcPr>
            <w:tcW w:w="2159" w:type="dxa"/>
          </w:tcPr>
          <w:p w:rsidR="00D92364" w:rsidRPr="0062053A" w:rsidRDefault="00D92364" w:rsidP="00926769">
            <w:pPr>
              <w:spacing w:before="120"/>
              <w:jc w:val="both"/>
              <w:rPr>
                <w:i/>
                <w:sz w:val="20"/>
              </w:rPr>
            </w:pPr>
            <w:r w:rsidRPr="0062053A">
              <w:rPr>
                <w:i/>
                <w:sz w:val="20"/>
              </w:rPr>
              <w:t>Relaciones de empleo</w:t>
            </w:r>
          </w:p>
        </w:tc>
        <w:tc>
          <w:tcPr>
            <w:tcW w:w="2159" w:type="dxa"/>
          </w:tcPr>
          <w:p w:rsidR="00D92364" w:rsidRPr="0062053A" w:rsidRDefault="007F4091" w:rsidP="00926769">
            <w:pPr>
              <w:spacing w:before="120"/>
              <w:jc w:val="both"/>
              <w:rPr>
                <w:sz w:val="20"/>
              </w:rPr>
            </w:pPr>
            <w:r w:rsidRPr="0062053A">
              <w:rPr>
                <w:sz w:val="20"/>
              </w:rPr>
              <w:t>Avance en la dignificación de trabajador. Mejoras en indicadores como trabajo pleno y afiliado a la seguridad social.</w:t>
            </w:r>
          </w:p>
        </w:tc>
        <w:tc>
          <w:tcPr>
            <w:tcW w:w="2160" w:type="dxa"/>
          </w:tcPr>
          <w:p w:rsidR="00D92364" w:rsidRPr="0062053A" w:rsidRDefault="007F4091" w:rsidP="00926769">
            <w:pPr>
              <w:spacing w:before="120"/>
              <w:jc w:val="both"/>
              <w:rPr>
                <w:sz w:val="20"/>
              </w:rPr>
            </w:pPr>
            <w:r w:rsidRPr="0062053A">
              <w:rPr>
                <w:sz w:val="20"/>
              </w:rPr>
              <w:t>Avance en la dignificación de trabajador. Aumenta la protección del trabajador frente al empersario.</w:t>
            </w:r>
          </w:p>
        </w:tc>
        <w:tc>
          <w:tcPr>
            <w:tcW w:w="2160" w:type="dxa"/>
          </w:tcPr>
          <w:p w:rsidR="00D92364" w:rsidRPr="008E2EBA" w:rsidRDefault="008E2EBA" w:rsidP="00926769">
            <w:pPr>
              <w:spacing w:before="120"/>
              <w:jc w:val="both"/>
              <w:rPr>
                <w:sz w:val="20"/>
              </w:rPr>
            </w:pPr>
            <w:r w:rsidRPr="0062053A">
              <w:rPr>
                <w:sz w:val="20"/>
              </w:rPr>
              <w:t xml:space="preserve">Avance en la dignificación de trabajador. </w:t>
            </w:r>
            <w:r>
              <w:rPr>
                <w:sz w:val="20"/>
              </w:rPr>
              <w:t>I</w:t>
            </w:r>
            <w:r w:rsidRPr="008E2EBA">
              <w:rPr>
                <w:sz w:val="20"/>
              </w:rPr>
              <w:t>ncrementa el salario real y la capacidad de compra de los trabajadores</w:t>
            </w:r>
          </w:p>
        </w:tc>
      </w:tr>
      <w:tr w:rsidR="00D92364" w:rsidRPr="007F76D5">
        <w:tc>
          <w:tcPr>
            <w:tcW w:w="2159" w:type="dxa"/>
          </w:tcPr>
          <w:p w:rsidR="00D92364" w:rsidRPr="0062053A" w:rsidRDefault="00D92364" w:rsidP="00926769">
            <w:pPr>
              <w:spacing w:before="120"/>
              <w:jc w:val="both"/>
              <w:rPr>
                <w:i/>
                <w:sz w:val="20"/>
              </w:rPr>
            </w:pPr>
            <w:r w:rsidRPr="0062053A">
              <w:rPr>
                <w:i/>
                <w:sz w:val="20"/>
              </w:rPr>
              <w:t>Efectos en la estructura social</w:t>
            </w:r>
          </w:p>
        </w:tc>
        <w:tc>
          <w:tcPr>
            <w:tcW w:w="2159" w:type="dxa"/>
          </w:tcPr>
          <w:p w:rsidR="00D92364" w:rsidRPr="0062053A" w:rsidRDefault="007F4091" w:rsidP="00926769">
            <w:pPr>
              <w:spacing w:before="120"/>
              <w:jc w:val="both"/>
              <w:rPr>
                <w:sz w:val="20"/>
              </w:rPr>
            </w:pPr>
            <w:r w:rsidRPr="0062053A">
              <w:rPr>
                <w:sz w:val="20"/>
              </w:rPr>
              <w:t>Mejora indicadores macroeconómicos como probreza o desigualdad</w:t>
            </w:r>
          </w:p>
        </w:tc>
        <w:tc>
          <w:tcPr>
            <w:tcW w:w="2160" w:type="dxa"/>
          </w:tcPr>
          <w:p w:rsidR="00D92364" w:rsidRPr="0062053A" w:rsidRDefault="007F4091" w:rsidP="00926769">
            <w:pPr>
              <w:spacing w:before="120"/>
              <w:jc w:val="both"/>
              <w:rPr>
                <w:sz w:val="20"/>
              </w:rPr>
            </w:pPr>
            <w:r w:rsidRPr="0062053A">
              <w:rPr>
                <w:sz w:val="20"/>
              </w:rPr>
              <w:t>Mejora indicadores macroeconómicos como probreza o desigualdad</w:t>
            </w:r>
          </w:p>
        </w:tc>
        <w:tc>
          <w:tcPr>
            <w:tcW w:w="2160" w:type="dxa"/>
          </w:tcPr>
          <w:p w:rsidR="00D92364" w:rsidRPr="0062053A" w:rsidRDefault="0062053A" w:rsidP="00926769">
            <w:pPr>
              <w:spacing w:before="120"/>
              <w:jc w:val="both"/>
              <w:rPr>
                <w:sz w:val="20"/>
              </w:rPr>
            </w:pPr>
            <w:r w:rsidRPr="0062053A">
              <w:rPr>
                <w:sz w:val="20"/>
              </w:rPr>
              <w:t>Mejora indicadores macroeconómicos como probreza o desigualdad</w:t>
            </w:r>
          </w:p>
        </w:tc>
      </w:tr>
    </w:tbl>
    <w:p w:rsidR="00D92364" w:rsidRPr="007F76D5" w:rsidRDefault="00D92364" w:rsidP="00D92364">
      <w:pPr>
        <w:spacing w:before="120" w:after="0"/>
        <w:jc w:val="both"/>
        <w:rPr>
          <w:sz w:val="20"/>
        </w:rPr>
      </w:pPr>
      <w:r w:rsidRPr="007F76D5">
        <w:rPr>
          <w:sz w:val="20"/>
        </w:rPr>
        <w:t xml:space="preserve">Fuente: Elaboración propia a partir de las dimensiones de </w:t>
      </w:r>
      <w:r w:rsidRPr="007F76D5">
        <w:rPr>
          <w:rFonts w:ascii="Cambria" w:hAnsi="Cambria"/>
          <w:sz w:val="20"/>
        </w:rPr>
        <w:t>Adelantado y Gomà (2000:69)</w:t>
      </w:r>
    </w:p>
    <w:p w:rsidR="00292E28" w:rsidRDefault="00292E28" w:rsidP="00926769">
      <w:pPr>
        <w:spacing w:before="120" w:after="0"/>
        <w:jc w:val="both"/>
        <w:rPr>
          <w:b/>
          <w:u w:val="single"/>
        </w:rPr>
      </w:pPr>
    </w:p>
    <w:p w:rsidR="00A97FB7" w:rsidRPr="00A97FB7" w:rsidRDefault="00A97FB7" w:rsidP="00926769">
      <w:pPr>
        <w:spacing w:before="120" w:after="0"/>
        <w:jc w:val="both"/>
        <w:rPr>
          <w:b/>
          <w:u w:val="single"/>
        </w:rPr>
      </w:pPr>
      <w:r w:rsidRPr="00A97FB7">
        <w:rPr>
          <w:b/>
          <w:u w:val="single"/>
        </w:rPr>
        <w:t>5. Conclusiones preliminares</w:t>
      </w:r>
      <w:bookmarkStart w:id="0" w:name="_GoBack"/>
      <w:bookmarkEnd w:id="0"/>
    </w:p>
    <w:p w:rsidR="00E403C6" w:rsidRDefault="00E403C6" w:rsidP="00E403C6">
      <w:pPr>
        <w:spacing w:before="120" w:after="0"/>
        <w:jc w:val="both"/>
      </w:pPr>
      <w:r>
        <w:t>La amplicación de agenda que llevan a cabo las constituciones</w:t>
      </w:r>
      <w:r w:rsidR="007C4464">
        <w:t>, así como la recuperación del Estado por parte</w:t>
      </w:r>
      <w:r>
        <w:t xml:space="preserve"> de los tres países</w:t>
      </w:r>
      <w:r w:rsidR="004934DE">
        <w:t xml:space="preserve"> estudiados</w:t>
      </w:r>
      <w:r w:rsidR="007C4464">
        <w:t>,</w:t>
      </w:r>
      <w:r w:rsidR="004934DE">
        <w:t xml:space="preserve"> </w:t>
      </w:r>
      <w:r w:rsidRPr="00E403C6">
        <w:t xml:space="preserve">permiten pensar en la </w:t>
      </w:r>
      <w:r>
        <w:t xml:space="preserve">posibilidad de </w:t>
      </w:r>
      <w:r w:rsidRPr="00E403C6">
        <w:t xml:space="preserve">consolidación de una transformación en la agenda social innovadora.  </w:t>
      </w:r>
      <w:r w:rsidR="004934DE">
        <w:t xml:space="preserve">Por el momento, lor régimenes de bienestar se encuentran en construcción y disputa. </w:t>
      </w:r>
      <w:r w:rsidR="007C4464">
        <w:t>Y aún con bastantes elementos conceptuales y operativos que provienen del pasado.</w:t>
      </w:r>
    </w:p>
    <w:p w:rsidR="00E403C6" w:rsidRPr="00E403C6" w:rsidRDefault="004934DE" w:rsidP="00E403C6">
      <w:pPr>
        <w:spacing w:before="120" w:after="0"/>
        <w:jc w:val="both"/>
      </w:pPr>
      <w:r>
        <w:t xml:space="preserve">El bienestar de estos tres países andinos </w:t>
      </w:r>
      <w:r w:rsidR="00E403C6" w:rsidRPr="00E403C6">
        <w:t>podría ser conceptualizado, si hay un desarrollo material de los derechos constitucionalizados en el próximo periodo, como un modelo en el que se  complementarían los pilares clásicos del régimen del Estado del bienestar keynesiano-fordista europeo surgido con posterioridad a la II Guerra Mundial – centrado de manera importante en la garantía de derechos salud, educción, protección social, trabajo y vivienda-, con elementos innovadores que no contemplaban los modelos anteriores, o no con l</w:t>
      </w:r>
      <w:r>
        <w:t>a fuerza que aportan las agendas alargadas de</w:t>
      </w:r>
      <w:r w:rsidR="00E403C6" w:rsidRPr="00E403C6">
        <w:t xml:space="preserve"> derechos </w:t>
      </w:r>
      <w:r>
        <w:t>de estos países que han recuperado Estado</w:t>
      </w:r>
      <w:r w:rsidR="00E403C6" w:rsidRPr="00E403C6">
        <w:t xml:space="preserve">- el respeto a la plurinacionalidad e interculturalidad, la importancia de la generación de capacidades y oportunidades poniendo en el centro la idea de la autonomía, la participación ciudadana y transparencia, los derechos a la naturaleza, cuestiones de género, la inclusión social, el valor de la diversidad, la crítica al consumismo y a la centralidad del trabajo productivo, el valor del tiempo y del ocio creativo, etc. </w:t>
      </w:r>
    </w:p>
    <w:p w:rsidR="00A97FB7" w:rsidRPr="00E403C6" w:rsidRDefault="00E403C6" w:rsidP="00E403C6">
      <w:pPr>
        <w:spacing w:before="120" w:after="0"/>
        <w:jc w:val="both"/>
      </w:pPr>
      <w:r w:rsidRPr="00E403C6">
        <w:t xml:space="preserve">En este sentido, esta nueva manera de pensar el bienestar y los cuidados es un reto en elaboración que tiene </w:t>
      </w:r>
      <w:r w:rsidR="004934DE">
        <w:t>estos tres países</w:t>
      </w:r>
      <w:r w:rsidRPr="00E403C6">
        <w:t>. Así pues, a la forma tradicional de entender el bienestar se le sumaría o hibridaría la inclusión de perspectivas emancipadoras acordes a los cambios políticos, sociales y culturales que se han experimentados en medio siglo transcurrido desde la irrupción de los modelos clásicos de los “30 gloriosos” keynesianos. Y quizá este desafío solo podrá ser impulsado, en nuestros días, y debido a la crisis política y económica europea, por países latinoamericanos en transformación.</w:t>
      </w:r>
    </w:p>
    <w:p w:rsidR="00E403C6" w:rsidRDefault="00E403C6" w:rsidP="00926769">
      <w:pPr>
        <w:spacing w:before="120" w:after="0"/>
        <w:jc w:val="both"/>
        <w:rPr>
          <w:b/>
          <w:u w:val="single"/>
        </w:rPr>
      </w:pPr>
    </w:p>
    <w:p w:rsidR="00A97FB7" w:rsidRPr="0039066B" w:rsidRDefault="00A97FB7" w:rsidP="00926769">
      <w:pPr>
        <w:spacing w:before="120" w:after="0"/>
        <w:jc w:val="both"/>
        <w:rPr>
          <w:b/>
          <w:u w:val="single"/>
        </w:rPr>
      </w:pPr>
      <w:r w:rsidRPr="0039066B">
        <w:rPr>
          <w:b/>
          <w:u w:val="single"/>
        </w:rPr>
        <w:t>6. Bibliografía</w:t>
      </w:r>
    </w:p>
    <w:p w:rsidR="00A97FB7" w:rsidRPr="004934DE" w:rsidRDefault="00A97FB7" w:rsidP="00A97FB7">
      <w:pPr>
        <w:spacing w:before="120" w:after="0"/>
        <w:jc w:val="both"/>
      </w:pPr>
      <w:r w:rsidRPr="004934DE">
        <w:t xml:space="preserve">Adelantado, J.; Noguera, J.A. y Rambla, X., (2000), “El marco de análisis: las relaciones complejas entre estructuras sociales y políticas sociales”, en Adelantado, J. (coord.), </w:t>
      </w:r>
      <w:r w:rsidRPr="004934DE">
        <w:rPr>
          <w:i/>
        </w:rPr>
        <w:t>Cambios en el Estado de Bienestar</w:t>
      </w:r>
      <w:r w:rsidRPr="004934DE">
        <w:t>, Barcelona: Icaria.</w:t>
      </w:r>
    </w:p>
    <w:p w:rsidR="00A97FB7" w:rsidRPr="004934DE" w:rsidRDefault="00A97FB7" w:rsidP="00A97FB7">
      <w:pPr>
        <w:spacing w:before="120" w:after="0"/>
        <w:jc w:val="both"/>
      </w:pPr>
      <w:r w:rsidRPr="004934DE">
        <w:t xml:space="preserve">Adelantado, J. y Gomà, R., (2000) “El contexto: la reestructuración de los regímenes de bienestar europeos”, en Adelantado, José (coord.), </w:t>
      </w:r>
      <w:r w:rsidRPr="004934DE">
        <w:rPr>
          <w:i/>
        </w:rPr>
        <w:t>Cambios en el Estado de Bienestar</w:t>
      </w:r>
      <w:r w:rsidRPr="004934DE">
        <w:t>, Barcelona: Icaria.</w:t>
      </w:r>
    </w:p>
    <w:p w:rsidR="0084519E" w:rsidRPr="004934DE" w:rsidRDefault="00A97FB7" w:rsidP="00A97FB7">
      <w:pPr>
        <w:spacing w:before="120" w:after="0"/>
        <w:jc w:val="both"/>
        <w:rPr>
          <w:lang w:val="en-US"/>
        </w:rPr>
      </w:pPr>
      <w:r w:rsidRPr="004934DE">
        <w:t xml:space="preserve">Botella, J. (1992), “La cultura política en la España democrática”, Cotarelo, R. </w:t>
      </w:r>
      <w:r w:rsidRPr="004934DE">
        <w:rPr>
          <w:i/>
        </w:rPr>
        <w:t xml:space="preserve">Transición política y consolidación democrática. </w:t>
      </w:r>
      <w:proofErr w:type="spellStart"/>
      <w:r w:rsidRPr="004934DE">
        <w:rPr>
          <w:i/>
          <w:lang w:val="en-US"/>
        </w:rPr>
        <w:t>España</w:t>
      </w:r>
      <w:proofErr w:type="spellEnd"/>
      <w:r w:rsidRPr="004934DE">
        <w:rPr>
          <w:i/>
          <w:lang w:val="en-US"/>
        </w:rPr>
        <w:t xml:space="preserve"> (1975-1986)</w:t>
      </w:r>
      <w:r w:rsidRPr="004934DE">
        <w:rPr>
          <w:lang w:val="en-US"/>
        </w:rPr>
        <w:t>, Madrid: CIS, pp. 121-136.</w:t>
      </w:r>
    </w:p>
    <w:p w:rsidR="00A97FB7" w:rsidRPr="004934DE" w:rsidRDefault="0084519E" w:rsidP="00A97FB7">
      <w:pPr>
        <w:spacing w:before="120" w:after="0"/>
        <w:jc w:val="both"/>
        <w:rPr>
          <w:lang w:val="en-US"/>
        </w:rPr>
      </w:pPr>
      <w:proofErr w:type="spellStart"/>
      <w:r w:rsidRPr="004934DE">
        <w:rPr>
          <w:lang w:val="en-US"/>
        </w:rPr>
        <w:t>Burchard</w:t>
      </w:r>
      <w:proofErr w:type="spellEnd"/>
      <w:r w:rsidRPr="004934DE">
        <w:rPr>
          <w:lang w:val="en-US"/>
        </w:rPr>
        <w:t xml:space="preserve">, H. J. (2009), “Un </w:t>
      </w:r>
      <w:proofErr w:type="spellStart"/>
      <w:r w:rsidRPr="004934DE">
        <w:rPr>
          <w:lang w:val="en-US"/>
        </w:rPr>
        <w:t>misionero</w:t>
      </w:r>
      <w:proofErr w:type="spellEnd"/>
      <w:r w:rsidRPr="004934DE">
        <w:rPr>
          <w:lang w:val="en-US"/>
        </w:rPr>
        <w:t xml:space="preserve"> y </w:t>
      </w:r>
      <w:proofErr w:type="spellStart"/>
      <w:r w:rsidRPr="004934DE">
        <w:rPr>
          <w:lang w:val="en-US"/>
        </w:rPr>
        <w:t>sus</w:t>
      </w:r>
      <w:proofErr w:type="spellEnd"/>
      <w:r w:rsidRPr="004934DE">
        <w:rPr>
          <w:lang w:val="en-US"/>
        </w:rPr>
        <w:t xml:space="preserve"> </w:t>
      </w:r>
      <w:proofErr w:type="spellStart"/>
      <w:r w:rsidRPr="004934DE">
        <w:rPr>
          <w:lang w:val="en-US"/>
        </w:rPr>
        <w:t>misiones</w:t>
      </w:r>
      <w:proofErr w:type="spellEnd"/>
      <w:r w:rsidRPr="004934DE">
        <w:rPr>
          <w:lang w:val="en-US"/>
        </w:rPr>
        <w:t xml:space="preserve">. </w:t>
      </w:r>
      <w:proofErr w:type="spellStart"/>
      <w:r w:rsidRPr="004934DE">
        <w:rPr>
          <w:lang w:val="en-US"/>
        </w:rPr>
        <w:t>Progresos</w:t>
      </w:r>
      <w:proofErr w:type="spellEnd"/>
      <w:r w:rsidRPr="004934DE">
        <w:rPr>
          <w:lang w:val="en-US"/>
        </w:rPr>
        <w:t xml:space="preserve"> y </w:t>
      </w:r>
      <w:proofErr w:type="spellStart"/>
      <w:r w:rsidRPr="004934DE">
        <w:rPr>
          <w:lang w:val="en-US"/>
        </w:rPr>
        <w:t>trabas</w:t>
      </w:r>
      <w:proofErr w:type="spellEnd"/>
      <w:r w:rsidRPr="004934DE">
        <w:rPr>
          <w:lang w:val="en-US"/>
        </w:rPr>
        <w:t xml:space="preserve"> de la </w:t>
      </w:r>
      <w:proofErr w:type="spellStart"/>
      <w:r w:rsidRPr="004934DE">
        <w:rPr>
          <w:lang w:val="en-US"/>
        </w:rPr>
        <w:t>nueva</w:t>
      </w:r>
      <w:proofErr w:type="spellEnd"/>
      <w:r w:rsidRPr="004934DE">
        <w:rPr>
          <w:lang w:val="en-US"/>
        </w:rPr>
        <w:t xml:space="preserve"> </w:t>
      </w:r>
      <w:proofErr w:type="spellStart"/>
      <w:r w:rsidRPr="004934DE">
        <w:rPr>
          <w:lang w:val="en-US"/>
        </w:rPr>
        <w:t>política</w:t>
      </w:r>
      <w:proofErr w:type="spellEnd"/>
      <w:r w:rsidRPr="004934DE">
        <w:rPr>
          <w:lang w:val="en-US"/>
        </w:rPr>
        <w:t xml:space="preserve"> social en Venezuela”, </w:t>
      </w:r>
      <w:proofErr w:type="spellStart"/>
      <w:r w:rsidRPr="004934DE">
        <w:rPr>
          <w:i/>
          <w:lang w:val="en-US"/>
        </w:rPr>
        <w:t>Revista</w:t>
      </w:r>
      <w:proofErr w:type="spellEnd"/>
      <w:r w:rsidRPr="004934DE">
        <w:rPr>
          <w:i/>
          <w:lang w:val="en-US"/>
        </w:rPr>
        <w:t xml:space="preserve"> </w:t>
      </w:r>
      <w:proofErr w:type="spellStart"/>
      <w:r w:rsidRPr="004934DE">
        <w:rPr>
          <w:i/>
          <w:lang w:val="en-US"/>
        </w:rPr>
        <w:t>Politeia</w:t>
      </w:r>
      <w:proofErr w:type="spellEnd"/>
      <w:r w:rsidRPr="004934DE">
        <w:rPr>
          <w:lang w:val="en-US"/>
        </w:rPr>
        <w:t xml:space="preserve">, </w:t>
      </w:r>
      <w:proofErr w:type="spellStart"/>
      <w:r w:rsidR="007F4091" w:rsidRPr="004934DE">
        <w:rPr>
          <w:lang w:val="en-US"/>
        </w:rPr>
        <w:t>núm</w:t>
      </w:r>
      <w:proofErr w:type="spellEnd"/>
      <w:r w:rsidR="007F4091" w:rsidRPr="004934DE">
        <w:rPr>
          <w:lang w:val="en-US"/>
        </w:rPr>
        <w:t>. 42.</w:t>
      </w:r>
    </w:p>
    <w:p w:rsidR="00A97FB7" w:rsidRPr="004934DE" w:rsidRDefault="00A97FB7" w:rsidP="00A97FB7">
      <w:pPr>
        <w:spacing w:before="120" w:after="0"/>
        <w:jc w:val="both"/>
        <w:rPr>
          <w:lang w:val="en-US"/>
        </w:rPr>
      </w:pPr>
      <w:proofErr w:type="gramStart"/>
      <w:r w:rsidRPr="004934DE">
        <w:rPr>
          <w:lang w:val="en-US"/>
        </w:rPr>
        <w:t xml:space="preserve">Castles, F. (1995), “Welfare State Development in Southern Europe”, en </w:t>
      </w:r>
      <w:r w:rsidRPr="004934DE">
        <w:rPr>
          <w:i/>
          <w:lang w:val="en-US"/>
        </w:rPr>
        <w:t>West European Politics</w:t>
      </w:r>
      <w:r w:rsidRPr="004934DE">
        <w:rPr>
          <w:lang w:val="en-US"/>
        </w:rPr>
        <w:t xml:space="preserve">, vol. 18, </w:t>
      </w:r>
      <w:proofErr w:type="spellStart"/>
      <w:r w:rsidRPr="004934DE">
        <w:rPr>
          <w:lang w:val="en-US"/>
        </w:rPr>
        <w:t>núm</w:t>
      </w:r>
      <w:proofErr w:type="spellEnd"/>
      <w:r w:rsidRPr="004934DE">
        <w:rPr>
          <w:lang w:val="en-US"/>
        </w:rPr>
        <w:t>.</w:t>
      </w:r>
      <w:proofErr w:type="gramEnd"/>
      <w:r w:rsidRPr="004934DE">
        <w:rPr>
          <w:lang w:val="en-US"/>
        </w:rPr>
        <w:t xml:space="preserve"> 2.</w:t>
      </w:r>
    </w:p>
    <w:p w:rsidR="0084519E" w:rsidRPr="004934DE" w:rsidRDefault="0084519E" w:rsidP="00A97FB7">
      <w:pPr>
        <w:spacing w:before="120" w:after="0"/>
        <w:jc w:val="both"/>
      </w:pPr>
      <w:r w:rsidRPr="004934DE">
        <w:t xml:space="preserve">D’Elia, Y. Y Quiroz, C. (2010), </w:t>
      </w:r>
      <w:r w:rsidRPr="004934DE">
        <w:rPr>
          <w:i/>
        </w:rPr>
        <w:t>Las Misiones Sociales: ¿Una Alternativa para Supera la Pobreza?</w:t>
      </w:r>
      <w:r w:rsidRPr="004934DE">
        <w:t>, Caracas: ILDIS.</w:t>
      </w:r>
    </w:p>
    <w:p w:rsidR="00A97FB7" w:rsidRPr="004934DE" w:rsidRDefault="00A97FB7" w:rsidP="00A97FB7">
      <w:pPr>
        <w:spacing w:before="120" w:after="0"/>
        <w:jc w:val="both"/>
      </w:pPr>
      <w:r w:rsidRPr="004934DE">
        <w:t xml:space="preserve">Esping Andersen, G. (1993), </w:t>
      </w:r>
      <w:r w:rsidRPr="004934DE">
        <w:rPr>
          <w:i/>
        </w:rPr>
        <w:t>Los tres mundos del Estado del Bienestar</w:t>
      </w:r>
      <w:r w:rsidRPr="004934DE">
        <w:t>, València: Alfons el Magnànim.</w:t>
      </w:r>
    </w:p>
    <w:p w:rsidR="00A97FB7" w:rsidRPr="004934DE" w:rsidRDefault="00A97FB7" w:rsidP="00A97FB7">
      <w:pPr>
        <w:spacing w:before="120" w:after="0"/>
        <w:jc w:val="both"/>
      </w:pPr>
      <w:r w:rsidRPr="004934DE">
        <w:t xml:space="preserve">Esping Andersen, G. (2000), </w:t>
      </w:r>
      <w:r w:rsidRPr="004934DE">
        <w:rPr>
          <w:i/>
        </w:rPr>
        <w:t>Fundamentos sociales de las economías postindustriales</w:t>
      </w:r>
      <w:r w:rsidRPr="004934DE">
        <w:t>, Barcelona: Ariel.</w:t>
      </w:r>
    </w:p>
    <w:p w:rsidR="00A97FB7" w:rsidRPr="004934DE" w:rsidRDefault="00A97FB7" w:rsidP="00A97FB7">
      <w:pPr>
        <w:spacing w:before="120" w:after="0"/>
        <w:jc w:val="both"/>
        <w:rPr>
          <w:lang w:val="en-US"/>
        </w:rPr>
      </w:pPr>
      <w:proofErr w:type="spellStart"/>
      <w:r w:rsidRPr="004934DE">
        <w:rPr>
          <w:lang w:val="en-US"/>
        </w:rPr>
        <w:t>Esping</w:t>
      </w:r>
      <w:proofErr w:type="spellEnd"/>
      <w:r w:rsidRPr="004934DE">
        <w:rPr>
          <w:lang w:val="en-US"/>
        </w:rPr>
        <w:t xml:space="preserve"> Andersen, G. (2002), “¿Towards the Good Society, Once </w:t>
      </w:r>
      <w:proofErr w:type="gramStart"/>
      <w:r w:rsidRPr="004934DE">
        <w:rPr>
          <w:lang w:val="en-US"/>
        </w:rPr>
        <w:t>Again?,</w:t>
      </w:r>
      <w:proofErr w:type="gramEnd"/>
      <w:r w:rsidRPr="004934DE">
        <w:rPr>
          <w:lang w:val="en-US"/>
        </w:rPr>
        <w:t xml:space="preserve"> en </w:t>
      </w:r>
      <w:r w:rsidRPr="004934DE">
        <w:rPr>
          <w:i/>
          <w:lang w:val="en-US"/>
        </w:rPr>
        <w:t>Why We Need a New Welfare State</w:t>
      </w:r>
      <w:r w:rsidRPr="004934DE">
        <w:rPr>
          <w:lang w:val="en-US"/>
        </w:rPr>
        <w:t xml:space="preserve">, Oxford: Oxford </w:t>
      </w:r>
      <w:proofErr w:type="spellStart"/>
      <w:r w:rsidRPr="004934DE">
        <w:rPr>
          <w:lang w:val="en-US"/>
        </w:rPr>
        <w:t>Univesity</w:t>
      </w:r>
      <w:proofErr w:type="spellEnd"/>
      <w:r w:rsidRPr="004934DE">
        <w:rPr>
          <w:lang w:val="en-US"/>
        </w:rPr>
        <w:t xml:space="preserve"> Press, pp. 1-25. </w:t>
      </w:r>
    </w:p>
    <w:p w:rsidR="00A97FB7" w:rsidRPr="004934DE" w:rsidRDefault="00A97FB7" w:rsidP="00A97FB7">
      <w:pPr>
        <w:spacing w:before="120" w:after="0"/>
        <w:jc w:val="both"/>
      </w:pPr>
      <w:r w:rsidRPr="004934DE">
        <w:t xml:space="preserve">Esping Andersen (2010), </w:t>
      </w:r>
      <w:r w:rsidRPr="004934DE">
        <w:rPr>
          <w:i/>
        </w:rPr>
        <w:t>Los tres grandes retos del Estado del Bienestar</w:t>
      </w:r>
      <w:r w:rsidRPr="004934DE">
        <w:t>, Barcelona: Ariel.</w:t>
      </w:r>
    </w:p>
    <w:p w:rsidR="00A97FB7" w:rsidRPr="004934DE" w:rsidRDefault="00A97FB7" w:rsidP="00A97FB7">
      <w:pPr>
        <w:spacing w:before="120" w:after="0"/>
        <w:jc w:val="both"/>
      </w:pPr>
      <w:r w:rsidRPr="004934DE">
        <w:t xml:space="preserve">Falconí, F. y Muñoz, P. (2012), “Ecuador: de la receta del “Consenso de Whashington” al posneoliberalismo”, </w:t>
      </w:r>
      <w:r w:rsidRPr="004934DE">
        <w:rPr>
          <w:rFonts w:cs="Tahoma"/>
          <w:color w:val="0C0C0C"/>
          <w:szCs w:val="26"/>
        </w:rPr>
        <w:t xml:space="preserve">Mantilla, S y  Mejía, S., </w:t>
      </w:r>
      <w:r w:rsidRPr="004934DE">
        <w:rPr>
          <w:rFonts w:cs="Tahoma"/>
          <w:i/>
          <w:color w:val="0C0C0C"/>
          <w:szCs w:val="26"/>
        </w:rPr>
        <w:t xml:space="preserve">Rafael </w:t>
      </w:r>
      <w:r w:rsidRPr="004934DE">
        <w:rPr>
          <w:i/>
        </w:rPr>
        <w:t>Correa. Balance de la Revolución Ciudadana</w:t>
      </w:r>
      <w:r w:rsidRPr="004934DE">
        <w:t>, Quito: Planeta, pp. 75-76.</w:t>
      </w:r>
    </w:p>
    <w:p w:rsidR="00A97FB7" w:rsidRPr="004934DE" w:rsidRDefault="00A97FB7" w:rsidP="00A97FB7">
      <w:pPr>
        <w:spacing w:before="120" w:after="0"/>
        <w:jc w:val="both"/>
      </w:pPr>
      <w:r w:rsidRPr="004934DE">
        <w:t xml:space="preserve">Filgueira, F. (1998), “El nuevo modelo de prestaciones sociales en América Latina: eficiencia, residualismo y ciudadanía estratificada” en Roberts, B. (ed.), </w:t>
      </w:r>
      <w:r w:rsidRPr="004934DE">
        <w:rPr>
          <w:i/>
        </w:rPr>
        <w:t>Ciudadanía y Política Social</w:t>
      </w:r>
      <w:r w:rsidRPr="004934DE">
        <w:t>, San José: FLACSO/SSRC, pp. 71-116.</w:t>
      </w:r>
    </w:p>
    <w:p w:rsidR="00A97FB7" w:rsidRPr="004934DE" w:rsidRDefault="00A97FB7" w:rsidP="00A97FB7">
      <w:pPr>
        <w:spacing w:before="120" w:after="0"/>
        <w:jc w:val="both"/>
      </w:pPr>
      <w:r w:rsidRPr="004934DE">
        <w:t xml:space="preserve">Gallego, R., Gomà, R. y Subirats, J. (2003a), “Las dinámicas de cambio en las políticas sociales: España en perspectiva comparada”, en Gallego, R., Gomà, R. y Subirats, J. (coord.), </w:t>
      </w:r>
      <w:r w:rsidRPr="004934DE">
        <w:rPr>
          <w:i/>
        </w:rPr>
        <w:t>Estado de bienestar y comunidades autónomas: la descentralización de las políticas sociales en España</w:t>
      </w:r>
      <w:r w:rsidRPr="004934DE">
        <w:t xml:space="preserve">, Madrid: Tecnos. </w:t>
      </w:r>
    </w:p>
    <w:p w:rsidR="00A97FB7" w:rsidRPr="004934DE" w:rsidRDefault="00A97FB7" w:rsidP="00A97FB7">
      <w:pPr>
        <w:spacing w:before="120" w:after="0"/>
        <w:jc w:val="both"/>
      </w:pPr>
      <w:r w:rsidRPr="004934DE">
        <w:t xml:space="preserve">Gallego, R., Gomà, R. y Subirats, J. (2003b), “Las políticas sociales de la Unión Europea”, en Gallego, R., Gomà, R. y Subirats, J. (coord.), </w:t>
      </w:r>
      <w:r w:rsidRPr="004934DE">
        <w:rPr>
          <w:i/>
        </w:rPr>
        <w:t>Estado de bienestar y comunidades autónomas: la descentralización de las políticas sociales en España</w:t>
      </w:r>
      <w:r w:rsidRPr="004934DE">
        <w:t xml:space="preserve">, Madrid: Tecnos. </w:t>
      </w:r>
    </w:p>
    <w:p w:rsidR="00A97FB7" w:rsidRPr="004934DE" w:rsidRDefault="00A97FB7" w:rsidP="00A97FB7">
      <w:pPr>
        <w:spacing w:before="120" w:after="0"/>
        <w:jc w:val="both"/>
      </w:pPr>
      <w:r w:rsidRPr="004934DE">
        <w:t xml:space="preserve">Hobsbawn, E.J. (1995), </w:t>
      </w:r>
      <w:r w:rsidRPr="004934DE">
        <w:rPr>
          <w:i/>
        </w:rPr>
        <w:t>Historia del s. XX: 1914-1991</w:t>
      </w:r>
      <w:r w:rsidRPr="004934DE">
        <w:t>, Barcelona: Crítica.</w:t>
      </w:r>
    </w:p>
    <w:p w:rsidR="00A97FB7" w:rsidRPr="004934DE" w:rsidRDefault="00A97FB7" w:rsidP="00A97FB7">
      <w:pPr>
        <w:spacing w:before="120" w:after="0"/>
        <w:jc w:val="both"/>
        <w:rPr>
          <w:lang w:val="en-US"/>
        </w:rPr>
      </w:pPr>
      <w:proofErr w:type="spellStart"/>
      <w:r w:rsidRPr="004934DE">
        <w:rPr>
          <w:lang w:val="en-US"/>
        </w:rPr>
        <w:t>Korpi</w:t>
      </w:r>
      <w:proofErr w:type="spellEnd"/>
      <w:r w:rsidRPr="004934DE">
        <w:rPr>
          <w:lang w:val="en-US"/>
        </w:rPr>
        <w:t xml:space="preserve">, W. (1983), </w:t>
      </w:r>
      <w:r w:rsidRPr="004934DE">
        <w:rPr>
          <w:i/>
          <w:lang w:val="en-US"/>
        </w:rPr>
        <w:t>The democratic class struggle</w:t>
      </w:r>
      <w:r w:rsidRPr="004934DE">
        <w:rPr>
          <w:lang w:val="en-US"/>
        </w:rPr>
        <w:t xml:space="preserve">, </w:t>
      </w:r>
      <w:proofErr w:type="spellStart"/>
      <w:r w:rsidRPr="004934DE">
        <w:rPr>
          <w:lang w:val="en-US"/>
        </w:rPr>
        <w:t>Londres</w:t>
      </w:r>
      <w:proofErr w:type="spellEnd"/>
      <w:r w:rsidRPr="004934DE">
        <w:rPr>
          <w:lang w:val="en-US"/>
        </w:rPr>
        <w:t xml:space="preserve">: </w:t>
      </w:r>
      <w:proofErr w:type="spellStart"/>
      <w:r w:rsidRPr="004934DE">
        <w:rPr>
          <w:lang w:val="en-US"/>
        </w:rPr>
        <w:t>Roudledge</w:t>
      </w:r>
      <w:proofErr w:type="spellEnd"/>
      <w:r w:rsidRPr="004934DE">
        <w:rPr>
          <w:lang w:val="en-US"/>
        </w:rPr>
        <w:t>.</w:t>
      </w:r>
    </w:p>
    <w:p w:rsidR="0084519E" w:rsidRPr="004934DE" w:rsidRDefault="0084519E" w:rsidP="00A97FB7">
      <w:pPr>
        <w:spacing w:before="120" w:after="0"/>
        <w:jc w:val="both"/>
      </w:pPr>
      <w:r w:rsidRPr="004934DE">
        <w:t xml:space="preserve">Maingón, T. (2004), “Política social en Venezuela: 1999-2003”, en </w:t>
      </w:r>
      <w:r w:rsidRPr="004934DE">
        <w:rPr>
          <w:i/>
        </w:rPr>
        <w:t>Cuadernos del CENDES</w:t>
      </w:r>
      <w:r w:rsidRPr="004934DE">
        <w:t>, núm. 55.</w:t>
      </w:r>
    </w:p>
    <w:p w:rsidR="0084519E" w:rsidRPr="004934DE" w:rsidRDefault="0084519E" w:rsidP="00A97FB7">
      <w:pPr>
        <w:spacing w:before="120" w:after="0"/>
        <w:jc w:val="both"/>
      </w:pPr>
      <w:r w:rsidRPr="004934DE">
        <w:t xml:space="preserve">Maingón, T. (2006), “El estado de bienestar en Venezuela: el caso de las misiones sociales”, en </w:t>
      </w:r>
      <w:r w:rsidRPr="004934DE">
        <w:rPr>
          <w:i/>
        </w:rPr>
        <w:t>Ágora-Revista de Ciencias Sociales</w:t>
      </w:r>
      <w:r w:rsidRPr="004934DE">
        <w:t>, núm. 14.</w:t>
      </w:r>
    </w:p>
    <w:p w:rsidR="00A97FB7" w:rsidRPr="004934DE" w:rsidRDefault="00A97FB7" w:rsidP="00A97FB7">
      <w:pPr>
        <w:spacing w:before="120" w:after="0"/>
        <w:jc w:val="both"/>
      </w:pPr>
      <w:r w:rsidRPr="004934DE">
        <w:t xml:space="preserve">Martínez, J. (2005), “Regímenes de bienestar en América Latina: consideraciones generales e itinerarios regionales”, </w:t>
      </w:r>
      <w:r w:rsidRPr="004934DE">
        <w:rPr>
          <w:i/>
        </w:rPr>
        <w:t>Revista Centroamericana de Ciencias Sociales de FLACSO</w:t>
      </w:r>
      <w:r w:rsidRPr="004934DE">
        <w:t>, vol. 4 núm. 2.</w:t>
      </w:r>
    </w:p>
    <w:p w:rsidR="006A5936" w:rsidRPr="004934DE" w:rsidRDefault="00A97FB7" w:rsidP="00A97FB7">
      <w:pPr>
        <w:spacing w:before="120" w:after="0"/>
        <w:jc w:val="both"/>
      </w:pPr>
      <w:r w:rsidRPr="004934DE">
        <w:t>Martínez, J. (2007),</w:t>
      </w:r>
      <w:r w:rsidRPr="004934DE">
        <w:rPr>
          <w:i/>
        </w:rPr>
        <w:t>Regimenes de benestar en América Latina</w:t>
      </w:r>
      <w:r w:rsidRPr="004934DE">
        <w:t>, Madrid: Fundación Carolina.</w:t>
      </w:r>
    </w:p>
    <w:p w:rsidR="00A97FB7" w:rsidRPr="004934DE" w:rsidRDefault="006A5936" w:rsidP="00A97FB7">
      <w:pPr>
        <w:spacing w:before="120" w:after="0"/>
        <w:jc w:val="both"/>
      </w:pPr>
      <w:r w:rsidRPr="004934DE">
        <w:t xml:space="preserve">Martínez Dalmau, R. (2008), “Supremacia de la Constitución, control de la constitucionalidad y reforma constitucional” en Ávila, R; Grijalva, A. y Martínez, R. </w:t>
      </w:r>
      <w:r w:rsidRPr="004934DE">
        <w:rPr>
          <w:i/>
        </w:rPr>
        <w:t>Desafíos constitucionales. La Constitución ecuatoriana de 2008 en perspectiva</w:t>
      </w:r>
      <w:r w:rsidRPr="004934DE">
        <w:t>, Quito: Ministerio de Justiticia y Derechos Humanos - Tribunal Constitucional.</w:t>
      </w:r>
    </w:p>
    <w:p w:rsidR="00A97FB7" w:rsidRPr="004934DE" w:rsidRDefault="00A97FB7" w:rsidP="00A97FB7">
      <w:pPr>
        <w:spacing w:before="120" w:after="0"/>
        <w:jc w:val="both"/>
        <w:rPr>
          <w:lang w:val="en-US"/>
        </w:rPr>
      </w:pPr>
      <w:r w:rsidRPr="004934DE">
        <w:rPr>
          <w:lang w:val="en-US"/>
        </w:rPr>
        <w:t>Mesa-</w:t>
      </w:r>
      <w:proofErr w:type="spellStart"/>
      <w:r w:rsidRPr="004934DE">
        <w:rPr>
          <w:lang w:val="en-US"/>
        </w:rPr>
        <w:t>Lago</w:t>
      </w:r>
      <w:proofErr w:type="spellEnd"/>
      <w:r w:rsidRPr="004934DE">
        <w:rPr>
          <w:lang w:val="en-US"/>
        </w:rPr>
        <w:t xml:space="preserve">, C. (1991), “Social </w:t>
      </w:r>
      <w:proofErr w:type="spellStart"/>
      <w:r w:rsidRPr="004934DE">
        <w:rPr>
          <w:lang w:val="en-US"/>
        </w:rPr>
        <w:t>Secirity</w:t>
      </w:r>
      <w:proofErr w:type="spellEnd"/>
      <w:r w:rsidRPr="004934DE">
        <w:rPr>
          <w:lang w:val="en-US"/>
        </w:rPr>
        <w:t xml:space="preserve"> in Latin </w:t>
      </w:r>
      <w:proofErr w:type="spellStart"/>
      <w:r w:rsidRPr="004934DE">
        <w:rPr>
          <w:lang w:val="en-US"/>
        </w:rPr>
        <w:t>America”</w:t>
      </w:r>
      <w:proofErr w:type="gramStart"/>
      <w:r w:rsidRPr="004934DE">
        <w:rPr>
          <w:lang w:val="en-US"/>
        </w:rPr>
        <w:t>.Informeelaborado</w:t>
      </w:r>
      <w:proofErr w:type="spellEnd"/>
      <w:proofErr w:type="gramEnd"/>
      <w:r w:rsidRPr="004934DE">
        <w:rPr>
          <w:lang w:val="en-US"/>
        </w:rPr>
        <w:t xml:space="preserve"> par Inter-</w:t>
      </w:r>
      <w:proofErr w:type="spellStart"/>
      <w:r w:rsidRPr="004934DE">
        <w:rPr>
          <w:lang w:val="en-US"/>
        </w:rPr>
        <w:t>Amer</w:t>
      </w:r>
      <w:proofErr w:type="spellEnd"/>
      <w:r w:rsidRPr="004934DE">
        <w:rPr>
          <w:lang w:val="en-US"/>
        </w:rPr>
        <w:t xml:space="preserve"> Development Bank, Economic and Social </w:t>
      </w:r>
      <w:proofErr w:type="spellStart"/>
      <w:r w:rsidRPr="004934DE">
        <w:rPr>
          <w:lang w:val="en-US"/>
        </w:rPr>
        <w:t>Profress</w:t>
      </w:r>
      <w:proofErr w:type="spellEnd"/>
      <w:r w:rsidRPr="004934DE">
        <w:rPr>
          <w:lang w:val="en-US"/>
        </w:rPr>
        <w:t xml:space="preserve"> in Latin America.</w:t>
      </w:r>
    </w:p>
    <w:p w:rsidR="00131334" w:rsidRDefault="00131334" w:rsidP="00A97FB7">
      <w:pPr>
        <w:spacing w:before="120" w:after="0"/>
        <w:jc w:val="both"/>
      </w:pPr>
      <w:r>
        <w:t xml:space="preserve">Ministerio de Economía y Finanzas Públicas (2013a), </w:t>
      </w:r>
      <w:r>
        <w:rPr>
          <w:i/>
        </w:rPr>
        <w:t>Bolívia, Logros del nuevo modelo económico</w:t>
      </w:r>
      <w:r>
        <w:t>, La Paz: Ministerio de Economía y Finanzas Públicas.</w:t>
      </w:r>
    </w:p>
    <w:p w:rsidR="00131334" w:rsidRPr="00131334" w:rsidRDefault="00131334" w:rsidP="00A97FB7">
      <w:pPr>
        <w:spacing w:before="120" w:after="0"/>
        <w:jc w:val="both"/>
        <w:rPr>
          <w:i/>
        </w:rPr>
      </w:pPr>
      <w:r>
        <w:t xml:space="preserve">Ministerio de Economía y Finanzas Públicas (2013b), </w:t>
      </w:r>
      <w:r>
        <w:rPr>
          <w:i/>
        </w:rPr>
        <w:t xml:space="preserve">Memoria de la economía boliviana, </w:t>
      </w:r>
      <w:r>
        <w:t>La Paz: Ministerio de Economía y Finanzas Públicas.</w:t>
      </w:r>
    </w:p>
    <w:p w:rsidR="0039649E" w:rsidRDefault="007F4091" w:rsidP="00A97FB7">
      <w:pPr>
        <w:spacing w:before="120" w:after="0"/>
        <w:jc w:val="both"/>
      </w:pPr>
      <w:r w:rsidRPr="004934DE">
        <w:t>Minteguiaga, A. y Ubasart, G. (2013), “Régimen de bienestar y procesos de transformación en América Latina. El caso del Ecuador”. Ponencia presentada en el Congreso GIGAPP.</w:t>
      </w:r>
    </w:p>
    <w:p w:rsidR="007F4091" w:rsidRPr="004934DE" w:rsidRDefault="0039649E" w:rsidP="00A97FB7">
      <w:pPr>
        <w:spacing w:before="120" w:after="0"/>
        <w:jc w:val="both"/>
      </w:pPr>
      <w:r w:rsidRPr="0039649E">
        <w:t>Múñoz, P. (ed.) (2013), Construcción de un Estado democrático para el Buen Vivir: Análisis de las principales transformaciones del Estado ecuatoriano, Quito: SENPLADES.</w:t>
      </w:r>
    </w:p>
    <w:p w:rsidR="00A97FB7" w:rsidRPr="004934DE" w:rsidRDefault="00A97FB7" w:rsidP="00A97FB7">
      <w:pPr>
        <w:spacing w:before="120" w:after="0"/>
        <w:jc w:val="both"/>
      </w:pPr>
      <w:r w:rsidRPr="004934DE">
        <w:t xml:space="preserve">Noguera, J.A. (2000), “La reestructuración de la política social en España”, en Adelantado, J. (coord.), </w:t>
      </w:r>
      <w:r w:rsidRPr="004934DE">
        <w:rPr>
          <w:i/>
        </w:rPr>
        <w:t>Cambios en el Estado de Bienestar</w:t>
      </w:r>
      <w:r w:rsidRPr="004934DE">
        <w:t>, Barcelona: Icaria, pp. 475-502.</w:t>
      </w:r>
    </w:p>
    <w:p w:rsidR="00A97FB7" w:rsidRPr="004934DE" w:rsidRDefault="00A97FB7" w:rsidP="00A97FB7">
      <w:pPr>
        <w:spacing w:before="120" w:after="0"/>
        <w:jc w:val="both"/>
      </w:pPr>
      <w:r w:rsidRPr="004934DE">
        <w:t xml:space="preserve">Offe, C. (1990), </w:t>
      </w:r>
      <w:r w:rsidRPr="004934DE">
        <w:rPr>
          <w:i/>
        </w:rPr>
        <w:t xml:space="preserve">Contradicciones en el Estado del Bienestar, </w:t>
      </w:r>
      <w:r w:rsidRPr="004934DE">
        <w:t>Barcelona: Alianza.</w:t>
      </w:r>
    </w:p>
    <w:p w:rsidR="00A97FB7" w:rsidRPr="004934DE" w:rsidRDefault="00A97FB7" w:rsidP="00A97FB7">
      <w:pPr>
        <w:spacing w:before="120" w:after="0"/>
        <w:jc w:val="both"/>
        <w:rPr>
          <w:lang w:val="en-US"/>
        </w:rPr>
      </w:pPr>
      <w:proofErr w:type="spellStart"/>
      <w:r w:rsidRPr="004934DE">
        <w:rPr>
          <w:lang w:val="en-US"/>
        </w:rPr>
        <w:t>Orloff</w:t>
      </w:r>
      <w:proofErr w:type="spellEnd"/>
      <w:r w:rsidRPr="004934DE">
        <w:rPr>
          <w:lang w:val="en-US"/>
        </w:rPr>
        <w:t xml:space="preserve">, A.S. (1993), “Gender and the social rights of citizenship: The comparative </w:t>
      </w:r>
      <w:proofErr w:type="spellStart"/>
      <w:r w:rsidRPr="004934DE">
        <w:rPr>
          <w:lang w:val="en-US"/>
        </w:rPr>
        <w:t>análisis</w:t>
      </w:r>
      <w:proofErr w:type="spellEnd"/>
      <w:r w:rsidRPr="004934DE">
        <w:rPr>
          <w:lang w:val="en-US"/>
        </w:rPr>
        <w:t xml:space="preserve"> of gender relations and welfare states”, </w:t>
      </w:r>
      <w:r w:rsidRPr="004934DE">
        <w:rPr>
          <w:i/>
          <w:lang w:val="en-US"/>
        </w:rPr>
        <w:t>American Sociological Review</w:t>
      </w:r>
      <w:r w:rsidRPr="004934DE">
        <w:rPr>
          <w:lang w:val="en-US"/>
        </w:rPr>
        <w:t>, vol. 58, pp. 303-328.</w:t>
      </w:r>
    </w:p>
    <w:p w:rsidR="00A97FB7" w:rsidRPr="004934DE" w:rsidRDefault="00A97FB7" w:rsidP="00A97FB7">
      <w:pPr>
        <w:spacing w:before="120" w:after="0"/>
        <w:jc w:val="both"/>
        <w:rPr>
          <w:lang w:val="en-US"/>
        </w:rPr>
      </w:pPr>
      <w:proofErr w:type="spellStart"/>
      <w:r w:rsidRPr="004934DE">
        <w:rPr>
          <w:lang w:val="en-US"/>
        </w:rPr>
        <w:t>Orloff</w:t>
      </w:r>
      <w:proofErr w:type="spellEnd"/>
      <w:r w:rsidRPr="004934DE">
        <w:rPr>
          <w:lang w:val="en-US"/>
        </w:rPr>
        <w:t xml:space="preserve">, A.S. (2009), “Gendering the Comparative Analysis of </w:t>
      </w:r>
      <w:proofErr w:type="spellStart"/>
      <w:r w:rsidRPr="004934DE">
        <w:rPr>
          <w:lang w:val="en-US"/>
        </w:rPr>
        <w:t>Welfade</w:t>
      </w:r>
      <w:proofErr w:type="spellEnd"/>
      <w:r w:rsidRPr="004934DE">
        <w:rPr>
          <w:lang w:val="en-US"/>
        </w:rPr>
        <w:t xml:space="preserve"> States: An Unfinished Agenda”, </w:t>
      </w:r>
      <w:r w:rsidRPr="004934DE">
        <w:rPr>
          <w:i/>
          <w:lang w:val="en-US"/>
        </w:rPr>
        <w:t>Sociological Theory</w:t>
      </w:r>
      <w:r w:rsidRPr="004934DE">
        <w:rPr>
          <w:lang w:val="en-US"/>
        </w:rPr>
        <w:t>, 27:3, pp. 317-343.</w:t>
      </w:r>
    </w:p>
    <w:p w:rsidR="00A97FB7" w:rsidRPr="004934DE" w:rsidRDefault="00A97FB7" w:rsidP="00A97FB7">
      <w:pPr>
        <w:spacing w:before="120" w:after="0"/>
        <w:jc w:val="both"/>
      </w:pPr>
      <w:r w:rsidRPr="004934DE">
        <w:t xml:space="preserve">Ramírez, F. (2006), “Mucho más que dos izquierdas”, </w:t>
      </w:r>
      <w:r w:rsidRPr="004934DE">
        <w:rPr>
          <w:i/>
        </w:rPr>
        <w:t>Nueva Sociedad</w:t>
      </w:r>
      <w:r w:rsidRPr="004934DE">
        <w:t>, núm. 205, pp. 30-44.</w:t>
      </w:r>
    </w:p>
    <w:p w:rsidR="00A97FB7" w:rsidRPr="004934DE" w:rsidRDefault="00A97FB7" w:rsidP="00A97FB7">
      <w:pPr>
        <w:spacing w:before="120" w:after="0"/>
        <w:jc w:val="both"/>
      </w:pPr>
      <w:r w:rsidRPr="004934DE">
        <w:t>Ramírez, F. (2012a), “Crisis neoliberal y reconfiguraciones estatales: Ecuador y la heterodoxia sudamericana”,</w:t>
      </w:r>
      <w:r w:rsidRPr="004934DE">
        <w:rPr>
          <w:i/>
        </w:rPr>
        <w:t>Línea Sur</w:t>
      </w:r>
      <w:r w:rsidRPr="004934DE">
        <w:t xml:space="preserve">, núm. 2, pp.  84-113. </w:t>
      </w:r>
    </w:p>
    <w:p w:rsidR="00A97FB7" w:rsidRPr="004934DE" w:rsidRDefault="00A97FB7" w:rsidP="00A97FB7">
      <w:pPr>
        <w:spacing w:before="120" w:after="0"/>
        <w:jc w:val="both"/>
      </w:pPr>
      <w:r w:rsidRPr="004934DE">
        <w:t xml:space="preserve">Ramírez, F. (2012b), “Reconfiguraciones estatales en Ecuador: 1990-2011”, en Thwaites Rey, M., </w:t>
      </w:r>
      <w:r w:rsidRPr="004934DE">
        <w:rPr>
          <w:i/>
        </w:rPr>
        <w:t>El Estado en América Latina: continuidades y rupturas</w:t>
      </w:r>
      <w:r w:rsidRPr="004934DE">
        <w:t>, Santiago de Chile, Arcis-CLACSO, pp. 341-374.</w:t>
      </w:r>
    </w:p>
    <w:p w:rsidR="00A97FB7" w:rsidRPr="004934DE" w:rsidRDefault="00A97FB7" w:rsidP="00A97FB7">
      <w:pPr>
        <w:spacing w:before="120" w:after="0"/>
        <w:jc w:val="both"/>
      </w:pPr>
      <w:r w:rsidRPr="004934DE">
        <w:t xml:space="preserve">Ramírez, F./ Minteguiaga, A. (2007), “El nuevo tiempo del Estado. La política posneoliberal del correísmo”, </w:t>
      </w:r>
      <w:r w:rsidRPr="004934DE">
        <w:rPr>
          <w:i/>
        </w:rPr>
        <w:t>OSAL</w:t>
      </w:r>
      <w:r w:rsidRPr="004934DE">
        <w:t xml:space="preserve"> (Buenos Aires: CLACSO), año VIII, núm. 22, septiembre, pp. 87-103.</w:t>
      </w:r>
    </w:p>
    <w:p w:rsidR="00A97FB7" w:rsidRPr="004934DE" w:rsidRDefault="00A97FB7" w:rsidP="00A97FB7">
      <w:pPr>
        <w:spacing w:before="120" w:after="0"/>
        <w:jc w:val="both"/>
        <w:rPr>
          <w:lang w:val="en-US"/>
        </w:rPr>
      </w:pPr>
      <w:r w:rsidRPr="004934DE">
        <w:rPr>
          <w:lang w:val="en-US"/>
        </w:rPr>
        <w:t xml:space="preserve">Rhodes, M. (1997), </w:t>
      </w:r>
      <w:r w:rsidRPr="004934DE">
        <w:rPr>
          <w:i/>
          <w:lang w:val="en-US"/>
        </w:rPr>
        <w:t>Southern European Welfare State</w:t>
      </w:r>
      <w:r w:rsidRPr="004934DE">
        <w:rPr>
          <w:lang w:val="en-US"/>
        </w:rPr>
        <w:t xml:space="preserve">, </w:t>
      </w:r>
      <w:proofErr w:type="spellStart"/>
      <w:r w:rsidRPr="004934DE">
        <w:rPr>
          <w:lang w:val="en-US"/>
        </w:rPr>
        <w:t>Londres</w:t>
      </w:r>
      <w:proofErr w:type="spellEnd"/>
      <w:r w:rsidRPr="004934DE">
        <w:rPr>
          <w:lang w:val="en-US"/>
        </w:rPr>
        <w:t>: Frank Cass.</w:t>
      </w:r>
    </w:p>
    <w:p w:rsidR="00A97FB7" w:rsidRPr="004934DE" w:rsidRDefault="00A97FB7" w:rsidP="00A97FB7">
      <w:pPr>
        <w:spacing w:before="120" w:after="0"/>
        <w:jc w:val="both"/>
        <w:rPr>
          <w:lang w:val="fr-FR"/>
        </w:rPr>
      </w:pPr>
      <w:proofErr w:type="spellStart"/>
      <w:r w:rsidRPr="004934DE">
        <w:rPr>
          <w:lang w:val="fr-FR"/>
        </w:rPr>
        <w:t>Rossanvallon</w:t>
      </w:r>
      <w:proofErr w:type="spellEnd"/>
      <w:r w:rsidRPr="004934DE">
        <w:rPr>
          <w:lang w:val="fr-FR"/>
        </w:rPr>
        <w:t xml:space="preserve">, P. (1981), </w:t>
      </w:r>
      <w:r w:rsidRPr="004934DE">
        <w:rPr>
          <w:i/>
          <w:lang w:val="fr-FR"/>
        </w:rPr>
        <w:t>La crise de l’</w:t>
      </w:r>
      <w:proofErr w:type="spellStart"/>
      <w:r w:rsidRPr="004934DE">
        <w:rPr>
          <w:i/>
          <w:lang w:val="fr-FR"/>
        </w:rPr>
        <w:t>Etat-providence</w:t>
      </w:r>
      <w:proofErr w:type="spellEnd"/>
      <w:r w:rsidRPr="004934DE">
        <w:rPr>
          <w:lang w:val="fr-FR"/>
        </w:rPr>
        <w:t>, Paris: Éditions du Seuil.</w:t>
      </w:r>
    </w:p>
    <w:p w:rsidR="006D5DB5" w:rsidRPr="004934DE" w:rsidRDefault="00A97FB7" w:rsidP="00A97FB7">
      <w:pPr>
        <w:spacing w:before="120" w:after="0"/>
        <w:jc w:val="both"/>
      </w:pPr>
      <w:r w:rsidRPr="004934DE">
        <w:t xml:space="preserve">Sarasa, S. Moreno, L. (eds.) (1995), </w:t>
      </w:r>
      <w:r w:rsidRPr="004934DE">
        <w:rPr>
          <w:i/>
        </w:rPr>
        <w:t>El Estado del Bienestar en la Europa del Sur</w:t>
      </w:r>
      <w:r w:rsidRPr="004934DE">
        <w:t>, Madrid: CSIC.</w:t>
      </w:r>
    </w:p>
    <w:p w:rsidR="00A97FB7" w:rsidRPr="004934DE" w:rsidRDefault="006D5DB5" w:rsidP="00A97FB7">
      <w:pPr>
        <w:spacing w:before="120" w:after="0"/>
        <w:jc w:val="both"/>
      </w:pPr>
      <w:r w:rsidRPr="004934DE">
        <w:t xml:space="preserve">Senplades (2009), </w:t>
      </w:r>
      <w:r w:rsidRPr="004934DE">
        <w:rPr>
          <w:i/>
        </w:rPr>
        <w:t>Plan Nacional del Buen Vivir: 2009-2013</w:t>
      </w:r>
      <w:r w:rsidRPr="004934DE">
        <w:t>, Quito: Senplades.</w:t>
      </w:r>
    </w:p>
    <w:p w:rsidR="00A97FB7" w:rsidRPr="004934DE" w:rsidRDefault="00A97FB7" w:rsidP="00A97FB7">
      <w:pPr>
        <w:spacing w:before="120" w:after="0"/>
        <w:jc w:val="both"/>
        <w:outlineLvl w:val="1"/>
        <w:rPr>
          <w:rFonts w:cs="Times New Roman"/>
          <w:lang w:val="es-MX"/>
        </w:rPr>
      </w:pPr>
      <w:r w:rsidRPr="004934DE">
        <w:rPr>
          <w:rFonts w:cs="Times New Roman"/>
        </w:rPr>
        <w:t xml:space="preserve">Serrano, A. (coord.) (2012), </w:t>
      </w:r>
      <w:r w:rsidRPr="004934DE">
        <w:rPr>
          <w:rFonts w:cs="Times New Roman"/>
          <w:i/>
          <w:lang w:val="es-MX"/>
        </w:rPr>
        <w:t>¡A (Re) distribuir! Ecuador para Todos!</w:t>
      </w:r>
      <w:r w:rsidRPr="004934DE">
        <w:rPr>
          <w:rFonts w:cs="Times New Roman"/>
          <w:lang w:val="es-MX"/>
        </w:rPr>
        <w:t xml:space="preserve">, Quito: Senplades. </w:t>
      </w:r>
    </w:p>
    <w:p w:rsidR="00A97FB7" w:rsidRPr="004934DE" w:rsidRDefault="00A97FB7" w:rsidP="00A97FB7">
      <w:pPr>
        <w:spacing w:before="120" w:after="0"/>
        <w:jc w:val="both"/>
        <w:rPr>
          <w:lang w:val="en-US"/>
        </w:rPr>
      </w:pPr>
      <w:proofErr w:type="spellStart"/>
      <w:proofErr w:type="gramStart"/>
      <w:r w:rsidRPr="004934DE">
        <w:rPr>
          <w:lang w:val="en-US"/>
        </w:rPr>
        <w:t>Spicker</w:t>
      </w:r>
      <w:proofErr w:type="spellEnd"/>
      <w:r w:rsidRPr="004934DE">
        <w:rPr>
          <w:lang w:val="en-US"/>
        </w:rPr>
        <w:t xml:space="preserve">, P. (1988), </w:t>
      </w:r>
      <w:r w:rsidRPr="004934DE">
        <w:rPr>
          <w:i/>
          <w:lang w:val="en-US"/>
        </w:rPr>
        <w:t xml:space="preserve">Principles of Social </w:t>
      </w:r>
      <w:proofErr w:type="spellStart"/>
      <w:r w:rsidRPr="004934DE">
        <w:rPr>
          <w:i/>
          <w:lang w:val="en-US"/>
        </w:rPr>
        <w:t>Wealfare</w:t>
      </w:r>
      <w:proofErr w:type="spellEnd"/>
      <w:r w:rsidRPr="004934DE">
        <w:rPr>
          <w:i/>
          <w:lang w:val="en-US"/>
        </w:rPr>
        <w:t>.</w:t>
      </w:r>
      <w:proofErr w:type="gramEnd"/>
      <w:r w:rsidRPr="004934DE">
        <w:rPr>
          <w:i/>
          <w:lang w:val="en-US"/>
        </w:rPr>
        <w:t xml:space="preserve"> An introduction to thinking about the </w:t>
      </w:r>
      <w:proofErr w:type="spellStart"/>
      <w:r w:rsidRPr="004934DE">
        <w:rPr>
          <w:i/>
          <w:lang w:val="en-US"/>
        </w:rPr>
        <w:t>Wealfare</w:t>
      </w:r>
      <w:proofErr w:type="spellEnd"/>
      <w:r w:rsidRPr="004934DE">
        <w:rPr>
          <w:i/>
          <w:lang w:val="en-US"/>
        </w:rPr>
        <w:t xml:space="preserve"> State</w:t>
      </w:r>
      <w:r w:rsidRPr="004934DE">
        <w:rPr>
          <w:lang w:val="en-US"/>
        </w:rPr>
        <w:t xml:space="preserve">, New York: </w:t>
      </w:r>
      <w:proofErr w:type="spellStart"/>
      <w:r w:rsidRPr="004934DE">
        <w:rPr>
          <w:lang w:val="en-US"/>
        </w:rPr>
        <w:t>Roudledge</w:t>
      </w:r>
      <w:proofErr w:type="spellEnd"/>
      <w:r w:rsidRPr="004934DE">
        <w:rPr>
          <w:lang w:val="en-US"/>
        </w:rPr>
        <w:t xml:space="preserve">. </w:t>
      </w:r>
    </w:p>
    <w:p w:rsidR="00A97FB7" w:rsidRPr="004934DE" w:rsidRDefault="00A97FB7" w:rsidP="00A97FB7">
      <w:pPr>
        <w:spacing w:before="120" w:after="0"/>
        <w:jc w:val="both"/>
        <w:outlineLvl w:val="1"/>
        <w:rPr>
          <w:rFonts w:cs="Times New Roman"/>
          <w:lang w:val="es-MX"/>
        </w:rPr>
      </w:pPr>
      <w:r w:rsidRPr="004934DE">
        <w:rPr>
          <w:rFonts w:cs="Times New Roman"/>
          <w:lang w:val="es-MX"/>
        </w:rPr>
        <w:t xml:space="preserve">Tarrow, S. (1997), </w:t>
      </w:r>
      <w:r w:rsidRPr="004934DE">
        <w:rPr>
          <w:rFonts w:cs="Times New Roman"/>
          <w:i/>
          <w:lang w:val="es-MX"/>
        </w:rPr>
        <w:t>El poder en movimiento: los movimientos sociales, la acción colectiva y la política</w:t>
      </w:r>
      <w:r w:rsidRPr="004934DE">
        <w:rPr>
          <w:rFonts w:cs="Times New Roman"/>
          <w:lang w:val="es-MX"/>
        </w:rPr>
        <w:t>, Madrid: Alianza</w:t>
      </w:r>
    </w:p>
    <w:p w:rsidR="00A97FB7" w:rsidRPr="004934DE" w:rsidRDefault="00A97FB7" w:rsidP="00A97FB7">
      <w:pPr>
        <w:spacing w:before="120" w:after="0"/>
        <w:jc w:val="both"/>
        <w:rPr>
          <w:lang w:val="en-US"/>
        </w:rPr>
      </w:pPr>
      <w:proofErr w:type="spellStart"/>
      <w:r w:rsidRPr="004934DE">
        <w:rPr>
          <w:lang w:val="en-US"/>
        </w:rPr>
        <w:t>Titmuss</w:t>
      </w:r>
      <w:proofErr w:type="spellEnd"/>
      <w:r w:rsidRPr="004934DE">
        <w:rPr>
          <w:lang w:val="en-US"/>
        </w:rPr>
        <w:t xml:space="preserve">, R. (1958), </w:t>
      </w:r>
      <w:r w:rsidRPr="004934DE">
        <w:rPr>
          <w:i/>
          <w:lang w:val="en-US"/>
        </w:rPr>
        <w:t xml:space="preserve">Essay </w:t>
      </w:r>
      <w:proofErr w:type="gramStart"/>
      <w:r w:rsidRPr="004934DE">
        <w:rPr>
          <w:i/>
          <w:lang w:val="en-US"/>
        </w:rPr>
        <w:t>of</w:t>
      </w:r>
      <w:proofErr w:type="gramEnd"/>
      <w:r w:rsidRPr="004934DE">
        <w:rPr>
          <w:i/>
          <w:lang w:val="en-US"/>
        </w:rPr>
        <w:t xml:space="preserve"> the Welfare State</w:t>
      </w:r>
      <w:r w:rsidRPr="004934DE">
        <w:rPr>
          <w:lang w:val="en-US"/>
        </w:rPr>
        <w:t xml:space="preserve">, </w:t>
      </w:r>
      <w:proofErr w:type="spellStart"/>
      <w:r w:rsidRPr="004934DE">
        <w:rPr>
          <w:lang w:val="en-US"/>
        </w:rPr>
        <w:t>Londres</w:t>
      </w:r>
      <w:proofErr w:type="spellEnd"/>
      <w:r w:rsidRPr="004934DE">
        <w:rPr>
          <w:lang w:val="en-US"/>
        </w:rPr>
        <w:t xml:space="preserve">: Allen and </w:t>
      </w:r>
      <w:proofErr w:type="spellStart"/>
      <w:r w:rsidRPr="004934DE">
        <w:rPr>
          <w:lang w:val="en-US"/>
        </w:rPr>
        <w:t>Unwin</w:t>
      </w:r>
      <w:proofErr w:type="spellEnd"/>
      <w:r w:rsidRPr="004934DE">
        <w:rPr>
          <w:lang w:val="en-US"/>
        </w:rPr>
        <w:t>.</w:t>
      </w:r>
    </w:p>
    <w:p w:rsidR="0084519E" w:rsidRPr="004934DE" w:rsidRDefault="00A97FB7" w:rsidP="00926769">
      <w:pPr>
        <w:spacing w:before="120" w:after="0"/>
        <w:jc w:val="both"/>
      </w:pPr>
      <w:r w:rsidRPr="004934DE">
        <w:t xml:space="preserve">Vascones, A., Córdoba, R. y Muñoz, P. (2005),  “La construcción de las políticas sociales en Ecuador durante los años ochenta y noventa: sentidos, contextos y resultados”, </w:t>
      </w:r>
      <w:r w:rsidRPr="004934DE">
        <w:rPr>
          <w:i/>
        </w:rPr>
        <w:t>Serie Políticas Sociales Naciones Unidas-Cepal</w:t>
      </w:r>
      <w:r w:rsidRPr="004934DE">
        <w:t>, Santiago de Chile: Naciones Unidas.</w:t>
      </w:r>
    </w:p>
    <w:p w:rsidR="00B60748" w:rsidRPr="004934DE" w:rsidRDefault="0084519E" w:rsidP="00926769">
      <w:pPr>
        <w:spacing w:before="120" w:after="0"/>
        <w:jc w:val="both"/>
      </w:pPr>
      <w:r w:rsidRPr="004934DE">
        <w:t xml:space="preserve">Vera, L. V. (2008), “Políticas sociales y productivas en un Estado patrimonialista petrolero: Venezuela 1999-2007”, en </w:t>
      </w:r>
      <w:r w:rsidRPr="004934DE">
        <w:rPr>
          <w:i/>
        </w:rPr>
        <w:t>Nueva Sociedad</w:t>
      </w:r>
      <w:r w:rsidRPr="004934DE">
        <w:t>, núm. 215.</w:t>
      </w:r>
    </w:p>
    <w:p w:rsidR="00267A9E" w:rsidRPr="004934DE" w:rsidRDefault="00B60748" w:rsidP="00926769">
      <w:pPr>
        <w:spacing w:before="120" w:after="0"/>
        <w:jc w:val="both"/>
      </w:pPr>
      <w:r w:rsidRPr="004934DE">
        <w:t>Viciano, R. y Martínez, R. (</w:t>
      </w:r>
      <w:r w:rsidR="00BB1805" w:rsidRPr="004934DE">
        <w:t>2010),</w:t>
      </w:r>
      <w:r w:rsidRPr="004934DE">
        <w:t xml:space="preserve"> </w:t>
      </w:r>
      <w:r w:rsidR="00BB1805" w:rsidRPr="004934DE">
        <w:t>“</w:t>
      </w:r>
      <w:r w:rsidRPr="004934DE">
        <w:t>Aspectos generales del nuevo constitucionalismo Latinoamericano</w:t>
      </w:r>
      <w:r w:rsidR="00BB1805" w:rsidRPr="004934DE">
        <w:t xml:space="preserve">” en VVAA, </w:t>
      </w:r>
      <w:r w:rsidR="00BB1805" w:rsidRPr="004934DE">
        <w:rPr>
          <w:i/>
        </w:rPr>
        <w:t>El nuevo constitucionalismo en América Latina</w:t>
      </w:r>
      <w:r w:rsidR="00BB1805" w:rsidRPr="004934DE">
        <w:t>, Quito: Corte Constitucional.</w:t>
      </w:r>
    </w:p>
    <w:sectPr w:rsidR="00267A9E" w:rsidRPr="004934DE" w:rsidSect="005A46B0">
      <w:pgSz w:w="11900" w:h="16840"/>
      <w:pgMar w:top="1417" w:right="1701" w:bottom="1417" w:left="1701" w:header="708" w:footer="708" w:gutter="0"/>
      <w:cols w:space="708"/>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4B52B1" w:rsidRDefault="004B52B1">
      <w:pPr>
        <w:spacing w:after="0"/>
      </w:pPr>
      <w:r>
        <w:separator/>
      </w:r>
    </w:p>
  </w:endnote>
  <w:endnote w:type="continuationSeparator" w:id="1">
    <w:p w:rsidR="004B52B1" w:rsidRDefault="004B52B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4B52B1" w:rsidRDefault="004B52B1">
      <w:pPr>
        <w:spacing w:after="0"/>
      </w:pPr>
      <w:r>
        <w:separator/>
      </w:r>
    </w:p>
  </w:footnote>
  <w:footnote w:type="continuationSeparator" w:id="1">
    <w:p w:rsidR="004B52B1" w:rsidRDefault="004B52B1">
      <w:pPr>
        <w:spacing w:after="0"/>
      </w:pPr>
      <w:r>
        <w:continuationSeparator/>
      </w:r>
    </w:p>
  </w:footnote>
  <w:footnote w:id="2">
    <w:p w:rsidR="004B52B1" w:rsidRPr="00081A68" w:rsidRDefault="004B52B1" w:rsidP="00081A68">
      <w:pPr>
        <w:pStyle w:val="Textonotapie"/>
        <w:jc w:val="both"/>
        <w:rPr>
          <w:sz w:val="20"/>
        </w:rPr>
      </w:pPr>
      <w:r w:rsidRPr="00081A68">
        <w:rPr>
          <w:rStyle w:val="Refdenotaalpie"/>
          <w:sz w:val="20"/>
        </w:rPr>
        <w:footnoteRef/>
      </w:r>
      <w:r w:rsidRPr="00081A68">
        <w:rPr>
          <w:sz w:val="20"/>
        </w:rPr>
        <w:t xml:space="preserve"> Le siguen Brasil (2003), Argentina (2003), Uruguay (2004), Bolivia (2006), Ecuador (2007), Nicaragua (2007) y Paraguay (2008).</w:t>
      </w:r>
    </w:p>
  </w:footnote>
  <w:footnote w:id="3">
    <w:p w:rsidR="004B52B1" w:rsidRPr="00081A68" w:rsidRDefault="004B52B1" w:rsidP="00081A68">
      <w:pPr>
        <w:pStyle w:val="Textonotapie"/>
        <w:jc w:val="both"/>
        <w:rPr>
          <w:sz w:val="20"/>
        </w:rPr>
      </w:pPr>
      <w:r w:rsidRPr="00081A68">
        <w:rPr>
          <w:rStyle w:val="Refdenotaalpie"/>
          <w:sz w:val="20"/>
        </w:rPr>
        <w:footnoteRef/>
      </w:r>
      <w:r w:rsidRPr="00081A68">
        <w:rPr>
          <w:sz w:val="20"/>
        </w:rPr>
        <w:t xml:space="preserve"> </w:t>
      </w:r>
      <w:r w:rsidRPr="00081A68">
        <w:rPr>
          <w:sz w:val="20"/>
        </w:rPr>
        <w:t>“Los años ochenta y noventa fueron décadas muy sufridas para las grandes mayorías. La democracia, la soberanía y la justicia social fueron suplantadas por el riesgo país, la confianza de los mercados y la seguridad jurídica… La exclusión fue integral y abarcó todo tipo de aspecto: consumo, ingreso, sistema crediticio, vivienda, educación, sanidad, otras necesidades básicas y derechos sociales” (Serrano, 2012).</w:t>
      </w:r>
    </w:p>
  </w:footnote>
  <w:footnote w:id="4">
    <w:p w:rsidR="004B52B1" w:rsidRPr="00081A68" w:rsidRDefault="004B52B1" w:rsidP="00081A68">
      <w:pPr>
        <w:spacing w:after="0"/>
        <w:jc w:val="both"/>
        <w:rPr>
          <w:sz w:val="20"/>
        </w:rPr>
      </w:pPr>
      <w:r w:rsidRPr="00081A68">
        <w:rPr>
          <w:rStyle w:val="Refdenotaalpie"/>
          <w:sz w:val="20"/>
        </w:rPr>
        <w:footnoteRef/>
      </w:r>
      <w:r w:rsidRPr="00081A68">
        <w:rPr>
          <w:sz w:val="20"/>
        </w:rPr>
        <w:t xml:space="preserve"> </w:t>
      </w:r>
      <w:r w:rsidRPr="00081A68">
        <w:rPr>
          <w:sz w:val="20"/>
        </w:rPr>
        <w:t>Para una discusión en profundidad sobre Estado del Bienestar keynesiano-fordista ver Titmuss (1958), Rossanvallon (1981) y Spicker (1988).</w:t>
      </w:r>
    </w:p>
  </w:footnote>
  <w:footnote w:id="5">
    <w:p w:rsidR="004B52B1" w:rsidRPr="00081A68" w:rsidRDefault="004B52B1" w:rsidP="00081A68">
      <w:pPr>
        <w:spacing w:before="120" w:after="0"/>
        <w:jc w:val="both"/>
        <w:rPr>
          <w:sz w:val="20"/>
        </w:rPr>
      </w:pPr>
      <w:r w:rsidRPr="00081A68">
        <w:rPr>
          <w:rStyle w:val="Refdenotaalpie"/>
          <w:sz w:val="20"/>
        </w:rPr>
        <w:footnoteRef/>
      </w:r>
      <w:r w:rsidRPr="00081A68">
        <w:rPr>
          <w:sz w:val="20"/>
        </w:rPr>
        <w:t xml:space="preserve"> </w:t>
      </w:r>
      <w:r w:rsidRPr="00081A68">
        <w:rPr>
          <w:sz w:val="20"/>
        </w:rPr>
        <w:t>“</w:t>
      </w:r>
      <w:r w:rsidRPr="00081A68">
        <w:rPr>
          <w:sz w:val="20"/>
        </w:rPr>
        <w:t>El Estado del bienestar no es sólo un mecanismo que interviene en la estructura de la desigualdad y posiblemente  la corrige, es un sistema de estratificación en sí mismo, es una fuerza activa en el ordenamiento de las relaciones sociales” (Esping Andersen, 1993: 44)</w:t>
      </w:r>
    </w:p>
  </w:footnote>
  <w:footnote w:id="6">
    <w:p w:rsidR="004B52B1" w:rsidRPr="00081A68" w:rsidRDefault="004B52B1" w:rsidP="00081A68">
      <w:pPr>
        <w:pStyle w:val="Textonotapie"/>
        <w:jc w:val="both"/>
        <w:rPr>
          <w:sz w:val="20"/>
        </w:rPr>
      </w:pPr>
      <w:r w:rsidRPr="00081A68">
        <w:rPr>
          <w:rStyle w:val="Refdenotaalpie"/>
          <w:sz w:val="20"/>
        </w:rPr>
        <w:footnoteRef/>
      </w:r>
      <w:r w:rsidRPr="00081A68">
        <w:rPr>
          <w:sz w:val="20"/>
        </w:rPr>
        <w:t xml:space="preserve"> </w:t>
      </w:r>
      <w:r w:rsidRPr="00081A68">
        <w:rPr>
          <w:sz w:val="20"/>
        </w:rPr>
        <w:t xml:space="preserve">Ver Mesa-Lago (1991) </w:t>
      </w:r>
      <w:proofErr w:type="spellStart"/>
      <w:r w:rsidRPr="00081A68">
        <w:rPr>
          <w:sz w:val="20"/>
        </w:rPr>
        <w:t>Filgueria</w:t>
      </w:r>
      <w:proofErr w:type="spellEnd"/>
      <w:r w:rsidRPr="00081A68">
        <w:rPr>
          <w:sz w:val="20"/>
        </w:rPr>
        <w:t xml:space="preserve"> (1998).</w:t>
      </w:r>
    </w:p>
  </w:footnote>
  <w:footnote w:id="7">
    <w:p w:rsidR="004B52B1" w:rsidRPr="00081A68" w:rsidRDefault="004B52B1" w:rsidP="00081A68">
      <w:pPr>
        <w:pStyle w:val="Textonotapie"/>
        <w:jc w:val="both"/>
        <w:rPr>
          <w:sz w:val="20"/>
        </w:rPr>
      </w:pPr>
      <w:r w:rsidRPr="00081A68">
        <w:rPr>
          <w:rStyle w:val="Refdenotaalpie"/>
          <w:sz w:val="20"/>
        </w:rPr>
        <w:footnoteRef/>
      </w:r>
      <w:r w:rsidRPr="00081A68">
        <w:rPr>
          <w:sz w:val="20"/>
        </w:rPr>
        <w:t xml:space="preserve"> </w:t>
      </w:r>
      <w:r w:rsidRPr="00081A68">
        <w:rPr>
          <w:sz w:val="20"/>
        </w:rPr>
        <w:t>Citado por Martínez, 2007:12.</w:t>
      </w:r>
    </w:p>
  </w:footnote>
  <w:footnote w:id="8">
    <w:p w:rsidR="004B52B1" w:rsidRPr="00081A68" w:rsidRDefault="004B52B1" w:rsidP="00081A68">
      <w:pPr>
        <w:pStyle w:val="Textonotapie"/>
        <w:jc w:val="both"/>
        <w:rPr>
          <w:sz w:val="20"/>
        </w:rPr>
      </w:pPr>
      <w:r w:rsidRPr="00081A68">
        <w:rPr>
          <w:rStyle w:val="Refdenotaalpie"/>
          <w:sz w:val="20"/>
        </w:rPr>
        <w:footnoteRef/>
      </w:r>
      <w:r w:rsidRPr="00081A68">
        <w:rPr>
          <w:sz w:val="20"/>
        </w:rPr>
        <w:t xml:space="preserve"> </w:t>
      </w:r>
      <w:r w:rsidRPr="00081A68">
        <w:rPr>
          <w:sz w:val="20"/>
        </w:rPr>
        <w:t>Sobre las transformaciones estatales operadas en el país ver Ramírez (2012a y 2012b) y Muñoz (2013).</w:t>
      </w:r>
    </w:p>
  </w:footnote>
  <w:footnote w:id="9">
    <w:p w:rsidR="004B52B1" w:rsidRPr="00081A68" w:rsidRDefault="004B52B1" w:rsidP="00081A68">
      <w:pPr>
        <w:pStyle w:val="Textonotapie"/>
        <w:jc w:val="both"/>
        <w:rPr>
          <w:sz w:val="20"/>
        </w:rPr>
      </w:pPr>
      <w:r w:rsidRPr="00081A68">
        <w:rPr>
          <w:rStyle w:val="Refdenotaalpie"/>
          <w:sz w:val="20"/>
        </w:rPr>
        <w:footnoteRef/>
      </w:r>
      <w:r w:rsidRPr="00081A68">
        <w:rPr>
          <w:sz w:val="20"/>
        </w:rPr>
        <w:t xml:space="preserve"> </w:t>
      </w:r>
      <w:r w:rsidRPr="00081A68">
        <w:rPr>
          <w:sz w:val="20"/>
        </w:rPr>
        <w:t xml:space="preserve">Una historia reciente de las políticas sociales en el Ecuador puede leerse en </w:t>
      </w:r>
      <w:proofErr w:type="spellStart"/>
      <w:r w:rsidRPr="00081A68">
        <w:rPr>
          <w:sz w:val="20"/>
        </w:rPr>
        <w:t>Minteguiaga</w:t>
      </w:r>
      <w:proofErr w:type="spellEnd"/>
      <w:r w:rsidRPr="00081A68">
        <w:rPr>
          <w:sz w:val="20"/>
        </w:rPr>
        <w:t xml:space="preserve"> (2012).</w:t>
      </w:r>
    </w:p>
  </w:footnote>
  <w:footnote w:id="10">
    <w:p w:rsidR="004B52B1" w:rsidRPr="00081A68" w:rsidRDefault="004B52B1" w:rsidP="00081A68">
      <w:pPr>
        <w:pStyle w:val="Textonotapie"/>
        <w:jc w:val="both"/>
        <w:rPr>
          <w:sz w:val="20"/>
        </w:rPr>
      </w:pPr>
      <w:r w:rsidRPr="00081A68">
        <w:rPr>
          <w:rStyle w:val="Refdenotaalpie"/>
          <w:sz w:val="20"/>
        </w:rPr>
        <w:footnoteRef/>
      </w:r>
      <w:r w:rsidRPr="00081A68">
        <w:rPr>
          <w:sz w:val="20"/>
        </w:rPr>
        <w:t xml:space="preserve"> </w:t>
      </w:r>
      <w:r w:rsidRPr="00081A68">
        <w:rPr>
          <w:sz w:val="20"/>
        </w:rPr>
        <w:t xml:space="preserve">Cabe decir que a diferencia del caso ecuatoriano, existe bastante literatura sobre la cuestión, en concreto sobre misiones, pero hay pocos datos y trabajos empíricos (ni gubernamentales ni de otras instituciones) a los que recurrir para hacer una evaluación. Las prioridades de investigación se han centrado en otros campos, diversos a las políticas sociales, laborales y tributarias que son las que en este artículo se hace referencia. </w:t>
      </w:r>
    </w:p>
  </w:footnote>
  <w:footnote w:id="11">
    <w:p w:rsidR="004B52B1" w:rsidRPr="00081A68" w:rsidRDefault="004B52B1" w:rsidP="00081A68">
      <w:pPr>
        <w:pStyle w:val="Textonotapie"/>
        <w:jc w:val="both"/>
        <w:rPr>
          <w:sz w:val="20"/>
        </w:rPr>
      </w:pPr>
      <w:r w:rsidRPr="00081A68">
        <w:rPr>
          <w:rStyle w:val="Refdenotaalpie"/>
          <w:sz w:val="20"/>
        </w:rPr>
        <w:footnoteRef/>
      </w:r>
      <w:r w:rsidRPr="00081A68">
        <w:rPr>
          <w:sz w:val="20"/>
        </w:rPr>
        <w:t xml:space="preserve"> </w:t>
      </w:r>
      <w:r w:rsidRPr="00081A68">
        <w:rPr>
          <w:sz w:val="20"/>
        </w:rPr>
        <w:t xml:space="preserve">En 1998 un 52,9% de la población venezolana vive en situación de pobreza, y de ellos un 22,5% son pobres extremos. Datos del Instituto Nacional de Estadísticas venezolano citados en </w:t>
      </w:r>
      <w:proofErr w:type="spellStart"/>
      <w:r w:rsidRPr="00081A68">
        <w:rPr>
          <w:sz w:val="20"/>
        </w:rPr>
        <w:t>Maingón</w:t>
      </w:r>
      <w:proofErr w:type="spellEnd"/>
      <w:r w:rsidRPr="00081A68">
        <w:rPr>
          <w:sz w:val="20"/>
        </w:rPr>
        <w:t xml:space="preserve"> (2006). </w:t>
      </w:r>
    </w:p>
  </w:footnote>
  <w:footnote w:id="12">
    <w:p w:rsidR="004B52B1" w:rsidRPr="00081A68" w:rsidRDefault="004B52B1" w:rsidP="00081A68">
      <w:pPr>
        <w:pStyle w:val="Textonotapie"/>
        <w:jc w:val="both"/>
        <w:rPr>
          <w:sz w:val="20"/>
        </w:rPr>
      </w:pPr>
      <w:r w:rsidRPr="00081A68">
        <w:rPr>
          <w:rStyle w:val="Refdenotaalpie"/>
          <w:sz w:val="20"/>
        </w:rPr>
        <w:footnoteRef/>
      </w:r>
      <w:r w:rsidRPr="00081A68">
        <w:rPr>
          <w:sz w:val="20"/>
        </w:rPr>
        <w:t xml:space="preserve"> </w:t>
      </w:r>
      <w:proofErr w:type="spellStart"/>
      <w:r w:rsidRPr="00081A68">
        <w:rPr>
          <w:sz w:val="20"/>
        </w:rPr>
        <w:t>D’Elia</w:t>
      </w:r>
      <w:proofErr w:type="spellEnd"/>
      <w:r w:rsidRPr="00081A68">
        <w:rPr>
          <w:sz w:val="20"/>
        </w:rPr>
        <w:t xml:space="preserve"> y Quiroz (2010) citando a </w:t>
      </w:r>
      <w:proofErr w:type="spellStart"/>
      <w:r w:rsidRPr="00081A68">
        <w:rPr>
          <w:sz w:val="20"/>
        </w:rPr>
        <w:t>D’Elia</w:t>
      </w:r>
      <w:proofErr w:type="spellEnd"/>
      <w:r w:rsidRPr="00081A68">
        <w:rPr>
          <w:sz w:val="20"/>
        </w:rPr>
        <w:t xml:space="preserve"> y </w:t>
      </w:r>
      <w:proofErr w:type="spellStart"/>
      <w:r w:rsidRPr="00081A68">
        <w:rPr>
          <w:sz w:val="20"/>
        </w:rPr>
        <w:t>Maingon</w:t>
      </w:r>
      <w:proofErr w:type="spellEnd"/>
      <w:r w:rsidRPr="00081A68">
        <w:rPr>
          <w:sz w:val="20"/>
        </w:rPr>
        <w:t xml:space="preserve"> (2009). Pueden verse datos sobre las coberturas de las distintas misiones durante los años de apogeo de estos programas sociales en ambas obras.</w:t>
      </w:r>
    </w:p>
  </w:footnote>
  <w:footnote w:id="13">
    <w:p w:rsidR="004B52B1" w:rsidRDefault="004B52B1" w:rsidP="006A2A8B">
      <w:pPr>
        <w:pStyle w:val="Textonotapie"/>
        <w:jc w:val="both"/>
      </w:pPr>
      <w:r>
        <w:rPr>
          <w:rStyle w:val="Refdenotaalpie"/>
        </w:rPr>
        <w:footnoteRef/>
      </w:r>
      <w:r>
        <w:t xml:space="preserve"> </w:t>
      </w:r>
      <w:r w:rsidRPr="006A2A8B">
        <w:rPr>
          <w:sz w:val="20"/>
        </w:rPr>
        <w:t>En 2012 tres de cada diez bolivianos se benefician de las transferencias condicionadas en efectivo: Renta Dignidad - un pago de por vida no heredable, y destinado a todas la bolivianas y bolivianos que tengan 60 años -, Bono Juancito Pinto - establecido con el objetivo de incentivar la matriculación en los centros educativos y disminuir la inasistencia y la deserción escolar -  y Bono Juana Azurduy - transferencia otorgada en beneficio de las madres en periodo de embarazo y niños y niñas menores de dos años.</w:t>
      </w:r>
    </w:p>
  </w:footnote>
  <w:footnote w:id="14">
    <w:p w:rsidR="004B52B1" w:rsidRDefault="004B52B1" w:rsidP="006A2A8B">
      <w:pPr>
        <w:spacing w:before="120" w:after="0"/>
        <w:jc w:val="both"/>
      </w:pPr>
      <w:r>
        <w:rPr>
          <w:rStyle w:val="Refdenotaalpie"/>
        </w:rPr>
        <w:footnoteRef/>
      </w:r>
      <w:r>
        <w:t xml:space="preserve"> </w:t>
      </w:r>
      <w:r w:rsidRPr="006A2A8B">
        <w:rPr>
          <w:sz w:val="20"/>
        </w:rPr>
        <w:t>Entre otros el Programa “Bolivia Cambia, Evo Cumple”, iniciado en 2006 y que tiene por objetivo destinar recursos directos a los municipios y comunidades para la ejecución de proyectos de infraestructura y equipamiento en las áreas de salud, educación, deportes, pro</w:t>
      </w:r>
      <w:r>
        <w:rPr>
          <w:sz w:val="20"/>
        </w:rPr>
        <w:t>ducción, riego, saneamiento bás</w:t>
      </w:r>
      <w:r w:rsidRPr="006A2A8B">
        <w:rPr>
          <w:sz w:val="20"/>
        </w:rPr>
        <w:t xml:space="preserve">ico, equipamiento </w:t>
      </w:r>
      <w:r>
        <w:rPr>
          <w:sz w:val="20"/>
        </w:rPr>
        <w:t xml:space="preserve">comunal e infraestructura vial (4.127 proyectos, </w:t>
      </w:r>
      <w:r w:rsidRPr="006A2A8B">
        <w:rPr>
          <w:sz w:val="20"/>
        </w:rPr>
        <w:t>389 miliones de dolares); el Programa Nacional de Post Alfabetización “Yo Si Puedo Seguir” 2009; el Programa “más inver</w:t>
      </w:r>
      <w:r>
        <w:rPr>
          <w:sz w:val="20"/>
        </w:rPr>
        <w:t>sión para el agua” o la Tarifa Dignidad</w:t>
      </w:r>
      <w:r w:rsidRPr="006A2A8B">
        <w:rPr>
          <w:sz w:val="20"/>
        </w:rPr>
        <w:t xml:space="preserve"> po</w:t>
      </w:r>
      <w:r>
        <w:rPr>
          <w:sz w:val="20"/>
        </w:rPr>
        <w:t>r bajo consumo de electricidad que beneficía al</w:t>
      </w:r>
      <w:r w:rsidRPr="006A2A8B">
        <w:rPr>
          <w:sz w:val="20"/>
        </w:rPr>
        <w:t xml:space="preserve"> 50% del total de</w:t>
      </w:r>
      <w:r>
        <w:rPr>
          <w:sz w:val="20"/>
        </w:rPr>
        <w:t xml:space="preserve"> consumidores de energía eléctri</w:t>
      </w:r>
      <w:r w:rsidRPr="006A2A8B">
        <w:rPr>
          <w:sz w:val="20"/>
        </w:rPr>
        <w:t>ca.</w:t>
      </w:r>
    </w:p>
    <w:p w:rsidR="004B52B1" w:rsidRDefault="004B52B1">
      <w:pPr>
        <w:pStyle w:val="Textonotapie"/>
      </w:pPr>
    </w:p>
  </w:footnote>
  <w:footnote w:id="15">
    <w:p w:rsidR="004B52B1" w:rsidRPr="00081A68" w:rsidRDefault="004B52B1" w:rsidP="00081A68">
      <w:pPr>
        <w:pStyle w:val="Textonotapie"/>
        <w:jc w:val="both"/>
        <w:rPr>
          <w:sz w:val="20"/>
        </w:rPr>
      </w:pPr>
      <w:r w:rsidRPr="00081A68">
        <w:rPr>
          <w:rStyle w:val="Refdenotaalpie"/>
          <w:sz w:val="20"/>
        </w:rPr>
        <w:footnoteRef/>
      </w:r>
      <w:r w:rsidRPr="00081A68">
        <w:rPr>
          <w:sz w:val="20"/>
        </w:rPr>
        <w:t xml:space="preserve"> </w:t>
      </w:r>
      <w:r w:rsidRPr="00081A68">
        <w:rPr>
          <w:sz w:val="20"/>
        </w:rPr>
        <w:t xml:space="preserve">Para un análisis más profundo del caso ecuatoriano ver </w:t>
      </w:r>
      <w:proofErr w:type="spellStart"/>
      <w:r w:rsidRPr="00081A68">
        <w:rPr>
          <w:sz w:val="20"/>
        </w:rPr>
        <w:t>Minteguiga</w:t>
      </w:r>
      <w:proofErr w:type="spellEnd"/>
      <w:r w:rsidRPr="00081A68">
        <w:rPr>
          <w:sz w:val="20"/>
        </w:rPr>
        <w:t xml:space="preserve"> y </w:t>
      </w:r>
      <w:proofErr w:type="spellStart"/>
      <w:r w:rsidRPr="00081A68">
        <w:rPr>
          <w:sz w:val="20"/>
        </w:rPr>
        <w:t>Ubasart</w:t>
      </w:r>
      <w:proofErr w:type="spellEnd"/>
      <w:r w:rsidRPr="00081A68">
        <w:rPr>
          <w:sz w:val="20"/>
        </w:rPr>
        <w:t xml:space="preserve"> (2013).</w:t>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53146C"/>
    <w:multiLevelType w:val="hybridMultilevel"/>
    <w:tmpl w:val="02BAF46E"/>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nsid w:val="005E4491"/>
    <w:multiLevelType w:val="hybridMultilevel"/>
    <w:tmpl w:val="4126D3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nsid w:val="01A134A9"/>
    <w:multiLevelType w:val="hybridMultilevel"/>
    <w:tmpl w:val="CC3822D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Symbol"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Symbol"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Symbol"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0A324F0B"/>
    <w:multiLevelType w:val="hybridMultilevel"/>
    <w:tmpl w:val="6804F216"/>
    <w:lvl w:ilvl="0" w:tplc="21E48290">
      <w:numFmt w:val="bullet"/>
      <w:lvlText w:val="-"/>
      <w:lvlJc w:val="left"/>
      <w:pPr>
        <w:ind w:left="1060" w:hanging="700"/>
      </w:pPr>
      <w:rPr>
        <w:rFonts w:ascii="Cambria" w:eastAsiaTheme="minorHAnsi" w:hAnsi="Cambria" w:cstheme="minorBidi"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nsid w:val="103F7B9D"/>
    <w:multiLevelType w:val="hybridMultilevel"/>
    <w:tmpl w:val="7626311C"/>
    <w:lvl w:ilvl="0" w:tplc="5BEE1E5E">
      <w:start w:val="1"/>
      <w:numFmt w:val="decimal"/>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10A24268"/>
    <w:multiLevelType w:val="multilevel"/>
    <w:tmpl w:val="1D56F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5145B04"/>
    <w:multiLevelType w:val="hybridMultilevel"/>
    <w:tmpl w:val="EAF0806E"/>
    <w:lvl w:ilvl="0" w:tplc="7DAEE9E8">
      <w:start w:val="1"/>
      <w:numFmt w:val="decimal"/>
      <w:lvlText w:val="%1)"/>
      <w:lvlJc w:val="left"/>
      <w:pPr>
        <w:ind w:left="720" w:hanging="360"/>
      </w:pPr>
      <w:rPr>
        <w:rFonts w:asciiTheme="minorHAnsi" w:eastAsiaTheme="minorHAnsi" w:hAnsiTheme="minorHAnsi" w:cstheme="minorBidi"/>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nsid w:val="21795DF4"/>
    <w:multiLevelType w:val="hybridMultilevel"/>
    <w:tmpl w:val="ACDC0EB0"/>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nsid w:val="223D3898"/>
    <w:multiLevelType w:val="hybridMultilevel"/>
    <w:tmpl w:val="B406F64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Symbol"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Symbol"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Symbol" w:hint="default"/>
      </w:rPr>
    </w:lvl>
    <w:lvl w:ilvl="8" w:tplc="300A0005" w:tentative="1">
      <w:start w:val="1"/>
      <w:numFmt w:val="bullet"/>
      <w:lvlText w:val=""/>
      <w:lvlJc w:val="left"/>
      <w:pPr>
        <w:ind w:left="6480" w:hanging="360"/>
      </w:pPr>
      <w:rPr>
        <w:rFonts w:ascii="Wingdings" w:hAnsi="Wingdings" w:hint="default"/>
      </w:rPr>
    </w:lvl>
  </w:abstractNum>
  <w:abstractNum w:abstractNumId="9">
    <w:nsid w:val="289350E7"/>
    <w:multiLevelType w:val="hybridMultilevel"/>
    <w:tmpl w:val="1138E96C"/>
    <w:lvl w:ilvl="0" w:tplc="1E8A148E">
      <w:start w:val="1"/>
      <w:numFmt w:val="bullet"/>
      <w:lvlText w:val=""/>
      <w:lvlJc w:val="left"/>
      <w:pPr>
        <w:ind w:left="720" w:hanging="360"/>
      </w:pPr>
      <w:rPr>
        <w:rFonts w:ascii="Symbol" w:eastAsiaTheme="minorHAnsi" w:hAnsi="Symbol" w:cstheme="minorBidi"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2C631E2E"/>
    <w:multiLevelType w:val="hybridMultilevel"/>
    <w:tmpl w:val="51B03A5E"/>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nsid w:val="368E3026"/>
    <w:multiLevelType w:val="hybridMultilevel"/>
    <w:tmpl w:val="D0EA49CE"/>
    <w:lvl w:ilvl="0" w:tplc="21E48290">
      <w:numFmt w:val="bullet"/>
      <w:lvlText w:val="-"/>
      <w:lvlJc w:val="left"/>
      <w:pPr>
        <w:ind w:left="1060" w:hanging="700"/>
      </w:pPr>
      <w:rPr>
        <w:rFonts w:ascii="Cambria" w:eastAsiaTheme="minorHAnsi" w:hAnsi="Cambria" w:cstheme="minorBidi"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nsid w:val="3CBA5D11"/>
    <w:multiLevelType w:val="hybridMultilevel"/>
    <w:tmpl w:val="B4EEB4C4"/>
    <w:lvl w:ilvl="0" w:tplc="F454EE96">
      <w:start w:val="5"/>
      <w:numFmt w:val="decimal"/>
      <w:lvlText w:val="%1."/>
      <w:lvlJc w:val="left"/>
      <w:pPr>
        <w:ind w:left="720" w:hanging="360"/>
      </w:pPr>
      <w:rPr>
        <w:rFonts w:hint="default"/>
        <w:i/>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470E26D7"/>
    <w:multiLevelType w:val="hybridMultilevel"/>
    <w:tmpl w:val="9A94B44E"/>
    <w:lvl w:ilvl="0" w:tplc="080A000F">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EF251C4"/>
    <w:multiLevelType w:val="hybridMultilevel"/>
    <w:tmpl w:val="F68A8C38"/>
    <w:lvl w:ilvl="0" w:tplc="F82A1954">
      <w:start w:val="6"/>
      <w:numFmt w:val="bullet"/>
      <w:lvlText w:val="-"/>
      <w:lvlJc w:val="left"/>
      <w:pPr>
        <w:ind w:left="720" w:hanging="360"/>
      </w:pPr>
      <w:rPr>
        <w:rFonts w:ascii="Cambria" w:eastAsiaTheme="minorHAnsi" w:hAnsi="Cambria" w:cstheme="minorBidi"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nsid w:val="5B5B0AD1"/>
    <w:multiLevelType w:val="hybridMultilevel"/>
    <w:tmpl w:val="412EFC42"/>
    <w:lvl w:ilvl="0" w:tplc="1D90A8E0">
      <w:start w:val="1"/>
      <w:numFmt w:val="bullet"/>
      <w:lvlText w:val="-"/>
      <w:lvlJc w:val="left"/>
      <w:pPr>
        <w:ind w:left="720" w:hanging="360"/>
      </w:pPr>
      <w:rPr>
        <w:rFonts w:ascii="Cambria" w:eastAsiaTheme="minorHAnsi" w:hAnsi="Cambria" w:cstheme="minorBidi"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nsid w:val="7464738E"/>
    <w:multiLevelType w:val="hybridMultilevel"/>
    <w:tmpl w:val="B1102034"/>
    <w:lvl w:ilvl="0" w:tplc="801E5FB8">
      <w:numFmt w:val="bullet"/>
      <w:lvlText w:val="-"/>
      <w:lvlJc w:val="left"/>
      <w:pPr>
        <w:ind w:left="720" w:hanging="360"/>
      </w:pPr>
      <w:rPr>
        <w:rFonts w:ascii="Cambria" w:eastAsiaTheme="minorHAnsi" w:hAnsi="Cambria" w:cstheme="minorBidi"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nsid w:val="777D4D83"/>
    <w:multiLevelType w:val="multilevel"/>
    <w:tmpl w:val="1D56F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784B3884"/>
    <w:multiLevelType w:val="hybridMultilevel"/>
    <w:tmpl w:val="E0D620F0"/>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3"/>
  </w:num>
  <w:num w:numId="3">
    <w:abstractNumId w:val="11"/>
  </w:num>
  <w:num w:numId="4">
    <w:abstractNumId w:val="5"/>
  </w:num>
  <w:num w:numId="5">
    <w:abstractNumId w:val="14"/>
  </w:num>
  <w:num w:numId="6">
    <w:abstractNumId w:val="17"/>
  </w:num>
  <w:num w:numId="7">
    <w:abstractNumId w:val="10"/>
  </w:num>
  <w:num w:numId="8">
    <w:abstractNumId w:val="16"/>
  </w:num>
  <w:num w:numId="9">
    <w:abstractNumId w:val="8"/>
  </w:num>
  <w:num w:numId="10">
    <w:abstractNumId w:val="6"/>
  </w:num>
  <w:num w:numId="11">
    <w:abstractNumId w:val="7"/>
  </w:num>
  <w:num w:numId="12">
    <w:abstractNumId w:val="9"/>
  </w:num>
  <w:num w:numId="13">
    <w:abstractNumId w:val="0"/>
  </w:num>
  <w:num w:numId="14">
    <w:abstractNumId w:val="4"/>
  </w:num>
  <w:num w:numId="15">
    <w:abstractNumId w:val="18"/>
  </w:num>
  <w:num w:numId="16">
    <w:abstractNumId w:val="12"/>
  </w:num>
  <w:num w:numId="17">
    <w:abstractNumId w:val="13"/>
  </w:num>
  <w:num w:numId="18">
    <w:abstractNumId w:val="15"/>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footnotePr>
    <w:footnote w:id="0"/>
    <w:footnote w:id="1"/>
  </w:footnotePr>
  <w:endnotePr>
    <w:endnote w:id="0"/>
    <w:endnote w:id="1"/>
  </w:endnotePr>
  <w:compat/>
  <w:rsids>
    <w:rsidRoot w:val="00926769"/>
    <w:rsid w:val="00016B6F"/>
    <w:rsid w:val="00023250"/>
    <w:rsid w:val="00081A68"/>
    <w:rsid w:val="00084A50"/>
    <w:rsid w:val="000B316C"/>
    <w:rsid w:val="000C0F48"/>
    <w:rsid w:val="000C7C7E"/>
    <w:rsid w:val="000D3D59"/>
    <w:rsid w:val="000F0A0E"/>
    <w:rsid w:val="00113ACE"/>
    <w:rsid w:val="00131334"/>
    <w:rsid w:val="00163BF9"/>
    <w:rsid w:val="001B7C12"/>
    <w:rsid w:val="00210CC3"/>
    <w:rsid w:val="00212D40"/>
    <w:rsid w:val="00244EDC"/>
    <w:rsid w:val="00250137"/>
    <w:rsid w:val="00267A9E"/>
    <w:rsid w:val="00292E28"/>
    <w:rsid w:val="002B0B17"/>
    <w:rsid w:val="002B7ED2"/>
    <w:rsid w:val="002D3604"/>
    <w:rsid w:val="002D5FD7"/>
    <w:rsid w:val="002E10B4"/>
    <w:rsid w:val="00347A66"/>
    <w:rsid w:val="003502EE"/>
    <w:rsid w:val="0035116A"/>
    <w:rsid w:val="00360D0E"/>
    <w:rsid w:val="00366BAA"/>
    <w:rsid w:val="00367101"/>
    <w:rsid w:val="003775FF"/>
    <w:rsid w:val="0039066B"/>
    <w:rsid w:val="0039649E"/>
    <w:rsid w:val="003B116C"/>
    <w:rsid w:val="003C556D"/>
    <w:rsid w:val="00447357"/>
    <w:rsid w:val="004512F7"/>
    <w:rsid w:val="004934DE"/>
    <w:rsid w:val="00496B1E"/>
    <w:rsid w:val="004B52B1"/>
    <w:rsid w:val="004B6B6C"/>
    <w:rsid w:val="004E3F6E"/>
    <w:rsid w:val="00503DD0"/>
    <w:rsid w:val="005079C9"/>
    <w:rsid w:val="00532C22"/>
    <w:rsid w:val="00537260"/>
    <w:rsid w:val="00550019"/>
    <w:rsid w:val="00552C54"/>
    <w:rsid w:val="00555864"/>
    <w:rsid w:val="005A36F9"/>
    <w:rsid w:val="005A46B0"/>
    <w:rsid w:val="005B0F4D"/>
    <w:rsid w:val="005E7BAB"/>
    <w:rsid w:val="005F02D2"/>
    <w:rsid w:val="00613D5A"/>
    <w:rsid w:val="0062053A"/>
    <w:rsid w:val="006348CE"/>
    <w:rsid w:val="006446B1"/>
    <w:rsid w:val="0066534D"/>
    <w:rsid w:val="006A18F3"/>
    <w:rsid w:val="006A2A8B"/>
    <w:rsid w:val="006A5936"/>
    <w:rsid w:val="006C5B9C"/>
    <w:rsid w:val="006D5DB5"/>
    <w:rsid w:val="00734041"/>
    <w:rsid w:val="007551EC"/>
    <w:rsid w:val="007560BF"/>
    <w:rsid w:val="00760D7D"/>
    <w:rsid w:val="0078112B"/>
    <w:rsid w:val="007B413A"/>
    <w:rsid w:val="007B71BA"/>
    <w:rsid w:val="007C4464"/>
    <w:rsid w:val="007D3216"/>
    <w:rsid w:val="007F04FE"/>
    <w:rsid w:val="007F4091"/>
    <w:rsid w:val="007F76D5"/>
    <w:rsid w:val="00822DCF"/>
    <w:rsid w:val="00826BB9"/>
    <w:rsid w:val="0084519E"/>
    <w:rsid w:val="00856D17"/>
    <w:rsid w:val="00881680"/>
    <w:rsid w:val="00883BD6"/>
    <w:rsid w:val="0088660D"/>
    <w:rsid w:val="0089287E"/>
    <w:rsid w:val="008D2AFB"/>
    <w:rsid w:val="008E2EBA"/>
    <w:rsid w:val="008F4C0C"/>
    <w:rsid w:val="00926769"/>
    <w:rsid w:val="009402DB"/>
    <w:rsid w:val="00966F1B"/>
    <w:rsid w:val="00967AE3"/>
    <w:rsid w:val="009801A2"/>
    <w:rsid w:val="00991D9F"/>
    <w:rsid w:val="009A41B4"/>
    <w:rsid w:val="009E7888"/>
    <w:rsid w:val="009F3762"/>
    <w:rsid w:val="00A209FE"/>
    <w:rsid w:val="00A356F1"/>
    <w:rsid w:val="00A46A9C"/>
    <w:rsid w:val="00A46D6D"/>
    <w:rsid w:val="00A67233"/>
    <w:rsid w:val="00A90AE2"/>
    <w:rsid w:val="00A97FB7"/>
    <w:rsid w:val="00AB0CAA"/>
    <w:rsid w:val="00B36DDA"/>
    <w:rsid w:val="00B46253"/>
    <w:rsid w:val="00B60748"/>
    <w:rsid w:val="00B80132"/>
    <w:rsid w:val="00B84F25"/>
    <w:rsid w:val="00BA5575"/>
    <w:rsid w:val="00BB1805"/>
    <w:rsid w:val="00BC49C7"/>
    <w:rsid w:val="00BE0A82"/>
    <w:rsid w:val="00C0180A"/>
    <w:rsid w:val="00C070D4"/>
    <w:rsid w:val="00C10FFF"/>
    <w:rsid w:val="00C11046"/>
    <w:rsid w:val="00C36A07"/>
    <w:rsid w:val="00C55D94"/>
    <w:rsid w:val="00CF1B5C"/>
    <w:rsid w:val="00D21405"/>
    <w:rsid w:val="00D45D5D"/>
    <w:rsid w:val="00D8264D"/>
    <w:rsid w:val="00D92364"/>
    <w:rsid w:val="00DA2CD9"/>
    <w:rsid w:val="00E403C6"/>
    <w:rsid w:val="00E55590"/>
    <w:rsid w:val="00E60A14"/>
    <w:rsid w:val="00E66905"/>
    <w:rsid w:val="00E80E4F"/>
    <w:rsid w:val="00EA75CA"/>
    <w:rsid w:val="00EB6B9C"/>
    <w:rsid w:val="00EC51C1"/>
    <w:rsid w:val="00ED2EEC"/>
    <w:rsid w:val="00F12002"/>
    <w:rsid w:val="00F14027"/>
    <w:rsid w:val="00F35A8A"/>
    <w:rsid w:val="00F45351"/>
    <w:rsid w:val="00FA48B5"/>
    <w:rsid w:val="00FF0F6F"/>
    <w:rsid w:val="00FF5BE8"/>
  </w:rsids>
  <m:mathPr>
    <m:mathFont m:val="Wingdings 2"/>
    <m:brkBin m:val="before"/>
    <m:brkBinSub m:val="--"/>
    <m:smallFrac/>
    <m:dispDef/>
    <m:lMargin m:val="0"/>
    <m:rMargin m:val="0"/>
    <m:defJc m:val="centerGroup"/>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ES_tradnl"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926769"/>
    <w:rPr>
      <w:lang w:val="ca-ES"/>
    </w:rPr>
  </w:style>
  <w:style w:type="paragraph" w:styleId="Ttulo1">
    <w:name w:val="heading 1"/>
    <w:basedOn w:val="Normal"/>
    <w:next w:val="Normal"/>
    <w:link w:val="Ttulo1Car"/>
    <w:uiPriority w:val="9"/>
    <w:qFormat/>
    <w:rsid w:val="00A97FB7"/>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s-EC" w:eastAsia="es-EC"/>
    </w:rPr>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Prrafodelista">
    <w:name w:val="List Paragraph"/>
    <w:basedOn w:val="Normal"/>
    <w:link w:val="PrrafodelistaCar"/>
    <w:uiPriority w:val="34"/>
    <w:qFormat/>
    <w:rsid w:val="00926769"/>
    <w:pPr>
      <w:ind w:left="720"/>
      <w:contextualSpacing/>
    </w:pPr>
  </w:style>
  <w:style w:type="paragraph" w:styleId="Textonotapie">
    <w:name w:val="footnote text"/>
    <w:basedOn w:val="Normal"/>
    <w:link w:val="TextonotapieCar"/>
    <w:uiPriority w:val="99"/>
    <w:unhideWhenUsed/>
    <w:rsid w:val="003775FF"/>
    <w:pPr>
      <w:spacing w:after="0"/>
    </w:pPr>
    <w:rPr>
      <w:lang w:val="es-ES_tradnl"/>
    </w:rPr>
  </w:style>
  <w:style w:type="character" w:customStyle="1" w:styleId="TextonotapieCar">
    <w:name w:val="Texto nota pie Car"/>
    <w:basedOn w:val="Fuentedeprrafopredeter"/>
    <w:link w:val="Textonotapie"/>
    <w:uiPriority w:val="99"/>
    <w:rsid w:val="003775FF"/>
  </w:style>
  <w:style w:type="character" w:styleId="Refdenotaalpie">
    <w:name w:val="footnote reference"/>
    <w:basedOn w:val="Fuentedeprrafopredeter"/>
    <w:uiPriority w:val="99"/>
    <w:unhideWhenUsed/>
    <w:rsid w:val="003775FF"/>
    <w:rPr>
      <w:vertAlign w:val="superscript"/>
    </w:rPr>
  </w:style>
  <w:style w:type="character" w:customStyle="1" w:styleId="Ttulo1Car">
    <w:name w:val="Título 1 Car"/>
    <w:basedOn w:val="Fuentedeprrafopredeter"/>
    <w:link w:val="Ttulo1"/>
    <w:uiPriority w:val="9"/>
    <w:rsid w:val="00A97FB7"/>
    <w:rPr>
      <w:rFonts w:asciiTheme="majorHAnsi" w:eastAsiaTheme="majorEastAsia" w:hAnsiTheme="majorHAnsi" w:cstheme="majorBidi"/>
      <w:b/>
      <w:bCs/>
      <w:color w:val="365F91" w:themeColor="accent1" w:themeShade="BF"/>
      <w:sz w:val="28"/>
      <w:szCs w:val="28"/>
      <w:lang w:val="es-EC" w:eastAsia="es-EC"/>
    </w:rPr>
  </w:style>
  <w:style w:type="table" w:styleId="Tablaconcuadrcula">
    <w:name w:val="Table Grid"/>
    <w:basedOn w:val="Tablanormal"/>
    <w:uiPriority w:val="59"/>
    <w:rsid w:val="00A97FB7"/>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unhideWhenUsed/>
    <w:rsid w:val="00A97FB7"/>
    <w:pPr>
      <w:spacing w:after="0"/>
    </w:pPr>
    <w:rPr>
      <w:rFonts w:ascii="Lucida Grande" w:hAnsi="Lucida Grande"/>
      <w:sz w:val="18"/>
      <w:szCs w:val="18"/>
      <w:lang w:val="es-ES_tradnl"/>
    </w:rPr>
  </w:style>
  <w:style w:type="character" w:customStyle="1" w:styleId="TextodegloboCar">
    <w:name w:val="Texto de globo Car"/>
    <w:basedOn w:val="Fuentedeprrafopredeter"/>
    <w:link w:val="Textodeglobo"/>
    <w:uiPriority w:val="99"/>
    <w:rsid w:val="00A97FB7"/>
    <w:rPr>
      <w:rFonts w:ascii="Lucida Grande" w:hAnsi="Lucida Grande"/>
      <w:sz w:val="18"/>
      <w:szCs w:val="18"/>
    </w:rPr>
  </w:style>
  <w:style w:type="paragraph" w:styleId="Piedepgina">
    <w:name w:val="footer"/>
    <w:basedOn w:val="Normal"/>
    <w:link w:val="PiedepginaCar"/>
    <w:rsid w:val="00A97FB7"/>
    <w:pPr>
      <w:tabs>
        <w:tab w:val="center" w:pos="4252"/>
        <w:tab w:val="right" w:pos="8504"/>
      </w:tabs>
      <w:spacing w:after="0"/>
    </w:pPr>
    <w:rPr>
      <w:lang w:val="es-ES_tradnl"/>
    </w:rPr>
  </w:style>
  <w:style w:type="character" w:customStyle="1" w:styleId="PiedepginaCar">
    <w:name w:val="Pie de página Car"/>
    <w:basedOn w:val="Fuentedeprrafopredeter"/>
    <w:link w:val="Piedepgina"/>
    <w:rsid w:val="00A97FB7"/>
  </w:style>
  <w:style w:type="character" w:styleId="Nmerodepgina">
    <w:name w:val="page number"/>
    <w:basedOn w:val="Fuentedeprrafopredeter"/>
    <w:rsid w:val="00A97FB7"/>
  </w:style>
  <w:style w:type="character" w:styleId="Hipervnculo">
    <w:name w:val="Hyperlink"/>
    <w:basedOn w:val="Fuentedeprrafopredeter"/>
    <w:uiPriority w:val="99"/>
    <w:unhideWhenUsed/>
    <w:rsid w:val="00A97FB7"/>
    <w:rPr>
      <w:color w:val="0000FF" w:themeColor="hyperlink"/>
      <w:u w:val="single"/>
    </w:rPr>
  </w:style>
  <w:style w:type="character" w:customStyle="1" w:styleId="PrrafodelistaCar">
    <w:name w:val="Párrafo de lista Car"/>
    <w:link w:val="Prrafodelista"/>
    <w:uiPriority w:val="34"/>
    <w:locked/>
    <w:rsid w:val="00A97FB7"/>
    <w:rPr>
      <w:lang w:val="ca-ES"/>
    </w:rPr>
  </w:style>
  <w:style w:type="paragraph" w:styleId="Encabezado">
    <w:name w:val="header"/>
    <w:basedOn w:val="Normal"/>
    <w:link w:val="EncabezadoCar"/>
    <w:rsid w:val="00A97FB7"/>
    <w:pPr>
      <w:tabs>
        <w:tab w:val="center" w:pos="4252"/>
        <w:tab w:val="right" w:pos="8504"/>
      </w:tabs>
      <w:spacing w:after="0"/>
    </w:pPr>
    <w:rPr>
      <w:lang w:val="es-ES_tradnl"/>
    </w:rPr>
  </w:style>
  <w:style w:type="character" w:customStyle="1" w:styleId="EncabezadoCar">
    <w:name w:val="Encabezado Car"/>
    <w:basedOn w:val="Fuentedeprrafopredeter"/>
    <w:link w:val="Encabezado"/>
    <w:rsid w:val="00A97FB7"/>
  </w:style>
  <w:style w:type="character" w:styleId="Hipervnculovisitado">
    <w:name w:val="FollowedHyperlink"/>
    <w:basedOn w:val="Fuentedeprrafopredeter"/>
    <w:rsid w:val="00A97FB7"/>
    <w:rPr>
      <w:color w:val="800080" w:themeColor="followedHyperlink"/>
      <w:u w:val="single"/>
    </w:rPr>
  </w:style>
  <w:style w:type="character" w:styleId="Textodelmarcadordeposicin">
    <w:name w:val="Placeholder Text"/>
    <w:basedOn w:val="Fuentedeprrafopredeter"/>
    <w:uiPriority w:val="99"/>
    <w:rsid w:val="004934D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_tradnl" w:eastAsia="en-US" w:bidi="ar-SA"/>
      </w:rPr>
    </w:rPrDefault>
    <w:pPrDefault>
      <w:pPr>
        <w:spacing w:after="200"/>
      </w:pPr>
    </w:pPrDefault>
  </w:docDefaults>
  <w:latentStyles w:defLockedState="0" w:defUIPriority="0" w:defSemiHidden="0" w:defUnhideWhenUsed="0" w:defQFormat="0" w:count="267">
    <w:lsdException w:name="heading 1" w:uiPriority="9" w:qFormat="1"/>
    <w:lsdException w:name="footnote text" w:uiPriority="99"/>
    <w:lsdException w:name="footnote reference" w:uiPriority="99"/>
    <w:lsdException w:name="Hyperlink" w:uiPriority="99"/>
    <w:lsdException w:name="Balloon Text" w:uiPriority="99"/>
    <w:lsdException w:name="Table Grid" w:uiPriority="59"/>
    <w:lsdException w:name="List Paragraph" w:uiPriority="34" w:qFormat="1"/>
  </w:latentStyles>
  <w:style w:type="paragraph" w:default="1" w:styleId="Normal">
    <w:name w:val="Normal"/>
    <w:qFormat/>
    <w:rsid w:val="00926769"/>
    <w:rPr>
      <w:lang w:val="ca-ES"/>
    </w:rPr>
  </w:style>
  <w:style w:type="paragraph" w:styleId="Ttulo1">
    <w:name w:val="heading 1"/>
    <w:basedOn w:val="Normal"/>
    <w:next w:val="Normal"/>
    <w:link w:val="Ttulo1Car"/>
    <w:uiPriority w:val="9"/>
    <w:qFormat/>
    <w:rsid w:val="00A97FB7"/>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s-EC" w:eastAsia="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26769"/>
    <w:pPr>
      <w:ind w:left="720"/>
      <w:contextualSpacing/>
    </w:pPr>
  </w:style>
  <w:style w:type="paragraph" w:styleId="Textonotapie">
    <w:name w:val="footnote text"/>
    <w:basedOn w:val="Normal"/>
    <w:link w:val="TextonotapieCar"/>
    <w:uiPriority w:val="99"/>
    <w:unhideWhenUsed/>
    <w:rsid w:val="003775FF"/>
    <w:pPr>
      <w:spacing w:after="0"/>
    </w:pPr>
    <w:rPr>
      <w:lang w:val="es-ES_tradnl"/>
    </w:rPr>
  </w:style>
  <w:style w:type="character" w:customStyle="1" w:styleId="TextonotapieCar">
    <w:name w:val="Texto nota pie Car"/>
    <w:basedOn w:val="Fuentedeprrafopredeter"/>
    <w:link w:val="Textonotapie"/>
    <w:uiPriority w:val="99"/>
    <w:rsid w:val="003775FF"/>
  </w:style>
  <w:style w:type="character" w:styleId="Refdenotaalpie">
    <w:name w:val="footnote reference"/>
    <w:basedOn w:val="Fuentedeprrafopredeter"/>
    <w:uiPriority w:val="99"/>
    <w:unhideWhenUsed/>
    <w:rsid w:val="003775FF"/>
    <w:rPr>
      <w:vertAlign w:val="superscript"/>
    </w:rPr>
  </w:style>
  <w:style w:type="character" w:customStyle="1" w:styleId="Ttulo1Car">
    <w:name w:val="Título 1 Car"/>
    <w:basedOn w:val="Fuentedeprrafopredeter"/>
    <w:link w:val="Ttulo1"/>
    <w:uiPriority w:val="9"/>
    <w:rsid w:val="00A97FB7"/>
    <w:rPr>
      <w:rFonts w:asciiTheme="majorHAnsi" w:eastAsiaTheme="majorEastAsia" w:hAnsiTheme="majorHAnsi" w:cstheme="majorBidi"/>
      <w:b/>
      <w:bCs/>
      <w:color w:val="365F91" w:themeColor="accent1" w:themeShade="BF"/>
      <w:sz w:val="28"/>
      <w:szCs w:val="28"/>
      <w:lang w:val="es-EC" w:eastAsia="es-EC"/>
    </w:rPr>
  </w:style>
  <w:style w:type="table" w:styleId="Tablaconcuadrcula">
    <w:name w:val="Table Grid"/>
    <w:basedOn w:val="Tablanormal"/>
    <w:uiPriority w:val="59"/>
    <w:rsid w:val="00A97FB7"/>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unhideWhenUsed/>
    <w:rsid w:val="00A97FB7"/>
    <w:pPr>
      <w:spacing w:after="0"/>
    </w:pPr>
    <w:rPr>
      <w:rFonts w:ascii="Lucida Grande" w:hAnsi="Lucida Grande"/>
      <w:sz w:val="18"/>
      <w:szCs w:val="18"/>
      <w:lang w:val="es-ES_tradnl"/>
    </w:rPr>
  </w:style>
  <w:style w:type="character" w:customStyle="1" w:styleId="TextodegloboCar">
    <w:name w:val="Texto de globo Car"/>
    <w:basedOn w:val="Fuentedeprrafopredeter"/>
    <w:link w:val="Textodeglobo"/>
    <w:uiPriority w:val="99"/>
    <w:rsid w:val="00A97FB7"/>
    <w:rPr>
      <w:rFonts w:ascii="Lucida Grande" w:hAnsi="Lucida Grande"/>
      <w:sz w:val="18"/>
      <w:szCs w:val="18"/>
    </w:rPr>
  </w:style>
  <w:style w:type="paragraph" w:styleId="Piedepgina">
    <w:name w:val="footer"/>
    <w:basedOn w:val="Normal"/>
    <w:link w:val="PiedepginaCar"/>
    <w:rsid w:val="00A97FB7"/>
    <w:pPr>
      <w:tabs>
        <w:tab w:val="center" w:pos="4252"/>
        <w:tab w:val="right" w:pos="8504"/>
      </w:tabs>
      <w:spacing w:after="0"/>
    </w:pPr>
    <w:rPr>
      <w:lang w:val="es-ES_tradnl"/>
    </w:rPr>
  </w:style>
  <w:style w:type="character" w:customStyle="1" w:styleId="PiedepginaCar">
    <w:name w:val="Pie de página Car"/>
    <w:basedOn w:val="Fuentedeprrafopredeter"/>
    <w:link w:val="Piedepgina"/>
    <w:rsid w:val="00A97FB7"/>
  </w:style>
  <w:style w:type="character" w:styleId="Nmerodepgina">
    <w:name w:val="page number"/>
    <w:basedOn w:val="Fuentedeprrafopredeter"/>
    <w:rsid w:val="00A97FB7"/>
  </w:style>
  <w:style w:type="character" w:styleId="Hipervnculo">
    <w:name w:val="Hyperlink"/>
    <w:basedOn w:val="Fuentedeprrafopredeter"/>
    <w:uiPriority w:val="99"/>
    <w:unhideWhenUsed/>
    <w:rsid w:val="00A97FB7"/>
    <w:rPr>
      <w:color w:val="0000FF" w:themeColor="hyperlink"/>
      <w:u w:val="single"/>
    </w:rPr>
  </w:style>
  <w:style w:type="character" w:customStyle="1" w:styleId="PrrafodelistaCar">
    <w:name w:val="Párrafo de lista Car"/>
    <w:link w:val="Prrafodelista"/>
    <w:uiPriority w:val="34"/>
    <w:locked/>
    <w:rsid w:val="00A97FB7"/>
    <w:rPr>
      <w:lang w:val="ca-ES"/>
    </w:rPr>
  </w:style>
  <w:style w:type="paragraph" w:styleId="Encabezado">
    <w:name w:val="header"/>
    <w:basedOn w:val="Normal"/>
    <w:link w:val="EncabezadoCar"/>
    <w:rsid w:val="00A97FB7"/>
    <w:pPr>
      <w:tabs>
        <w:tab w:val="center" w:pos="4252"/>
        <w:tab w:val="right" w:pos="8504"/>
      </w:tabs>
      <w:spacing w:after="0"/>
    </w:pPr>
    <w:rPr>
      <w:lang w:val="es-ES_tradnl"/>
    </w:rPr>
  </w:style>
  <w:style w:type="character" w:customStyle="1" w:styleId="EncabezadoCar">
    <w:name w:val="Encabezado Car"/>
    <w:basedOn w:val="Fuentedeprrafopredeter"/>
    <w:link w:val="Encabezado"/>
    <w:rsid w:val="00A97FB7"/>
  </w:style>
  <w:style w:type="character" w:styleId="Hipervnculovisitado">
    <w:name w:val="FollowedHyperlink"/>
    <w:basedOn w:val="Fuentedeprrafopredeter"/>
    <w:rsid w:val="00A97FB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glossaryDocument" Target="glossary/document.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docParts>
    <w:docPart>
      <w:docPartPr>
        <w:name w:val="EABBC91B1797ED41A4AABF2BDC170F88"/>
        <w:category>
          <w:name w:val="General"/>
          <w:gallery w:val="placeholder"/>
        </w:category>
        <w:types>
          <w:type w:val="bbPlcHdr"/>
        </w:types>
        <w:behaviors>
          <w:behavior w:val="content"/>
        </w:behaviors>
        <w:guid w:val="{0670B333-B6F0-EB41-9293-3775D2A462E3}"/>
      </w:docPartPr>
      <w:docPartBody>
        <w:p w:rsidR="0090499B" w:rsidRDefault="001736AC" w:rsidP="001736AC">
          <w:pPr>
            <w:pStyle w:val="EABBC91B1797ED41A4AABF2BDC170F88"/>
          </w:pPr>
          <w:r w:rsidRPr="00D14BDF">
            <w:rPr>
              <w:rStyle w:val="Textodelmarcadordeposicin"/>
            </w:rPr>
            <w:t>[Palabras clave]</w:t>
          </w:r>
        </w:p>
      </w:docPartBody>
    </w:docPart>
    <w:docPart>
      <w:docPartPr>
        <w:name w:val="C6EFD93E10694B46A3BE6299E33B930E"/>
        <w:category>
          <w:name w:val="General"/>
          <w:gallery w:val="placeholder"/>
        </w:category>
        <w:types>
          <w:type w:val="bbPlcHdr"/>
        </w:types>
        <w:behaviors>
          <w:behavior w:val="content"/>
        </w:behaviors>
        <w:guid w:val="{962368E2-5985-6F4C-A84E-3A499B02563E}"/>
      </w:docPartPr>
      <w:docPartBody>
        <w:p w:rsidR="0090499B" w:rsidRDefault="001736AC" w:rsidP="001736AC">
          <w:pPr>
            <w:pStyle w:val="C6EFD93E10694B46A3BE6299E33B930E"/>
          </w:pPr>
          <w:r w:rsidRPr="00D14BDF">
            <w:rPr>
              <w:rStyle w:val="Textodelmarcadordeposicin"/>
            </w:rPr>
            <w:t>[Comentarios]</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compat>
    <w:useFELayout/>
    <w:doNotAutofitConstrainedTables/>
    <w:doNotVertAlignCellWithSp/>
    <w:doNotBreakConstrainedForcedTable/>
    <w:useAnsiKerningPairs/>
    <w:cachedColBalance/>
    <w:splitPgBreakAndParaMark/>
  </w:compat>
  <w:rsids>
    <w:rsidRoot w:val="001736AC"/>
    <w:rsid w:val="00140211"/>
    <w:rsid w:val="001736AC"/>
    <w:rsid w:val="0090499B"/>
  </w:rsids>
  <m:mathPr>
    <m:mathFont m:val="Wingdings 2"/>
    <m:brkBin m:val="before"/>
    <m:brkBinSub m:val="--"/>
    <m:smallFrac m:val="off"/>
    <m:dispDef m:val="off"/>
    <m:lMargin m:val="0"/>
    <m:rMargin m:val="0"/>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_tradnl"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99B"/>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character" w:styleId="Textodelmarcadordeposicin">
    <w:name w:val="Placeholder Text"/>
    <w:basedOn w:val="Fuentedeprrafopredeter"/>
    <w:uiPriority w:val="99"/>
    <w:semiHidden/>
    <w:rsid w:val="001736AC"/>
    <w:rPr>
      <w:color w:val="808080"/>
    </w:rPr>
  </w:style>
  <w:style w:type="paragraph" w:customStyle="1" w:styleId="EABBC91B1797ED41A4AABF2BDC170F88">
    <w:name w:val="EABBC91B1797ED41A4AABF2BDC170F88"/>
    <w:rsid w:val="001736AC"/>
  </w:style>
  <w:style w:type="paragraph" w:customStyle="1" w:styleId="C6EFD93E10694B46A3BE6299E33B930E">
    <w:name w:val="C6EFD93E10694B46A3BE6299E33B930E"/>
    <w:rsid w:val="001736AC"/>
  </w:style>
</w:styles>
</file>

<file path=word/glossary/webSettings.xml><?xml version="1.0" encoding="utf-8"?>
<w:webSettings xmlns:r="http://schemas.openxmlformats.org/officeDocument/2006/relationships" xmlns:w="http://schemas.openxmlformats.org/wordprocessingml/2006/main">
  <w:allowPNG/>
  <w:doNotSaveAsSingleFile/>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19</Pages>
  <Words>8214</Words>
  <Characters>46012</Characters>
  <Application>Microsoft Word 12.0.0</Application>
  <DocSecurity>0</DocSecurity>
  <Lines>837</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Ubasart</dc:creator>
  <cp:keywords>Regimen de Bienestar, Política Social, Ecuador, Bolivia, Venezuela</cp:keywords>
  <dc:description>Work in process. Por favor, no citar sin consultar a las autoras. Este trabajo se enmarca dentro del proyecto de investigación “Revolución Ciudadana y Régimen de Bienestar en el Ecuador” que está siendo financiado por CLACSO. En este trabajo participan también la Dra. Valeria Coronel y Gregorio Paez.</dc:description>
  <cp:lastModifiedBy>Gemma Ubasart</cp:lastModifiedBy>
  <cp:revision>6</cp:revision>
  <dcterms:created xsi:type="dcterms:W3CDTF">2013-09-10T15:56:00Z</dcterms:created>
  <dcterms:modified xsi:type="dcterms:W3CDTF">2013-09-10T16:06:00Z</dcterms:modified>
</cp:coreProperties>
</file>