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A53" w:rsidRPr="00D70FF3" w:rsidRDefault="006B6A53" w:rsidP="006B6A53">
      <w:pPr>
        <w:spacing w:before="100" w:beforeAutospacing="1" w:after="100" w:afterAutospacing="1" w:line="240" w:lineRule="auto"/>
        <w:jc w:val="center"/>
        <w:outlineLvl w:val="2"/>
        <w:rPr>
          <w:rFonts w:asciiTheme="minorHAnsi" w:hAnsiTheme="minorHAnsi" w:cs="Times New Roman"/>
          <w:b/>
          <w:bCs/>
          <w:sz w:val="36"/>
          <w:szCs w:val="36"/>
        </w:rPr>
      </w:pPr>
      <w:r w:rsidRPr="00D70FF3">
        <w:rPr>
          <w:rFonts w:asciiTheme="minorHAnsi" w:hAnsiTheme="minorHAnsi" w:cs="Times New Roman"/>
          <w:b/>
          <w:bCs/>
          <w:sz w:val="36"/>
          <w:szCs w:val="36"/>
        </w:rPr>
        <w:t>XI Congreso de la AECPA (Sevilla, septiembre 2013)</w:t>
      </w:r>
    </w:p>
    <w:p w:rsidR="006B6A53" w:rsidRPr="00D70FF3" w:rsidRDefault="006B6A53" w:rsidP="006B6A53">
      <w:pPr>
        <w:spacing w:before="100" w:beforeAutospacing="1" w:after="100" w:afterAutospacing="1" w:line="240" w:lineRule="auto"/>
        <w:jc w:val="both"/>
        <w:outlineLvl w:val="3"/>
        <w:rPr>
          <w:rFonts w:asciiTheme="minorHAnsi" w:hAnsiTheme="minorHAnsi" w:cs="Times New Roman"/>
          <w:b/>
          <w:bCs/>
          <w:sz w:val="28"/>
          <w:szCs w:val="28"/>
        </w:rPr>
      </w:pPr>
      <w:r w:rsidRPr="00D70FF3">
        <w:rPr>
          <w:rFonts w:asciiTheme="minorHAnsi" w:hAnsiTheme="minorHAnsi" w:cs="Times New Roman"/>
          <w:b/>
          <w:bCs/>
          <w:sz w:val="28"/>
          <w:szCs w:val="28"/>
        </w:rPr>
        <w:t>Grupo de Trabajo 2.3:  Procesos políticos en la Unión Europea en tiempos de crisis: respuestas de distintos actores en una gobernanza multinivel</w:t>
      </w:r>
    </w:p>
    <w:p w:rsidR="006B6A53" w:rsidRPr="00D70FF3" w:rsidRDefault="006B6A53" w:rsidP="006B6A53">
      <w:pPr>
        <w:spacing w:after="0" w:line="240" w:lineRule="auto"/>
        <w:jc w:val="both"/>
        <w:rPr>
          <w:rFonts w:asciiTheme="minorHAnsi" w:hAnsiTheme="minorHAnsi" w:cs="Times New Roman"/>
          <w:b/>
          <w:sz w:val="28"/>
          <w:szCs w:val="28"/>
        </w:rPr>
      </w:pPr>
      <w:r w:rsidRPr="00D70FF3">
        <w:rPr>
          <w:rFonts w:asciiTheme="minorHAnsi" w:hAnsiTheme="minorHAnsi" w:cs="Times New Roman"/>
          <w:b/>
          <w:sz w:val="28"/>
          <w:szCs w:val="28"/>
        </w:rPr>
        <w:t xml:space="preserve">Autor/a: Alberto de la Peña Varona (Dpto. de Ciencia Política y de la Admnistración. UPV-EHU). </w:t>
      </w:r>
    </w:p>
    <w:p w:rsidR="006B6A53" w:rsidRPr="00D70FF3" w:rsidRDefault="006B6A53" w:rsidP="006B6A53">
      <w:pPr>
        <w:spacing w:after="0" w:line="240" w:lineRule="auto"/>
        <w:rPr>
          <w:rFonts w:asciiTheme="minorHAnsi" w:hAnsiTheme="minorHAnsi" w:cs="Times New Roman"/>
          <w:b/>
          <w:sz w:val="28"/>
          <w:szCs w:val="28"/>
        </w:rPr>
      </w:pPr>
      <w:r w:rsidRPr="00D70FF3">
        <w:rPr>
          <w:rFonts w:asciiTheme="minorHAnsi" w:hAnsiTheme="minorHAnsi" w:cs="Times New Roman"/>
          <w:b/>
          <w:sz w:val="28"/>
          <w:szCs w:val="28"/>
        </w:rPr>
        <w:t>E-Mail: alberto.delapena@ehu.es</w:t>
      </w:r>
    </w:p>
    <w:p w:rsidR="006B6A53" w:rsidRPr="00D70FF3" w:rsidRDefault="006B6A53" w:rsidP="006B6A53">
      <w:pPr>
        <w:spacing w:before="100" w:beforeAutospacing="1" w:after="100" w:afterAutospacing="1" w:line="240" w:lineRule="auto"/>
        <w:jc w:val="both"/>
        <w:outlineLvl w:val="2"/>
        <w:rPr>
          <w:rFonts w:asciiTheme="minorHAnsi" w:hAnsiTheme="minorHAnsi" w:cs="Times New Roman"/>
          <w:b/>
          <w:bCs/>
          <w:sz w:val="36"/>
          <w:szCs w:val="36"/>
        </w:rPr>
      </w:pPr>
    </w:p>
    <w:p w:rsidR="006B6A53" w:rsidRPr="00D70FF3" w:rsidRDefault="006B6A53" w:rsidP="006B6A53">
      <w:pPr>
        <w:spacing w:before="100" w:beforeAutospacing="1" w:after="100" w:afterAutospacing="1" w:line="240" w:lineRule="auto"/>
        <w:jc w:val="both"/>
        <w:outlineLvl w:val="2"/>
        <w:rPr>
          <w:rFonts w:asciiTheme="minorHAnsi" w:hAnsiTheme="minorHAnsi" w:cs="Times New Roman"/>
          <w:b/>
          <w:bCs/>
          <w:sz w:val="36"/>
          <w:szCs w:val="36"/>
        </w:rPr>
      </w:pPr>
      <w:r w:rsidRPr="00D70FF3">
        <w:rPr>
          <w:rFonts w:asciiTheme="minorHAnsi" w:hAnsiTheme="minorHAnsi" w:cs="Times New Roman"/>
          <w:b/>
          <w:bCs/>
          <w:sz w:val="36"/>
          <w:szCs w:val="36"/>
        </w:rPr>
        <w:t>Título: Políticas de mitigación del cambio climático en la Comunidad Autónoma del País Vasco. Un análisis comparado con Escocia, Cataluña y Flandes</w:t>
      </w:r>
    </w:p>
    <w:p w:rsidR="006B6A53" w:rsidRPr="00F54E5A" w:rsidRDefault="006B6A53" w:rsidP="006B6A53">
      <w:pPr>
        <w:pStyle w:val="NormalWeb"/>
        <w:jc w:val="both"/>
        <w:rPr>
          <w:rFonts w:asciiTheme="minorHAnsi" w:hAnsiTheme="minorHAnsi"/>
        </w:rPr>
      </w:pPr>
      <w:r w:rsidRPr="00F54E5A">
        <w:rPr>
          <w:rFonts w:asciiTheme="minorHAnsi" w:hAnsiTheme="minorHAnsi"/>
          <w:b/>
        </w:rPr>
        <w:t>Resumen</w:t>
      </w:r>
      <w:r w:rsidRPr="00F54E5A">
        <w:rPr>
          <w:rFonts w:asciiTheme="minorHAnsi" w:hAnsiTheme="minorHAnsi"/>
        </w:rPr>
        <w:t xml:space="preserve">: Las políticas de cambio climático han sido una de las expresiones más claras de una nueva problemática global a la que las instituciones públicas han de dar respuesta. </w:t>
      </w:r>
      <w:r w:rsidR="00850A68">
        <w:rPr>
          <w:rFonts w:asciiTheme="minorHAnsi" w:hAnsiTheme="minorHAnsi"/>
        </w:rPr>
        <w:t>G</w:t>
      </w:r>
      <w:r w:rsidRPr="00F54E5A">
        <w:rPr>
          <w:rFonts w:asciiTheme="minorHAnsi" w:hAnsiTheme="minorHAnsi"/>
        </w:rPr>
        <w:t>ran parte del protagonismo a la hora de diseñar e implementar políticas de cambio climático ha recaí</w:t>
      </w:r>
      <w:r w:rsidR="00850A68">
        <w:rPr>
          <w:rFonts w:asciiTheme="minorHAnsi" w:hAnsiTheme="minorHAnsi"/>
        </w:rPr>
        <w:t>do en los actores subestatales y es</w:t>
      </w:r>
      <w:r w:rsidRPr="00F54E5A">
        <w:rPr>
          <w:rFonts w:asciiTheme="minorHAnsi" w:hAnsiTheme="minorHAnsi"/>
        </w:rPr>
        <w:t xml:space="preserve"> precisamente en estos actores donde vamos a centrar nuestra atención, tratando de analizar comparativamente cómo han respondido ante el cambio climático las autoridades regionales de los casos seleccionados, incidiendo especialmente sobre los factores causales que explican la inclusión de determinadas cuestiones en la agenda pública, así como su enfoque y posterior implantación.</w:t>
      </w:r>
    </w:p>
    <w:p w:rsidR="006B6A53" w:rsidRPr="00F54E5A" w:rsidRDefault="006B6A53" w:rsidP="006B6A53">
      <w:pPr>
        <w:pStyle w:val="NormalWeb"/>
        <w:jc w:val="both"/>
        <w:rPr>
          <w:rFonts w:asciiTheme="minorHAnsi" w:hAnsiTheme="minorHAnsi"/>
        </w:rPr>
      </w:pPr>
      <w:r w:rsidRPr="00F54E5A">
        <w:rPr>
          <w:rStyle w:val="Textoennegrita"/>
          <w:rFonts w:asciiTheme="minorHAnsi" w:hAnsiTheme="minorHAnsi"/>
        </w:rPr>
        <w:t>Palabras clave:</w:t>
      </w:r>
      <w:r w:rsidRPr="00F54E5A">
        <w:rPr>
          <w:rFonts w:asciiTheme="minorHAnsi" w:hAnsiTheme="minorHAnsi"/>
        </w:rPr>
        <w:t xml:space="preserve"> políticas públicas, cambio climático, análisis comparado</w:t>
      </w:r>
    </w:p>
    <w:p w:rsidR="00850A68" w:rsidRDefault="00850A68" w:rsidP="00850A68">
      <w:pPr>
        <w:pStyle w:val="Artculos"/>
        <w:jc w:val="both"/>
        <w:rPr>
          <w:rFonts w:cs="Arial"/>
        </w:rPr>
      </w:pPr>
    </w:p>
    <w:p w:rsidR="00850A68" w:rsidRPr="00850A68" w:rsidRDefault="00850A68" w:rsidP="00850A68">
      <w:pPr>
        <w:pStyle w:val="Artculos"/>
        <w:jc w:val="both"/>
        <w:rPr>
          <w:rFonts w:asciiTheme="minorHAnsi" w:hAnsiTheme="minorHAnsi" w:cs="Arial"/>
        </w:rPr>
      </w:pPr>
      <w:r w:rsidRPr="00850A68">
        <w:rPr>
          <w:rFonts w:asciiTheme="minorHAnsi" w:hAnsiTheme="minorHAnsi" w:cs="Arial"/>
          <w:b/>
        </w:rPr>
        <w:t>Alberto de la Peña</w:t>
      </w:r>
      <w:r>
        <w:rPr>
          <w:rFonts w:asciiTheme="minorHAnsi" w:hAnsiTheme="minorHAnsi" w:cs="Arial"/>
          <w:b/>
        </w:rPr>
        <w:t xml:space="preserve"> </w:t>
      </w:r>
      <w:r w:rsidRPr="00850A68">
        <w:rPr>
          <w:rFonts w:asciiTheme="minorHAnsi" w:hAnsiTheme="minorHAnsi" w:cs="Arial"/>
        </w:rPr>
        <w:t>es Doctor en Ciencia Política y Sociología</w:t>
      </w:r>
      <w:r>
        <w:rPr>
          <w:rFonts w:asciiTheme="minorHAnsi" w:hAnsiTheme="minorHAnsi" w:cs="Arial"/>
        </w:rPr>
        <w:t xml:space="preserve"> y</w:t>
      </w:r>
      <w:r w:rsidRPr="00850A68">
        <w:rPr>
          <w:rFonts w:asciiTheme="minorHAnsi" w:hAnsiTheme="minorHAnsi" w:cs="Arial"/>
        </w:rPr>
        <w:t xml:space="preserve"> Profesor Agregado en Ciencia Política y de la Administración en la Universidad del País Vasco (UPV/EHU). </w:t>
      </w:r>
    </w:p>
    <w:p w:rsidR="00850A68" w:rsidRPr="00850A68" w:rsidRDefault="00850A68" w:rsidP="00850A68">
      <w:pPr>
        <w:pStyle w:val="Artculos"/>
        <w:jc w:val="both"/>
        <w:rPr>
          <w:rFonts w:asciiTheme="minorHAnsi" w:hAnsiTheme="minorHAnsi" w:cs="Arial"/>
        </w:rPr>
      </w:pPr>
      <w:r w:rsidRPr="00850A68">
        <w:rPr>
          <w:rFonts w:asciiTheme="minorHAnsi" w:hAnsiTheme="minorHAnsi" w:cs="Arial"/>
        </w:rPr>
        <w:t>Sus áreas de interés, y donde se sitúan la mayor parte de sus publicaciones, se centran en las políticas ambientales y de ordenación del territorio, donde también ha ofrecido docencia de postgrado y ha participado en diversos proyectos de investigación, tanto en calidad de colaborador como de investigador principal. Asimismo, es miembro equipo del Euskobarómetro del Departamento de Ciencia Política y de la Administración de la UPV/EHU.</w:t>
      </w:r>
    </w:p>
    <w:p w:rsidR="00850A68" w:rsidRPr="00850A68" w:rsidRDefault="00850A68" w:rsidP="00850A68">
      <w:pPr>
        <w:pStyle w:val="Artculos"/>
        <w:jc w:val="both"/>
        <w:rPr>
          <w:rFonts w:asciiTheme="minorHAnsi" w:hAnsiTheme="minorHAnsi" w:cs="Arial"/>
        </w:rPr>
      </w:pPr>
      <w:r w:rsidRPr="00850A68">
        <w:rPr>
          <w:rFonts w:asciiTheme="minorHAnsi" w:hAnsiTheme="minorHAnsi" w:cs="Arial"/>
        </w:rPr>
        <w:t>.</w:t>
      </w:r>
    </w:p>
    <w:p w:rsidR="006B6A53" w:rsidRDefault="006B6A53" w:rsidP="006B6A53">
      <w:pPr>
        <w:spacing w:after="0" w:line="360" w:lineRule="auto"/>
        <w:jc w:val="both"/>
        <w:rPr>
          <w:rFonts w:asciiTheme="minorHAnsi" w:hAnsiTheme="minorHAnsi" w:cs="Tahoma"/>
          <w:b/>
          <w:color w:val="000000"/>
          <w:sz w:val="32"/>
          <w:szCs w:val="32"/>
        </w:rPr>
      </w:pPr>
    </w:p>
    <w:p w:rsidR="006B6A53" w:rsidRDefault="006B6A53" w:rsidP="006B6A53">
      <w:pPr>
        <w:spacing w:after="0" w:line="360" w:lineRule="auto"/>
        <w:jc w:val="both"/>
        <w:rPr>
          <w:rFonts w:asciiTheme="minorHAnsi" w:hAnsiTheme="minorHAnsi" w:cs="Tahoma"/>
          <w:b/>
          <w:color w:val="000000"/>
          <w:sz w:val="32"/>
          <w:szCs w:val="32"/>
        </w:rPr>
      </w:pPr>
    </w:p>
    <w:p w:rsidR="006B6A53" w:rsidRPr="00D70FF3" w:rsidRDefault="006B6A53" w:rsidP="006B6A53">
      <w:pPr>
        <w:spacing w:after="0" w:line="360" w:lineRule="auto"/>
        <w:jc w:val="both"/>
        <w:rPr>
          <w:rFonts w:asciiTheme="minorHAnsi" w:hAnsiTheme="minorHAnsi" w:cs="Tahoma"/>
          <w:b/>
          <w:color w:val="000000"/>
          <w:sz w:val="32"/>
          <w:szCs w:val="32"/>
        </w:rPr>
      </w:pPr>
      <w:r w:rsidRPr="00D70FF3">
        <w:rPr>
          <w:rFonts w:asciiTheme="minorHAnsi" w:hAnsiTheme="minorHAnsi" w:cs="Tahoma"/>
          <w:b/>
          <w:color w:val="000000"/>
          <w:sz w:val="32"/>
          <w:szCs w:val="32"/>
        </w:rPr>
        <w:t>Introducción</w:t>
      </w:r>
    </w:p>
    <w:p w:rsidR="006B6A53" w:rsidRDefault="006B6A53" w:rsidP="006B6A53">
      <w:pPr>
        <w:spacing w:line="360" w:lineRule="auto"/>
        <w:jc w:val="both"/>
        <w:rPr>
          <w:bCs/>
          <w:sz w:val="24"/>
          <w:szCs w:val="24"/>
        </w:rPr>
      </w:pPr>
      <w:r w:rsidRPr="00C0680D">
        <w:rPr>
          <w:bCs/>
          <w:sz w:val="24"/>
          <w:szCs w:val="24"/>
        </w:rPr>
        <w:t xml:space="preserve">El </w:t>
      </w:r>
      <w:r>
        <w:rPr>
          <w:bCs/>
          <w:sz w:val="24"/>
          <w:szCs w:val="24"/>
        </w:rPr>
        <w:t xml:space="preserve">cambio climático se ha revelado como uno de esos grandes desafíos propios del nuevo mundo globalizado que nos toca vivir desde los albores del siglo XXI. El hecho de que la problemática que plantea conecte con uno de los retos sistémicos más acuciantes de esta época histórica, como es la transición a un nuevo modelo energético o su evidente naturaleza transfronteriza, están sin duda en el fondo de una relevancia política e incluso mediática que se hace más acusada cada día, siendo paradigmático de una nueva sociedad global, una nueva política y, asimismo, una nueva gobernanza. </w:t>
      </w:r>
    </w:p>
    <w:p w:rsidR="006B6A53" w:rsidRDefault="006B6A53" w:rsidP="006B6A53">
      <w:pPr>
        <w:spacing w:line="360" w:lineRule="auto"/>
        <w:jc w:val="both"/>
        <w:rPr>
          <w:bCs/>
          <w:sz w:val="24"/>
          <w:szCs w:val="24"/>
        </w:rPr>
      </w:pPr>
      <w:r>
        <w:rPr>
          <w:bCs/>
          <w:sz w:val="24"/>
          <w:szCs w:val="24"/>
        </w:rPr>
        <w:t xml:space="preserve">En este ámbito </w:t>
      </w:r>
      <w:r w:rsidR="00A27996">
        <w:rPr>
          <w:bCs/>
          <w:sz w:val="24"/>
          <w:szCs w:val="24"/>
        </w:rPr>
        <w:t xml:space="preserve">la Unión Europea </w:t>
      </w:r>
      <w:r>
        <w:rPr>
          <w:bCs/>
          <w:sz w:val="24"/>
          <w:szCs w:val="24"/>
        </w:rPr>
        <w:t xml:space="preserve">ha </w:t>
      </w:r>
      <w:r w:rsidR="00A27996">
        <w:rPr>
          <w:bCs/>
          <w:sz w:val="24"/>
          <w:szCs w:val="24"/>
        </w:rPr>
        <w:t xml:space="preserve">jugado un </w:t>
      </w:r>
      <w:r>
        <w:rPr>
          <w:bCs/>
          <w:sz w:val="24"/>
          <w:szCs w:val="24"/>
        </w:rPr>
        <w:t>papel de liderazgo</w:t>
      </w:r>
      <w:r w:rsidR="00A27996">
        <w:rPr>
          <w:bCs/>
          <w:sz w:val="24"/>
          <w:szCs w:val="24"/>
        </w:rPr>
        <w:t>, por ejemplo,</w:t>
      </w:r>
      <w:r>
        <w:rPr>
          <w:bCs/>
          <w:sz w:val="24"/>
          <w:szCs w:val="24"/>
        </w:rPr>
        <w:t xml:space="preserve"> </w:t>
      </w:r>
      <w:r w:rsidR="00A27996">
        <w:rPr>
          <w:bCs/>
          <w:sz w:val="24"/>
          <w:szCs w:val="24"/>
        </w:rPr>
        <w:t>a través de</w:t>
      </w:r>
      <w:r>
        <w:rPr>
          <w:bCs/>
          <w:sz w:val="24"/>
          <w:szCs w:val="24"/>
        </w:rPr>
        <w:t xml:space="preserve"> las cumbres organizadas para aplicar el archiconocido Protocolo de Kioto,</w:t>
      </w:r>
      <w:r w:rsidR="00A27996">
        <w:rPr>
          <w:bCs/>
          <w:sz w:val="24"/>
          <w:szCs w:val="24"/>
        </w:rPr>
        <w:t xml:space="preserve"> donde</w:t>
      </w:r>
      <w:r>
        <w:rPr>
          <w:bCs/>
          <w:sz w:val="24"/>
          <w:szCs w:val="24"/>
        </w:rPr>
        <w:t xml:space="preserve"> las autoridades comunitarias han dejado ver su compromiso con la reducción de gases de efecto invernadero (GEIs) y con el apuntalamiento de un cierto sistema de gobernanz</w:t>
      </w:r>
      <w:r w:rsidR="00A27996">
        <w:rPr>
          <w:bCs/>
          <w:sz w:val="24"/>
          <w:szCs w:val="24"/>
        </w:rPr>
        <w:t>a climátic</w:t>
      </w:r>
      <w:r>
        <w:rPr>
          <w:bCs/>
          <w:sz w:val="24"/>
          <w:szCs w:val="24"/>
        </w:rPr>
        <w:t xml:space="preserve">a global. </w:t>
      </w:r>
      <w:r w:rsidR="00A27996">
        <w:rPr>
          <w:bCs/>
          <w:sz w:val="24"/>
          <w:szCs w:val="24"/>
        </w:rPr>
        <w:t>En este sentido,</w:t>
      </w:r>
      <w:r>
        <w:rPr>
          <w:bCs/>
          <w:sz w:val="24"/>
          <w:szCs w:val="24"/>
        </w:rPr>
        <w:t xml:space="preserve"> parece fuera de toda duda es que Europa va a seguir apostando por un modelo de crecimiento que integre el factor medio ambiental, que avance hacia la denominada desmaterialización de la economía y que reduzca en la medida de lo posible la dependencia del carbono de las economías desarrolladas y en vías de desarrollo. Todo ello, en su ámbito de influencia, se viene traduciendo ya desde hace casi veinte años en políticas climáticas guiadas fundamentalmente por los objetivos mencionados y que componen un reto al que las administraciones públicas se ven abocadas a seguir respondiendo en el futuro. En todo caso, el liderazgo comunitario se traduce a escala europea en el protagonismo de sus regiones: en el escenario multinivel en el que las políticas de cambio climático se han venido desarrollando, han sido las unidades sub-estatales las que han tenido generalmente las competencias para diseñarlas e implantarlas. Un protagonismo de naturaleza ejecutiva que complementa los poderes legislativos radicados en Bruselas y los Estados, pero que tiene una importancia fundamental para avanzar en la senda de la reducción de emisiones.</w:t>
      </w:r>
    </w:p>
    <w:p w:rsidR="006B6A53" w:rsidRDefault="006B6A53" w:rsidP="006B6A53">
      <w:pPr>
        <w:spacing w:line="360" w:lineRule="auto"/>
        <w:jc w:val="both"/>
        <w:rPr>
          <w:bCs/>
          <w:sz w:val="24"/>
          <w:szCs w:val="24"/>
        </w:rPr>
      </w:pPr>
      <w:r>
        <w:rPr>
          <w:bCs/>
          <w:sz w:val="24"/>
          <w:szCs w:val="24"/>
        </w:rPr>
        <w:lastRenderedPageBreak/>
        <w:t xml:space="preserve">En este trabajo, </w:t>
      </w:r>
      <w:r w:rsidR="00A27996">
        <w:rPr>
          <w:bCs/>
          <w:sz w:val="24"/>
          <w:szCs w:val="24"/>
        </w:rPr>
        <w:t>fijaremos nuestra atención en las respuestas de esas administraciones sub-nacionales a un problema de índole global como este</w:t>
      </w:r>
      <w:r w:rsidR="00F8041A">
        <w:rPr>
          <w:bCs/>
          <w:sz w:val="24"/>
          <w:szCs w:val="24"/>
        </w:rPr>
        <w:t>, señalando como objetivo el por qué de la variabilidad de esas actuaciones y ciñéndonos a los cuatro casos señalados en el título</w:t>
      </w:r>
      <w:r>
        <w:rPr>
          <w:bCs/>
          <w:sz w:val="24"/>
          <w:szCs w:val="24"/>
        </w:rPr>
        <w:t>.</w:t>
      </w:r>
      <w:r w:rsidR="00F8041A">
        <w:rPr>
          <w:bCs/>
          <w:sz w:val="24"/>
          <w:szCs w:val="24"/>
        </w:rPr>
        <w:t xml:space="preserve"> En otros términos, intentaremos explicar la cuestión básica de por qué varían las políticas regionales si se inscriben todas ellas en una </w:t>
      </w:r>
      <w:r w:rsidR="00F8041A" w:rsidRPr="00F8041A">
        <w:rPr>
          <w:bCs/>
          <w:i/>
          <w:sz w:val="24"/>
          <w:szCs w:val="24"/>
        </w:rPr>
        <w:t>polity</w:t>
      </w:r>
      <w:r w:rsidR="00F8041A">
        <w:rPr>
          <w:bCs/>
          <w:sz w:val="24"/>
          <w:szCs w:val="24"/>
        </w:rPr>
        <w:t xml:space="preserve"> comunitaria donde se fija la normativa básica. Ello nos llevará a</w:t>
      </w:r>
      <w:r w:rsidR="00F8041A" w:rsidRPr="00F8041A">
        <w:rPr>
          <w:bCs/>
          <w:sz w:val="24"/>
          <w:szCs w:val="24"/>
        </w:rPr>
        <w:t xml:space="preserve"> </w:t>
      </w:r>
      <w:r w:rsidR="00F8041A">
        <w:rPr>
          <w:bCs/>
          <w:sz w:val="24"/>
          <w:szCs w:val="24"/>
        </w:rPr>
        <w:t>revisar los casos seleccionados desde una triple perspectiva: la propia del marco institucional estatal, la que atañe al proceso político doméstico y la de sus respectivas estructuras de gobernanza. Trataremos por tanto, de explicar las diferentes respuestas administrativas de acuerdo a estas variables independientes, a</w:t>
      </w:r>
      <w:r>
        <w:rPr>
          <w:bCs/>
          <w:sz w:val="24"/>
          <w:szCs w:val="24"/>
        </w:rPr>
        <w:t>parte de describir someramente las políticas climáticas de acuerdo a sus contenidos</w:t>
      </w:r>
      <w:r w:rsidR="00F8041A">
        <w:rPr>
          <w:bCs/>
          <w:sz w:val="24"/>
          <w:szCs w:val="24"/>
        </w:rPr>
        <w:t>.</w:t>
      </w:r>
      <w:r>
        <w:rPr>
          <w:bCs/>
          <w:sz w:val="24"/>
          <w:szCs w:val="24"/>
        </w:rPr>
        <w:t xml:space="preserve"> </w:t>
      </w:r>
    </w:p>
    <w:p w:rsidR="006B6A53" w:rsidRDefault="006B6A53" w:rsidP="006B6A53">
      <w:pPr>
        <w:spacing w:line="360" w:lineRule="auto"/>
        <w:jc w:val="both"/>
        <w:rPr>
          <w:rFonts w:asciiTheme="minorHAnsi" w:hAnsiTheme="minorHAnsi" w:cs="Times New Roman"/>
          <w:sz w:val="24"/>
          <w:szCs w:val="24"/>
        </w:rPr>
      </w:pPr>
    </w:p>
    <w:p w:rsidR="006B6A53" w:rsidRPr="00005AEF" w:rsidRDefault="006B6A53" w:rsidP="006B6A53">
      <w:pPr>
        <w:spacing w:line="360" w:lineRule="auto"/>
        <w:jc w:val="both"/>
        <w:rPr>
          <w:b/>
          <w:bCs/>
          <w:sz w:val="32"/>
          <w:szCs w:val="32"/>
        </w:rPr>
      </w:pPr>
      <w:r w:rsidRPr="00005AEF">
        <w:rPr>
          <w:b/>
          <w:sz w:val="32"/>
          <w:szCs w:val="32"/>
        </w:rPr>
        <w:t>Una cuestión previa</w:t>
      </w:r>
      <w:r w:rsidRPr="00005AEF">
        <w:rPr>
          <w:b/>
          <w:bCs/>
          <w:sz w:val="32"/>
          <w:szCs w:val="32"/>
        </w:rPr>
        <w:t>: el problema de la comparabilidad</w:t>
      </w:r>
    </w:p>
    <w:p w:rsidR="006B6A53" w:rsidRDefault="006B6A53" w:rsidP="006B6A53">
      <w:pPr>
        <w:spacing w:line="360" w:lineRule="auto"/>
        <w:jc w:val="both"/>
        <w:rPr>
          <w:sz w:val="24"/>
          <w:szCs w:val="24"/>
        </w:rPr>
      </w:pPr>
      <w:r>
        <w:rPr>
          <w:sz w:val="24"/>
          <w:szCs w:val="24"/>
        </w:rPr>
        <w:t xml:space="preserve">En todo proceso comparativo, un paso previo imprescindible es el de asegurarnos de que confrontamos unidades con características homologables para poder extraer conclusiones teóricas válidas. En este análisis, creemos que son dos aspectos fundamentales los que tienen que pasar por el </w:t>
      </w:r>
      <w:r w:rsidRPr="00DB4933">
        <w:rPr>
          <w:i/>
          <w:sz w:val="24"/>
          <w:szCs w:val="24"/>
        </w:rPr>
        <w:t>test</w:t>
      </w:r>
      <w:r>
        <w:rPr>
          <w:sz w:val="24"/>
          <w:szCs w:val="24"/>
        </w:rPr>
        <w:t xml:space="preserve"> de la comparabilidad: en primer lugar, el modelo de organización territorial, a fin de corroborar que todos los actores institucionales tienen efectivamente un margen de actuación similar como para implantar políticas efectivas de cambio climático; en segundo lugar, el nivel relativo de desarrollo económico con el objetivo de probar que todos los casos analizados están en un contexto parecido que lleve a las élites regionales a implantar políticas ambientales de cierta entidad.</w:t>
      </w:r>
    </w:p>
    <w:p w:rsidR="006B6A53" w:rsidRDefault="00AC5ACC" w:rsidP="006B6A53">
      <w:pPr>
        <w:spacing w:line="360" w:lineRule="auto"/>
        <w:jc w:val="both"/>
        <w:rPr>
          <w:sz w:val="24"/>
          <w:szCs w:val="24"/>
        </w:rPr>
      </w:pPr>
      <w:r>
        <w:rPr>
          <w:sz w:val="24"/>
          <w:szCs w:val="24"/>
        </w:rPr>
        <w:t xml:space="preserve">Para testar el nivel de autogobierno de las regiones analizadas hemos elegido como referencia los datos de </w:t>
      </w:r>
      <w:r w:rsidR="006B6A53" w:rsidRPr="00B86FC5">
        <w:rPr>
          <w:sz w:val="24"/>
          <w:szCs w:val="24"/>
        </w:rPr>
        <w:t xml:space="preserve">Hooghe </w:t>
      </w:r>
      <w:r w:rsidR="006B6A53" w:rsidRPr="00B86FC5">
        <w:rPr>
          <w:i/>
          <w:sz w:val="24"/>
          <w:szCs w:val="24"/>
        </w:rPr>
        <w:t>et al.</w:t>
      </w:r>
      <w:r w:rsidR="006B6A53" w:rsidRPr="00B86FC5">
        <w:rPr>
          <w:sz w:val="24"/>
          <w:szCs w:val="24"/>
        </w:rPr>
        <w:t xml:space="preserve"> 2008</w:t>
      </w:r>
      <w:r>
        <w:rPr>
          <w:sz w:val="24"/>
          <w:szCs w:val="24"/>
        </w:rPr>
        <w:t xml:space="preserve"> en torno a la organización territorial de 42 estados</w:t>
      </w:r>
      <w:r w:rsidR="006B6A53">
        <w:rPr>
          <w:sz w:val="24"/>
          <w:szCs w:val="24"/>
        </w:rPr>
        <w:t xml:space="preserve">. Este trabajo analiza la descentralización tomando en consideración el nivel de autogobierno y el de gobierno compartido o, lo que es lo mismo, el nivel de autonomía de las </w:t>
      </w:r>
      <w:r>
        <w:rPr>
          <w:sz w:val="24"/>
          <w:szCs w:val="24"/>
        </w:rPr>
        <w:t xml:space="preserve">unidades subestatales </w:t>
      </w:r>
      <w:r w:rsidR="006B6A53">
        <w:rPr>
          <w:sz w:val="24"/>
          <w:szCs w:val="24"/>
        </w:rPr>
        <w:t xml:space="preserve">y el punto hasta el que éstas participan de las decisiones del Estado. </w:t>
      </w:r>
      <w:r>
        <w:rPr>
          <w:sz w:val="24"/>
          <w:szCs w:val="24"/>
        </w:rPr>
        <w:t>Los</w:t>
      </w:r>
      <w:r w:rsidR="006B6A53">
        <w:rPr>
          <w:sz w:val="24"/>
          <w:szCs w:val="24"/>
        </w:rPr>
        <w:t xml:space="preserve"> datos </w:t>
      </w:r>
      <w:r>
        <w:rPr>
          <w:sz w:val="24"/>
          <w:szCs w:val="24"/>
        </w:rPr>
        <w:t>relativos a las regiones que hemos analizado</w:t>
      </w:r>
      <w:r w:rsidR="006B6A53">
        <w:rPr>
          <w:sz w:val="24"/>
          <w:szCs w:val="24"/>
        </w:rPr>
        <w:t xml:space="preserve"> manifiestan una variabilidad propia de organizaciones federales o cuasi-federales</w:t>
      </w:r>
      <w:r>
        <w:rPr>
          <w:sz w:val="24"/>
          <w:szCs w:val="24"/>
        </w:rPr>
        <w:t>, destacando</w:t>
      </w:r>
      <w:r w:rsidR="006B6A53">
        <w:rPr>
          <w:sz w:val="24"/>
          <w:szCs w:val="24"/>
        </w:rPr>
        <w:t xml:space="preserve"> la </w:t>
      </w:r>
      <w:r w:rsidR="006B6A53">
        <w:rPr>
          <w:sz w:val="24"/>
          <w:szCs w:val="24"/>
        </w:rPr>
        <w:lastRenderedPageBreak/>
        <w:t>diferencia entre Cataluña y la CAPV, aspecto que ilustra bien a las claras el modelo asimétrico del Estado de las autonomías y, concretamente, el hecho de que las instituciones vascas disfrutan de autonomía fiscal y las catalanas no</w:t>
      </w:r>
      <w:r>
        <w:rPr>
          <w:rStyle w:val="Refdenotaalpie"/>
          <w:sz w:val="24"/>
          <w:szCs w:val="24"/>
        </w:rPr>
        <w:footnoteReference w:id="1"/>
      </w:r>
      <w:r w:rsidR="006B6A53">
        <w:rPr>
          <w:sz w:val="24"/>
          <w:szCs w:val="24"/>
        </w:rPr>
        <w:t>.</w:t>
      </w:r>
    </w:p>
    <w:p w:rsidR="006B6A53" w:rsidRDefault="006B6A53" w:rsidP="006B6A53">
      <w:pPr>
        <w:jc w:val="both"/>
        <w:rPr>
          <w:sz w:val="24"/>
          <w:szCs w:val="24"/>
        </w:rPr>
      </w:pPr>
    </w:p>
    <w:p w:rsidR="006B6A53" w:rsidRPr="00C203EE" w:rsidRDefault="006B6A53" w:rsidP="006B6A53">
      <w:pPr>
        <w:spacing w:line="240" w:lineRule="auto"/>
        <w:jc w:val="both"/>
        <w:rPr>
          <w:rFonts w:cs="Arial"/>
          <w:b/>
          <w:sz w:val="24"/>
          <w:szCs w:val="24"/>
        </w:rPr>
      </w:pPr>
      <w:r w:rsidRPr="00C203EE">
        <w:rPr>
          <w:rFonts w:cs="Arial"/>
          <w:b/>
          <w:sz w:val="24"/>
          <w:szCs w:val="24"/>
        </w:rPr>
        <w:t xml:space="preserve">Cuadro </w:t>
      </w:r>
      <w:r>
        <w:rPr>
          <w:rFonts w:cs="Arial"/>
          <w:b/>
          <w:sz w:val="24"/>
          <w:szCs w:val="24"/>
        </w:rPr>
        <w:t>1</w:t>
      </w:r>
      <w:r w:rsidRPr="00C203EE">
        <w:rPr>
          <w:rFonts w:cs="Arial"/>
          <w:b/>
          <w:sz w:val="24"/>
          <w:szCs w:val="24"/>
        </w:rPr>
        <w:t xml:space="preserve">: Renta per cápita </w:t>
      </w:r>
      <w:r>
        <w:rPr>
          <w:rFonts w:cs="Arial"/>
          <w:b/>
          <w:sz w:val="24"/>
          <w:szCs w:val="24"/>
        </w:rPr>
        <w:t>y</w:t>
      </w:r>
      <w:r w:rsidRPr="00C203EE">
        <w:rPr>
          <w:rFonts w:cs="Arial"/>
          <w:b/>
          <w:sz w:val="24"/>
          <w:szCs w:val="24"/>
        </w:rPr>
        <w:t xml:space="preserve"> de</w:t>
      </w:r>
      <w:r>
        <w:rPr>
          <w:rFonts w:cs="Arial"/>
          <w:b/>
          <w:sz w:val="24"/>
          <w:szCs w:val="24"/>
        </w:rPr>
        <w:t>scentralizació</w:t>
      </w:r>
      <w:r w:rsidRPr="00C203EE">
        <w:rPr>
          <w:rFonts w:cs="Arial"/>
          <w:b/>
          <w:sz w:val="24"/>
          <w:szCs w:val="24"/>
        </w:rPr>
        <w:t>n</w:t>
      </w:r>
      <w:r>
        <w:rPr>
          <w:rFonts w:cs="Arial"/>
          <w:b/>
          <w:sz w:val="24"/>
          <w:szCs w:val="24"/>
        </w:rPr>
        <w:t xml:space="preserve"> </w:t>
      </w:r>
      <w:r w:rsidRPr="00C203EE">
        <w:rPr>
          <w:rFonts w:cs="Arial"/>
          <w:b/>
          <w:sz w:val="24"/>
          <w:szCs w:val="24"/>
        </w:rPr>
        <w:t>(2010)</w:t>
      </w:r>
    </w:p>
    <w:tbl>
      <w:tblPr>
        <w:tblW w:w="8524" w:type="dxa"/>
        <w:tblInd w:w="51" w:type="dxa"/>
        <w:tblLayout w:type="fixed"/>
        <w:tblCellMar>
          <w:left w:w="70" w:type="dxa"/>
          <w:right w:w="70" w:type="dxa"/>
        </w:tblCellMar>
        <w:tblLook w:val="00A0"/>
      </w:tblPr>
      <w:tblGrid>
        <w:gridCol w:w="3847"/>
        <w:gridCol w:w="1417"/>
        <w:gridCol w:w="1701"/>
        <w:gridCol w:w="1559"/>
      </w:tblGrid>
      <w:tr w:rsidR="006B6A53" w:rsidRPr="00642225" w:rsidTr="00A17091">
        <w:trPr>
          <w:trHeight w:val="300"/>
        </w:trPr>
        <w:tc>
          <w:tcPr>
            <w:tcW w:w="3847" w:type="dxa"/>
            <w:vMerge w:val="restart"/>
            <w:tcBorders>
              <w:top w:val="double" w:sz="4" w:space="0" w:color="auto"/>
              <w:left w:val="double" w:sz="4" w:space="0" w:color="auto"/>
              <w:bottom w:val="single" w:sz="4" w:space="0" w:color="auto"/>
              <w:right w:val="single" w:sz="4" w:space="0" w:color="auto"/>
            </w:tcBorders>
            <w:shd w:val="clear" w:color="auto" w:fill="000000" w:themeFill="text1"/>
            <w:noWrap/>
            <w:vAlign w:val="center"/>
          </w:tcPr>
          <w:p w:rsidR="006B6A53" w:rsidRPr="00642225" w:rsidRDefault="006B6A53" w:rsidP="00A17091">
            <w:pPr>
              <w:spacing w:after="0" w:line="240" w:lineRule="auto"/>
              <w:jc w:val="both"/>
              <w:rPr>
                <w:rFonts w:cs="Arial"/>
                <w:b/>
                <w:lang w:val="en-GB"/>
              </w:rPr>
            </w:pPr>
            <w:r w:rsidRPr="00642225">
              <w:rPr>
                <w:rFonts w:cs="Arial"/>
                <w:b/>
                <w:lang w:val="en-GB"/>
              </w:rPr>
              <w:t>Region</w:t>
            </w:r>
          </w:p>
        </w:tc>
        <w:tc>
          <w:tcPr>
            <w:tcW w:w="1417" w:type="dxa"/>
            <w:vMerge w:val="restart"/>
            <w:tcBorders>
              <w:top w:val="double" w:sz="4" w:space="0" w:color="auto"/>
              <w:left w:val="single" w:sz="4" w:space="0" w:color="auto"/>
              <w:bottom w:val="single" w:sz="4" w:space="0" w:color="auto"/>
              <w:right w:val="single" w:sz="4" w:space="0" w:color="auto"/>
            </w:tcBorders>
            <w:shd w:val="clear" w:color="auto" w:fill="000000" w:themeFill="text1"/>
            <w:noWrap/>
            <w:vAlign w:val="center"/>
          </w:tcPr>
          <w:p w:rsidR="006B6A53" w:rsidRPr="00642225" w:rsidRDefault="006B6A53" w:rsidP="00A17091">
            <w:pPr>
              <w:spacing w:after="0" w:line="240" w:lineRule="auto"/>
              <w:jc w:val="center"/>
              <w:rPr>
                <w:rFonts w:cs="Arial"/>
                <w:b/>
                <w:lang w:val="en-GB"/>
              </w:rPr>
            </w:pPr>
            <w:r w:rsidRPr="00642225">
              <w:rPr>
                <w:rFonts w:cs="Arial"/>
                <w:b/>
                <w:lang w:val="en-GB"/>
              </w:rPr>
              <w:t>De</w:t>
            </w:r>
            <w:r>
              <w:rPr>
                <w:rFonts w:cs="Arial"/>
                <w:b/>
                <w:lang w:val="en-GB"/>
              </w:rPr>
              <w:t>s</w:t>
            </w:r>
            <w:r w:rsidRPr="00642225">
              <w:rPr>
                <w:rFonts w:cs="Arial"/>
                <w:b/>
                <w:lang w:val="en-GB"/>
              </w:rPr>
              <w:t>centraliz</w:t>
            </w:r>
            <w:r>
              <w:rPr>
                <w:rFonts w:cs="Arial"/>
                <w:b/>
                <w:lang w:val="en-GB"/>
              </w:rPr>
              <w:t>.</w:t>
            </w:r>
          </w:p>
          <w:p w:rsidR="006B6A53" w:rsidRPr="00642225" w:rsidRDefault="006B6A53" w:rsidP="00A17091">
            <w:pPr>
              <w:spacing w:after="0" w:line="240" w:lineRule="auto"/>
              <w:jc w:val="center"/>
              <w:rPr>
                <w:rFonts w:cs="Arial"/>
                <w:b/>
                <w:lang w:val="en-GB"/>
              </w:rPr>
            </w:pPr>
            <w:r w:rsidRPr="00642225">
              <w:rPr>
                <w:rFonts w:cs="Arial"/>
                <w:b/>
                <w:lang w:val="en-GB"/>
              </w:rPr>
              <w:t>(RAI)</w:t>
            </w:r>
          </w:p>
        </w:tc>
        <w:tc>
          <w:tcPr>
            <w:tcW w:w="3260" w:type="dxa"/>
            <w:gridSpan w:val="2"/>
            <w:tcBorders>
              <w:top w:val="double" w:sz="4" w:space="0" w:color="auto"/>
              <w:left w:val="single" w:sz="4" w:space="0" w:color="auto"/>
              <w:bottom w:val="single" w:sz="4" w:space="0" w:color="auto"/>
              <w:right w:val="double" w:sz="4" w:space="0" w:color="auto"/>
            </w:tcBorders>
            <w:shd w:val="clear" w:color="auto" w:fill="000000" w:themeFill="text1"/>
            <w:vAlign w:val="center"/>
          </w:tcPr>
          <w:p w:rsidR="006B6A53" w:rsidRPr="00642225" w:rsidRDefault="006B6A53" w:rsidP="00A17091">
            <w:pPr>
              <w:spacing w:after="0" w:line="240" w:lineRule="auto"/>
              <w:jc w:val="center"/>
              <w:rPr>
                <w:rFonts w:cs="Arial"/>
                <w:b/>
                <w:lang w:val="en-GB"/>
              </w:rPr>
            </w:pPr>
            <w:r>
              <w:rPr>
                <w:rFonts w:cs="Arial"/>
                <w:b/>
                <w:lang w:val="en-GB"/>
              </w:rPr>
              <w:t>Renta per cápita (2010)</w:t>
            </w:r>
          </w:p>
        </w:tc>
      </w:tr>
      <w:tr w:rsidR="006B6A53" w:rsidRPr="00642225" w:rsidTr="00A17091">
        <w:trPr>
          <w:trHeight w:val="300"/>
        </w:trPr>
        <w:tc>
          <w:tcPr>
            <w:tcW w:w="3847" w:type="dxa"/>
            <w:vMerge/>
            <w:tcBorders>
              <w:left w:val="double" w:sz="4" w:space="0" w:color="auto"/>
              <w:bottom w:val="single" w:sz="4" w:space="0" w:color="auto"/>
              <w:right w:val="single" w:sz="4" w:space="0" w:color="auto"/>
            </w:tcBorders>
            <w:shd w:val="clear" w:color="auto" w:fill="000000" w:themeFill="text1"/>
            <w:noWrap/>
            <w:vAlign w:val="center"/>
          </w:tcPr>
          <w:p w:rsidR="006B6A53" w:rsidRPr="00642225" w:rsidRDefault="006B6A53" w:rsidP="00A17091">
            <w:pPr>
              <w:spacing w:after="0" w:line="240" w:lineRule="auto"/>
              <w:jc w:val="both"/>
              <w:rPr>
                <w:rFonts w:cs="Arial"/>
                <w:b/>
                <w:lang w:val="en-GB"/>
              </w:rPr>
            </w:pPr>
          </w:p>
        </w:tc>
        <w:tc>
          <w:tcPr>
            <w:tcW w:w="1417" w:type="dxa"/>
            <w:vMerge/>
            <w:tcBorders>
              <w:left w:val="single" w:sz="4" w:space="0" w:color="auto"/>
              <w:bottom w:val="single" w:sz="4" w:space="0" w:color="auto"/>
              <w:right w:val="single" w:sz="4" w:space="0" w:color="auto"/>
            </w:tcBorders>
            <w:shd w:val="clear" w:color="auto" w:fill="000000" w:themeFill="text1"/>
            <w:noWrap/>
            <w:vAlign w:val="center"/>
          </w:tcPr>
          <w:p w:rsidR="006B6A53" w:rsidRPr="00642225" w:rsidRDefault="006B6A53" w:rsidP="00A17091">
            <w:pPr>
              <w:spacing w:after="0" w:line="240" w:lineRule="auto"/>
              <w:jc w:val="center"/>
              <w:rPr>
                <w:rFonts w:cs="Arial"/>
                <w:b/>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000000" w:themeFill="text1"/>
            <w:vAlign w:val="bottom"/>
          </w:tcPr>
          <w:p w:rsidR="006B6A53" w:rsidRPr="00642225" w:rsidRDefault="006B6A53" w:rsidP="00A17091">
            <w:pPr>
              <w:spacing w:after="0" w:line="240" w:lineRule="auto"/>
              <w:jc w:val="center"/>
              <w:rPr>
                <w:rFonts w:cs="Arial"/>
                <w:b/>
                <w:lang w:val="en-GB"/>
              </w:rPr>
            </w:pPr>
            <w:r w:rsidRPr="00642225">
              <w:rPr>
                <w:rFonts w:cs="Arial"/>
                <w:b/>
                <w:lang w:val="en-GB"/>
              </w:rPr>
              <w:t xml:space="preserve"> Euros</w:t>
            </w:r>
          </w:p>
        </w:tc>
        <w:tc>
          <w:tcPr>
            <w:tcW w:w="1559" w:type="dxa"/>
            <w:tcBorders>
              <w:top w:val="single" w:sz="4" w:space="0" w:color="auto"/>
              <w:left w:val="single" w:sz="4" w:space="0" w:color="auto"/>
              <w:bottom w:val="single" w:sz="4" w:space="0" w:color="auto"/>
              <w:right w:val="double" w:sz="4" w:space="0" w:color="auto"/>
            </w:tcBorders>
            <w:shd w:val="clear" w:color="auto" w:fill="000000" w:themeFill="text1"/>
            <w:noWrap/>
            <w:vAlign w:val="center"/>
          </w:tcPr>
          <w:p w:rsidR="006B6A53" w:rsidRPr="00642225" w:rsidRDefault="006B6A53" w:rsidP="00A17091">
            <w:pPr>
              <w:spacing w:after="0" w:line="240" w:lineRule="auto"/>
              <w:jc w:val="center"/>
              <w:rPr>
                <w:rFonts w:cs="Arial"/>
                <w:b/>
                <w:lang w:val="en-GB"/>
              </w:rPr>
            </w:pPr>
            <w:r w:rsidRPr="00642225">
              <w:rPr>
                <w:rFonts w:cs="Arial"/>
                <w:b/>
                <w:lang w:val="en-GB"/>
              </w:rPr>
              <w:t>% EU 27 =100</w:t>
            </w:r>
          </w:p>
        </w:tc>
      </w:tr>
      <w:tr w:rsidR="006B6A53" w:rsidRPr="00642225" w:rsidTr="00A17091">
        <w:trPr>
          <w:trHeight w:val="300"/>
        </w:trPr>
        <w:tc>
          <w:tcPr>
            <w:tcW w:w="3847" w:type="dxa"/>
            <w:tcBorders>
              <w:top w:val="single" w:sz="4" w:space="0" w:color="auto"/>
              <w:left w:val="double" w:sz="4" w:space="0" w:color="auto"/>
              <w:bottom w:val="single" w:sz="4" w:space="0" w:color="auto"/>
              <w:right w:val="single" w:sz="4" w:space="0" w:color="auto"/>
            </w:tcBorders>
            <w:shd w:val="clear" w:color="auto" w:fill="auto"/>
            <w:noWrap/>
            <w:vAlign w:val="center"/>
          </w:tcPr>
          <w:p w:rsidR="006B6A53" w:rsidRPr="00642225" w:rsidRDefault="006B6A53" w:rsidP="00A17091">
            <w:pPr>
              <w:spacing w:after="0" w:line="240" w:lineRule="auto"/>
              <w:jc w:val="both"/>
              <w:rPr>
                <w:rFonts w:cs="Arial"/>
                <w:lang w:val="en-GB"/>
              </w:rPr>
            </w:pPr>
            <w:r w:rsidRPr="00642225">
              <w:rPr>
                <w:rFonts w:cs="Arial"/>
                <w:lang w:val="en-GB"/>
              </w:rPr>
              <w:t>Catalonia (SPA)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6A53" w:rsidRPr="00642225" w:rsidRDefault="006B6A53" w:rsidP="00A17091">
            <w:pPr>
              <w:spacing w:after="0" w:line="240" w:lineRule="auto"/>
              <w:jc w:val="center"/>
              <w:rPr>
                <w:rFonts w:cs="Arial"/>
                <w:lang w:val="en-GB"/>
              </w:rPr>
            </w:pPr>
            <w:r w:rsidRPr="00642225">
              <w:rPr>
                <w:rFonts w:cs="Arial"/>
                <w:lang w:val="en-GB"/>
              </w:rPr>
              <w:t>14,5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B6A53" w:rsidRPr="00642225" w:rsidRDefault="006B6A53" w:rsidP="00A17091">
            <w:pPr>
              <w:spacing w:after="0" w:line="240" w:lineRule="auto"/>
              <w:jc w:val="center"/>
              <w:rPr>
                <w:rFonts w:cs="Arial"/>
                <w:lang w:val="en-GB"/>
              </w:rPr>
            </w:pPr>
            <w:r w:rsidRPr="00642225">
              <w:rPr>
                <w:rFonts w:cs="Arial"/>
                <w:lang w:val="en-GB"/>
              </w:rPr>
              <w:t>26.600</w:t>
            </w:r>
          </w:p>
        </w:tc>
        <w:tc>
          <w:tcPr>
            <w:tcW w:w="1559" w:type="dxa"/>
            <w:tcBorders>
              <w:top w:val="single" w:sz="4" w:space="0" w:color="auto"/>
              <w:left w:val="single" w:sz="4" w:space="0" w:color="auto"/>
              <w:bottom w:val="single" w:sz="4" w:space="0" w:color="auto"/>
              <w:right w:val="double" w:sz="4" w:space="0" w:color="auto"/>
            </w:tcBorders>
            <w:shd w:val="clear" w:color="auto" w:fill="auto"/>
            <w:noWrap/>
            <w:vAlign w:val="center"/>
          </w:tcPr>
          <w:p w:rsidR="006B6A53" w:rsidRPr="00642225" w:rsidRDefault="006B6A53" w:rsidP="00A17091">
            <w:pPr>
              <w:spacing w:after="0" w:line="240" w:lineRule="auto"/>
              <w:jc w:val="center"/>
              <w:rPr>
                <w:rFonts w:cs="Arial"/>
                <w:lang w:val="en-GB"/>
              </w:rPr>
            </w:pPr>
            <w:r w:rsidRPr="00642225">
              <w:rPr>
                <w:rFonts w:cs="Arial"/>
                <w:lang w:val="en-GB"/>
              </w:rPr>
              <w:t>109</w:t>
            </w:r>
          </w:p>
        </w:tc>
      </w:tr>
      <w:tr w:rsidR="006B6A53" w:rsidRPr="00642225" w:rsidTr="00A17091">
        <w:trPr>
          <w:trHeight w:val="300"/>
        </w:trPr>
        <w:tc>
          <w:tcPr>
            <w:tcW w:w="3847" w:type="dxa"/>
            <w:tcBorders>
              <w:top w:val="single" w:sz="4" w:space="0" w:color="auto"/>
              <w:left w:val="double" w:sz="4" w:space="0" w:color="auto"/>
              <w:bottom w:val="single" w:sz="4" w:space="0" w:color="auto"/>
              <w:right w:val="single" w:sz="4" w:space="0" w:color="auto"/>
            </w:tcBorders>
            <w:shd w:val="clear" w:color="auto" w:fill="auto"/>
            <w:noWrap/>
            <w:vAlign w:val="center"/>
          </w:tcPr>
          <w:p w:rsidR="006B6A53" w:rsidRPr="00642225" w:rsidRDefault="006B6A53" w:rsidP="00A17091">
            <w:pPr>
              <w:spacing w:after="0" w:line="240" w:lineRule="auto"/>
              <w:jc w:val="both"/>
              <w:rPr>
                <w:rFonts w:cs="Arial"/>
                <w:lang w:val="en-GB"/>
              </w:rPr>
            </w:pPr>
            <w:r w:rsidRPr="00642225">
              <w:rPr>
                <w:rFonts w:cs="Arial"/>
                <w:lang w:val="en-GB"/>
              </w:rPr>
              <w:t>Basque Country (SPA)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6A53" w:rsidRPr="00642225" w:rsidRDefault="006B6A53" w:rsidP="00A17091">
            <w:pPr>
              <w:spacing w:after="0" w:line="240" w:lineRule="auto"/>
              <w:jc w:val="center"/>
              <w:rPr>
                <w:rFonts w:cs="Arial"/>
                <w:lang w:val="en-GB"/>
              </w:rPr>
            </w:pPr>
            <w:r w:rsidRPr="00642225">
              <w:rPr>
                <w:rFonts w:cs="Arial"/>
                <w:lang w:val="en-GB"/>
              </w:rPr>
              <w:t>15,5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B6A53" w:rsidRPr="00642225" w:rsidRDefault="006B6A53" w:rsidP="00A17091">
            <w:pPr>
              <w:spacing w:after="0" w:line="240" w:lineRule="auto"/>
              <w:jc w:val="center"/>
              <w:rPr>
                <w:rFonts w:cs="Arial"/>
                <w:lang w:val="en-GB"/>
              </w:rPr>
            </w:pPr>
            <w:r w:rsidRPr="00642225">
              <w:rPr>
                <w:rFonts w:cs="Arial"/>
                <w:lang w:val="en-GB"/>
              </w:rPr>
              <w:t>30.200</w:t>
            </w:r>
          </w:p>
        </w:tc>
        <w:tc>
          <w:tcPr>
            <w:tcW w:w="1559" w:type="dxa"/>
            <w:tcBorders>
              <w:top w:val="single" w:sz="4" w:space="0" w:color="auto"/>
              <w:left w:val="single" w:sz="4" w:space="0" w:color="auto"/>
              <w:bottom w:val="single" w:sz="4" w:space="0" w:color="auto"/>
              <w:right w:val="double" w:sz="4" w:space="0" w:color="auto"/>
            </w:tcBorders>
            <w:shd w:val="clear" w:color="auto" w:fill="auto"/>
            <w:noWrap/>
            <w:vAlign w:val="center"/>
          </w:tcPr>
          <w:p w:rsidR="006B6A53" w:rsidRPr="00642225" w:rsidRDefault="006B6A53" w:rsidP="00A17091">
            <w:pPr>
              <w:spacing w:after="0" w:line="240" w:lineRule="auto"/>
              <w:jc w:val="center"/>
              <w:rPr>
                <w:rFonts w:cs="Arial"/>
                <w:lang w:val="en-GB"/>
              </w:rPr>
            </w:pPr>
            <w:r w:rsidRPr="00642225">
              <w:rPr>
                <w:rFonts w:cs="Arial"/>
                <w:lang w:val="en-GB"/>
              </w:rPr>
              <w:t>123</w:t>
            </w:r>
          </w:p>
        </w:tc>
      </w:tr>
      <w:tr w:rsidR="006B6A53" w:rsidRPr="00642225" w:rsidTr="00A17091">
        <w:trPr>
          <w:trHeight w:val="300"/>
        </w:trPr>
        <w:tc>
          <w:tcPr>
            <w:tcW w:w="3847" w:type="dxa"/>
            <w:tcBorders>
              <w:top w:val="single" w:sz="4" w:space="0" w:color="auto"/>
              <w:left w:val="double" w:sz="4" w:space="0" w:color="auto"/>
              <w:bottom w:val="single" w:sz="4" w:space="0" w:color="auto"/>
              <w:right w:val="single" w:sz="4" w:space="0" w:color="auto"/>
            </w:tcBorders>
            <w:shd w:val="clear" w:color="auto" w:fill="auto"/>
            <w:noWrap/>
            <w:vAlign w:val="center"/>
          </w:tcPr>
          <w:p w:rsidR="006B6A53" w:rsidRPr="00642225" w:rsidRDefault="006B6A53" w:rsidP="00A17091">
            <w:pPr>
              <w:spacing w:after="0" w:line="240" w:lineRule="auto"/>
              <w:jc w:val="both"/>
              <w:rPr>
                <w:rFonts w:cs="Arial"/>
                <w:lang w:val="en-GB"/>
              </w:rPr>
            </w:pPr>
            <w:r w:rsidRPr="00642225">
              <w:rPr>
                <w:rFonts w:cs="Arial"/>
                <w:lang w:val="en-GB"/>
              </w:rPr>
              <w:t>Vlaams Gewest (BEL)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6A53" w:rsidRPr="00642225" w:rsidRDefault="006B6A53" w:rsidP="00A17091">
            <w:pPr>
              <w:spacing w:after="0" w:line="240" w:lineRule="auto"/>
              <w:jc w:val="center"/>
              <w:rPr>
                <w:rFonts w:cs="Arial"/>
                <w:lang w:val="en-GB"/>
              </w:rPr>
            </w:pPr>
            <w:r w:rsidRPr="00642225">
              <w:rPr>
                <w:rFonts w:cs="Arial"/>
                <w:lang w:val="en-GB"/>
              </w:rPr>
              <w:t>18,0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B6A53" w:rsidRPr="00642225" w:rsidRDefault="006B6A53" w:rsidP="00A17091">
            <w:pPr>
              <w:spacing w:after="0" w:line="240" w:lineRule="auto"/>
              <w:jc w:val="center"/>
              <w:rPr>
                <w:rFonts w:cs="Arial"/>
                <w:lang w:val="en-GB"/>
              </w:rPr>
            </w:pPr>
            <w:r w:rsidRPr="00642225">
              <w:rPr>
                <w:rFonts w:cs="Arial"/>
                <w:lang w:val="en-GB"/>
              </w:rPr>
              <w:t>32.500</w:t>
            </w:r>
          </w:p>
        </w:tc>
        <w:tc>
          <w:tcPr>
            <w:tcW w:w="1559" w:type="dxa"/>
            <w:tcBorders>
              <w:top w:val="single" w:sz="4" w:space="0" w:color="auto"/>
              <w:left w:val="single" w:sz="4" w:space="0" w:color="auto"/>
              <w:bottom w:val="single" w:sz="4" w:space="0" w:color="auto"/>
              <w:right w:val="double" w:sz="4" w:space="0" w:color="auto"/>
            </w:tcBorders>
            <w:shd w:val="clear" w:color="auto" w:fill="auto"/>
            <w:noWrap/>
            <w:vAlign w:val="center"/>
          </w:tcPr>
          <w:p w:rsidR="006B6A53" w:rsidRPr="00642225" w:rsidRDefault="006B6A53" w:rsidP="00A17091">
            <w:pPr>
              <w:spacing w:after="0" w:line="240" w:lineRule="auto"/>
              <w:jc w:val="center"/>
              <w:rPr>
                <w:rFonts w:cs="Arial"/>
                <w:lang w:val="en-GB"/>
              </w:rPr>
            </w:pPr>
            <w:r w:rsidRPr="00642225">
              <w:rPr>
                <w:rFonts w:cs="Arial"/>
                <w:lang w:val="en-GB"/>
              </w:rPr>
              <w:t>133</w:t>
            </w:r>
          </w:p>
        </w:tc>
      </w:tr>
      <w:tr w:rsidR="006B6A53" w:rsidRPr="00642225" w:rsidTr="00A17091">
        <w:trPr>
          <w:trHeight w:val="300"/>
        </w:trPr>
        <w:tc>
          <w:tcPr>
            <w:tcW w:w="3847" w:type="dxa"/>
            <w:tcBorders>
              <w:top w:val="single" w:sz="4" w:space="0" w:color="auto"/>
              <w:left w:val="double" w:sz="4" w:space="0" w:color="auto"/>
              <w:bottom w:val="single" w:sz="4" w:space="0" w:color="auto"/>
              <w:right w:val="single" w:sz="4" w:space="0" w:color="auto"/>
            </w:tcBorders>
            <w:shd w:val="clear" w:color="auto" w:fill="auto"/>
            <w:noWrap/>
            <w:vAlign w:val="center"/>
          </w:tcPr>
          <w:p w:rsidR="006B6A53" w:rsidRPr="00642225" w:rsidRDefault="006B6A53" w:rsidP="00A17091">
            <w:pPr>
              <w:spacing w:after="0" w:line="240" w:lineRule="auto"/>
              <w:jc w:val="both"/>
              <w:rPr>
                <w:rFonts w:cs="Arial"/>
                <w:lang w:val="en-GB"/>
              </w:rPr>
            </w:pPr>
            <w:r w:rsidRPr="00642225">
              <w:rPr>
                <w:rFonts w:cs="Arial"/>
                <w:lang w:val="en-GB"/>
              </w:rPr>
              <w:t>Scotland (UK)</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6A53" w:rsidRPr="00642225" w:rsidRDefault="006B6A53" w:rsidP="00A17091">
            <w:pPr>
              <w:spacing w:after="0" w:line="240" w:lineRule="auto"/>
              <w:jc w:val="center"/>
              <w:rPr>
                <w:rFonts w:cs="Arial"/>
                <w:lang w:val="en-GB"/>
              </w:rPr>
            </w:pPr>
            <w:r w:rsidRPr="00642225">
              <w:rPr>
                <w:rFonts w:cs="Arial"/>
                <w:lang w:val="en-GB"/>
              </w:rPr>
              <w:t>16,5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B6A53" w:rsidRPr="00642225" w:rsidRDefault="006B6A53" w:rsidP="00A17091">
            <w:pPr>
              <w:spacing w:after="0" w:line="240" w:lineRule="auto"/>
              <w:jc w:val="center"/>
              <w:rPr>
                <w:rFonts w:cs="Arial"/>
                <w:color w:val="000000"/>
                <w:lang w:val="en-GB"/>
              </w:rPr>
            </w:pPr>
            <w:r w:rsidRPr="00642225">
              <w:rPr>
                <w:rFonts w:cs="Arial"/>
                <w:color w:val="000000"/>
                <w:lang w:val="en-GB"/>
              </w:rPr>
              <w:t>26.500</w:t>
            </w:r>
          </w:p>
        </w:tc>
        <w:tc>
          <w:tcPr>
            <w:tcW w:w="1559" w:type="dxa"/>
            <w:tcBorders>
              <w:top w:val="single" w:sz="4" w:space="0" w:color="auto"/>
              <w:left w:val="single" w:sz="4" w:space="0" w:color="auto"/>
              <w:bottom w:val="single" w:sz="4" w:space="0" w:color="auto"/>
              <w:right w:val="double" w:sz="4" w:space="0" w:color="auto"/>
            </w:tcBorders>
            <w:shd w:val="clear" w:color="auto" w:fill="auto"/>
            <w:noWrap/>
            <w:vAlign w:val="center"/>
          </w:tcPr>
          <w:p w:rsidR="006B6A53" w:rsidRPr="00642225" w:rsidRDefault="006B6A53" w:rsidP="00A17091">
            <w:pPr>
              <w:spacing w:after="0" w:line="240" w:lineRule="auto"/>
              <w:jc w:val="center"/>
              <w:rPr>
                <w:rFonts w:cs="Arial"/>
                <w:color w:val="000000"/>
                <w:lang w:val="en-GB"/>
              </w:rPr>
            </w:pPr>
            <w:r w:rsidRPr="00642225">
              <w:rPr>
                <w:rFonts w:cs="Arial"/>
                <w:color w:val="000000"/>
                <w:lang w:val="en-GB"/>
              </w:rPr>
              <w:t>108</w:t>
            </w:r>
          </w:p>
        </w:tc>
      </w:tr>
      <w:tr w:rsidR="006B6A53" w:rsidRPr="00D62274" w:rsidTr="00A17091">
        <w:trPr>
          <w:trHeight w:val="300"/>
        </w:trPr>
        <w:tc>
          <w:tcPr>
            <w:tcW w:w="8524" w:type="dxa"/>
            <w:gridSpan w:val="4"/>
            <w:tcBorders>
              <w:top w:val="double" w:sz="4" w:space="0" w:color="auto"/>
              <w:left w:val="nil"/>
              <w:bottom w:val="nil"/>
              <w:right w:val="nil"/>
            </w:tcBorders>
            <w:shd w:val="clear" w:color="auto" w:fill="FFFFFF"/>
            <w:vAlign w:val="bottom"/>
          </w:tcPr>
          <w:p w:rsidR="006B6A53" w:rsidRPr="00D62274" w:rsidRDefault="006B6A53" w:rsidP="00A17091">
            <w:pPr>
              <w:spacing w:after="0" w:line="240" w:lineRule="auto"/>
              <w:rPr>
                <w:rFonts w:cs="Arial"/>
                <w:sz w:val="20"/>
                <w:szCs w:val="20"/>
              </w:rPr>
            </w:pPr>
            <w:r w:rsidRPr="00D62274">
              <w:rPr>
                <w:rFonts w:cs="Arial"/>
                <w:sz w:val="20"/>
                <w:szCs w:val="20"/>
              </w:rPr>
              <w:t xml:space="preserve">Fuente: Hooghe et al. 2008, 269-274; EUROSTAT </w:t>
            </w:r>
            <w:r w:rsidRPr="00D62274">
              <w:rPr>
                <w:rFonts w:cs="Arial"/>
                <w:i/>
                <w:sz w:val="20"/>
                <w:szCs w:val="20"/>
              </w:rPr>
              <w:t>(</w:t>
            </w:r>
            <w:r w:rsidRPr="00D62274">
              <w:rPr>
                <w:rStyle w:val="leftside"/>
                <w:rFonts w:cs="Arial"/>
                <w:i/>
                <w:sz w:val="20"/>
                <w:szCs w:val="20"/>
              </w:rPr>
              <w:t>Gross domestic product  at current market prices by NUTS 3 regions</w:t>
            </w:r>
            <w:r w:rsidRPr="00D62274">
              <w:rPr>
                <w:rFonts w:cs="Arial"/>
                <w:sz w:val="20"/>
                <w:szCs w:val="20"/>
              </w:rPr>
              <w:t xml:space="preserve">) consultado el  24 de Junio de 2013 </w:t>
            </w:r>
            <w:hyperlink r:id="rId7" w:history="1">
              <w:r w:rsidRPr="00D62274">
                <w:rPr>
                  <w:rStyle w:val="Hipervnculo"/>
                  <w:rFonts w:cs="Arial"/>
                  <w:sz w:val="20"/>
                  <w:szCs w:val="20"/>
                </w:rPr>
                <w:t>http://appsso.eurostat.ec.europa.eu/nui/show.do?dataset=nama_r_e3gdp&amp;lang=en</w:t>
              </w:r>
            </w:hyperlink>
          </w:p>
          <w:p w:rsidR="006B6A53" w:rsidRPr="00D62274" w:rsidRDefault="006B6A53" w:rsidP="00A17091">
            <w:pPr>
              <w:spacing w:after="0" w:line="240" w:lineRule="auto"/>
              <w:rPr>
                <w:rFonts w:cs="Arial"/>
                <w:sz w:val="20"/>
                <w:szCs w:val="20"/>
              </w:rPr>
            </w:pPr>
            <w:r w:rsidRPr="00D62274">
              <w:rPr>
                <w:rFonts w:cs="Arial"/>
                <w:sz w:val="20"/>
                <w:szCs w:val="20"/>
              </w:rPr>
              <w:t xml:space="preserve">  </w:t>
            </w:r>
          </w:p>
        </w:tc>
      </w:tr>
    </w:tbl>
    <w:p w:rsidR="006B6A53" w:rsidRPr="00D62274" w:rsidRDefault="006B6A53" w:rsidP="006B6A53">
      <w:pPr>
        <w:spacing w:line="360" w:lineRule="auto"/>
        <w:jc w:val="both"/>
        <w:rPr>
          <w:sz w:val="24"/>
          <w:szCs w:val="24"/>
        </w:rPr>
      </w:pPr>
    </w:p>
    <w:p w:rsidR="006B6A53" w:rsidRPr="002A5B50" w:rsidRDefault="006B6A53" w:rsidP="006B6A53">
      <w:pPr>
        <w:spacing w:line="360" w:lineRule="auto"/>
        <w:jc w:val="both"/>
        <w:rPr>
          <w:sz w:val="24"/>
          <w:szCs w:val="24"/>
        </w:rPr>
      </w:pPr>
      <w:r w:rsidRPr="002A5B50">
        <w:rPr>
          <w:sz w:val="24"/>
          <w:szCs w:val="24"/>
        </w:rPr>
        <w:t xml:space="preserve">Como podemos </w:t>
      </w:r>
      <w:r>
        <w:rPr>
          <w:sz w:val="24"/>
          <w:szCs w:val="24"/>
        </w:rPr>
        <w:t>observa</w:t>
      </w:r>
      <w:r w:rsidRPr="002A5B50">
        <w:rPr>
          <w:sz w:val="24"/>
          <w:szCs w:val="24"/>
        </w:rPr>
        <w:t>r también e</w:t>
      </w:r>
      <w:r>
        <w:rPr>
          <w:sz w:val="24"/>
          <w:szCs w:val="24"/>
        </w:rPr>
        <w:t xml:space="preserve">n el Cuadro 1, todos los casos se emplazan en lo que podríamos denominar el sector económicamente desarrollado de las regiones europeas. La renta </w:t>
      </w:r>
      <w:r w:rsidRPr="00DB4933">
        <w:rPr>
          <w:i/>
          <w:sz w:val="24"/>
          <w:szCs w:val="24"/>
        </w:rPr>
        <w:t>per cápita</w:t>
      </w:r>
      <w:r>
        <w:rPr>
          <w:sz w:val="24"/>
          <w:szCs w:val="24"/>
        </w:rPr>
        <w:t xml:space="preserve"> está en todos casos sobre la media europea, aunque algunos casos marcan lógicamente una situación mejor en términos relativos: en concreto, País Vasco y Flandes parecen alcanzar mayores niveles relativos de riqueza, mientras que Escocia y Cataluña muestran comparativamente peores datos. En cualquier caso, el relativo desarrollo de todos los casos nos permite neutralizar una de las hipótesis más frecuentemente formuladas a la hora de explicar la mayor o menor implantación de políticas ambientales: nos referimos al desarrollo económico como predictor de la presencia o no de cuestiones ambientales en la agenda pública. Como apunta Inglehart (1991, 1998), los valores postmaterialistas tienden a aparecer en países relativamente ricos desencadenando una transición desde una política centrada en la resolución de cuestiones materiales –educación, vivienda, salud, seguridad- a otro modelo de política que otorga más importancia a aspectos como el medio ambiente, las desigualdades de género, la calidad de la democracia, etc. De esta forma, las políticas climáticas tenderían a ocupar un lugar más preferente en la agenda </w:t>
      </w:r>
      <w:r>
        <w:rPr>
          <w:sz w:val="24"/>
          <w:szCs w:val="24"/>
        </w:rPr>
        <w:lastRenderedPageBreak/>
        <w:t xml:space="preserve">pública de aquéllas regiones más desarrolladas económicamente, remedando hasta cierto punto la conocida curva ambiental de Kuznets. En todo caso, nuestros datos apuntan a la inclusión de las </w:t>
      </w:r>
      <w:r w:rsidR="00BF30F2">
        <w:rPr>
          <w:sz w:val="24"/>
          <w:szCs w:val="24"/>
        </w:rPr>
        <w:t>cuatro</w:t>
      </w:r>
      <w:r>
        <w:rPr>
          <w:sz w:val="24"/>
          <w:szCs w:val="24"/>
        </w:rPr>
        <w:t xml:space="preserve"> regiones en el grupo de este tipo “postmaterialista” de sociedades, lo que nos hace esperar </w:t>
      </w:r>
      <w:r w:rsidRPr="00FE5220">
        <w:rPr>
          <w:i/>
          <w:sz w:val="24"/>
          <w:szCs w:val="24"/>
        </w:rPr>
        <w:t>a priori</w:t>
      </w:r>
      <w:r>
        <w:rPr>
          <w:sz w:val="24"/>
          <w:szCs w:val="24"/>
        </w:rPr>
        <w:t xml:space="preserve"> un nivel similar de preocupación pública por el problema del calentamiento global.</w:t>
      </w:r>
    </w:p>
    <w:p w:rsidR="006B6A53" w:rsidRDefault="006B6A53" w:rsidP="006B6A53">
      <w:pPr>
        <w:spacing w:after="0" w:line="360" w:lineRule="auto"/>
        <w:jc w:val="both"/>
        <w:rPr>
          <w:rFonts w:asciiTheme="minorHAnsi" w:hAnsiTheme="minorHAnsi" w:cs="Times New Roman"/>
          <w:sz w:val="24"/>
          <w:szCs w:val="20"/>
        </w:rPr>
      </w:pPr>
    </w:p>
    <w:p w:rsidR="006B6A53" w:rsidRDefault="006B6A53" w:rsidP="006B6A53">
      <w:pPr>
        <w:spacing w:after="0" w:line="360" w:lineRule="auto"/>
        <w:jc w:val="both"/>
        <w:rPr>
          <w:rFonts w:asciiTheme="minorHAnsi" w:hAnsiTheme="minorHAnsi" w:cs="Times New Roman"/>
          <w:sz w:val="24"/>
          <w:szCs w:val="20"/>
        </w:rPr>
      </w:pPr>
    </w:p>
    <w:p w:rsidR="006B6A53" w:rsidRPr="00D65FEA" w:rsidRDefault="006B6A53" w:rsidP="006B6A53">
      <w:pPr>
        <w:spacing w:after="0" w:line="360" w:lineRule="auto"/>
        <w:jc w:val="both"/>
        <w:rPr>
          <w:rFonts w:asciiTheme="minorHAnsi" w:hAnsiTheme="minorHAnsi" w:cs="Times New Roman"/>
          <w:b/>
          <w:color w:val="000000"/>
          <w:sz w:val="32"/>
          <w:szCs w:val="32"/>
          <w:lang w:val="es-ES_tradnl"/>
        </w:rPr>
      </w:pPr>
      <w:r w:rsidRPr="00D65FEA">
        <w:rPr>
          <w:rFonts w:asciiTheme="minorHAnsi" w:hAnsiTheme="minorHAnsi" w:cs="Times New Roman"/>
          <w:b/>
          <w:color w:val="000000"/>
          <w:sz w:val="32"/>
          <w:szCs w:val="32"/>
          <w:lang w:val="es-ES_tradnl"/>
        </w:rPr>
        <w:t>Medio ambiente, clima y modelo territorial</w:t>
      </w:r>
    </w:p>
    <w:p w:rsidR="006B6A53" w:rsidRDefault="006B6A53" w:rsidP="006B6A53">
      <w:pPr>
        <w:spacing w:after="0" w:line="360" w:lineRule="auto"/>
        <w:jc w:val="both"/>
        <w:rPr>
          <w:rFonts w:asciiTheme="minorHAnsi" w:hAnsiTheme="minorHAnsi" w:cs="Times New Roman"/>
          <w:sz w:val="24"/>
          <w:szCs w:val="24"/>
        </w:rPr>
      </w:pPr>
    </w:p>
    <w:p w:rsidR="006B6A53" w:rsidRDefault="006B6A53" w:rsidP="006B6A53">
      <w:pPr>
        <w:spacing w:after="0" w:line="360" w:lineRule="auto"/>
        <w:jc w:val="both"/>
        <w:rPr>
          <w:rFonts w:asciiTheme="minorHAnsi" w:hAnsiTheme="minorHAnsi" w:cs="Times New Roman"/>
          <w:sz w:val="24"/>
          <w:szCs w:val="24"/>
        </w:rPr>
      </w:pPr>
      <w:r>
        <w:rPr>
          <w:rFonts w:asciiTheme="minorHAnsi" w:hAnsiTheme="minorHAnsi" w:cs="Times New Roman"/>
          <w:sz w:val="24"/>
          <w:szCs w:val="24"/>
        </w:rPr>
        <w:t xml:space="preserve">Hemos dicho ya que las políticas ambientales y climáticas se han convertido en las décadas precedentes en asuntos comunitarios, lo que básicamente ubica la capacidad normativa más básica y fundamental en el ámbito de las instituciones europeas. Sin embargo, la propia Historia de Europa y las características de su proceso integrador han dejado como sedimento un rosario de modelos organizativos a escala estatal que no han sido ni mucho menos borrados por la construcción de las instituciones comunitarias. Consecuentemente, un análisis de las políticas climáticas </w:t>
      </w:r>
      <w:r w:rsidR="00BF30F2">
        <w:rPr>
          <w:rFonts w:asciiTheme="minorHAnsi" w:hAnsiTheme="minorHAnsi" w:cs="Times New Roman"/>
          <w:sz w:val="24"/>
          <w:szCs w:val="24"/>
        </w:rPr>
        <w:t xml:space="preserve">regionales </w:t>
      </w:r>
      <w:r>
        <w:rPr>
          <w:rFonts w:asciiTheme="minorHAnsi" w:hAnsiTheme="minorHAnsi" w:cs="Times New Roman"/>
          <w:sz w:val="24"/>
          <w:szCs w:val="24"/>
        </w:rPr>
        <w:t>debe</w:t>
      </w:r>
      <w:r w:rsidR="006A3D61">
        <w:rPr>
          <w:rFonts w:asciiTheme="minorHAnsi" w:hAnsiTheme="minorHAnsi" w:cs="Times New Roman"/>
          <w:sz w:val="24"/>
          <w:szCs w:val="24"/>
        </w:rPr>
        <w:t>ría</w:t>
      </w:r>
      <w:r>
        <w:rPr>
          <w:rFonts w:asciiTheme="minorHAnsi" w:hAnsiTheme="minorHAnsi" w:cs="Times New Roman"/>
          <w:sz w:val="24"/>
          <w:szCs w:val="24"/>
        </w:rPr>
        <w:t xml:space="preserve"> forzosamente incorporar un examen de las características de la distribución territorial del poder en los diferentes estados miembros. </w:t>
      </w:r>
    </w:p>
    <w:p w:rsidR="001F6BA4" w:rsidRDefault="001F6BA4" w:rsidP="006B6A53">
      <w:pPr>
        <w:spacing w:after="0" w:line="360" w:lineRule="auto"/>
        <w:jc w:val="both"/>
        <w:rPr>
          <w:rFonts w:asciiTheme="minorHAnsi" w:hAnsiTheme="minorHAnsi" w:cs="Times New Roman"/>
          <w:sz w:val="24"/>
          <w:szCs w:val="24"/>
        </w:rPr>
      </w:pPr>
    </w:p>
    <w:p w:rsidR="006B6A53" w:rsidRDefault="006B6A53" w:rsidP="006B6A53">
      <w:pPr>
        <w:rPr>
          <w:sz w:val="24"/>
          <w:szCs w:val="24"/>
        </w:rPr>
      </w:pPr>
      <w:r>
        <w:rPr>
          <w:sz w:val="24"/>
          <w:szCs w:val="24"/>
        </w:rPr>
        <w:t>EL CASO DEL ESTADO DE LAS AUTONOMÍAS ESPAÑOL-</w:t>
      </w:r>
    </w:p>
    <w:p w:rsidR="00BF30F2" w:rsidRDefault="006B6A53" w:rsidP="006B6A53">
      <w:pPr>
        <w:autoSpaceDE w:val="0"/>
        <w:autoSpaceDN w:val="0"/>
        <w:adjustRightInd w:val="0"/>
        <w:spacing w:line="360" w:lineRule="auto"/>
        <w:jc w:val="both"/>
        <w:rPr>
          <w:sz w:val="24"/>
          <w:szCs w:val="24"/>
          <w:lang w:val="es-ES_tradnl"/>
        </w:rPr>
      </w:pPr>
      <w:r>
        <w:rPr>
          <w:rFonts w:asciiTheme="minorHAnsi" w:hAnsiTheme="minorHAnsi"/>
          <w:lang w:val="es-ES_tradnl"/>
        </w:rPr>
        <w:t>Es sabido que con</w:t>
      </w:r>
      <w:r w:rsidRPr="007347A7">
        <w:rPr>
          <w:sz w:val="24"/>
          <w:szCs w:val="24"/>
          <w:lang w:val="es-ES_tradnl"/>
        </w:rPr>
        <w:t xml:space="preserve"> la Constitución</w:t>
      </w:r>
      <w:r>
        <w:rPr>
          <w:rFonts w:asciiTheme="minorHAnsi" w:hAnsiTheme="minorHAnsi"/>
          <w:lang w:val="es-ES_tradnl"/>
        </w:rPr>
        <w:t xml:space="preserve"> en 1978 en España trata de resolverse el secular conflicto que planteaba su vertebración territorial</w:t>
      </w:r>
      <w:r w:rsidRPr="007347A7">
        <w:rPr>
          <w:sz w:val="24"/>
          <w:szCs w:val="24"/>
          <w:lang w:val="es-ES_tradnl"/>
        </w:rPr>
        <w:t>,</w:t>
      </w:r>
      <w:r>
        <w:rPr>
          <w:rFonts w:asciiTheme="minorHAnsi" w:hAnsiTheme="minorHAnsi"/>
          <w:lang w:val="es-ES_tradnl"/>
        </w:rPr>
        <w:t xml:space="preserve"> estableciendo un modelo descentralizado de forma asimétrica en el que las CCAA asumen estatutariamente competencias en diversas materias, entre las que se incluye medio ambiente. Según el diseño constitucional, </w:t>
      </w:r>
      <w:r w:rsidRPr="007347A7">
        <w:rPr>
          <w:sz w:val="24"/>
          <w:szCs w:val="24"/>
          <w:lang w:val="es-ES_tradnl"/>
        </w:rPr>
        <w:t>al Estado</w:t>
      </w:r>
      <w:r w:rsidRPr="007347A7">
        <w:rPr>
          <w:sz w:val="24"/>
          <w:szCs w:val="24"/>
        </w:rPr>
        <w:t xml:space="preserve"> le compete exclusivamente la legislación básica de protección medioa</w:t>
      </w:r>
      <w:r w:rsidR="00BF30F2">
        <w:rPr>
          <w:sz w:val="24"/>
          <w:szCs w:val="24"/>
        </w:rPr>
        <w:t xml:space="preserve">mbiental, mientras que a las CCAA les corresponderán funciones ejecutivas y de legislación adicional </w:t>
      </w:r>
      <w:r w:rsidRPr="000B63CB">
        <w:rPr>
          <w:sz w:val="24"/>
          <w:szCs w:val="24"/>
          <w:lang w:val="es-ES_tradnl"/>
        </w:rPr>
        <w:t>(Alenza 2001, 81-82).</w:t>
      </w:r>
      <w:r w:rsidR="00BF30F2">
        <w:rPr>
          <w:sz w:val="24"/>
          <w:szCs w:val="24"/>
          <w:lang w:val="es-ES_tradnl"/>
        </w:rPr>
        <w:t xml:space="preserve"> </w:t>
      </w:r>
    </w:p>
    <w:p w:rsidR="006B6A53" w:rsidRPr="007347A7" w:rsidRDefault="006B6A53" w:rsidP="006B6A53">
      <w:pPr>
        <w:autoSpaceDE w:val="0"/>
        <w:autoSpaceDN w:val="0"/>
        <w:adjustRightInd w:val="0"/>
        <w:spacing w:line="360" w:lineRule="auto"/>
        <w:jc w:val="both"/>
        <w:rPr>
          <w:sz w:val="24"/>
          <w:szCs w:val="24"/>
          <w:lang w:val="es-MX"/>
        </w:rPr>
      </w:pPr>
      <w:r w:rsidRPr="000B63CB">
        <w:rPr>
          <w:sz w:val="24"/>
          <w:szCs w:val="24"/>
          <w:lang w:val="es-ES_tradnl"/>
        </w:rPr>
        <w:t>En el caso concreto de la CAPV,</w:t>
      </w:r>
      <w:r w:rsidRPr="000B63CB">
        <w:rPr>
          <w:rFonts w:asciiTheme="minorHAnsi" w:hAnsiTheme="minorHAnsi"/>
          <w:sz w:val="24"/>
          <w:szCs w:val="24"/>
          <w:lang w:val="es-ES_tradnl"/>
        </w:rPr>
        <w:t xml:space="preserve"> el diseño va a ser un tanto más complejo en tanto se interpone el nivel foral que, como veremos, muestra su importancia también en la materia que nos ocupa al entrar en conflicto con las instituciones autonómicas en </w:t>
      </w:r>
      <w:r w:rsidRPr="000B63CB">
        <w:rPr>
          <w:rFonts w:asciiTheme="minorHAnsi" w:hAnsiTheme="minorHAnsi"/>
          <w:sz w:val="24"/>
          <w:szCs w:val="24"/>
          <w:lang w:val="es-ES_tradnl"/>
        </w:rPr>
        <w:lastRenderedPageBreak/>
        <w:t xml:space="preserve">algún momento de la tramitación de </w:t>
      </w:r>
      <w:r w:rsidR="00BF30F2">
        <w:rPr>
          <w:rFonts w:asciiTheme="minorHAnsi" w:hAnsiTheme="minorHAnsi"/>
          <w:sz w:val="24"/>
          <w:szCs w:val="24"/>
          <w:lang w:val="es-ES_tradnl"/>
        </w:rPr>
        <w:t>la</w:t>
      </w:r>
      <w:r w:rsidRPr="000B63CB">
        <w:rPr>
          <w:rFonts w:asciiTheme="minorHAnsi" w:hAnsiTheme="minorHAnsi"/>
          <w:sz w:val="24"/>
          <w:szCs w:val="24"/>
          <w:lang w:val="es-ES_tradnl"/>
        </w:rPr>
        <w:t xml:space="preserve"> ley de cambio climático. La administración foral, en general, reúne las competencias propias de las diputaciones del régimen común del Estado español sumándoles –y ahí está la clave- las competencias fiscales únicas dentro del Estado autonómico.</w:t>
      </w:r>
      <w:r w:rsidRPr="000B63CB">
        <w:rPr>
          <w:sz w:val="24"/>
          <w:szCs w:val="24"/>
          <w:lang w:val="es-MX"/>
        </w:rPr>
        <w:t xml:space="preserve"> Asimismo, la </w:t>
      </w:r>
      <w:r w:rsidR="00BF30F2">
        <w:rPr>
          <w:sz w:val="24"/>
          <w:szCs w:val="24"/>
          <w:lang w:val="es-MX"/>
        </w:rPr>
        <w:t>norma reguladora de las relaciones entre las administraciones vascas (</w:t>
      </w:r>
      <w:r w:rsidRPr="000B63CB">
        <w:rPr>
          <w:sz w:val="24"/>
          <w:szCs w:val="24"/>
          <w:lang w:val="es-MX"/>
        </w:rPr>
        <w:t>Ley 27/1983</w:t>
      </w:r>
      <w:r w:rsidR="00BF30F2">
        <w:rPr>
          <w:sz w:val="24"/>
          <w:szCs w:val="24"/>
          <w:lang w:val="es-MX"/>
        </w:rPr>
        <w:t>)</w:t>
      </w:r>
      <w:r w:rsidRPr="000B63CB">
        <w:rPr>
          <w:sz w:val="24"/>
          <w:szCs w:val="24"/>
          <w:lang w:val="es-MX"/>
        </w:rPr>
        <w:t xml:space="preserve"> establece varios apartados en los que se asignan a las administraciones forales ciertas competencias también relacionadas con el medioambiente</w:t>
      </w:r>
      <w:r w:rsidRPr="000B63CB">
        <w:rPr>
          <w:rFonts w:asciiTheme="minorHAnsi" w:hAnsiTheme="minorHAnsi"/>
          <w:sz w:val="24"/>
          <w:szCs w:val="24"/>
          <w:lang w:val="es-MX"/>
        </w:rPr>
        <w:t>: p</w:t>
      </w:r>
      <w:r w:rsidR="00BF30F2">
        <w:rPr>
          <w:sz w:val="24"/>
          <w:szCs w:val="24"/>
          <w:lang w:val="es-MX"/>
        </w:rPr>
        <w:t>or ejemplo</w:t>
      </w:r>
      <w:r w:rsidRPr="000B63CB">
        <w:rPr>
          <w:sz w:val="24"/>
          <w:szCs w:val="24"/>
          <w:lang w:val="es-MX"/>
        </w:rPr>
        <w:t>, la administración d</w:t>
      </w:r>
      <w:r w:rsidR="00BF30F2">
        <w:rPr>
          <w:sz w:val="24"/>
          <w:szCs w:val="24"/>
          <w:lang w:val="es-MX"/>
        </w:rPr>
        <w:t>e espacios naturales protegidos</w:t>
      </w:r>
      <w:r>
        <w:rPr>
          <w:sz w:val="24"/>
          <w:szCs w:val="24"/>
          <w:lang w:val="es-MX"/>
        </w:rPr>
        <w:t>,</w:t>
      </w:r>
      <w:r w:rsidRPr="000B63CB">
        <w:rPr>
          <w:sz w:val="24"/>
          <w:szCs w:val="24"/>
          <w:lang w:val="es-MX"/>
        </w:rPr>
        <w:t xml:space="preserve"> inspección y sanción en relación con actividades molestas, insalubres, nocivas y peligrosas </w:t>
      </w:r>
      <w:r>
        <w:rPr>
          <w:sz w:val="24"/>
          <w:szCs w:val="24"/>
          <w:lang w:val="es-MX"/>
        </w:rPr>
        <w:t>o</w:t>
      </w:r>
      <w:r w:rsidRPr="007347A7">
        <w:rPr>
          <w:sz w:val="24"/>
          <w:szCs w:val="24"/>
          <w:lang w:val="es-MX"/>
        </w:rPr>
        <w:t xml:space="preserve"> la política de residuos sólidos urbanos, donde diseñan y ejecutan planes de gestión de los mismos.</w:t>
      </w:r>
    </w:p>
    <w:p w:rsidR="006B6A53" w:rsidRPr="007347A7" w:rsidRDefault="00BF30F2" w:rsidP="006B6A53">
      <w:pPr>
        <w:spacing w:line="360" w:lineRule="auto"/>
        <w:jc w:val="both"/>
        <w:rPr>
          <w:sz w:val="24"/>
          <w:szCs w:val="24"/>
        </w:rPr>
      </w:pPr>
      <w:r>
        <w:rPr>
          <w:sz w:val="24"/>
          <w:szCs w:val="24"/>
        </w:rPr>
        <w:t>Sobre esta base,</w:t>
      </w:r>
      <w:r w:rsidR="006B6A53" w:rsidRPr="007347A7">
        <w:rPr>
          <w:sz w:val="24"/>
          <w:szCs w:val="24"/>
        </w:rPr>
        <w:t xml:space="preserve"> </w:t>
      </w:r>
      <w:r w:rsidR="006B6A53">
        <w:rPr>
          <w:rFonts w:asciiTheme="minorHAnsi" w:hAnsiTheme="minorHAnsi"/>
        </w:rPr>
        <w:t>se ha</w:t>
      </w:r>
      <w:r w:rsidR="006B6A53" w:rsidRPr="007347A7">
        <w:rPr>
          <w:sz w:val="24"/>
          <w:szCs w:val="24"/>
        </w:rPr>
        <w:t xml:space="preserve"> ido configurando durante todos estos años una administración medioambiental estatal y autonómica que ha ganado protagonismo y visibilidad con el proceso de integración comunitaria. Sin embargo, </w:t>
      </w:r>
      <w:r>
        <w:rPr>
          <w:sz w:val="24"/>
          <w:szCs w:val="24"/>
        </w:rPr>
        <w:t xml:space="preserve">se ha señalado la incapacidad de </w:t>
      </w:r>
      <w:r w:rsidR="006B6A53" w:rsidRPr="007347A7">
        <w:rPr>
          <w:sz w:val="24"/>
          <w:szCs w:val="24"/>
        </w:rPr>
        <w:t>esta administración para incidir en políticas pro-desarrollo, factor que, por otra parte, ha conducido a cierta merma de capacidades para formar alianzas con otras administraciones medioambientales o grupos ecologistas (Font 1999, 58).</w:t>
      </w:r>
      <w:r w:rsidR="0053507A">
        <w:rPr>
          <w:sz w:val="24"/>
          <w:szCs w:val="24"/>
        </w:rPr>
        <w:t xml:space="preserve"> Aquí tambien</w:t>
      </w:r>
      <w:r w:rsidR="006B6A53">
        <w:rPr>
          <w:sz w:val="24"/>
          <w:szCs w:val="24"/>
        </w:rPr>
        <w:t xml:space="preserve"> el caso vasco marca una </w:t>
      </w:r>
      <w:r w:rsidR="0053507A">
        <w:rPr>
          <w:sz w:val="24"/>
          <w:szCs w:val="24"/>
        </w:rPr>
        <w:t xml:space="preserve">cierta </w:t>
      </w:r>
      <w:r w:rsidR="006B6A53">
        <w:rPr>
          <w:sz w:val="24"/>
          <w:szCs w:val="24"/>
        </w:rPr>
        <w:t>excepción en tanto la administración ambiental se dota de un instrumento que no es una agencia ambiental pero actúa frecuentemente de modo similar: nos estamos refiriendo a la sociedad pública de gestión ambiental IHOBE que adquiere también notable importancia cuando se trata de la política climática.</w:t>
      </w:r>
    </w:p>
    <w:p w:rsidR="006B6A53" w:rsidRPr="007347A7" w:rsidRDefault="0053507A" w:rsidP="006A3D61">
      <w:pPr>
        <w:autoSpaceDE w:val="0"/>
        <w:autoSpaceDN w:val="0"/>
        <w:adjustRightInd w:val="0"/>
        <w:spacing w:line="360" w:lineRule="auto"/>
        <w:jc w:val="both"/>
        <w:rPr>
          <w:sz w:val="24"/>
          <w:szCs w:val="24"/>
        </w:rPr>
      </w:pPr>
      <w:r>
        <w:rPr>
          <w:sz w:val="24"/>
          <w:szCs w:val="24"/>
        </w:rPr>
        <w:t>Además,</w:t>
      </w:r>
      <w:r w:rsidR="006B6A53">
        <w:rPr>
          <w:sz w:val="24"/>
          <w:szCs w:val="24"/>
        </w:rPr>
        <w:t xml:space="preserve"> </w:t>
      </w:r>
      <w:r w:rsidR="006B6A53" w:rsidRPr="007347A7">
        <w:rPr>
          <w:sz w:val="24"/>
          <w:szCs w:val="24"/>
        </w:rPr>
        <w:t>la configuración institucional</w:t>
      </w:r>
      <w:r w:rsidR="006A3D61">
        <w:rPr>
          <w:sz w:val="24"/>
          <w:szCs w:val="24"/>
        </w:rPr>
        <w:t xml:space="preserve"> del Estado de las Autonomías</w:t>
      </w:r>
      <w:r w:rsidR="006B6A53" w:rsidRPr="007347A7">
        <w:rPr>
          <w:sz w:val="24"/>
          <w:szCs w:val="24"/>
        </w:rPr>
        <w:t xml:space="preserve">, la propia historia de España y </w:t>
      </w:r>
      <w:r w:rsidR="006B6A53">
        <w:rPr>
          <w:sz w:val="24"/>
          <w:szCs w:val="24"/>
        </w:rPr>
        <w:t xml:space="preserve">algunos </w:t>
      </w:r>
      <w:r w:rsidR="006B6A53" w:rsidRPr="007347A7">
        <w:rPr>
          <w:sz w:val="24"/>
          <w:szCs w:val="24"/>
        </w:rPr>
        <w:t>elementos subyacentes</w:t>
      </w:r>
      <w:r w:rsidR="006B6A53">
        <w:rPr>
          <w:sz w:val="24"/>
          <w:szCs w:val="24"/>
        </w:rPr>
        <w:t xml:space="preserve"> </w:t>
      </w:r>
      <w:r w:rsidR="006B6A53" w:rsidRPr="007347A7">
        <w:rPr>
          <w:sz w:val="24"/>
          <w:szCs w:val="24"/>
        </w:rPr>
        <w:t xml:space="preserve"> de cultura política</w:t>
      </w:r>
      <w:r w:rsidR="006B6A53">
        <w:rPr>
          <w:sz w:val="24"/>
          <w:szCs w:val="24"/>
        </w:rPr>
        <w:t xml:space="preserve"> </w:t>
      </w:r>
      <w:r w:rsidR="006B6A53" w:rsidRPr="007347A7">
        <w:rPr>
          <w:sz w:val="24"/>
          <w:szCs w:val="24"/>
        </w:rPr>
        <w:t>ha</w:t>
      </w:r>
      <w:r w:rsidR="006B6A53">
        <w:rPr>
          <w:sz w:val="24"/>
          <w:szCs w:val="24"/>
        </w:rPr>
        <w:t>n</w:t>
      </w:r>
      <w:r w:rsidR="006B6A53" w:rsidRPr="007347A7">
        <w:rPr>
          <w:sz w:val="24"/>
          <w:szCs w:val="24"/>
        </w:rPr>
        <w:t xml:space="preserve"> presentado notables obstáculos para </w:t>
      </w:r>
      <w:r w:rsidR="006B6A53">
        <w:rPr>
          <w:sz w:val="24"/>
          <w:szCs w:val="24"/>
        </w:rPr>
        <w:t xml:space="preserve">esa otra dimensión de los estados compuestos que es </w:t>
      </w:r>
      <w:r w:rsidR="006B6A53" w:rsidRPr="007347A7">
        <w:rPr>
          <w:sz w:val="24"/>
          <w:szCs w:val="24"/>
        </w:rPr>
        <w:t>el funcionamiento cooperativo. Estas trabas merecen un análisis propio en políticas como las ambientales que requieren un grado importante de cooperación, pero sin duda encuentran una explicación en factores estructurales que van más allá de la arquitectura institucional de la que se ha dotado el Estado para gestionar el medio ambiente.</w:t>
      </w:r>
      <w:r w:rsidR="001F6BA4">
        <w:rPr>
          <w:sz w:val="24"/>
          <w:szCs w:val="24"/>
        </w:rPr>
        <w:t xml:space="preserve"> </w:t>
      </w:r>
      <w:r w:rsidR="006A3D61">
        <w:rPr>
          <w:sz w:val="24"/>
          <w:szCs w:val="24"/>
        </w:rPr>
        <w:t>En este sentido</w:t>
      </w:r>
      <w:r w:rsidR="006B6A53">
        <w:rPr>
          <w:sz w:val="24"/>
          <w:szCs w:val="24"/>
        </w:rPr>
        <w:t>, no es extraño que e</w:t>
      </w:r>
      <w:r w:rsidR="006B6A53" w:rsidRPr="007347A7">
        <w:rPr>
          <w:sz w:val="24"/>
          <w:szCs w:val="24"/>
        </w:rPr>
        <w:t xml:space="preserve">l papel jugado </w:t>
      </w:r>
      <w:r w:rsidR="006B6A53">
        <w:rPr>
          <w:sz w:val="24"/>
          <w:szCs w:val="24"/>
        </w:rPr>
        <w:t>po</w:t>
      </w:r>
      <w:r w:rsidR="006A3D61">
        <w:rPr>
          <w:sz w:val="24"/>
          <w:szCs w:val="24"/>
        </w:rPr>
        <w:t>r ejmplo, po</w:t>
      </w:r>
      <w:r w:rsidR="006B6A53">
        <w:rPr>
          <w:sz w:val="24"/>
          <w:szCs w:val="24"/>
        </w:rPr>
        <w:t xml:space="preserve">r la Conferencia Sectorial de Medio Ambiente (CSMA) </w:t>
      </w:r>
      <w:r w:rsidR="006A3D61">
        <w:rPr>
          <w:sz w:val="24"/>
          <w:szCs w:val="24"/>
        </w:rPr>
        <w:t>como</w:t>
      </w:r>
      <w:r w:rsidR="006B6A53" w:rsidRPr="007347A7">
        <w:rPr>
          <w:sz w:val="24"/>
          <w:szCs w:val="24"/>
        </w:rPr>
        <w:t xml:space="preserve"> apuntan ciertos trabajos que nos hablan de </w:t>
      </w:r>
      <w:r w:rsidR="006A3D61">
        <w:rPr>
          <w:sz w:val="24"/>
          <w:szCs w:val="24"/>
        </w:rPr>
        <w:t xml:space="preserve">sus pobres resultados </w:t>
      </w:r>
      <w:r w:rsidR="006B6A53" w:rsidRPr="007347A7">
        <w:rPr>
          <w:sz w:val="24"/>
          <w:szCs w:val="24"/>
        </w:rPr>
        <w:t xml:space="preserve">en términos de acuerdos adoptados (González </w:t>
      </w:r>
      <w:r w:rsidR="006B6A53" w:rsidRPr="007347A7">
        <w:rPr>
          <w:sz w:val="24"/>
          <w:szCs w:val="24"/>
        </w:rPr>
        <w:lastRenderedPageBreak/>
        <w:t>Góm</w:t>
      </w:r>
      <w:r w:rsidR="006B6A53">
        <w:rPr>
          <w:sz w:val="24"/>
          <w:szCs w:val="24"/>
        </w:rPr>
        <w:t xml:space="preserve">ez 2006, 111. </w:t>
      </w:r>
      <w:r w:rsidR="006B6A53" w:rsidRPr="007347A7">
        <w:rPr>
          <w:sz w:val="24"/>
          <w:szCs w:val="24"/>
        </w:rPr>
        <w:t>Alda y Ramos 2004 y 2006) y de una configuración “más como foro de discusión e información que como foro de decisión” (Colino 2002, 333)</w:t>
      </w:r>
      <w:r w:rsidR="006B6A53">
        <w:rPr>
          <w:rStyle w:val="Refdenotaalpie"/>
          <w:rFonts w:asciiTheme="minorHAnsi" w:hAnsiTheme="minorHAnsi"/>
        </w:rPr>
        <w:footnoteReference w:id="2"/>
      </w:r>
      <w:r w:rsidR="006B6A53" w:rsidRPr="007347A7">
        <w:rPr>
          <w:sz w:val="24"/>
          <w:szCs w:val="24"/>
        </w:rPr>
        <w:t>.</w:t>
      </w:r>
      <w:r w:rsidR="006B6A53" w:rsidRPr="004469C8">
        <w:rPr>
          <w:rFonts w:ascii="Times New Roman" w:hAnsi="Times New Roman"/>
        </w:rPr>
        <w:t xml:space="preserve"> </w:t>
      </w:r>
    </w:p>
    <w:p w:rsidR="006B6A53" w:rsidRPr="007347A7" w:rsidRDefault="0053507A" w:rsidP="006A3D61">
      <w:pPr>
        <w:autoSpaceDE w:val="0"/>
        <w:autoSpaceDN w:val="0"/>
        <w:adjustRightInd w:val="0"/>
        <w:spacing w:line="360" w:lineRule="auto"/>
        <w:jc w:val="both"/>
        <w:rPr>
          <w:sz w:val="24"/>
          <w:szCs w:val="24"/>
        </w:rPr>
      </w:pPr>
      <w:r>
        <w:rPr>
          <w:sz w:val="24"/>
          <w:szCs w:val="24"/>
        </w:rPr>
        <w:t>En el caso vasco</w:t>
      </w:r>
      <w:r w:rsidR="006B6A53" w:rsidRPr="007347A7">
        <w:rPr>
          <w:sz w:val="24"/>
          <w:szCs w:val="24"/>
        </w:rPr>
        <w:t xml:space="preserve">, las relaciones entre la Administración Autonómica y las Diputaciones han tratado de ser articuladas a través de diferentes mecanismos similares en cierta medida a los </w:t>
      </w:r>
      <w:r w:rsidR="006A3D61">
        <w:rPr>
          <w:sz w:val="24"/>
          <w:szCs w:val="24"/>
        </w:rPr>
        <w:t>existentes</w:t>
      </w:r>
      <w:r w:rsidR="006B6A53" w:rsidRPr="007347A7">
        <w:rPr>
          <w:sz w:val="24"/>
          <w:szCs w:val="24"/>
        </w:rPr>
        <w:t xml:space="preserve"> en el marco estatal. En este sentido, cabría destacar el papel que han jugado algunas comisiones y consejos creados por vía normativa para acoger a representantes de las diferentes administraciones vascas y avanzar hacia una mayor coherencia y coordinaci</w:t>
      </w:r>
      <w:r w:rsidR="006A3D61">
        <w:rPr>
          <w:sz w:val="24"/>
          <w:szCs w:val="24"/>
        </w:rPr>
        <w:t xml:space="preserve">ón en las políticas ambientales: es el caso de </w:t>
      </w:r>
      <w:r w:rsidR="006B6A53" w:rsidRPr="007347A7">
        <w:rPr>
          <w:sz w:val="24"/>
          <w:szCs w:val="24"/>
        </w:rPr>
        <w:t>la Comisión Ambiental del País Vasco, plantea</w:t>
      </w:r>
      <w:r w:rsidR="006A3D61">
        <w:rPr>
          <w:sz w:val="24"/>
          <w:szCs w:val="24"/>
        </w:rPr>
        <w:t>da</w:t>
      </w:r>
      <w:r w:rsidR="006B6A53" w:rsidRPr="007347A7">
        <w:rPr>
          <w:sz w:val="24"/>
          <w:szCs w:val="24"/>
        </w:rPr>
        <w:t xml:space="preserve"> como una comisión interinstitucional</w:t>
      </w:r>
      <w:r>
        <w:rPr>
          <w:sz w:val="24"/>
          <w:szCs w:val="24"/>
        </w:rPr>
        <w:t xml:space="preserve"> que integra al</w:t>
      </w:r>
      <w:r w:rsidR="006B6A53" w:rsidRPr="007347A7">
        <w:rPr>
          <w:sz w:val="24"/>
          <w:szCs w:val="24"/>
        </w:rPr>
        <w:t xml:space="preserve"> Gobierno Vasco, las Diputaciones Forales y los ayuntamientos vascos a través de EUDEL. Sus principales funciones han sido las de informar la producción normativa y los programas y planes relacionados con la materia, servir de foro para el intercambio de información por parte de los agentes representados y para formular propuestas de actuación a los actores competentes. Sin embargo, el nivel de éxito en </w:t>
      </w:r>
      <w:r w:rsidR="00D15AB1">
        <w:rPr>
          <w:sz w:val="24"/>
          <w:szCs w:val="24"/>
        </w:rPr>
        <w:t>las</w:t>
      </w:r>
      <w:r w:rsidR="006B6A53" w:rsidRPr="007347A7">
        <w:rPr>
          <w:sz w:val="24"/>
          <w:szCs w:val="24"/>
        </w:rPr>
        <w:t xml:space="preserve"> funciones de esta comisión </w:t>
      </w:r>
      <w:r w:rsidR="006B6A53">
        <w:rPr>
          <w:sz w:val="24"/>
          <w:szCs w:val="24"/>
        </w:rPr>
        <w:t xml:space="preserve">también </w:t>
      </w:r>
      <w:r w:rsidR="006B6A53" w:rsidRPr="007347A7">
        <w:rPr>
          <w:sz w:val="24"/>
          <w:szCs w:val="24"/>
        </w:rPr>
        <w:t>parece haber sido ciertamente limitado en tanto los análisis elaborados sobre su actuación resaltan su reducida actividad y la escasa sustancia de sus actividades, que parecen haber estado presididas por cierto formalismo (Novo 2000, 76-77).</w:t>
      </w:r>
    </w:p>
    <w:p w:rsidR="006B6A53" w:rsidRDefault="006B6A53" w:rsidP="006B6A53">
      <w:pPr>
        <w:pStyle w:val="Textoindependiente2"/>
        <w:spacing w:line="360" w:lineRule="auto"/>
        <w:jc w:val="both"/>
        <w:rPr>
          <w:rFonts w:asciiTheme="minorHAnsi" w:hAnsiTheme="minorHAnsi"/>
          <w:sz w:val="24"/>
          <w:szCs w:val="24"/>
        </w:rPr>
      </w:pPr>
    </w:p>
    <w:p w:rsidR="006B6A53" w:rsidRDefault="006B6A53" w:rsidP="006B6A53">
      <w:pPr>
        <w:pStyle w:val="Textoindependiente2"/>
        <w:spacing w:line="360" w:lineRule="auto"/>
        <w:jc w:val="both"/>
        <w:rPr>
          <w:rFonts w:asciiTheme="minorHAnsi" w:hAnsiTheme="minorHAnsi"/>
          <w:sz w:val="24"/>
          <w:szCs w:val="24"/>
        </w:rPr>
      </w:pPr>
      <w:r>
        <w:rPr>
          <w:rFonts w:asciiTheme="minorHAnsi" w:hAnsiTheme="minorHAnsi"/>
          <w:sz w:val="24"/>
          <w:szCs w:val="24"/>
        </w:rPr>
        <w:t>EL MODELO AUTONÓMICO BRITÁNICO</w:t>
      </w:r>
    </w:p>
    <w:p w:rsidR="006B6A53" w:rsidRPr="00550656" w:rsidRDefault="006B6A53" w:rsidP="006B6A53">
      <w:pPr>
        <w:pStyle w:val="Textoindependiente2"/>
        <w:spacing w:line="360" w:lineRule="auto"/>
        <w:jc w:val="both"/>
        <w:rPr>
          <w:rFonts w:asciiTheme="minorHAnsi" w:hAnsiTheme="minorHAnsi"/>
          <w:sz w:val="24"/>
          <w:szCs w:val="24"/>
        </w:rPr>
      </w:pPr>
      <w:r w:rsidRPr="00550656">
        <w:rPr>
          <w:rFonts w:asciiTheme="minorHAnsi" w:hAnsiTheme="minorHAnsi"/>
          <w:sz w:val="24"/>
          <w:szCs w:val="24"/>
        </w:rPr>
        <w:t>En el caso del Reino Unido</w:t>
      </w:r>
      <w:r>
        <w:rPr>
          <w:rFonts w:asciiTheme="minorHAnsi" w:hAnsiTheme="minorHAnsi"/>
          <w:sz w:val="24"/>
          <w:szCs w:val="24"/>
        </w:rPr>
        <w:t xml:space="preserve"> (RU)</w:t>
      </w:r>
      <w:r w:rsidRPr="00550656">
        <w:rPr>
          <w:rFonts w:asciiTheme="minorHAnsi" w:hAnsiTheme="minorHAnsi"/>
          <w:sz w:val="24"/>
          <w:szCs w:val="24"/>
        </w:rPr>
        <w:t xml:space="preserve">, aunque durante los 300 años el modelo centralizado ha sido la nota dominante, se ha dado una pervivencia histórica del </w:t>
      </w:r>
      <w:r w:rsidRPr="00550656">
        <w:rPr>
          <w:rFonts w:asciiTheme="minorHAnsi" w:hAnsiTheme="minorHAnsi"/>
          <w:i/>
          <w:sz w:val="24"/>
          <w:szCs w:val="24"/>
        </w:rPr>
        <w:t>cleavage</w:t>
      </w:r>
      <w:r w:rsidRPr="00550656">
        <w:rPr>
          <w:rFonts w:asciiTheme="minorHAnsi" w:hAnsiTheme="minorHAnsi"/>
          <w:sz w:val="24"/>
          <w:szCs w:val="24"/>
        </w:rPr>
        <w:t xml:space="preserve"> territorial prácticamente desde el siglo XIX. El punto álgido en el conflicto territorial británico lo marcaría sin duda el proceso de independencia irlandés que, en buena medida, </w:t>
      </w:r>
      <w:r w:rsidRPr="00550656">
        <w:rPr>
          <w:rFonts w:asciiTheme="minorHAnsi" w:hAnsiTheme="minorHAnsi"/>
          <w:sz w:val="24"/>
          <w:szCs w:val="24"/>
        </w:rPr>
        <w:lastRenderedPageBreak/>
        <w:t xml:space="preserve">paralizaría otras iniciativas de descentralización, </w:t>
      </w:r>
      <w:r>
        <w:rPr>
          <w:rFonts w:asciiTheme="minorHAnsi" w:hAnsiTheme="minorHAnsi"/>
          <w:sz w:val="24"/>
          <w:szCs w:val="24"/>
        </w:rPr>
        <w:t>resurgidas</w:t>
      </w:r>
      <w:r w:rsidRPr="00550656">
        <w:rPr>
          <w:rFonts w:asciiTheme="minorHAnsi" w:hAnsiTheme="minorHAnsi"/>
          <w:sz w:val="24"/>
          <w:szCs w:val="24"/>
        </w:rPr>
        <w:t xml:space="preserve"> en los años 70 del siglo pasado.</w:t>
      </w:r>
      <w:r>
        <w:rPr>
          <w:rFonts w:asciiTheme="minorHAnsi" w:hAnsiTheme="minorHAnsi"/>
          <w:sz w:val="24"/>
          <w:szCs w:val="24"/>
        </w:rPr>
        <w:t xml:space="preserve"> </w:t>
      </w:r>
      <w:r w:rsidRPr="00550656">
        <w:rPr>
          <w:rFonts w:asciiTheme="minorHAnsi" w:hAnsiTheme="minorHAnsi"/>
          <w:sz w:val="24"/>
          <w:szCs w:val="24"/>
        </w:rPr>
        <w:t xml:space="preserve">Históricamente, el RU ha sido –en este caso, de una manera similar al caso español- una agregación de reinos que confluyeron en la constitución de un Estado unitario; sin embargo, el caso británico tampoco </w:t>
      </w:r>
      <w:r>
        <w:rPr>
          <w:rFonts w:asciiTheme="minorHAnsi" w:hAnsiTheme="minorHAnsi"/>
          <w:sz w:val="24"/>
          <w:szCs w:val="24"/>
        </w:rPr>
        <w:t>es ejemplo de</w:t>
      </w:r>
      <w:r w:rsidRPr="00550656">
        <w:rPr>
          <w:rFonts w:asciiTheme="minorHAnsi" w:hAnsiTheme="minorHAnsi"/>
          <w:sz w:val="24"/>
          <w:szCs w:val="24"/>
        </w:rPr>
        <w:t xml:space="preserve"> un proceso centralizador demasiado fuerte en tanto ha sido proverbial la tradicional autonomía del poder</w:t>
      </w:r>
      <w:r w:rsidR="0053507A">
        <w:rPr>
          <w:rFonts w:asciiTheme="minorHAnsi" w:hAnsiTheme="minorHAnsi"/>
          <w:sz w:val="24"/>
          <w:szCs w:val="24"/>
        </w:rPr>
        <w:t xml:space="preserve"> local (Aguilera de Prat y Martínez </w:t>
      </w:r>
      <w:r w:rsidR="007C4C0E">
        <w:rPr>
          <w:rFonts w:asciiTheme="minorHAnsi" w:hAnsiTheme="minorHAnsi"/>
          <w:sz w:val="24"/>
          <w:szCs w:val="24"/>
        </w:rPr>
        <w:t>2000</w:t>
      </w:r>
      <w:r w:rsidR="0053507A">
        <w:rPr>
          <w:rFonts w:asciiTheme="minorHAnsi" w:hAnsiTheme="minorHAnsi"/>
          <w:sz w:val="24"/>
          <w:szCs w:val="24"/>
        </w:rPr>
        <w:t>)</w:t>
      </w:r>
      <w:r w:rsidRPr="00550656">
        <w:rPr>
          <w:rFonts w:asciiTheme="minorHAnsi" w:hAnsiTheme="minorHAnsi"/>
          <w:sz w:val="24"/>
          <w:szCs w:val="24"/>
        </w:rPr>
        <w:t>.</w:t>
      </w:r>
    </w:p>
    <w:p w:rsidR="006B6A53" w:rsidRDefault="00D15AB1" w:rsidP="00D15AB1">
      <w:pPr>
        <w:widowControl w:val="0"/>
        <w:spacing w:line="360" w:lineRule="auto"/>
        <w:jc w:val="both"/>
        <w:rPr>
          <w:rFonts w:asciiTheme="minorHAnsi" w:hAnsiTheme="minorHAnsi"/>
          <w:sz w:val="24"/>
          <w:szCs w:val="24"/>
        </w:rPr>
      </w:pPr>
      <w:r>
        <w:rPr>
          <w:rFonts w:asciiTheme="minorHAnsi" w:hAnsiTheme="minorHAnsi" w:cs="Arial"/>
          <w:sz w:val="24"/>
          <w:szCs w:val="24"/>
        </w:rPr>
        <w:t xml:space="preserve">Partiendo de esta base y como es de sobra conocido, </w:t>
      </w:r>
      <w:r w:rsidR="006B6A53" w:rsidRPr="00550656">
        <w:rPr>
          <w:rFonts w:asciiTheme="minorHAnsi" w:hAnsiTheme="minorHAnsi"/>
          <w:noProof/>
          <w:sz w:val="24"/>
          <w:szCs w:val="24"/>
        </w:rPr>
        <w:t>se inicia en los años 90</w:t>
      </w:r>
      <w:r>
        <w:rPr>
          <w:rFonts w:asciiTheme="minorHAnsi" w:hAnsiTheme="minorHAnsi"/>
          <w:noProof/>
          <w:sz w:val="24"/>
          <w:szCs w:val="24"/>
        </w:rPr>
        <w:t xml:space="preserve"> un proceso descentralizador de </w:t>
      </w:r>
      <w:r w:rsidRPr="00D15AB1">
        <w:rPr>
          <w:rFonts w:asciiTheme="minorHAnsi" w:hAnsiTheme="minorHAnsi"/>
          <w:i/>
          <w:noProof/>
          <w:sz w:val="24"/>
          <w:szCs w:val="24"/>
        </w:rPr>
        <w:t>Devolution</w:t>
      </w:r>
      <w:r>
        <w:rPr>
          <w:rFonts w:asciiTheme="minorHAnsi" w:hAnsiTheme="minorHAnsi"/>
          <w:noProof/>
          <w:sz w:val="24"/>
          <w:szCs w:val="24"/>
        </w:rPr>
        <w:t xml:space="preserve"> tendente a reinstaurar el autogobierno en</w:t>
      </w:r>
      <w:r w:rsidR="006B6A53" w:rsidRPr="00550656">
        <w:rPr>
          <w:rFonts w:asciiTheme="minorHAnsi" w:hAnsiTheme="minorHAnsi"/>
          <w:noProof/>
          <w:sz w:val="24"/>
          <w:szCs w:val="24"/>
        </w:rPr>
        <w:t xml:space="preserve"> </w:t>
      </w:r>
      <w:r w:rsidR="006B6A53" w:rsidRPr="00550656">
        <w:rPr>
          <w:rFonts w:asciiTheme="minorHAnsi" w:hAnsiTheme="minorHAnsi"/>
          <w:sz w:val="24"/>
          <w:szCs w:val="24"/>
        </w:rPr>
        <w:t xml:space="preserve"> las regiones</w:t>
      </w:r>
      <w:r>
        <w:rPr>
          <w:rFonts w:asciiTheme="minorHAnsi" w:hAnsiTheme="minorHAnsi"/>
          <w:sz w:val="24"/>
          <w:szCs w:val="24"/>
        </w:rPr>
        <w:t xml:space="preserve"> </w:t>
      </w:r>
      <w:r w:rsidR="006B6A53" w:rsidRPr="00550656">
        <w:rPr>
          <w:rFonts w:asciiTheme="minorHAnsi" w:hAnsiTheme="minorHAnsi"/>
          <w:sz w:val="24"/>
          <w:szCs w:val="24"/>
        </w:rPr>
        <w:t>históricamente integrantes del Reino Unido. Bajo un panorama general de asimetría, la regionalización otorga ciertas cotas de autogobierno que se plasman en diferentes potestades competenciales.</w:t>
      </w:r>
      <w:r w:rsidR="006B6A53">
        <w:rPr>
          <w:rFonts w:asciiTheme="minorHAnsi" w:hAnsiTheme="minorHAnsi"/>
          <w:sz w:val="24"/>
          <w:szCs w:val="24"/>
        </w:rPr>
        <w:t xml:space="preserve"> </w:t>
      </w:r>
      <w:r w:rsidR="006B6A53" w:rsidRPr="00550656">
        <w:rPr>
          <w:rFonts w:asciiTheme="minorHAnsi" w:hAnsiTheme="minorHAnsi"/>
          <w:sz w:val="24"/>
          <w:szCs w:val="24"/>
        </w:rPr>
        <w:t>Así, por ejemplo, en Escocia se establece una asamblea con capacidad legislativa para determinadas ámbitos sectoriales: servicio de salud, educación, gobierno local, policía y prisiones, etc., así como un gobierno autónomo, pudiendo cambiar hasta un 3% la fiscalidad sobre las rentas del trabajo</w:t>
      </w:r>
      <w:r w:rsidR="006B6A53">
        <w:rPr>
          <w:rFonts w:asciiTheme="minorHAnsi" w:hAnsiTheme="minorHAnsi"/>
          <w:sz w:val="24"/>
          <w:szCs w:val="24"/>
        </w:rPr>
        <w:t xml:space="preserve"> </w:t>
      </w:r>
      <w:r w:rsidR="006B6A53">
        <w:rPr>
          <w:sz w:val="24"/>
          <w:szCs w:val="24"/>
        </w:rPr>
        <w:t>(Gallagher et al. 2006)</w:t>
      </w:r>
      <w:r w:rsidR="006B6A53" w:rsidRPr="00550656">
        <w:rPr>
          <w:rFonts w:asciiTheme="minorHAnsi" w:hAnsiTheme="minorHAnsi"/>
          <w:sz w:val="24"/>
          <w:szCs w:val="24"/>
        </w:rPr>
        <w:t xml:space="preserve">. En Gales el proceso de </w:t>
      </w:r>
      <w:r w:rsidR="006B6A53" w:rsidRPr="00550656">
        <w:rPr>
          <w:rFonts w:asciiTheme="minorHAnsi" w:hAnsiTheme="minorHAnsi"/>
          <w:i/>
          <w:sz w:val="24"/>
          <w:szCs w:val="24"/>
        </w:rPr>
        <w:t>Devolution</w:t>
      </w:r>
      <w:r w:rsidR="006B6A53" w:rsidRPr="00550656">
        <w:rPr>
          <w:rFonts w:asciiTheme="minorHAnsi" w:hAnsiTheme="minorHAnsi"/>
          <w:sz w:val="24"/>
          <w:szCs w:val="24"/>
        </w:rPr>
        <w:t xml:space="preserve"> llevará menos competencias, en tanto seguirá careci</w:t>
      </w:r>
      <w:r w:rsidR="006B6A53">
        <w:rPr>
          <w:rFonts w:asciiTheme="minorHAnsi" w:hAnsiTheme="minorHAnsi"/>
          <w:sz w:val="24"/>
          <w:szCs w:val="24"/>
        </w:rPr>
        <w:t>e</w:t>
      </w:r>
      <w:r w:rsidR="006B6A53" w:rsidRPr="00550656">
        <w:rPr>
          <w:rFonts w:asciiTheme="minorHAnsi" w:hAnsiTheme="minorHAnsi"/>
          <w:sz w:val="24"/>
          <w:szCs w:val="24"/>
        </w:rPr>
        <w:t>ndo de capacidad legislativa y fiscal</w:t>
      </w:r>
      <w:r w:rsidR="0053507A">
        <w:rPr>
          <w:rFonts w:asciiTheme="minorHAnsi" w:hAnsiTheme="minorHAnsi"/>
          <w:sz w:val="24"/>
          <w:szCs w:val="24"/>
        </w:rPr>
        <w:t xml:space="preserve">y </w:t>
      </w:r>
      <w:r w:rsidR="006B6A53" w:rsidRPr="00550656">
        <w:rPr>
          <w:rFonts w:asciiTheme="minorHAnsi" w:hAnsiTheme="minorHAnsi"/>
          <w:sz w:val="24"/>
          <w:szCs w:val="24"/>
        </w:rPr>
        <w:t xml:space="preserve">en Irlanda del Norte el proceso tendrá sus propias particularidades </w:t>
      </w:r>
      <w:r w:rsidR="00A70EFD">
        <w:rPr>
          <w:rFonts w:asciiTheme="minorHAnsi" w:hAnsiTheme="minorHAnsi"/>
          <w:sz w:val="24"/>
          <w:szCs w:val="24"/>
        </w:rPr>
        <w:t xml:space="preserve">y desembocará en </w:t>
      </w:r>
      <w:r w:rsidR="006B6A53" w:rsidRPr="00550656">
        <w:rPr>
          <w:rFonts w:asciiTheme="minorHAnsi" w:hAnsiTheme="minorHAnsi"/>
          <w:sz w:val="24"/>
          <w:szCs w:val="24"/>
        </w:rPr>
        <w:t xml:space="preserve">el establecimiento de una asamblea autonómica, un gobierno propio y una serie de complejas instituciones de representación </w:t>
      </w:r>
      <w:r w:rsidR="0053507A">
        <w:rPr>
          <w:rFonts w:asciiTheme="minorHAnsi" w:hAnsiTheme="minorHAnsi"/>
          <w:sz w:val="24"/>
          <w:szCs w:val="24"/>
        </w:rPr>
        <w:t>paritaria de las comunidade</w:t>
      </w:r>
      <w:r w:rsidR="00A70EFD">
        <w:rPr>
          <w:rFonts w:asciiTheme="minorHAnsi" w:hAnsiTheme="minorHAnsi"/>
          <w:sz w:val="24"/>
          <w:szCs w:val="24"/>
        </w:rPr>
        <w:t>s protestante y católica</w:t>
      </w:r>
      <w:r w:rsidR="006B6A53" w:rsidRPr="00550656">
        <w:rPr>
          <w:rFonts w:asciiTheme="minorHAnsi" w:hAnsiTheme="minorHAnsi"/>
          <w:sz w:val="24"/>
          <w:szCs w:val="24"/>
        </w:rPr>
        <w:t>.</w:t>
      </w:r>
    </w:p>
    <w:p w:rsidR="006B6A53" w:rsidRDefault="00A70EFD" w:rsidP="006B6A53">
      <w:pPr>
        <w:pStyle w:val="Textoindependiente2"/>
        <w:spacing w:line="360" w:lineRule="auto"/>
        <w:jc w:val="both"/>
        <w:rPr>
          <w:rFonts w:asciiTheme="minorHAnsi" w:hAnsiTheme="minorHAnsi"/>
          <w:sz w:val="24"/>
          <w:szCs w:val="24"/>
        </w:rPr>
      </w:pPr>
      <w:r>
        <w:rPr>
          <w:rFonts w:asciiTheme="minorHAnsi" w:hAnsiTheme="minorHAnsi"/>
          <w:sz w:val="24"/>
          <w:szCs w:val="24"/>
        </w:rPr>
        <w:t>En este contexto, l</w:t>
      </w:r>
      <w:r w:rsidR="00D15AB1">
        <w:rPr>
          <w:rFonts w:asciiTheme="minorHAnsi" w:hAnsiTheme="minorHAnsi"/>
          <w:sz w:val="24"/>
          <w:szCs w:val="24"/>
        </w:rPr>
        <w:t xml:space="preserve">a cuestión ambiental </w:t>
      </w:r>
      <w:r w:rsidR="006B6A53">
        <w:rPr>
          <w:rFonts w:asciiTheme="minorHAnsi" w:hAnsiTheme="minorHAnsi"/>
          <w:sz w:val="24"/>
          <w:szCs w:val="24"/>
        </w:rPr>
        <w:t xml:space="preserve">en el Reino Unido ha tenido una especial resonancia sobre todo en lo que toca a temas de política atmosférica, de larga tradición en el país por los problemas planteados por una temprana industrialización. En materia de cambio climático </w:t>
      </w:r>
      <w:r w:rsidR="00D15AB1">
        <w:rPr>
          <w:rFonts w:asciiTheme="minorHAnsi" w:hAnsiTheme="minorHAnsi"/>
          <w:sz w:val="24"/>
          <w:szCs w:val="24"/>
        </w:rPr>
        <w:t xml:space="preserve">en concreto, se </w:t>
      </w:r>
      <w:r w:rsidR="006B6A53">
        <w:rPr>
          <w:rFonts w:asciiTheme="minorHAnsi" w:hAnsiTheme="minorHAnsi"/>
          <w:sz w:val="24"/>
          <w:szCs w:val="24"/>
        </w:rPr>
        <w:t xml:space="preserve">ha seguido la </w:t>
      </w:r>
      <w:r w:rsidR="00D15AB1">
        <w:rPr>
          <w:rFonts w:asciiTheme="minorHAnsi" w:hAnsiTheme="minorHAnsi"/>
          <w:sz w:val="24"/>
          <w:szCs w:val="24"/>
        </w:rPr>
        <w:t xml:space="preserve">misma </w:t>
      </w:r>
      <w:r w:rsidR="006B6A53">
        <w:rPr>
          <w:rFonts w:asciiTheme="minorHAnsi" w:hAnsiTheme="minorHAnsi"/>
          <w:sz w:val="24"/>
          <w:szCs w:val="24"/>
        </w:rPr>
        <w:t>senda</w:t>
      </w:r>
      <w:r w:rsidR="00D15AB1">
        <w:rPr>
          <w:rFonts w:asciiTheme="minorHAnsi" w:hAnsiTheme="minorHAnsi"/>
          <w:sz w:val="24"/>
          <w:szCs w:val="24"/>
        </w:rPr>
        <w:t xml:space="preserve"> con la</w:t>
      </w:r>
      <w:r w:rsidR="006B6A53">
        <w:rPr>
          <w:rFonts w:asciiTheme="minorHAnsi" w:hAnsiTheme="minorHAnsi"/>
          <w:sz w:val="24"/>
          <w:szCs w:val="24"/>
        </w:rPr>
        <w:t xml:space="preserve"> </w:t>
      </w:r>
      <w:r w:rsidR="00D15AB1">
        <w:rPr>
          <w:rFonts w:asciiTheme="minorHAnsi" w:hAnsiTheme="minorHAnsi"/>
          <w:sz w:val="24"/>
          <w:szCs w:val="24"/>
        </w:rPr>
        <w:t>elaboración de</w:t>
      </w:r>
      <w:r w:rsidR="006B6A53">
        <w:rPr>
          <w:rFonts w:asciiTheme="minorHAnsi" w:hAnsiTheme="minorHAnsi"/>
          <w:sz w:val="24"/>
          <w:szCs w:val="24"/>
        </w:rPr>
        <w:t xml:space="preserve"> un plan nacional </w:t>
      </w:r>
      <w:r w:rsidR="00D15AB1">
        <w:rPr>
          <w:rFonts w:asciiTheme="minorHAnsi" w:hAnsiTheme="minorHAnsi"/>
          <w:sz w:val="24"/>
          <w:szCs w:val="24"/>
        </w:rPr>
        <w:t xml:space="preserve">ya </w:t>
      </w:r>
      <w:r w:rsidR="006B6A53">
        <w:rPr>
          <w:rFonts w:asciiTheme="minorHAnsi" w:hAnsiTheme="minorHAnsi"/>
          <w:sz w:val="24"/>
          <w:szCs w:val="24"/>
        </w:rPr>
        <w:t xml:space="preserve">en el año 2000 en el que ya se planteaban objetivos de reducción de emisiones </w:t>
      </w:r>
      <w:r w:rsidR="00D15AB1">
        <w:rPr>
          <w:rFonts w:asciiTheme="minorHAnsi" w:hAnsiTheme="minorHAnsi"/>
          <w:sz w:val="24"/>
          <w:szCs w:val="24"/>
        </w:rPr>
        <w:t>más ambiciosos que los planteados en</w:t>
      </w:r>
      <w:r w:rsidR="006B6A53">
        <w:rPr>
          <w:rFonts w:asciiTheme="minorHAnsi" w:hAnsiTheme="minorHAnsi"/>
          <w:sz w:val="24"/>
          <w:szCs w:val="24"/>
        </w:rPr>
        <w:t xml:space="preserve"> Kioto</w:t>
      </w:r>
      <w:r w:rsidR="00D15AB1">
        <w:rPr>
          <w:rFonts w:asciiTheme="minorHAnsi" w:hAnsiTheme="minorHAnsi"/>
          <w:sz w:val="24"/>
          <w:szCs w:val="24"/>
        </w:rPr>
        <w:t xml:space="preserve">. </w:t>
      </w:r>
      <w:r w:rsidR="006B6A53">
        <w:rPr>
          <w:rFonts w:asciiTheme="minorHAnsi" w:hAnsiTheme="minorHAnsi"/>
          <w:sz w:val="24"/>
          <w:szCs w:val="24"/>
        </w:rPr>
        <w:t xml:space="preserve">De esta manera, la cuestión climática se planteaba fundamentalmente como una política para afianzar esos logros y sostener el desacoplamiento ya producido entre crecimiento económico y huella de carbono (OECD 2002, 216). Posteriormente, esta posición de vanguardia se mantendrá con la aprobación parlamentaria de la ley de cambio climático en 2008, que indiscutiblemente marca un hito al hacer traspasar el ámbito de la mera planificación a la política climática. Contraponiendo estos avances a la </w:t>
      </w:r>
      <w:r w:rsidR="006B6A53">
        <w:rPr>
          <w:rFonts w:asciiTheme="minorHAnsi" w:hAnsiTheme="minorHAnsi"/>
          <w:sz w:val="24"/>
          <w:szCs w:val="24"/>
        </w:rPr>
        <w:lastRenderedPageBreak/>
        <w:t>organización territorial, el protagonismo de la administración central –y dentro de ella la del Departamento de Medio Ambiente, Alimentación y Asuntos Rurales (DEFRA)- ha sido clave, como no podía ser menos, hasta la última década en la que han entrado en juego las administraciones regionales. A partir de entonces, el DEFRA ha adquirido un papel de coordinador en tanto que varias competencias que afectan al cambio climático han sido devueltas a las instituciones autónomas; así, para 2001 cada una de éstas había establecido un plan de protección climática en consonancia con el central (OECD 2002, 218).</w:t>
      </w:r>
    </w:p>
    <w:p w:rsidR="006B6A53" w:rsidRPr="00550656" w:rsidRDefault="006B6A53" w:rsidP="006B6A53">
      <w:pPr>
        <w:pStyle w:val="Textoindependiente2"/>
        <w:spacing w:line="360" w:lineRule="auto"/>
        <w:jc w:val="both"/>
        <w:rPr>
          <w:rFonts w:asciiTheme="minorHAnsi" w:hAnsiTheme="minorHAnsi"/>
          <w:sz w:val="24"/>
          <w:szCs w:val="24"/>
        </w:rPr>
      </w:pPr>
      <w:r>
        <w:rPr>
          <w:rFonts w:asciiTheme="minorHAnsi" w:hAnsiTheme="minorHAnsi"/>
          <w:sz w:val="24"/>
          <w:szCs w:val="24"/>
        </w:rPr>
        <w:t xml:space="preserve">El proceso de </w:t>
      </w:r>
      <w:r w:rsidRPr="00FA4CA3">
        <w:rPr>
          <w:rFonts w:asciiTheme="minorHAnsi" w:hAnsiTheme="minorHAnsi"/>
          <w:i/>
          <w:sz w:val="24"/>
          <w:szCs w:val="24"/>
        </w:rPr>
        <w:t>Devolution</w:t>
      </w:r>
      <w:r>
        <w:rPr>
          <w:rFonts w:asciiTheme="minorHAnsi" w:hAnsiTheme="minorHAnsi"/>
          <w:sz w:val="24"/>
          <w:szCs w:val="24"/>
        </w:rPr>
        <w:t xml:space="preserve"> ha implicado también que por ejemplo Escocia tenga su propia Agencia medio ambiental con una estructura potente de 1300 empleados y 22 oficinas repartidas por el territorio. Su función principal sería la de proporcionar asesoramiento experto a las políticas públicas del gobierno escocés, del cual depende de manera integral, es decir, no está sujeta al organigrama de un departamento concreto, sino al gabinete en su conjunto (</w:t>
      </w:r>
      <w:hyperlink r:id="rId8" w:history="1">
        <w:r w:rsidRPr="00221555">
          <w:rPr>
            <w:rStyle w:val="Hipervnculo"/>
            <w:rFonts w:asciiTheme="minorHAnsi" w:hAnsiTheme="minorHAnsi"/>
            <w:sz w:val="24"/>
            <w:szCs w:val="24"/>
          </w:rPr>
          <w:t>http://www.sepa.org.uk/about_us.aspx</w:t>
        </w:r>
      </w:hyperlink>
      <w:r>
        <w:rPr>
          <w:rFonts w:asciiTheme="minorHAnsi" w:hAnsiTheme="minorHAnsi"/>
          <w:sz w:val="24"/>
          <w:szCs w:val="24"/>
        </w:rPr>
        <w:t xml:space="preserve">). </w:t>
      </w:r>
    </w:p>
    <w:p w:rsidR="004E2AD1" w:rsidRDefault="004E2AD1" w:rsidP="006B6A53">
      <w:pPr>
        <w:spacing w:line="360" w:lineRule="auto"/>
        <w:jc w:val="both"/>
        <w:rPr>
          <w:sz w:val="24"/>
          <w:szCs w:val="24"/>
        </w:rPr>
      </w:pPr>
    </w:p>
    <w:p w:rsidR="006B6A53" w:rsidRDefault="006B6A53" w:rsidP="006B6A53">
      <w:pPr>
        <w:spacing w:line="360" w:lineRule="auto"/>
        <w:jc w:val="both"/>
        <w:rPr>
          <w:sz w:val="24"/>
          <w:szCs w:val="24"/>
        </w:rPr>
      </w:pPr>
      <w:r>
        <w:rPr>
          <w:sz w:val="24"/>
          <w:szCs w:val="24"/>
        </w:rPr>
        <w:t>EL FEDERALISMO BELGA</w:t>
      </w:r>
    </w:p>
    <w:p w:rsidR="006B6A53" w:rsidRDefault="006B6A53" w:rsidP="006B6A53">
      <w:pPr>
        <w:spacing w:line="360" w:lineRule="auto"/>
        <w:jc w:val="both"/>
        <w:rPr>
          <w:sz w:val="24"/>
          <w:szCs w:val="24"/>
        </w:rPr>
      </w:pPr>
      <w:r>
        <w:rPr>
          <w:sz w:val="24"/>
          <w:szCs w:val="24"/>
        </w:rPr>
        <w:t xml:space="preserve">El proceso de federalización del Estado belga se desarrolla a través de cuatro grandes reformas constitucionales desde 1970 a 1993. En un primer momento se crean los niveles intermedios, las comunidades y las regiones, para después ir dotándolas de contenido competencial. Así, en 1970 se inicia el proceso descentralizador consagrando constitucionalmente diferentes procedimientos </w:t>
      </w:r>
      <w:r w:rsidR="00A70EFD">
        <w:rPr>
          <w:sz w:val="24"/>
          <w:szCs w:val="24"/>
        </w:rPr>
        <w:t>e instituciones de naturaleza consensual</w:t>
      </w:r>
      <w:r>
        <w:rPr>
          <w:sz w:val="24"/>
          <w:szCs w:val="24"/>
        </w:rPr>
        <w:t xml:space="preserve"> a fin de salvaguardar el derecho de veto de grupos nacionales sobre las decisiones más importantes del Estado. En las reformas de los años 80 se crean las comunidades flamenca, valona y germano-hablante, así como las regiones de Flandes, Valonia y, posteriormente, la de Bruselas</w:t>
      </w:r>
      <w:r w:rsidR="00A70EFD">
        <w:rPr>
          <w:sz w:val="24"/>
          <w:szCs w:val="24"/>
        </w:rPr>
        <w:t xml:space="preserve">, </w:t>
      </w:r>
      <w:r>
        <w:rPr>
          <w:sz w:val="24"/>
          <w:szCs w:val="24"/>
        </w:rPr>
        <w:t xml:space="preserve">profundizando en el autogobierno de éstas al ir dotándolas progresivamente de más competencias. </w:t>
      </w:r>
      <w:r w:rsidR="00A70EFD">
        <w:rPr>
          <w:sz w:val="24"/>
          <w:szCs w:val="24"/>
        </w:rPr>
        <w:t>En</w:t>
      </w:r>
      <w:r>
        <w:rPr>
          <w:sz w:val="24"/>
          <w:szCs w:val="24"/>
        </w:rPr>
        <w:t xml:space="preserve"> 1993, aparte de cerrar la distribución competencial, se incluye la caracterización formal de Bélgica como Estado federal, se instaura la elección directa de los consejos regionales y comunitarios y se reforman las funciones del Senado, acorde con el nuevo esquema territorial.</w:t>
      </w:r>
    </w:p>
    <w:p w:rsidR="006B6A53" w:rsidRDefault="006B6A53" w:rsidP="006B6A53">
      <w:pPr>
        <w:spacing w:line="360" w:lineRule="auto"/>
        <w:jc w:val="both"/>
        <w:rPr>
          <w:sz w:val="24"/>
          <w:szCs w:val="24"/>
        </w:rPr>
      </w:pPr>
      <w:r>
        <w:rPr>
          <w:sz w:val="24"/>
          <w:szCs w:val="24"/>
        </w:rPr>
        <w:lastRenderedPageBreak/>
        <w:t xml:space="preserve">Históricamente, la explicación del federalismo belga suele </w:t>
      </w:r>
      <w:r w:rsidR="00A70EFD">
        <w:rPr>
          <w:sz w:val="24"/>
          <w:szCs w:val="24"/>
        </w:rPr>
        <w:t>venir de</w:t>
      </w:r>
      <w:r>
        <w:rPr>
          <w:sz w:val="24"/>
          <w:szCs w:val="24"/>
        </w:rPr>
        <w:t xml:space="preserve"> la pujanza de la región y comunidad flamenca a lo largo del siglo XX</w:t>
      </w:r>
      <w:r w:rsidR="00A70EFD">
        <w:rPr>
          <w:sz w:val="24"/>
          <w:szCs w:val="24"/>
        </w:rPr>
        <w:t>,</w:t>
      </w:r>
      <w:r>
        <w:rPr>
          <w:sz w:val="24"/>
          <w:szCs w:val="24"/>
        </w:rPr>
        <w:t xml:space="preserve"> </w:t>
      </w:r>
      <w:r w:rsidR="00A70EFD">
        <w:rPr>
          <w:sz w:val="24"/>
          <w:szCs w:val="24"/>
        </w:rPr>
        <w:t>f</w:t>
      </w:r>
      <w:r>
        <w:rPr>
          <w:sz w:val="24"/>
          <w:szCs w:val="24"/>
        </w:rPr>
        <w:t>rente al decliv</w:t>
      </w:r>
      <w:r w:rsidR="00A70EFD">
        <w:rPr>
          <w:sz w:val="24"/>
          <w:szCs w:val="24"/>
        </w:rPr>
        <w:t>e económico de la región valona:</w:t>
      </w:r>
      <w:r>
        <w:rPr>
          <w:sz w:val="24"/>
          <w:szCs w:val="24"/>
        </w:rPr>
        <w:t xml:space="preserve"> Flandes encarna el despegue económico, basado en la industria manufacturera y el sector servicios, así como un tipo de cultura más próxima al mundo germánico, todo lo cual irá agudizando un proceso de polarización que cuestione definitivamente la naturaleza del Estado belga (Wagstaff 1999, 80-83; Watts 1999, 128). En concreto, dos procesos parecen converger un doble movimiento para que la descentralización sea un proceso mayoritariamente apoyado: por un lado, el nacionalismo cultural flamenco y, por otro lado, el ansia de mayor autogobierno de los valones para insuflar ayuda a su declinante sistema económico</w:t>
      </w:r>
      <w:r w:rsidR="00A70EFD">
        <w:rPr>
          <w:sz w:val="24"/>
          <w:szCs w:val="24"/>
        </w:rPr>
        <w:t>, basado en el sector de la minería y en una decadente industria metalúrgica</w:t>
      </w:r>
      <w:r>
        <w:rPr>
          <w:sz w:val="24"/>
          <w:szCs w:val="24"/>
        </w:rPr>
        <w:t>. Ese doble movimiento desembocará finalmente en la configuración de una variante propia del federalismo que dará respuesta institucional a dos tipos de unidades federadas: las comunidades y las regiones (Dumont et al. 2006, 36). Este quizá sea el rasgo más peculiar del sistema federal belga, el de reunir dos niveles intermedios entre el Estado Federal y las entidades provinciales y locales y el hecho de que uno de ellos –la comunidad- sea de naturaleza no territorial.</w:t>
      </w:r>
    </w:p>
    <w:p w:rsidR="006B6A53" w:rsidRDefault="006B6A53" w:rsidP="006B6A53">
      <w:pPr>
        <w:spacing w:line="360" w:lineRule="auto"/>
        <w:jc w:val="both"/>
        <w:rPr>
          <w:sz w:val="24"/>
          <w:szCs w:val="24"/>
        </w:rPr>
      </w:pPr>
      <w:r>
        <w:rPr>
          <w:sz w:val="24"/>
          <w:szCs w:val="24"/>
        </w:rPr>
        <w:t xml:space="preserve">En cualquier caso, con el ciclo de reformas constitucionales anteriormente referido se instaura un sistema asigna </w:t>
      </w:r>
      <w:r w:rsidR="00A70EFD">
        <w:rPr>
          <w:sz w:val="24"/>
          <w:szCs w:val="24"/>
        </w:rPr>
        <w:t xml:space="preserve">a las comunidades </w:t>
      </w:r>
      <w:r>
        <w:rPr>
          <w:sz w:val="24"/>
          <w:szCs w:val="24"/>
        </w:rPr>
        <w:t xml:space="preserve">la titularidad de materias tales como la enseñanza, la atención sanitaria, las políticas culturales, las </w:t>
      </w:r>
      <w:r w:rsidR="00A70EFD">
        <w:rPr>
          <w:sz w:val="24"/>
          <w:szCs w:val="24"/>
        </w:rPr>
        <w:t>lingüísticas y,</w:t>
      </w:r>
      <w:r>
        <w:rPr>
          <w:sz w:val="24"/>
          <w:szCs w:val="24"/>
        </w:rPr>
        <w:t xml:space="preserve"> en definitiva</w:t>
      </w:r>
      <w:r w:rsidR="00A70EFD">
        <w:rPr>
          <w:sz w:val="24"/>
          <w:szCs w:val="24"/>
        </w:rPr>
        <w:t>,</w:t>
      </w:r>
      <w:r>
        <w:rPr>
          <w:sz w:val="24"/>
          <w:szCs w:val="24"/>
        </w:rPr>
        <w:t xml:space="preserve"> todas aquéllas atribuciones que tocan la materia cultural y las relaciones interpersonales (Dumont et al.2006, 40). Para las regiones quedan reservadas otro tipo de competencias más relacionadas con la gestión de grandes recursos y planificación: la gestión del territorio, el medio ambiente, la vivienda, la energía, la economía o el transporte, todos ellas, lógicamente, a escala de la propia región. </w:t>
      </w:r>
    </w:p>
    <w:p w:rsidR="006B6A53" w:rsidRDefault="006B6A53" w:rsidP="006B6A53">
      <w:pPr>
        <w:spacing w:line="360" w:lineRule="auto"/>
        <w:jc w:val="both"/>
        <w:rPr>
          <w:sz w:val="24"/>
          <w:szCs w:val="24"/>
        </w:rPr>
      </w:pPr>
      <w:r>
        <w:rPr>
          <w:sz w:val="24"/>
          <w:szCs w:val="24"/>
        </w:rPr>
        <w:t xml:space="preserve">Quizá lo más importante de este reparto competencial es que, en principio, éste se organiza bajo el principio de la exclusividad, cerrando el paso a la distribución concurrente de competencias y, lógicamente, a ciertas fórmulas de federalismo cooperativo que aparecen en otras latitudes. Las entidades federadas se hacen con poderes ejecutivos y legislativos que pueden emitir normativa de igual rango que los poderes federales, con lo que, en principio, no deberían darse casos de conflicto </w:t>
      </w:r>
      <w:r>
        <w:rPr>
          <w:sz w:val="24"/>
          <w:szCs w:val="24"/>
        </w:rPr>
        <w:lastRenderedPageBreak/>
        <w:t xml:space="preserve">competencial. Incluso se les atribuye capacidad para desarrollar sus atribuciones a nivel internacional y firmar, por ejemplo, tratados con otros países para la mejor satisfacción de sus intereses. El caso belga, por tanto, es un caso nítido de federalismo dual, </w:t>
      </w:r>
      <w:r w:rsidR="007C4C0E">
        <w:rPr>
          <w:sz w:val="24"/>
          <w:szCs w:val="24"/>
        </w:rPr>
        <w:t>aparte de</w:t>
      </w:r>
      <w:r>
        <w:rPr>
          <w:sz w:val="24"/>
          <w:szCs w:val="24"/>
        </w:rPr>
        <w:t xml:space="preserve"> un alto nivel de</w:t>
      </w:r>
      <w:r w:rsidR="007C4C0E">
        <w:rPr>
          <w:sz w:val="24"/>
          <w:szCs w:val="24"/>
        </w:rPr>
        <w:t xml:space="preserve"> descentralización</w:t>
      </w:r>
      <w:r>
        <w:rPr>
          <w:sz w:val="24"/>
          <w:szCs w:val="24"/>
        </w:rPr>
        <w:t xml:space="preserve"> y la asimetría entre los diferentes poderes federados (Watts 1999, 129). </w:t>
      </w:r>
    </w:p>
    <w:p w:rsidR="006B6A53" w:rsidRDefault="007C4C0E" w:rsidP="006B6A53">
      <w:pPr>
        <w:spacing w:line="360" w:lineRule="auto"/>
        <w:jc w:val="both"/>
        <w:rPr>
          <w:sz w:val="24"/>
          <w:szCs w:val="24"/>
        </w:rPr>
      </w:pPr>
      <w:r>
        <w:rPr>
          <w:sz w:val="24"/>
          <w:szCs w:val="24"/>
        </w:rPr>
        <w:t>Con todo y con ello</w:t>
      </w:r>
      <w:r w:rsidR="006B6A53">
        <w:rPr>
          <w:sz w:val="24"/>
          <w:szCs w:val="24"/>
        </w:rPr>
        <w:t>, se deja cierto espacio para instituciones informativas y de  cooperación de cara a mantener una línea de acción coherente en el exterior (Dumont et al 2006, 44). En buena medida, tal ha sido la nota predominante en las políticas de cambio climático. En este caso, la conexión debe hacerse entre el gobierno central y los propios de las regiones en tanto que son éstas y aquél las instituciones que</w:t>
      </w:r>
      <w:r>
        <w:rPr>
          <w:sz w:val="24"/>
          <w:szCs w:val="24"/>
        </w:rPr>
        <w:t xml:space="preserve"> </w:t>
      </w:r>
      <w:r w:rsidR="006B6A53">
        <w:rPr>
          <w:sz w:val="24"/>
          <w:szCs w:val="24"/>
        </w:rPr>
        <w:t xml:space="preserve">ejercen las competencias relacionadas con el tema del calentamiento </w:t>
      </w:r>
      <w:r>
        <w:rPr>
          <w:sz w:val="24"/>
          <w:szCs w:val="24"/>
        </w:rPr>
        <w:t xml:space="preserve">global </w:t>
      </w:r>
      <w:r w:rsidR="006B6A53">
        <w:rPr>
          <w:sz w:val="24"/>
          <w:szCs w:val="24"/>
        </w:rPr>
        <w:t xml:space="preserve">(Cuadro 2).De esta forma, se establecen ciertos foros y organismos orientados a facilitar la consulta y la cooperación entre las diferentes autoridades. Ese es el caso por ejemplo de la Conferencia Interministerial de Medio Ambiente que agrupa a los ministros de medio ambiente de las tres regiones junto con el de la administración federal y otros delegados de áreas sectoriales anexas. Este organismo tiene un comité en torno a aspectos climáticos desde el año 2000 que agrupa, además, a representantes de alto nivel político, incluyendo la figura del Primer Ministro. </w:t>
      </w:r>
    </w:p>
    <w:p w:rsidR="004E2AD1" w:rsidRDefault="006B6A53" w:rsidP="004E2AD1">
      <w:pPr>
        <w:spacing w:line="360" w:lineRule="auto"/>
        <w:jc w:val="both"/>
        <w:rPr>
          <w:sz w:val="24"/>
          <w:szCs w:val="24"/>
        </w:rPr>
      </w:pPr>
      <w:r>
        <w:rPr>
          <w:sz w:val="24"/>
          <w:szCs w:val="24"/>
        </w:rPr>
        <w:t>En este contexto, cada uno de los actores regionales desarrolla su propia planificación aparte de la correspondiente al Estado belga que es competencia, lógicamente</w:t>
      </w:r>
      <w:r w:rsidR="007C4C0E">
        <w:rPr>
          <w:sz w:val="24"/>
          <w:szCs w:val="24"/>
        </w:rPr>
        <w:t>,</w:t>
      </w:r>
      <w:r>
        <w:rPr>
          <w:sz w:val="24"/>
          <w:szCs w:val="24"/>
        </w:rPr>
        <w:t xml:space="preserve"> de la administración central. Desarrolla su propia planificación porque opta por esta vía de  </w:t>
      </w:r>
      <w:r w:rsidR="004E2AD1">
        <w:rPr>
          <w:sz w:val="24"/>
          <w:szCs w:val="24"/>
        </w:rPr>
        <w:t>actuación, pero la legislación en torno a cambio climático sería igualmente posible atendiendo al reparto competencial de la Constitución. En todo caso, y mediante la reserva de la política fiscal, el Estado central guarda una baza para ejercer un impacto sobre las políticas climáticas mayor del que pudiera parecer atendiendo exclusivamente a la distribución de poderes (OECD 2007b, 139).</w:t>
      </w:r>
    </w:p>
    <w:p w:rsidR="006B6A53" w:rsidRDefault="006B6A53" w:rsidP="006B6A53">
      <w:pPr>
        <w:spacing w:line="360" w:lineRule="auto"/>
        <w:jc w:val="both"/>
        <w:rPr>
          <w:b/>
        </w:rPr>
        <w:sectPr w:rsidR="006B6A53" w:rsidSect="00A17091">
          <w:footerReference w:type="default" r:id="rId9"/>
          <w:pgSz w:w="11906" w:h="16838"/>
          <w:pgMar w:top="1417" w:right="1701" w:bottom="1417" w:left="1701" w:header="708" w:footer="708" w:gutter="0"/>
          <w:cols w:space="708"/>
          <w:titlePg/>
          <w:docGrid w:linePitch="360"/>
        </w:sectPr>
      </w:pPr>
    </w:p>
    <w:p w:rsidR="006B6A53" w:rsidRPr="00322514" w:rsidRDefault="006B6A53" w:rsidP="006B6A53">
      <w:pPr>
        <w:rPr>
          <w:b/>
          <w:sz w:val="24"/>
          <w:szCs w:val="24"/>
        </w:rPr>
      </w:pPr>
      <w:r w:rsidRPr="00322514">
        <w:rPr>
          <w:b/>
          <w:sz w:val="24"/>
          <w:szCs w:val="24"/>
        </w:rPr>
        <w:lastRenderedPageBreak/>
        <w:t>Cuadro</w:t>
      </w:r>
      <w:r>
        <w:rPr>
          <w:b/>
          <w:sz w:val="24"/>
          <w:szCs w:val="24"/>
        </w:rPr>
        <w:t xml:space="preserve"> 2</w:t>
      </w:r>
      <w:r w:rsidRPr="00322514">
        <w:rPr>
          <w:b/>
          <w:sz w:val="24"/>
          <w:szCs w:val="24"/>
        </w:rPr>
        <w:t>: Reparto de competencias climáticas en el sistema federal belga</w:t>
      </w:r>
    </w:p>
    <w:tbl>
      <w:tblPr>
        <w:tblStyle w:val="Tablaconcuadrcula"/>
        <w:tblW w:w="14699" w:type="dxa"/>
        <w:tblLayout w:type="fixed"/>
        <w:tblLook w:val="04A0"/>
      </w:tblPr>
      <w:tblGrid>
        <w:gridCol w:w="1809"/>
        <w:gridCol w:w="2578"/>
        <w:gridCol w:w="2578"/>
        <w:gridCol w:w="2578"/>
        <w:gridCol w:w="2578"/>
        <w:gridCol w:w="2578"/>
      </w:tblGrid>
      <w:tr w:rsidR="006B6A53" w:rsidTr="00A17091">
        <w:tc>
          <w:tcPr>
            <w:tcW w:w="1809" w:type="dxa"/>
            <w:vMerge w:val="restart"/>
            <w:vAlign w:val="bottom"/>
          </w:tcPr>
          <w:p w:rsidR="006B6A53" w:rsidRPr="00862280" w:rsidRDefault="006B6A53" w:rsidP="00A17091">
            <w:pPr>
              <w:rPr>
                <w:b/>
              </w:rPr>
            </w:pPr>
            <w:r w:rsidRPr="00862280">
              <w:rPr>
                <w:b/>
              </w:rPr>
              <w:t>Nivel competencial</w:t>
            </w:r>
          </w:p>
        </w:tc>
        <w:tc>
          <w:tcPr>
            <w:tcW w:w="12890" w:type="dxa"/>
            <w:gridSpan w:val="5"/>
            <w:shd w:val="clear" w:color="auto" w:fill="D9D9D9" w:themeFill="background1" w:themeFillShade="D9"/>
            <w:vAlign w:val="center"/>
          </w:tcPr>
          <w:p w:rsidR="006B6A53" w:rsidRPr="00862280" w:rsidRDefault="006B6A53" w:rsidP="00A17091">
            <w:pPr>
              <w:jc w:val="center"/>
              <w:rPr>
                <w:b/>
              </w:rPr>
            </w:pPr>
            <w:r w:rsidRPr="00862280">
              <w:rPr>
                <w:b/>
              </w:rPr>
              <w:t>Política Sectorial</w:t>
            </w:r>
          </w:p>
        </w:tc>
      </w:tr>
      <w:tr w:rsidR="006B6A53" w:rsidTr="00A17091">
        <w:tc>
          <w:tcPr>
            <w:tcW w:w="1809" w:type="dxa"/>
            <w:vMerge/>
          </w:tcPr>
          <w:p w:rsidR="006B6A53" w:rsidRPr="00862280" w:rsidRDefault="006B6A53" w:rsidP="00A17091">
            <w:pPr>
              <w:rPr>
                <w:b/>
              </w:rPr>
            </w:pPr>
          </w:p>
        </w:tc>
        <w:tc>
          <w:tcPr>
            <w:tcW w:w="2578" w:type="dxa"/>
            <w:shd w:val="clear" w:color="auto" w:fill="D9D9D9" w:themeFill="background1" w:themeFillShade="D9"/>
          </w:tcPr>
          <w:p w:rsidR="006B6A53" w:rsidRPr="00862280" w:rsidRDefault="006B6A53" w:rsidP="00A17091">
            <w:pPr>
              <w:rPr>
                <w:b/>
              </w:rPr>
            </w:pPr>
            <w:r w:rsidRPr="00862280">
              <w:rPr>
                <w:b/>
              </w:rPr>
              <w:t xml:space="preserve">Medio ambiente </w:t>
            </w:r>
          </w:p>
        </w:tc>
        <w:tc>
          <w:tcPr>
            <w:tcW w:w="2578" w:type="dxa"/>
            <w:shd w:val="clear" w:color="auto" w:fill="D9D9D9" w:themeFill="background1" w:themeFillShade="D9"/>
          </w:tcPr>
          <w:p w:rsidR="006B6A53" w:rsidRPr="00862280" w:rsidRDefault="006B6A53" w:rsidP="00A17091">
            <w:pPr>
              <w:rPr>
                <w:b/>
              </w:rPr>
            </w:pPr>
            <w:r w:rsidRPr="00862280">
              <w:rPr>
                <w:b/>
              </w:rPr>
              <w:t>Energía</w:t>
            </w:r>
          </w:p>
        </w:tc>
        <w:tc>
          <w:tcPr>
            <w:tcW w:w="2578" w:type="dxa"/>
            <w:shd w:val="clear" w:color="auto" w:fill="D9D9D9" w:themeFill="background1" w:themeFillShade="D9"/>
          </w:tcPr>
          <w:p w:rsidR="006B6A53" w:rsidRPr="00862280" w:rsidRDefault="006B6A53" w:rsidP="00A17091">
            <w:pPr>
              <w:rPr>
                <w:b/>
              </w:rPr>
            </w:pPr>
            <w:r w:rsidRPr="00862280">
              <w:rPr>
                <w:b/>
              </w:rPr>
              <w:t>Transporte</w:t>
            </w:r>
          </w:p>
        </w:tc>
        <w:tc>
          <w:tcPr>
            <w:tcW w:w="2578" w:type="dxa"/>
            <w:shd w:val="clear" w:color="auto" w:fill="D9D9D9" w:themeFill="background1" w:themeFillShade="D9"/>
          </w:tcPr>
          <w:p w:rsidR="006B6A53" w:rsidRPr="00862280" w:rsidRDefault="006B6A53" w:rsidP="00A17091">
            <w:pPr>
              <w:rPr>
                <w:b/>
              </w:rPr>
            </w:pPr>
            <w:r w:rsidRPr="00862280">
              <w:rPr>
                <w:b/>
              </w:rPr>
              <w:t>Urbanismo/Ord. Territ.</w:t>
            </w:r>
          </w:p>
        </w:tc>
        <w:tc>
          <w:tcPr>
            <w:tcW w:w="2578" w:type="dxa"/>
            <w:shd w:val="clear" w:color="auto" w:fill="D9D9D9" w:themeFill="background1" w:themeFillShade="D9"/>
          </w:tcPr>
          <w:p w:rsidR="006B6A53" w:rsidRPr="00862280" w:rsidRDefault="006B6A53" w:rsidP="00A17091">
            <w:pPr>
              <w:rPr>
                <w:b/>
              </w:rPr>
            </w:pPr>
            <w:r w:rsidRPr="00862280">
              <w:rPr>
                <w:b/>
              </w:rPr>
              <w:t>Educación/Difusión</w:t>
            </w:r>
          </w:p>
        </w:tc>
      </w:tr>
      <w:tr w:rsidR="006B6A53" w:rsidTr="00A17091">
        <w:tc>
          <w:tcPr>
            <w:tcW w:w="1809" w:type="dxa"/>
            <w:vMerge w:val="restart"/>
            <w:vAlign w:val="center"/>
          </w:tcPr>
          <w:p w:rsidR="006B6A53" w:rsidRPr="00862280" w:rsidRDefault="006B6A53" w:rsidP="00A17091">
            <w:pPr>
              <w:rPr>
                <w:b/>
              </w:rPr>
            </w:pPr>
            <w:r w:rsidRPr="00862280">
              <w:rPr>
                <w:b/>
              </w:rPr>
              <w:t>Federal</w:t>
            </w:r>
          </w:p>
        </w:tc>
        <w:tc>
          <w:tcPr>
            <w:tcW w:w="2578" w:type="dxa"/>
            <w:vAlign w:val="center"/>
          </w:tcPr>
          <w:p w:rsidR="006B6A53" w:rsidRPr="00862280" w:rsidRDefault="006B6A53" w:rsidP="00A17091">
            <w:pPr>
              <w:rPr>
                <w:sz w:val="20"/>
                <w:szCs w:val="20"/>
              </w:rPr>
            </w:pPr>
            <w:r w:rsidRPr="00862280">
              <w:rPr>
                <w:sz w:val="20"/>
                <w:szCs w:val="20"/>
              </w:rPr>
              <w:t xml:space="preserve">Establecimiento de estándares </w:t>
            </w:r>
          </w:p>
        </w:tc>
        <w:tc>
          <w:tcPr>
            <w:tcW w:w="2578" w:type="dxa"/>
            <w:vAlign w:val="center"/>
          </w:tcPr>
          <w:p w:rsidR="006B6A53" w:rsidRPr="00862280" w:rsidRDefault="006B6A53" w:rsidP="00A17091">
            <w:pPr>
              <w:rPr>
                <w:sz w:val="20"/>
                <w:szCs w:val="20"/>
              </w:rPr>
            </w:pPr>
            <w:r w:rsidRPr="00862280">
              <w:rPr>
                <w:sz w:val="20"/>
                <w:szCs w:val="20"/>
              </w:rPr>
              <w:t>Directrices para producción eléctrica</w:t>
            </w:r>
          </w:p>
        </w:tc>
        <w:tc>
          <w:tcPr>
            <w:tcW w:w="2578" w:type="dxa"/>
            <w:vAlign w:val="center"/>
          </w:tcPr>
          <w:p w:rsidR="006B6A53" w:rsidRPr="00862280" w:rsidRDefault="006B6A53" w:rsidP="00A17091">
            <w:pPr>
              <w:rPr>
                <w:sz w:val="20"/>
                <w:szCs w:val="20"/>
              </w:rPr>
            </w:pPr>
            <w:r w:rsidRPr="00862280">
              <w:rPr>
                <w:sz w:val="20"/>
                <w:szCs w:val="20"/>
              </w:rPr>
              <w:t>Aeropuerto nacional</w:t>
            </w:r>
          </w:p>
        </w:tc>
        <w:tc>
          <w:tcPr>
            <w:tcW w:w="2578" w:type="dxa"/>
            <w:vMerge w:val="restart"/>
            <w:vAlign w:val="center"/>
          </w:tcPr>
          <w:p w:rsidR="006B6A53" w:rsidRPr="00862280" w:rsidRDefault="006B6A53" w:rsidP="00A17091">
            <w:pPr>
              <w:rPr>
                <w:sz w:val="20"/>
                <w:szCs w:val="20"/>
              </w:rPr>
            </w:pPr>
          </w:p>
        </w:tc>
        <w:tc>
          <w:tcPr>
            <w:tcW w:w="2578" w:type="dxa"/>
            <w:vMerge w:val="restart"/>
            <w:vAlign w:val="center"/>
          </w:tcPr>
          <w:p w:rsidR="006B6A53" w:rsidRPr="00862280" w:rsidRDefault="006B6A53" w:rsidP="00A17091">
            <w:pPr>
              <w:rPr>
                <w:sz w:val="20"/>
                <w:szCs w:val="20"/>
              </w:rPr>
            </w:pPr>
            <w:r w:rsidRPr="00862280">
              <w:rPr>
                <w:sz w:val="20"/>
                <w:szCs w:val="20"/>
              </w:rPr>
              <w:t>Enseñanza y difusión en las áreas de su competencia</w:t>
            </w: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Protección radiación ionizante</w:t>
            </w:r>
          </w:p>
        </w:tc>
        <w:tc>
          <w:tcPr>
            <w:tcW w:w="2578" w:type="dxa"/>
            <w:vAlign w:val="center"/>
          </w:tcPr>
          <w:p w:rsidR="006B6A53" w:rsidRPr="00862280" w:rsidRDefault="006B6A53" w:rsidP="00A17091">
            <w:pPr>
              <w:rPr>
                <w:sz w:val="20"/>
                <w:szCs w:val="20"/>
              </w:rPr>
            </w:pPr>
            <w:r w:rsidRPr="00862280">
              <w:rPr>
                <w:sz w:val="20"/>
                <w:szCs w:val="20"/>
              </w:rPr>
              <w:t>Ciclo del combustible nuclear</w:t>
            </w:r>
          </w:p>
        </w:tc>
        <w:tc>
          <w:tcPr>
            <w:tcW w:w="2578" w:type="dxa"/>
            <w:vAlign w:val="center"/>
          </w:tcPr>
          <w:p w:rsidR="006B6A53" w:rsidRPr="00862280" w:rsidRDefault="006B6A53" w:rsidP="00A17091">
            <w:pPr>
              <w:rPr>
                <w:sz w:val="20"/>
                <w:szCs w:val="20"/>
              </w:rPr>
            </w:pPr>
            <w:r w:rsidRPr="00862280">
              <w:rPr>
                <w:sz w:val="20"/>
                <w:szCs w:val="20"/>
              </w:rPr>
              <w:t>Ferrocarril</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Gestión residuos radioactivos</w:t>
            </w:r>
          </w:p>
        </w:tc>
        <w:tc>
          <w:tcPr>
            <w:tcW w:w="2578" w:type="dxa"/>
            <w:vAlign w:val="center"/>
          </w:tcPr>
          <w:p w:rsidR="006B6A53" w:rsidRPr="00862280" w:rsidRDefault="006B6A53" w:rsidP="00A17091">
            <w:pPr>
              <w:rPr>
                <w:sz w:val="20"/>
                <w:szCs w:val="20"/>
              </w:rPr>
            </w:pPr>
            <w:r w:rsidRPr="00862280">
              <w:rPr>
                <w:sz w:val="20"/>
                <w:szCs w:val="20"/>
              </w:rPr>
              <w:t>Infraestructuras para almacenamiento, transporte y producción de energía</w:t>
            </w:r>
          </w:p>
        </w:tc>
        <w:tc>
          <w:tcPr>
            <w:tcW w:w="2578" w:type="dxa"/>
            <w:vAlign w:val="center"/>
          </w:tcPr>
          <w:p w:rsidR="006B6A53" w:rsidRPr="00862280" w:rsidRDefault="006B6A53" w:rsidP="00A17091">
            <w:pPr>
              <w:rPr>
                <w:sz w:val="20"/>
                <w:szCs w:val="20"/>
              </w:rPr>
            </w:pPr>
            <w:r w:rsidRPr="00862280">
              <w:rPr>
                <w:sz w:val="20"/>
                <w:szCs w:val="20"/>
              </w:rPr>
              <w:t>Regulación del tráfico</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Tránsito de residuos</w:t>
            </w:r>
          </w:p>
        </w:tc>
        <w:tc>
          <w:tcPr>
            <w:tcW w:w="2578" w:type="dxa"/>
            <w:vAlign w:val="center"/>
          </w:tcPr>
          <w:p w:rsidR="006B6A53" w:rsidRPr="00862280" w:rsidRDefault="006B6A53" w:rsidP="00A17091">
            <w:pPr>
              <w:rPr>
                <w:sz w:val="20"/>
                <w:szCs w:val="20"/>
              </w:rPr>
            </w:pPr>
            <w:r w:rsidRPr="00862280">
              <w:rPr>
                <w:sz w:val="20"/>
                <w:szCs w:val="20"/>
              </w:rPr>
              <w:t>Tarifas</w:t>
            </w:r>
          </w:p>
        </w:tc>
        <w:tc>
          <w:tcPr>
            <w:tcW w:w="2578" w:type="dxa"/>
            <w:vAlign w:val="center"/>
          </w:tcPr>
          <w:p w:rsidR="006B6A53" w:rsidRPr="00862280" w:rsidRDefault="006B6A53" w:rsidP="00A17091">
            <w:pPr>
              <w:rPr>
                <w:sz w:val="20"/>
                <w:szCs w:val="20"/>
              </w:rPr>
            </w:pPr>
            <w:r w:rsidRPr="00862280">
              <w:rPr>
                <w:sz w:val="20"/>
                <w:szCs w:val="20"/>
              </w:rPr>
              <w:t>Impuestos sobre vehículos y carburantes</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Protección ambiental marina</w:t>
            </w:r>
          </w:p>
        </w:tc>
        <w:tc>
          <w:tcPr>
            <w:tcW w:w="2578" w:type="dxa"/>
            <w:vAlign w:val="center"/>
          </w:tcPr>
          <w:p w:rsidR="006B6A53" w:rsidRPr="00862280" w:rsidRDefault="006B6A53" w:rsidP="00A17091">
            <w:pPr>
              <w:rPr>
                <w:sz w:val="20"/>
                <w:szCs w:val="20"/>
              </w:rPr>
            </w:pPr>
          </w:p>
        </w:tc>
        <w:tc>
          <w:tcPr>
            <w:tcW w:w="2578" w:type="dxa"/>
            <w:vAlign w:val="center"/>
          </w:tcPr>
          <w:p w:rsidR="006B6A53" w:rsidRPr="00862280" w:rsidRDefault="006B6A53" w:rsidP="00A17091">
            <w:pPr>
              <w:rPr>
                <w:sz w:val="20"/>
                <w:szCs w:val="20"/>
              </w:rPr>
            </w:pPr>
            <w:r w:rsidRPr="00862280">
              <w:rPr>
                <w:sz w:val="20"/>
                <w:szCs w:val="20"/>
              </w:rPr>
              <w:t>Estandarización técnica de vehículos</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Coordinación de la pol. Ambiental internacional</w:t>
            </w:r>
          </w:p>
        </w:tc>
        <w:tc>
          <w:tcPr>
            <w:tcW w:w="2578" w:type="dxa"/>
            <w:vAlign w:val="center"/>
          </w:tcPr>
          <w:p w:rsidR="006B6A53" w:rsidRPr="00862280" w:rsidRDefault="006B6A53" w:rsidP="00A17091">
            <w:pPr>
              <w:rPr>
                <w:sz w:val="20"/>
                <w:szCs w:val="20"/>
              </w:rPr>
            </w:pPr>
          </w:p>
        </w:tc>
        <w:tc>
          <w:tcPr>
            <w:tcW w:w="2578" w:type="dxa"/>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val="restart"/>
            <w:vAlign w:val="center"/>
          </w:tcPr>
          <w:p w:rsidR="006B6A53" w:rsidRPr="00862280" w:rsidRDefault="006B6A53" w:rsidP="00A17091">
            <w:pPr>
              <w:rPr>
                <w:b/>
              </w:rPr>
            </w:pPr>
            <w:r w:rsidRPr="00862280">
              <w:rPr>
                <w:b/>
              </w:rPr>
              <w:t>Regional</w:t>
            </w:r>
          </w:p>
        </w:tc>
        <w:tc>
          <w:tcPr>
            <w:tcW w:w="2578" w:type="dxa"/>
            <w:vAlign w:val="center"/>
          </w:tcPr>
          <w:p w:rsidR="006B6A53" w:rsidRPr="00862280" w:rsidRDefault="006B6A53" w:rsidP="00A17091">
            <w:pPr>
              <w:rPr>
                <w:sz w:val="20"/>
                <w:szCs w:val="20"/>
              </w:rPr>
            </w:pPr>
            <w:r w:rsidRPr="00862280">
              <w:rPr>
                <w:sz w:val="20"/>
                <w:szCs w:val="20"/>
              </w:rPr>
              <w:t>Protección ambiental</w:t>
            </w:r>
          </w:p>
        </w:tc>
        <w:tc>
          <w:tcPr>
            <w:tcW w:w="2578" w:type="dxa"/>
            <w:vAlign w:val="center"/>
          </w:tcPr>
          <w:p w:rsidR="006B6A53" w:rsidRPr="00862280" w:rsidRDefault="006B6A53" w:rsidP="00A17091">
            <w:pPr>
              <w:rPr>
                <w:sz w:val="20"/>
                <w:szCs w:val="20"/>
              </w:rPr>
            </w:pPr>
            <w:r w:rsidRPr="00862280">
              <w:rPr>
                <w:sz w:val="20"/>
                <w:szCs w:val="20"/>
              </w:rPr>
              <w:t>Distribución electricidad</w:t>
            </w:r>
          </w:p>
        </w:tc>
        <w:tc>
          <w:tcPr>
            <w:tcW w:w="2578" w:type="dxa"/>
            <w:vAlign w:val="center"/>
          </w:tcPr>
          <w:p w:rsidR="006B6A53" w:rsidRPr="00862280" w:rsidRDefault="006B6A53" w:rsidP="00A17091">
            <w:pPr>
              <w:rPr>
                <w:sz w:val="20"/>
                <w:szCs w:val="20"/>
              </w:rPr>
            </w:pPr>
            <w:r w:rsidRPr="00862280">
              <w:rPr>
                <w:sz w:val="20"/>
                <w:szCs w:val="20"/>
              </w:rPr>
              <w:t>Construcción/mantenimiento de autopists</w:t>
            </w:r>
          </w:p>
        </w:tc>
        <w:tc>
          <w:tcPr>
            <w:tcW w:w="2578" w:type="dxa"/>
            <w:vMerge w:val="restart"/>
            <w:vAlign w:val="center"/>
          </w:tcPr>
          <w:p w:rsidR="006B6A53" w:rsidRPr="00862280" w:rsidRDefault="006B6A53" w:rsidP="00A17091">
            <w:pPr>
              <w:rPr>
                <w:sz w:val="20"/>
                <w:szCs w:val="20"/>
              </w:rPr>
            </w:pPr>
            <w:r w:rsidRPr="00862280">
              <w:rPr>
                <w:sz w:val="20"/>
                <w:szCs w:val="20"/>
              </w:rPr>
              <w:t>Planificación urbana y territorial</w:t>
            </w:r>
          </w:p>
        </w:tc>
        <w:tc>
          <w:tcPr>
            <w:tcW w:w="2578" w:type="dxa"/>
            <w:vMerge w:val="restart"/>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Gestión de residuos</w:t>
            </w:r>
          </w:p>
        </w:tc>
        <w:tc>
          <w:tcPr>
            <w:tcW w:w="2578" w:type="dxa"/>
            <w:vAlign w:val="center"/>
          </w:tcPr>
          <w:p w:rsidR="006B6A53" w:rsidRPr="00862280" w:rsidRDefault="006B6A53" w:rsidP="00A17091">
            <w:pPr>
              <w:rPr>
                <w:sz w:val="20"/>
                <w:szCs w:val="20"/>
              </w:rPr>
            </w:pPr>
            <w:r w:rsidRPr="00862280">
              <w:rPr>
                <w:sz w:val="20"/>
                <w:szCs w:val="20"/>
              </w:rPr>
              <w:t>Distribución de gas</w:t>
            </w:r>
          </w:p>
        </w:tc>
        <w:tc>
          <w:tcPr>
            <w:tcW w:w="2578" w:type="dxa"/>
            <w:vAlign w:val="center"/>
          </w:tcPr>
          <w:p w:rsidR="006B6A53" w:rsidRPr="00862280" w:rsidRDefault="006B6A53" w:rsidP="00A17091">
            <w:pPr>
              <w:rPr>
                <w:sz w:val="20"/>
                <w:szCs w:val="20"/>
              </w:rPr>
            </w:pPr>
            <w:r w:rsidRPr="00862280">
              <w:rPr>
                <w:sz w:val="20"/>
                <w:szCs w:val="20"/>
              </w:rPr>
              <w:t>Vías marítimas</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Legislación/inspección instalaciones contaminantes</w:t>
            </w:r>
          </w:p>
        </w:tc>
        <w:tc>
          <w:tcPr>
            <w:tcW w:w="2578" w:type="dxa"/>
            <w:vAlign w:val="center"/>
          </w:tcPr>
          <w:p w:rsidR="006B6A53" w:rsidRPr="00862280" w:rsidRDefault="006B6A53" w:rsidP="00A17091">
            <w:pPr>
              <w:rPr>
                <w:sz w:val="20"/>
                <w:szCs w:val="20"/>
              </w:rPr>
            </w:pPr>
            <w:r w:rsidRPr="00862280">
              <w:rPr>
                <w:sz w:val="20"/>
                <w:szCs w:val="20"/>
              </w:rPr>
              <w:t>Redes de distribución térmica a larga distancia</w:t>
            </w:r>
          </w:p>
        </w:tc>
        <w:tc>
          <w:tcPr>
            <w:tcW w:w="2578" w:type="dxa"/>
            <w:vAlign w:val="center"/>
          </w:tcPr>
          <w:p w:rsidR="006B6A53" w:rsidRPr="00862280" w:rsidRDefault="006B6A53" w:rsidP="00A17091">
            <w:pPr>
              <w:rPr>
                <w:sz w:val="20"/>
                <w:szCs w:val="20"/>
              </w:rPr>
            </w:pPr>
            <w:r w:rsidRPr="00862280">
              <w:rPr>
                <w:sz w:val="20"/>
                <w:szCs w:val="20"/>
              </w:rPr>
              <w:t>Aeropuertos regionales</w:t>
            </w:r>
          </w:p>
        </w:tc>
        <w:tc>
          <w:tcPr>
            <w:tcW w:w="2578" w:type="dxa"/>
            <w:vMerge w:val="restart"/>
            <w:vAlign w:val="center"/>
          </w:tcPr>
          <w:p w:rsidR="006B6A53" w:rsidRPr="00862280" w:rsidRDefault="006B6A53" w:rsidP="00A17091">
            <w:pPr>
              <w:rPr>
                <w:sz w:val="20"/>
                <w:szCs w:val="20"/>
              </w:rPr>
            </w:pPr>
            <w:r w:rsidRPr="00862280">
              <w:rPr>
                <w:sz w:val="20"/>
                <w:szCs w:val="20"/>
              </w:rPr>
              <w:t>Areas industriales</w:t>
            </w: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Política hidráulica</w:t>
            </w:r>
          </w:p>
        </w:tc>
        <w:tc>
          <w:tcPr>
            <w:tcW w:w="2578" w:type="dxa"/>
            <w:vAlign w:val="center"/>
          </w:tcPr>
          <w:p w:rsidR="006B6A53" w:rsidRPr="00862280" w:rsidRDefault="006B6A53" w:rsidP="00A17091">
            <w:pPr>
              <w:rPr>
                <w:sz w:val="20"/>
                <w:szCs w:val="20"/>
              </w:rPr>
            </w:pPr>
            <w:r w:rsidRPr="00862280">
              <w:rPr>
                <w:sz w:val="20"/>
                <w:szCs w:val="20"/>
              </w:rPr>
              <w:t>Nuevas energías</w:t>
            </w:r>
          </w:p>
        </w:tc>
        <w:tc>
          <w:tcPr>
            <w:tcW w:w="2578" w:type="dxa"/>
            <w:vAlign w:val="center"/>
          </w:tcPr>
          <w:p w:rsidR="006B6A53" w:rsidRPr="00862280" w:rsidRDefault="006B6A53" w:rsidP="00A17091">
            <w:pPr>
              <w:rPr>
                <w:sz w:val="20"/>
                <w:szCs w:val="20"/>
              </w:rPr>
            </w:pPr>
            <w:r w:rsidRPr="00862280">
              <w:rPr>
                <w:sz w:val="20"/>
                <w:szCs w:val="20"/>
              </w:rPr>
              <w:t>Transporte público urbano/regional</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Align w:val="center"/>
          </w:tcPr>
          <w:p w:rsidR="006B6A53" w:rsidRPr="00862280" w:rsidRDefault="006B6A53" w:rsidP="00A17091">
            <w:pPr>
              <w:rPr>
                <w:sz w:val="20"/>
                <w:szCs w:val="20"/>
              </w:rPr>
            </w:pPr>
            <w:r w:rsidRPr="00862280">
              <w:rPr>
                <w:sz w:val="20"/>
                <w:szCs w:val="20"/>
              </w:rPr>
              <w:t>Conservación y reg. Caza</w:t>
            </w:r>
          </w:p>
        </w:tc>
        <w:tc>
          <w:tcPr>
            <w:tcW w:w="2578" w:type="dxa"/>
            <w:vAlign w:val="center"/>
          </w:tcPr>
          <w:p w:rsidR="006B6A53" w:rsidRPr="00862280" w:rsidRDefault="006B6A53" w:rsidP="00A17091">
            <w:pPr>
              <w:rPr>
                <w:sz w:val="20"/>
                <w:szCs w:val="20"/>
              </w:rPr>
            </w:pPr>
            <w:r w:rsidRPr="00862280">
              <w:rPr>
                <w:sz w:val="20"/>
                <w:szCs w:val="20"/>
              </w:rPr>
              <w:t>Recuperación de energía</w:t>
            </w:r>
          </w:p>
        </w:tc>
        <w:tc>
          <w:tcPr>
            <w:tcW w:w="2578" w:type="dxa"/>
            <w:vAlign w:val="center"/>
          </w:tcPr>
          <w:p w:rsidR="006B6A53" w:rsidRPr="00862280" w:rsidRDefault="006B6A53" w:rsidP="00A17091">
            <w:pPr>
              <w:rPr>
                <w:sz w:val="20"/>
                <w:szCs w:val="20"/>
              </w:rPr>
            </w:pPr>
            <w:r w:rsidRPr="00862280">
              <w:rPr>
                <w:sz w:val="20"/>
                <w:szCs w:val="20"/>
              </w:rPr>
              <w:t>Transporte escolar</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Merge w:val="restart"/>
            <w:vAlign w:val="center"/>
          </w:tcPr>
          <w:p w:rsidR="006B6A53" w:rsidRPr="00862280" w:rsidRDefault="006B6A53" w:rsidP="00A17091">
            <w:pPr>
              <w:rPr>
                <w:sz w:val="20"/>
                <w:szCs w:val="20"/>
              </w:rPr>
            </w:pPr>
            <w:r w:rsidRPr="00862280">
              <w:rPr>
                <w:sz w:val="20"/>
                <w:szCs w:val="20"/>
              </w:rPr>
              <w:t>Gestión forestal</w:t>
            </w:r>
          </w:p>
        </w:tc>
        <w:tc>
          <w:tcPr>
            <w:tcW w:w="2578" w:type="dxa"/>
            <w:vAlign w:val="center"/>
          </w:tcPr>
          <w:p w:rsidR="006B6A53" w:rsidRPr="00862280" w:rsidRDefault="006B6A53" w:rsidP="00A17091">
            <w:pPr>
              <w:rPr>
                <w:sz w:val="20"/>
                <w:szCs w:val="20"/>
              </w:rPr>
            </w:pPr>
            <w:r w:rsidRPr="00862280">
              <w:rPr>
                <w:sz w:val="20"/>
                <w:szCs w:val="20"/>
              </w:rPr>
              <w:t xml:space="preserve">Uso energétio racional </w:t>
            </w:r>
          </w:p>
        </w:tc>
        <w:tc>
          <w:tcPr>
            <w:tcW w:w="2578" w:type="dxa"/>
            <w:vMerge w:val="restart"/>
            <w:vAlign w:val="center"/>
          </w:tcPr>
          <w:p w:rsidR="006B6A53" w:rsidRPr="00862280" w:rsidRDefault="006B6A53" w:rsidP="00A17091">
            <w:pPr>
              <w:rPr>
                <w:sz w:val="20"/>
                <w:szCs w:val="20"/>
              </w:rPr>
            </w:pPr>
            <w:r w:rsidRPr="00862280">
              <w:rPr>
                <w:sz w:val="20"/>
                <w:szCs w:val="20"/>
              </w:rPr>
              <w:t>Taxis</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tcPr>
          <w:p w:rsidR="006B6A53" w:rsidRPr="00862280" w:rsidRDefault="006B6A53" w:rsidP="00A17091">
            <w:pPr>
              <w:rPr>
                <w:b/>
              </w:rPr>
            </w:pPr>
          </w:p>
        </w:tc>
        <w:tc>
          <w:tcPr>
            <w:tcW w:w="2578" w:type="dxa"/>
            <w:vMerge/>
            <w:vAlign w:val="center"/>
          </w:tcPr>
          <w:p w:rsidR="006B6A53" w:rsidRPr="00862280" w:rsidRDefault="006B6A53" w:rsidP="00A17091">
            <w:pPr>
              <w:rPr>
                <w:sz w:val="20"/>
                <w:szCs w:val="20"/>
              </w:rPr>
            </w:pPr>
          </w:p>
        </w:tc>
        <w:tc>
          <w:tcPr>
            <w:tcW w:w="2578" w:type="dxa"/>
            <w:vAlign w:val="center"/>
          </w:tcPr>
          <w:p w:rsidR="006B6A53" w:rsidRPr="00862280" w:rsidRDefault="006B6A53" w:rsidP="00A17091">
            <w:pPr>
              <w:rPr>
                <w:sz w:val="20"/>
                <w:szCs w:val="20"/>
              </w:rPr>
            </w:pPr>
            <w:r w:rsidRPr="00862280">
              <w:rPr>
                <w:sz w:val="20"/>
                <w:szCs w:val="20"/>
              </w:rPr>
              <w:t>Valorización energética de vertederos</w:t>
            </w: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c>
          <w:tcPr>
            <w:tcW w:w="2578" w:type="dxa"/>
            <w:vMerge/>
            <w:vAlign w:val="center"/>
          </w:tcPr>
          <w:p w:rsidR="006B6A53" w:rsidRPr="00862280" w:rsidRDefault="006B6A53" w:rsidP="00A17091">
            <w:pPr>
              <w:rPr>
                <w:sz w:val="20"/>
                <w:szCs w:val="20"/>
              </w:rPr>
            </w:pPr>
          </w:p>
        </w:tc>
      </w:tr>
      <w:tr w:rsidR="006B6A53" w:rsidTr="00A17091">
        <w:tc>
          <w:tcPr>
            <w:tcW w:w="1809" w:type="dxa"/>
            <w:vMerge w:val="restart"/>
          </w:tcPr>
          <w:p w:rsidR="006B6A53" w:rsidRPr="00862280" w:rsidRDefault="006B6A53" w:rsidP="00A17091">
            <w:pPr>
              <w:rPr>
                <w:b/>
              </w:rPr>
            </w:pPr>
            <w:r w:rsidRPr="00862280">
              <w:rPr>
                <w:b/>
              </w:rPr>
              <w:t>Comunidades</w:t>
            </w:r>
          </w:p>
        </w:tc>
        <w:tc>
          <w:tcPr>
            <w:tcW w:w="2578" w:type="dxa"/>
            <w:vMerge w:val="restart"/>
            <w:vAlign w:val="center"/>
          </w:tcPr>
          <w:p w:rsidR="006B6A53" w:rsidRPr="00862280" w:rsidRDefault="006B6A53" w:rsidP="00A17091">
            <w:pPr>
              <w:rPr>
                <w:sz w:val="20"/>
                <w:szCs w:val="20"/>
              </w:rPr>
            </w:pPr>
          </w:p>
        </w:tc>
        <w:tc>
          <w:tcPr>
            <w:tcW w:w="2578" w:type="dxa"/>
            <w:vMerge w:val="restart"/>
            <w:vAlign w:val="center"/>
          </w:tcPr>
          <w:p w:rsidR="006B6A53" w:rsidRPr="00862280" w:rsidRDefault="006B6A53" w:rsidP="00A17091">
            <w:pPr>
              <w:rPr>
                <w:sz w:val="20"/>
                <w:szCs w:val="20"/>
              </w:rPr>
            </w:pPr>
          </w:p>
        </w:tc>
        <w:tc>
          <w:tcPr>
            <w:tcW w:w="2578" w:type="dxa"/>
            <w:vMerge w:val="restart"/>
            <w:vAlign w:val="center"/>
          </w:tcPr>
          <w:p w:rsidR="006B6A53" w:rsidRPr="00862280" w:rsidRDefault="006B6A53" w:rsidP="00A17091">
            <w:pPr>
              <w:rPr>
                <w:sz w:val="20"/>
                <w:szCs w:val="20"/>
              </w:rPr>
            </w:pPr>
          </w:p>
        </w:tc>
        <w:tc>
          <w:tcPr>
            <w:tcW w:w="2578" w:type="dxa"/>
            <w:vMerge w:val="restart"/>
            <w:vAlign w:val="center"/>
          </w:tcPr>
          <w:p w:rsidR="006B6A53" w:rsidRPr="00862280" w:rsidRDefault="006B6A53" w:rsidP="00A17091">
            <w:pPr>
              <w:rPr>
                <w:sz w:val="20"/>
                <w:szCs w:val="20"/>
              </w:rPr>
            </w:pPr>
          </w:p>
        </w:tc>
        <w:tc>
          <w:tcPr>
            <w:tcW w:w="2578" w:type="dxa"/>
            <w:vAlign w:val="center"/>
          </w:tcPr>
          <w:p w:rsidR="006B6A53" w:rsidRPr="00862280" w:rsidRDefault="006B6A53" w:rsidP="00A17091">
            <w:pPr>
              <w:rPr>
                <w:sz w:val="20"/>
                <w:szCs w:val="20"/>
              </w:rPr>
            </w:pPr>
            <w:r w:rsidRPr="00862280">
              <w:rPr>
                <w:sz w:val="20"/>
                <w:szCs w:val="20"/>
              </w:rPr>
              <w:t>Educación</w:t>
            </w:r>
          </w:p>
        </w:tc>
      </w:tr>
      <w:tr w:rsidR="006B6A53" w:rsidTr="00A17091">
        <w:tc>
          <w:tcPr>
            <w:tcW w:w="1809" w:type="dxa"/>
            <w:vMerge/>
            <w:tcBorders>
              <w:bottom w:val="single" w:sz="4" w:space="0" w:color="auto"/>
            </w:tcBorders>
          </w:tcPr>
          <w:p w:rsidR="006B6A53" w:rsidRDefault="006B6A53" w:rsidP="00A17091"/>
        </w:tc>
        <w:tc>
          <w:tcPr>
            <w:tcW w:w="2578" w:type="dxa"/>
            <w:vMerge/>
            <w:tcBorders>
              <w:bottom w:val="single" w:sz="4" w:space="0" w:color="auto"/>
            </w:tcBorders>
            <w:vAlign w:val="center"/>
          </w:tcPr>
          <w:p w:rsidR="006B6A53" w:rsidRPr="00862280" w:rsidRDefault="006B6A53" w:rsidP="00A17091">
            <w:pPr>
              <w:rPr>
                <w:sz w:val="20"/>
                <w:szCs w:val="20"/>
              </w:rPr>
            </w:pPr>
          </w:p>
        </w:tc>
        <w:tc>
          <w:tcPr>
            <w:tcW w:w="2578" w:type="dxa"/>
            <w:vMerge/>
            <w:tcBorders>
              <w:bottom w:val="single" w:sz="4" w:space="0" w:color="auto"/>
            </w:tcBorders>
            <w:vAlign w:val="center"/>
          </w:tcPr>
          <w:p w:rsidR="006B6A53" w:rsidRPr="00862280" w:rsidRDefault="006B6A53" w:rsidP="00A17091">
            <w:pPr>
              <w:rPr>
                <w:sz w:val="20"/>
                <w:szCs w:val="20"/>
              </w:rPr>
            </w:pPr>
          </w:p>
        </w:tc>
        <w:tc>
          <w:tcPr>
            <w:tcW w:w="2578" w:type="dxa"/>
            <w:vMerge/>
            <w:tcBorders>
              <w:bottom w:val="single" w:sz="4" w:space="0" w:color="auto"/>
            </w:tcBorders>
            <w:vAlign w:val="center"/>
          </w:tcPr>
          <w:p w:rsidR="006B6A53" w:rsidRPr="00862280" w:rsidRDefault="006B6A53" w:rsidP="00A17091">
            <w:pPr>
              <w:rPr>
                <w:sz w:val="20"/>
                <w:szCs w:val="20"/>
              </w:rPr>
            </w:pPr>
          </w:p>
        </w:tc>
        <w:tc>
          <w:tcPr>
            <w:tcW w:w="2578" w:type="dxa"/>
            <w:vMerge/>
            <w:tcBorders>
              <w:bottom w:val="single" w:sz="4" w:space="0" w:color="auto"/>
            </w:tcBorders>
            <w:vAlign w:val="center"/>
          </w:tcPr>
          <w:p w:rsidR="006B6A53" w:rsidRPr="00862280" w:rsidRDefault="006B6A53" w:rsidP="00A17091">
            <w:pPr>
              <w:rPr>
                <w:sz w:val="20"/>
                <w:szCs w:val="20"/>
              </w:rPr>
            </w:pPr>
          </w:p>
        </w:tc>
        <w:tc>
          <w:tcPr>
            <w:tcW w:w="2578" w:type="dxa"/>
            <w:tcBorders>
              <w:bottom w:val="single" w:sz="4" w:space="0" w:color="auto"/>
            </w:tcBorders>
            <w:vAlign w:val="center"/>
          </w:tcPr>
          <w:p w:rsidR="006B6A53" w:rsidRPr="00862280" w:rsidRDefault="006B6A53" w:rsidP="00A17091">
            <w:pPr>
              <w:rPr>
                <w:sz w:val="20"/>
                <w:szCs w:val="20"/>
              </w:rPr>
            </w:pPr>
            <w:r w:rsidRPr="00862280">
              <w:rPr>
                <w:sz w:val="20"/>
                <w:szCs w:val="20"/>
              </w:rPr>
              <w:t>Medios de Comunicación</w:t>
            </w:r>
          </w:p>
        </w:tc>
      </w:tr>
      <w:tr w:rsidR="006B6A53" w:rsidTr="00A17091">
        <w:trPr>
          <w:trHeight w:val="420"/>
        </w:trPr>
        <w:tc>
          <w:tcPr>
            <w:tcW w:w="14699" w:type="dxa"/>
            <w:gridSpan w:val="6"/>
            <w:tcBorders>
              <w:left w:val="nil"/>
              <w:bottom w:val="nil"/>
              <w:right w:val="nil"/>
            </w:tcBorders>
          </w:tcPr>
          <w:p w:rsidR="006B6A53" w:rsidRDefault="006B6A53" w:rsidP="00A17091">
            <w:r>
              <w:t>Fuente: OECD 2007, 131-132</w:t>
            </w:r>
          </w:p>
        </w:tc>
      </w:tr>
    </w:tbl>
    <w:p w:rsidR="006B6A53" w:rsidRDefault="006B6A53" w:rsidP="006B6A53">
      <w:pPr>
        <w:rPr>
          <w:sz w:val="24"/>
          <w:szCs w:val="24"/>
        </w:rPr>
        <w:sectPr w:rsidR="006B6A53" w:rsidSect="00A17091">
          <w:pgSz w:w="16838" w:h="11906" w:orient="landscape"/>
          <w:pgMar w:top="1701" w:right="1418" w:bottom="1701" w:left="1418" w:header="709" w:footer="709" w:gutter="0"/>
          <w:cols w:space="708"/>
          <w:titlePg/>
          <w:docGrid w:linePitch="360"/>
        </w:sectPr>
      </w:pPr>
    </w:p>
    <w:p w:rsidR="006B6A53" w:rsidRDefault="006B6A53" w:rsidP="006B6A53">
      <w:pPr>
        <w:rPr>
          <w:sz w:val="24"/>
          <w:szCs w:val="24"/>
        </w:rPr>
      </w:pPr>
    </w:p>
    <w:p w:rsidR="006B6A53" w:rsidRDefault="006B6A53" w:rsidP="006B6A53">
      <w:pPr>
        <w:rPr>
          <w:sz w:val="24"/>
          <w:szCs w:val="24"/>
        </w:rPr>
      </w:pPr>
    </w:p>
    <w:p w:rsidR="006B6A53" w:rsidRPr="00D65FEA" w:rsidRDefault="006B6A53" w:rsidP="006B6A53">
      <w:pPr>
        <w:spacing w:after="0" w:line="360" w:lineRule="auto"/>
        <w:jc w:val="both"/>
        <w:rPr>
          <w:rFonts w:asciiTheme="minorHAnsi" w:hAnsiTheme="minorHAnsi" w:cs="Times New Roman"/>
          <w:b/>
          <w:color w:val="000000"/>
          <w:sz w:val="32"/>
          <w:szCs w:val="32"/>
          <w:lang w:val="es-ES_tradnl"/>
        </w:rPr>
      </w:pPr>
      <w:r>
        <w:rPr>
          <w:rFonts w:asciiTheme="minorHAnsi" w:hAnsiTheme="minorHAnsi" w:cs="Times New Roman"/>
          <w:b/>
          <w:color w:val="000000"/>
          <w:sz w:val="32"/>
          <w:szCs w:val="32"/>
          <w:lang w:val="es-ES_tradnl"/>
        </w:rPr>
        <w:t>Las políticas climáticas regionales</w:t>
      </w:r>
    </w:p>
    <w:p w:rsidR="006B6A53" w:rsidRDefault="006B6A53" w:rsidP="006B6A53">
      <w:pPr>
        <w:spacing w:line="360" w:lineRule="auto"/>
        <w:jc w:val="both"/>
        <w:rPr>
          <w:bCs/>
          <w:sz w:val="24"/>
          <w:szCs w:val="24"/>
        </w:rPr>
      </w:pPr>
      <w:r>
        <w:rPr>
          <w:bCs/>
          <w:sz w:val="24"/>
          <w:szCs w:val="24"/>
        </w:rPr>
        <w:t>Sobre la base de este entramado institucional del que hemos dado cuenta, las autoridades regionales de los cuatro casos analizados han asumido en los últimos año políticas climáticas más o menos ambiciosas.</w:t>
      </w:r>
    </w:p>
    <w:p w:rsidR="007C4C0E" w:rsidRDefault="007C4C0E" w:rsidP="006B6A53">
      <w:pPr>
        <w:spacing w:line="360" w:lineRule="auto"/>
        <w:jc w:val="both"/>
        <w:rPr>
          <w:bCs/>
          <w:sz w:val="24"/>
          <w:szCs w:val="24"/>
        </w:rPr>
      </w:pPr>
    </w:p>
    <w:p w:rsidR="00901D1C" w:rsidRDefault="00901D1C" w:rsidP="006B6A53">
      <w:pPr>
        <w:spacing w:line="360" w:lineRule="auto"/>
        <w:jc w:val="both"/>
        <w:rPr>
          <w:bCs/>
          <w:sz w:val="24"/>
          <w:szCs w:val="24"/>
        </w:rPr>
      </w:pPr>
      <w:r>
        <w:rPr>
          <w:bCs/>
          <w:sz w:val="24"/>
          <w:szCs w:val="24"/>
        </w:rPr>
        <w:t>ESCOCIA</w:t>
      </w:r>
      <w:r w:rsidR="007C4C0E">
        <w:rPr>
          <w:bCs/>
          <w:sz w:val="24"/>
          <w:szCs w:val="24"/>
        </w:rPr>
        <w:t>-</w:t>
      </w:r>
    </w:p>
    <w:p w:rsidR="006B6A53" w:rsidRDefault="006B6A53" w:rsidP="006B6A53">
      <w:pPr>
        <w:spacing w:line="360" w:lineRule="auto"/>
        <w:jc w:val="both"/>
        <w:rPr>
          <w:sz w:val="24"/>
          <w:szCs w:val="24"/>
        </w:rPr>
      </w:pPr>
      <w:r>
        <w:rPr>
          <w:bCs/>
          <w:sz w:val="24"/>
          <w:szCs w:val="24"/>
        </w:rPr>
        <w:t>En el caso escocés, el Gobierno</w:t>
      </w:r>
      <w:r>
        <w:rPr>
          <w:sz w:val="24"/>
          <w:szCs w:val="24"/>
        </w:rPr>
        <w:t xml:space="preserve"> del </w:t>
      </w:r>
      <w:r w:rsidRPr="00AB1988">
        <w:rPr>
          <w:i/>
          <w:sz w:val="24"/>
          <w:szCs w:val="24"/>
        </w:rPr>
        <w:t>Scottish Nationalist Party</w:t>
      </w:r>
      <w:r>
        <w:rPr>
          <w:sz w:val="24"/>
          <w:szCs w:val="24"/>
        </w:rPr>
        <w:t xml:space="preserve"> (SNP), </w:t>
      </w:r>
      <w:r>
        <w:rPr>
          <w:bCs/>
          <w:sz w:val="24"/>
          <w:szCs w:val="24"/>
        </w:rPr>
        <w:t xml:space="preserve">elabora en 2009 </w:t>
      </w:r>
      <w:r>
        <w:rPr>
          <w:sz w:val="24"/>
          <w:szCs w:val="24"/>
        </w:rPr>
        <w:t>el proyecto de ley de cambio climático que será aprobado unánimemente en el Parlamento</w:t>
      </w:r>
      <w:r w:rsidRPr="00AB1988">
        <w:rPr>
          <w:sz w:val="24"/>
          <w:szCs w:val="24"/>
        </w:rPr>
        <w:t xml:space="preserve"> </w:t>
      </w:r>
      <w:r>
        <w:rPr>
          <w:sz w:val="24"/>
          <w:szCs w:val="24"/>
        </w:rPr>
        <w:t xml:space="preserve">en junio de 2009. El hecho de que sea el SNP el partido gobernante lógicamente ofrece un cariz distinto al contexto político de la ley de cambio climático. De hecho, desde 2007, en el que el recién elegido gobierno de Alex Salmond lanza la </w:t>
      </w:r>
      <w:r w:rsidRPr="00A64FF8">
        <w:rPr>
          <w:i/>
          <w:sz w:val="24"/>
          <w:szCs w:val="24"/>
        </w:rPr>
        <w:t>National Conversation</w:t>
      </w:r>
      <w:r>
        <w:rPr>
          <w:sz w:val="24"/>
          <w:szCs w:val="24"/>
        </w:rPr>
        <w:t xml:space="preserve">, se puede sostener abiertamente que el proceso político escocés ha experimentado un claro repunte de la dimensión de conflicto centro-periferia. Obviamente, el SNP ha hecho lo que ha estado en su mano por ello, cuestionando las competencias devueltas, proponiendo una posible evolución hacia un modelo más marcadamente federal o, incluso, un eventual referendo sobre la independencia que ya tiene fecha en septiembre de 2014. En definitiva, el SNP  ha llevado la cuestión identitaria al debate público, pero no sería éste el único factor explicativo de las iniciativas que estaban por venir, puesto que otro detalle significativo de las elecciones de 2007 es que fueron ganadas en minoría por los nacionalistas con lo que tuvieron que negociar apoyos parlamentarios para su investidura. Estos apoyos le vinieron dados por un acuerdo con el </w:t>
      </w:r>
      <w:r w:rsidRPr="00094F69">
        <w:rPr>
          <w:i/>
          <w:sz w:val="24"/>
          <w:szCs w:val="24"/>
        </w:rPr>
        <w:t>Scottish Green Party</w:t>
      </w:r>
      <w:r>
        <w:rPr>
          <w:sz w:val="24"/>
          <w:szCs w:val="24"/>
        </w:rPr>
        <w:t xml:space="preserve"> que fijaba entre otros puntos la necesidad de legislar sobre cambio climático, a la vez que daba su apoyo a la apertura de un proceso de reforma del encaje de Escocia en el Reino Unido</w:t>
      </w:r>
      <w:r>
        <w:rPr>
          <w:rStyle w:val="Refdenotaalpie"/>
          <w:sz w:val="24"/>
          <w:szCs w:val="24"/>
        </w:rPr>
        <w:footnoteReference w:id="3"/>
      </w:r>
      <w:r>
        <w:rPr>
          <w:sz w:val="24"/>
          <w:szCs w:val="24"/>
        </w:rPr>
        <w:t>.  Cambio climático y cuestión nacional vienen, por tanto, de la mano en Escocia desde entonces.</w:t>
      </w:r>
    </w:p>
    <w:p w:rsidR="007C4C0E" w:rsidRDefault="006B6A53" w:rsidP="007C4C0E">
      <w:pPr>
        <w:spacing w:line="360" w:lineRule="auto"/>
        <w:jc w:val="both"/>
        <w:rPr>
          <w:bCs/>
          <w:sz w:val="24"/>
          <w:szCs w:val="24"/>
        </w:rPr>
      </w:pPr>
      <w:r>
        <w:rPr>
          <w:bCs/>
          <w:sz w:val="24"/>
          <w:szCs w:val="24"/>
        </w:rPr>
        <w:lastRenderedPageBreak/>
        <w:t>Desde su entrada en vigor, la ley escocesa ha tenido sin duda la virtud de generar una cierta “hoja de ruta” en la transición de la economía escocesa hacia una fase de menor dependencia del carbono. En este sentido, la ambición de los objetivos fijados por la norma ha generado un recorte significativo en las emisiones de GEIs que las propias instituciones fijan en 25,7% con respecto a las vertidas en 1990 (</w:t>
      </w:r>
      <w:r w:rsidRPr="0041596E">
        <w:rPr>
          <w:bCs/>
          <w:i/>
          <w:sz w:val="24"/>
          <w:szCs w:val="24"/>
        </w:rPr>
        <w:t>Scottish Government</w:t>
      </w:r>
      <w:r>
        <w:rPr>
          <w:bCs/>
          <w:sz w:val="24"/>
          <w:szCs w:val="24"/>
        </w:rPr>
        <w:t xml:space="preserve"> 2013, 2). Desde una perspectiva comparada, incluso con otras regiones del Reino Unido donde opera la ley climática estatal, también parece haberse dado una reducción más intensa de los GEIs (</w:t>
      </w:r>
      <w:r w:rsidRPr="0041596E">
        <w:rPr>
          <w:bCs/>
          <w:i/>
          <w:sz w:val="24"/>
          <w:szCs w:val="24"/>
        </w:rPr>
        <w:t>Scottish Government</w:t>
      </w:r>
      <w:r>
        <w:rPr>
          <w:bCs/>
          <w:sz w:val="24"/>
          <w:szCs w:val="24"/>
        </w:rPr>
        <w:t xml:space="preserve"> 2013, 25). De forma análoga, se plantean importantes metas a cubrir en el ámbito de las energías renovables en un plazo de tiempo relativamente corto</w:t>
      </w:r>
      <w:r w:rsidR="00EA2CC9">
        <w:rPr>
          <w:bCs/>
          <w:sz w:val="24"/>
          <w:szCs w:val="24"/>
        </w:rPr>
        <w:t xml:space="preserve"> ya que</w:t>
      </w:r>
      <w:r>
        <w:rPr>
          <w:bCs/>
          <w:sz w:val="24"/>
          <w:szCs w:val="24"/>
        </w:rPr>
        <w:t xml:space="preserve"> para 2015 se prevé cubrir la mitad de la demanda eléctrica con este tipo de fuentes. En definitiva, las políticas de cambio climático parecen haberse consolidando a partir del efecto tractor de la norma y sucesivos pasos dados por el gobierno. En este sentido, la ambición de los objetivos, un notable diseño institucional dirigido a la transversalización del vector climático y, por supuesto, el vínculo a la cuestión nacional serían sus principales características. Como refleja el propio gobierno escocés, los pasos dados en esta materia y en la cuestión energética serían mucho más decididos y eficaces si las competencias no fuesen retenidas por las instituciones del Reino Unido o de la Unión Europea. </w:t>
      </w:r>
      <w:r w:rsidR="00EA2CC9">
        <w:rPr>
          <w:bCs/>
          <w:sz w:val="24"/>
          <w:szCs w:val="24"/>
        </w:rPr>
        <w:t xml:space="preserve">Por tanto, </w:t>
      </w:r>
      <w:r w:rsidRPr="000D0CD2">
        <w:rPr>
          <w:bCs/>
          <w:i/>
          <w:sz w:val="24"/>
          <w:szCs w:val="24"/>
        </w:rPr>
        <w:t>Devolution</w:t>
      </w:r>
      <w:r>
        <w:rPr>
          <w:bCs/>
          <w:sz w:val="24"/>
          <w:szCs w:val="24"/>
        </w:rPr>
        <w:t xml:space="preserve"> y acción climática establecen una</w:t>
      </w:r>
      <w:r w:rsidR="00EA2CC9">
        <w:rPr>
          <w:bCs/>
          <w:sz w:val="24"/>
          <w:szCs w:val="24"/>
        </w:rPr>
        <w:t xml:space="preserve"> cierta</w:t>
      </w:r>
      <w:r>
        <w:rPr>
          <w:bCs/>
          <w:sz w:val="24"/>
          <w:szCs w:val="24"/>
        </w:rPr>
        <w:t xml:space="preserve"> relación simbiótica en el discurso del SNP.</w:t>
      </w:r>
    </w:p>
    <w:p w:rsidR="007C4C0E" w:rsidRDefault="007C4C0E" w:rsidP="007C4C0E">
      <w:pPr>
        <w:spacing w:line="360" w:lineRule="auto"/>
        <w:jc w:val="both"/>
        <w:rPr>
          <w:bCs/>
          <w:sz w:val="24"/>
          <w:szCs w:val="24"/>
        </w:rPr>
      </w:pPr>
    </w:p>
    <w:p w:rsidR="00901D1C" w:rsidRDefault="00901D1C" w:rsidP="007C4C0E">
      <w:pPr>
        <w:spacing w:line="360" w:lineRule="auto"/>
        <w:jc w:val="both"/>
        <w:rPr>
          <w:bCs/>
          <w:sz w:val="24"/>
          <w:szCs w:val="24"/>
        </w:rPr>
      </w:pPr>
      <w:r>
        <w:rPr>
          <w:bCs/>
          <w:sz w:val="24"/>
          <w:szCs w:val="24"/>
        </w:rPr>
        <w:t>EUSKADI</w:t>
      </w:r>
      <w:r w:rsidR="007C4C0E">
        <w:rPr>
          <w:bCs/>
          <w:sz w:val="24"/>
          <w:szCs w:val="24"/>
        </w:rPr>
        <w:t>-</w:t>
      </w:r>
    </w:p>
    <w:p w:rsidR="006B6A53" w:rsidRDefault="006B6A53" w:rsidP="006B6A53">
      <w:pPr>
        <w:keepNext/>
        <w:tabs>
          <w:tab w:val="left" w:pos="709"/>
        </w:tabs>
        <w:autoSpaceDE w:val="0"/>
        <w:autoSpaceDN w:val="0"/>
        <w:adjustRightInd w:val="0"/>
        <w:spacing w:line="360" w:lineRule="auto"/>
        <w:jc w:val="both"/>
        <w:rPr>
          <w:bCs/>
          <w:sz w:val="24"/>
          <w:szCs w:val="24"/>
        </w:rPr>
      </w:pPr>
      <w:r>
        <w:rPr>
          <w:bCs/>
          <w:sz w:val="24"/>
          <w:szCs w:val="24"/>
        </w:rPr>
        <w:t xml:space="preserve">En el caso vasco también ha habido una apuesta por regular mediante ley las políticas climáticas, sin embargo, el proyecto legislativo muere con el final de la anterior legislatura en octubre de 2012, después de un azaroso proceso de tramitación donde tuvo que afrontar un recurso de las Diputaciones Forales al entender que invadía sus competencias. La resolución final de la Comisión Arbitral –órgano encargado de dirimir </w:t>
      </w:r>
      <w:r>
        <w:rPr>
          <w:bCs/>
          <w:sz w:val="24"/>
          <w:szCs w:val="24"/>
        </w:rPr>
        <w:lastRenderedPageBreak/>
        <w:t>los posibles conflictos territoriales en la CAPV- dio</w:t>
      </w:r>
      <w:r w:rsidR="00EA2CC9">
        <w:rPr>
          <w:bCs/>
          <w:sz w:val="24"/>
          <w:szCs w:val="24"/>
        </w:rPr>
        <w:t>, no obstante,</w:t>
      </w:r>
      <w:r>
        <w:rPr>
          <w:bCs/>
          <w:sz w:val="24"/>
          <w:szCs w:val="24"/>
        </w:rPr>
        <w:t xml:space="preserve"> la razón al Ejecutivo de Vitoria-Gasteiz.</w:t>
      </w:r>
    </w:p>
    <w:p w:rsidR="006B6A53" w:rsidRDefault="006B6A53" w:rsidP="006B6A53">
      <w:pPr>
        <w:keepNext/>
        <w:tabs>
          <w:tab w:val="left" w:pos="709"/>
        </w:tabs>
        <w:autoSpaceDE w:val="0"/>
        <w:autoSpaceDN w:val="0"/>
        <w:adjustRightInd w:val="0"/>
        <w:spacing w:line="360" w:lineRule="auto"/>
        <w:jc w:val="both"/>
        <w:rPr>
          <w:sz w:val="24"/>
          <w:szCs w:val="24"/>
        </w:rPr>
      </w:pPr>
      <w:r>
        <w:rPr>
          <w:bCs/>
          <w:sz w:val="24"/>
          <w:szCs w:val="24"/>
        </w:rPr>
        <w:t xml:space="preserve">Con un contenido mucho menos ambicioso que el del texto escocés, lo cierto es que la norma vasca pretende ante todo ser una apuesta del gobierno socialista del PSE-EE por la transversalización de la cuestión climática, en línea con el objetivo de implantar paralelamente la estrategia de desarrollo sostenible integral, Eco-Euskadi 2020 (de la Peña 2013). </w:t>
      </w:r>
      <w:r w:rsidRPr="00D620E0">
        <w:rPr>
          <w:sz w:val="24"/>
          <w:szCs w:val="24"/>
        </w:rPr>
        <w:t xml:space="preserve">En este sentido, la escasa relevancia pública de la cuestión ambiental y el hecho de que los gobiernos vascos </w:t>
      </w:r>
      <w:r>
        <w:rPr>
          <w:sz w:val="24"/>
          <w:szCs w:val="24"/>
        </w:rPr>
        <w:t>hubiesen</w:t>
      </w:r>
      <w:r w:rsidRPr="00D620E0">
        <w:rPr>
          <w:sz w:val="24"/>
          <w:szCs w:val="24"/>
        </w:rPr>
        <w:t xml:space="preserve"> sido de coalición ininterrumpidamente desde 1986 hasta 2009, h</w:t>
      </w:r>
      <w:r>
        <w:rPr>
          <w:sz w:val="24"/>
          <w:szCs w:val="24"/>
        </w:rPr>
        <w:t>abían</w:t>
      </w:r>
      <w:r w:rsidRPr="00D620E0">
        <w:rPr>
          <w:sz w:val="24"/>
          <w:szCs w:val="24"/>
        </w:rPr>
        <w:t xml:space="preserve"> convergido para hacer de la autoridad ambiental un departamento con parcos recursos materiales y económicos, en manos siempre del socio minoritario. En buena medida, esto explica por qué la gestión del medio ambiente ha sido frecuentemente</w:t>
      </w:r>
      <w:r>
        <w:rPr>
          <w:sz w:val="24"/>
          <w:szCs w:val="24"/>
        </w:rPr>
        <w:t xml:space="preserve"> en Euskadi </w:t>
      </w:r>
      <w:r w:rsidRPr="00D620E0">
        <w:rPr>
          <w:sz w:val="24"/>
          <w:szCs w:val="24"/>
        </w:rPr>
        <w:t>cuestión de un solo departamento y por qué</w:t>
      </w:r>
      <w:r>
        <w:rPr>
          <w:sz w:val="24"/>
          <w:szCs w:val="24"/>
        </w:rPr>
        <w:t xml:space="preserve"> </w:t>
      </w:r>
      <w:r w:rsidRPr="00D620E0">
        <w:rPr>
          <w:sz w:val="24"/>
          <w:szCs w:val="24"/>
        </w:rPr>
        <w:t>la sostenibilidad ha</w:t>
      </w:r>
      <w:r>
        <w:rPr>
          <w:sz w:val="24"/>
          <w:szCs w:val="24"/>
        </w:rPr>
        <w:t>bía</w:t>
      </w:r>
      <w:r w:rsidRPr="00D620E0">
        <w:rPr>
          <w:sz w:val="24"/>
          <w:szCs w:val="24"/>
        </w:rPr>
        <w:t xml:space="preserve"> quedado ligada excesivamente a la gestión ambiental. </w:t>
      </w:r>
      <w:r>
        <w:rPr>
          <w:sz w:val="24"/>
          <w:szCs w:val="24"/>
        </w:rPr>
        <w:t>Va a ser</w:t>
      </w:r>
      <w:r w:rsidRPr="00D620E0">
        <w:rPr>
          <w:sz w:val="24"/>
          <w:szCs w:val="24"/>
        </w:rPr>
        <w:t xml:space="preserve"> la evolución del proceso político vasco </w:t>
      </w:r>
      <w:r>
        <w:rPr>
          <w:sz w:val="24"/>
          <w:szCs w:val="24"/>
        </w:rPr>
        <w:t>la que produce</w:t>
      </w:r>
      <w:r w:rsidRPr="00D620E0">
        <w:rPr>
          <w:sz w:val="24"/>
          <w:szCs w:val="24"/>
        </w:rPr>
        <w:t xml:space="preserve"> las circunstancias </w:t>
      </w:r>
      <w:r w:rsidR="00EA2CC9">
        <w:rPr>
          <w:sz w:val="24"/>
          <w:szCs w:val="24"/>
        </w:rPr>
        <w:t xml:space="preserve">que posibilitan </w:t>
      </w:r>
      <w:r>
        <w:rPr>
          <w:sz w:val="24"/>
          <w:szCs w:val="24"/>
        </w:rPr>
        <w:t xml:space="preserve">el </w:t>
      </w:r>
      <w:r w:rsidRPr="00A6675C">
        <w:rPr>
          <w:i/>
          <w:sz w:val="24"/>
          <w:szCs w:val="24"/>
        </w:rPr>
        <w:t>mainstreaming</w:t>
      </w:r>
      <w:r w:rsidRPr="00D620E0">
        <w:rPr>
          <w:sz w:val="24"/>
          <w:szCs w:val="24"/>
        </w:rPr>
        <w:t xml:space="preserve"> de las políticas de sostenibilidad: sólo cuando ha habido un gobierno monocolor se plantea </w:t>
      </w:r>
      <w:r>
        <w:rPr>
          <w:sz w:val="24"/>
          <w:szCs w:val="24"/>
        </w:rPr>
        <w:t xml:space="preserve">ésta </w:t>
      </w:r>
      <w:r w:rsidRPr="00D620E0">
        <w:rPr>
          <w:sz w:val="24"/>
          <w:szCs w:val="24"/>
        </w:rPr>
        <w:t xml:space="preserve">en un país que, por otra parte, llevaba ya décadas siguiendo la estela europea en gestión ambiental y asimilando los nuevos conceptos que circulan en las arenas internacionales en el ámbito de la sostenibilidad. </w:t>
      </w:r>
    </w:p>
    <w:p w:rsidR="006B6A53" w:rsidRDefault="006B6A53" w:rsidP="006B6A53">
      <w:pPr>
        <w:keepNext/>
        <w:tabs>
          <w:tab w:val="left" w:pos="709"/>
        </w:tabs>
        <w:autoSpaceDE w:val="0"/>
        <w:autoSpaceDN w:val="0"/>
        <w:adjustRightInd w:val="0"/>
        <w:spacing w:line="360" w:lineRule="auto"/>
        <w:jc w:val="both"/>
        <w:rPr>
          <w:rFonts w:asciiTheme="minorHAnsi" w:hAnsiTheme="minorHAnsi" w:cs="Arial"/>
          <w:sz w:val="24"/>
          <w:szCs w:val="24"/>
        </w:rPr>
      </w:pPr>
      <w:r>
        <w:rPr>
          <w:sz w:val="24"/>
          <w:szCs w:val="24"/>
        </w:rPr>
        <w:t xml:space="preserve">La dimensión de la gobernanza también contribuye a explicar el carácter de las políticas climáticas vascas, si bien para dar cuenta de ello deberíamos desplazar nuestro punto de vista hacia enfoques diferentes de las políticas públicas como es el de las coaliciones promotoras (Sabatier y Jenkins-Smith 1999) y el análisis de redes. Según este planteamiento, cada política pública genera un entramado de actores </w:t>
      </w:r>
      <w:r w:rsidRPr="00956685">
        <w:rPr>
          <w:rFonts w:asciiTheme="minorHAnsi" w:hAnsiTheme="minorHAnsi"/>
          <w:sz w:val="24"/>
          <w:szCs w:val="24"/>
        </w:rPr>
        <w:t>(</w:t>
      </w:r>
      <w:r w:rsidRPr="00956685">
        <w:rPr>
          <w:rFonts w:asciiTheme="minorHAnsi" w:hAnsiTheme="minorHAnsi" w:cs="Arial"/>
          <w:i/>
          <w:sz w:val="24"/>
          <w:szCs w:val="24"/>
        </w:rPr>
        <w:t>policy network</w:t>
      </w:r>
      <w:r w:rsidRPr="00956685">
        <w:rPr>
          <w:rFonts w:asciiTheme="minorHAnsi" w:hAnsiTheme="minorHAnsi" w:cs="Arial"/>
          <w:sz w:val="24"/>
          <w:szCs w:val="24"/>
        </w:rPr>
        <w:t xml:space="preserve">) que establece un “conjunto de relaciones relativamente estables entre actores públicos y privados que interactúan a través de una estructura no jerárquica e interdependiente, para alcanzar objetivos comunes respecto a la política” (Chaqués 2005, 36). De esta forma, las ideas cobran una importancia clave para explicar los parámetros básicos de las políticas públicas y, en general, el enfoque de las mismas. Tal planteamiento parece encajar también con lo que hemos relatado en torno a las políticas climáticas vascas por cuanto en su elaboración parece estar presente un entramado de actores con una cierta continuidad y que coincide de forma </w:t>
      </w:r>
      <w:r w:rsidRPr="00956685">
        <w:rPr>
          <w:rFonts w:asciiTheme="minorHAnsi" w:hAnsiTheme="minorHAnsi" w:cs="Arial"/>
          <w:sz w:val="24"/>
          <w:szCs w:val="24"/>
        </w:rPr>
        <w:lastRenderedPageBreak/>
        <w:t xml:space="preserve">notable con lo que hemos caracterizado en otro lugar en torno a la red de las políticas ambientales (De la Peña 2012). Ello determina </w:t>
      </w:r>
      <w:r w:rsidR="00EA2CC9">
        <w:rPr>
          <w:rFonts w:asciiTheme="minorHAnsi" w:hAnsiTheme="minorHAnsi" w:cs="Arial"/>
          <w:sz w:val="24"/>
          <w:szCs w:val="24"/>
        </w:rPr>
        <w:t xml:space="preserve">que </w:t>
      </w:r>
      <w:r w:rsidRPr="00956685">
        <w:rPr>
          <w:rFonts w:asciiTheme="minorHAnsi" w:hAnsiTheme="minorHAnsi" w:cs="Arial"/>
          <w:sz w:val="24"/>
          <w:szCs w:val="24"/>
        </w:rPr>
        <w:t>el proyecto legislativo</w:t>
      </w:r>
      <w:r w:rsidR="00EA2CC9">
        <w:rPr>
          <w:rFonts w:asciiTheme="minorHAnsi" w:hAnsiTheme="minorHAnsi" w:cs="Arial"/>
          <w:sz w:val="24"/>
          <w:szCs w:val="24"/>
        </w:rPr>
        <w:t xml:space="preserve"> en torno al cambio climático sea percibido </w:t>
      </w:r>
      <w:r w:rsidRPr="00956685">
        <w:rPr>
          <w:rFonts w:asciiTheme="minorHAnsi" w:hAnsiTheme="minorHAnsi" w:cs="Arial"/>
          <w:sz w:val="24"/>
          <w:szCs w:val="24"/>
        </w:rPr>
        <w:t xml:space="preserve">como una oportunidad para consolidar internacionalmente a la CAPV como región referencial en la lucha contra el efecto invernadero y, de paso,  colocar en una situación competitiva mejor a los agentes empresariales vascos en un hipotético mercado de la economía verde y del conocimiento. </w:t>
      </w:r>
    </w:p>
    <w:p w:rsidR="006B6A53" w:rsidRPr="00956685" w:rsidRDefault="006B6A53" w:rsidP="006B6A53">
      <w:pPr>
        <w:keepNext/>
        <w:tabs>
          <w:tab w:val="left" w:pos="709"/>
        </w:tabs>
        <w:autoSpaceDE w:val="0"/>
        <w:autoSpaceDN w:val="0"/>
        <w:adjustRightInd w:val="0"/>
        <w:spacing w:line="360" w:lineRule="auto"/>
        <w:jc w:val="both"/>
        <w:rPr>
          <w:rFonts w:asciiTheme="minorHAnsi" w:hAnsiTheme="minorHAnsi" w:cs="Arial"/>
          <w:sz w:val="24"/>
          <w:szCs w:val="24"/>
        </w:rPr>
      </w:pPr>
      <w:r>
        <w:rPr>
          <w:rFonts w:asciiTheme="minorHAnsi" w:hAnsiTheme="minorHAnsi" w:cs="Arial"/>
          <w:sz w:val="24"/>
          <w:szCs w:val="24"/>
        </w:rPr>
        <w:t xml:space="preserve">En el caso vasco, no obstante, los factores institucional y de gobernanza permanecen invariables desde el comienzo de las políticas climáticas: la posibilidad de cambiar los instrumentos de las mismas –y, así, redactar una ley de cambio climático que aquí consideramos  un cambio cualitativo por su relevancia normativa- está ahí desde el principio y el enfoque de la lucha contra el efecto invernadero como factor de oportunidad para la reconversión productiva se podía observar también en el contenido de anteriores programas como el Plan Vasco de Lucha contra el Cambio Climático de 2006. </w:t>
      </w:r>
      <w:r w:rsidR="00EA2CC9">
        <w:rPr>
          <w:rFonts w:asciiTheme="minorHAnsi" w:hAnsiTheme="minorHAnsi" w:cs="Arial"/>
          <w:sz w:val="24"/>
          <w:szCs w:val="24"/>
        </w:rPr>
        <w:t>Parece, por tanto, ser</w:t>
      </w:r>
      <w:r>
        <w:rPr>
          <w:rFonts w:asciiTheme="minorHAnsi" w:hAnsiTheme="minorHAnsi" w:cs="Arial"/>
          <w:sz w:val="24"/>
          <w:szCs w:val="24"/>
        </w:rPr>
        <w:t xml:space="preserve"> el proceso político </w:t>
      </w:r>
      <w:r w:rsidR="00EA2CC9">
        <w:rPr>
          <w:rFonts w:asciiTheme="minorHAnsi" w:hAnsiTheme="minorHAnsi" w:cs="Arial"/>
          <w:sz w:val="24"/>
          <w:szCs w:val="24"/>
        </w:rPr>
        <w:t>la variable</w:t>
      </w:r>
      <w:r>
        <w:rPr>
          <w:rFonts w:asciiTheme="minorHAnsi" w:hAnsiTheme="minorHAnsi" w:cs="Arial"/>
          <w:sz w:val="24"/>
          <w:szCs w:val="24"/>
        </w:rPr>
        <w:t xml:space="preserve"> que explica </w:t>
      </w:r>
      <w:r w:rsidR="00EA2CC9">
        <w:rPr>
          <w:rFonts w:asciiTheme="minorHAnsi" w:hAnsiTheme="minorHAnsi" w:cs="Arial"/>
          <w:sz w:val="24"/>
          <w:szCs w:val="24"/>
        </w:rPr>
        <w:t>el cambio en la política climática</w:t>
      </w:r>
      <w:r w:rsidR="005D0D5B">
        <w:rPr>
          <w:rFonts w:asciiTheme="minorHAnsi" w:hAnsiTheme="minorHAnsi" w:cs="Arial"/>
          <w:sz w:val="24"/>
          <w:szCs w:val="24"/>
        </w:rPr>
        <w:t>, es decir</w:t>
      </w:r>
      <w:r>
        <w:rPr>
          <w:rFonts w:asciiTheme="minorHAnsi" w:hAnsiTheme="minorHAnsi" w:cs="Arial"/>
          <w:sz w:val="24"/>
          <w:szCs w:val="24"/>
        </w:rPr>
        <w:t>, el cambio de los dispositivos normativos y el salto a la legislación frente a la planificación.</w:t>
      </w:r>
    </w:p>
    <w:p w:rsidR="00901D1C" w:rsidRDefault="00901D1C" w:rsidP="00DE53A2">
      <w:pPr>
        <w:spacing w:line="360" w:lineRule="auto"/>
        <w:jc w:val="both"/>
        <w:rPr>
          <w:sz w:val="24"/>
          <w:szCs w:val="24"/>
        </w:rPr>
      </w:pPr>
    </w:p>
    <w:p w:rsidR="00901D1C" w:rsidRDefault="00901D1C" w:rsidP="00DE53A2">
      <w:pPr>
        <w:spacing w:line="360" w:lineRule="auto"/>
        <w:jc w:val="both"/>
        <w:rPr>
          <w:sz w:val="24"/>
          <w:szCs w:val="24"/>
        </w:rPr>
      </w:pPr>
      <w:r>
        <w:rPr>
          <w:sz w:val="24"/>
          <w:szCs w:val="24"/>
        </w:rPr>
        <w:t>FLANDES</w:t>
      </w:r>
      <w:r w:rsidR="007C4C0E">
        <w:rPr>
          <w:sz w:val="24"/>
          <w:szCs w:val="24"/>
        </w:rPr>
        <w:t>-</w:t>
      </w:r>
    </w:p>
    <w:p w:rsidR="00DE53A2" w:rsidRDefault="00DE53A2" w:rsidP="00DE53A2">
      <w:pPr>
        <w:spacing w:line="360" w:lineRule="auto"/>
        <w:jc w:val="both"/>
        <w:rPr>
          <w:sz w:val="24"/>
          <w:szCs w:val="24"/>
        </w:rPr>
      </w:pPr>
      <w:r>
        <w:rPr>
          <w:sz w:val="24"/>
          <w:szCs w:val="24"/>
        </w:rPr>
        <w:t>Frente a la apuesta por los instrumentos legislativos hecha en Escocia o en la CAPV, la herramienta fundamental de las políticas climáticas en Flandes va a ser la planificación estratégica, plasmada en dos grandes programas desarrollados en 2001 y 2005.Desde el punto de vista del proceso político interno, las políticas de cambio climático en Flandes son puestas en marcha por un gobierno de co</w:t>
      </w:r>
      <w:r w:rsidR="004E2AD1">
        <w:rPr>
          <w:sz w:val="24"/>
          <w:szCs w:val="24"/>
        </w:rPr>
        <w:t>alición</w:t>
      </w:r>
      <w:r w:rsidR="00901D1C">
        <w:rPr>
          <w:sz w:val="24"/>
          <w:szCs w:val="24"/>
        </w:rPr>
        <w:t>,</w:t>
      </w:r>
      <w:r w:rsidR="004E2AD1">
        <w:rPr>
          <w:sz w:val="24"/>
          <w:szCs w:val="24"/>
        </w:rPr>
        <w:t xml:space="preserve"> t</w:t>
      </w:r>
      <w:r>
        <w:rPr>
          <w:sz w:val="24"/>
          <w:szCs w:val="24"/>
        </w:rPr>
        <w:t>anto en el momento de la elaboración del Plan de 2001 como en el del 2005. Quizá precisamente por ello, una de las acciones previas a la planificación va a ser el diseño de una comisión de cambio climático en abril de 2001 que pretende integrar sus planteamientos en otros ámbitos sectoriales y administrativos sobre la base de incorporar representantes de multitud de departamentos y diversas administraciones territoriales.</w:t>
      </w:r>
    </w:p>
    <w:p w:rsidR="00DE53A2" w:rsidRDefault="00DE53A2" w:rsidP="00DE53A2">
      <w:pPr>
        <w:spacing w:line="360" w:lineRule="auto"/>
        <w:jc w:val="both"/>
        <w:rPr>
          <w:sz w:val="24"/>
          <w:szCs w:val="24"/>
        </w:rPr>
      </w:pPr>
      <w:r>
        <w:rPr>
          <w:sz w:val="24"/>
          <w:szCs w:val="24"/>
        </w:rPr>
        <w:lastRenderedPageBreak/>
        <w:t>Para analizar desde un punto de vista sustantivo las políticas flamencas de cambio climático, tomaremos como referencia el segundo plan estratégico (</w:t>
      </w:r>
      <w:r w:rsidRPr="00FD121E">
        <w:rPr>
          <w:i/>
          <w:sz w:val="24"/>
          <w:szCs w:val="24"/>
        </w:rPr>
        <w:t>Plan Flamenco de Cambio Climático 2006-2012</w:t>
      </w:r>
      <w:r>
        <w:rPr>
          <w:sz w:val="24"/>
          <w:szCs w:val="24"/>
        </w:rPr>
        <w:t xml:space="preserve">), en el que destaca sobre todo el objetivo general de cumplimiento con los objetivos derivados del Protocolo de Kioto. Ya en el de 2001 el objetivo fundamental era estabilizar las emisiones de 2005 en el nivel de 1990, aspecto este que no sería finalmente conseguido (Van Hecke y Zgajewski 2008, 17), con lo que el principal reto del nuevo Plan va a apuntar también en el sentido de tomar exclusivamente como referencia el mandato de Kioto: en concreto, se plantea como objetivo general reducir el volumen de las emisiones de GEIs un total de 5,2% como media para el periodo 2008-2012 en referencia a las emisiones vertidas en 1990. Esta meta fue cuantificada después de un difícil proceso de negociación multinivel a través del cual se fijaron las cantidades a reducir por las diferentes regiones (Van Hecke y Zgajewski 2008, 8). </w:t>
      </w:r>
    </w:p>
    <w:p w:rsidR="00DE53A2" w:rsidRDefault="004E2AD1" w:rsidP="00DE53A2">
      <w:pPr>
        <w:spacing w:line="360" w:lineRule="auto"/>
        <w:jc w:val="both"/>
        <w:rPr>
          <w:sz w:val="24"/>
          <w:szCs w:val="24"/>
        </w:rPr>
      </w:pPr>
      <w:r>
        <w:rPr>
          <w:sz w:val="24"/>
          <w:szCs w:val="24"/>
        </w:rPr>
        <w:t>Sobre esta base, e</w:t>
      </w:r>
      <w:r w:rsidR="00DE53A2">
        <w:rPr>
          <w:sz w:val="24"/>
          <w:szCs w:val="24"/>
        </w:rPr>
        <w:t>l Plan 2006-2012 propone mas de cien medidas para hacer efectivo ese compromiso general de cumplimiento del Protocolo de Kioto, agrupadas en diez ámbitos de actuación: cinco sectoriales –movilidad sostenible, eficiencia energética en el sector de la construcción, suministro de energía, industria y agricultura y bosques- y cinco transversales –investigación-innovación, sesibilización, mecanismos de flexibilidad, adaptación y comportamiento ejemplarizante de la administración (</w:t>
      </w:r>
      <w:r w:rsidR="00DE53A2">
        <w:rPr>
          <w:i/>
          <w:sz w:val="24"/>
          <w:szCs w:val="24"/>
        </w:rPr>
        <w:t>Vlaamse Overheid</w:t>
      </w:r>
      <w:r w:rsidR="00DE53A2">
        <w:rPr>
          <w:sz w:val="24"/>
          <w:szCs w:val="24"/>
        </w:rPr>
        <w:t xml:space="preserve"> 2006, 38 y ss.).</w:t>
      </w:r>
      <w:r>
        <w:rPr>
          <w:sz w:val="24"/>
          <w:szCs w:val="24"/>
        </w:rPr>
        <w:t xml:space="preserve"> </w:t>
      </w:r>
      <w:r w:rsidR="00DE53A2">
        <w:rPr>
          <w:sz w:val="24"/>
          <w:szCs w:val="24"/>
        </w:rPr>
        <w:t xml:space="preserve">En definitiva, el Plan gira fundamentalmente en torno a cómo reducir emisiones puesto que el propio reparto territorial de competencias atribuye a las regiones el papel de asignar permisos de emisión (Van Hecke y Zgajewski 2008, 9). Esto se plantea a un plazo temporal ceñido exclusivamente al vencimiento del Protocolo de Kioto, sin avanzar medidas a más años vista. Sobre esa base, se evidencia una notable inclinación por la cuestión energética desde el punto de vista sectorial y un claro planteamiento no coercitivo y tendente a utilizar instrumentos voluntarios, mecanismos de mercado y acciones relacionadas con la investigación y sensibilización ciudadana. En todo caso, solo limitadamente podemos ver en ello un planteamiento tecnocrático en tanto que el Plan de 2006 se plantea como producto de un proceso participativo que reunió a actores empresariales, institucionales y del mundo asociativo, incluyendo organizaciones ecologistas. Este </w:t>
      </w:r>
      <w:r w:rsidR="00DE53A2">
        <w:rPr>
          <w:sz w:val="24"/>
          <w:szCs w:val="24"/>
        </w:rPr>
        <w:lastRenderedPageBreak/>
        <w:t xml:space="preserve">proceso participativo culminó en la denominada Conferencia Flamenca del Clima desde junio hasta septiembre de 2005, la cual dio lugar a un total de 365 propuestas consensuadas entre los actores participantes </w:t>
      </w:r>
      <w:r w:rsidR="00DE53A2" w:rsidRPr="00C03508">
        <w:rPr>
          <w:sz w:val="24"/>
          <w:szCs w:val="24"/>
        </w:rPr>
        <w:t>(</w:t>
      </w:r>
      <w:r w:rsidR="00DE53A2">
        <w:rPr>
          <w:i/>
          <w:sz w:val="24"/>
          <w:szCs w:val="24"/>
        </w:rPr>
        <w:t>Vlaamse Overheid</w:t>
      </w:r>
      <w:r w:rsidR="00DE53A2">
        <w:rPr>
          <w:sz w:val="24"/>
          <w:szCs w:val="24"/>
        </w:rPr>
        <w:t xml:space="preserve"> 2006, 34-35).</w:t>
      </w:r>
    </w:p>
    <w:p w:rsidR="00901D1C" w:rsidRDefault="00DE53A2" w:rsidP="00DE53A2">
      <w:pPr>
        <w:spacing w:line="360" w:lineRule="auto"/>
        <w:jc w:val="both"/>
        <w:rPr>
          <w:rFonts w:cs="Arial"/>
          <w:sz w:val="24"/>
          <w:szCs w:val="24"/>
        </w:rPr>
      </w:pPr>
      <w:r>
        <w:rPr>
          <w:sz w:val="24"/>
          <w:szCs w:val="24"/>
        </w:rPr>
        <w:t xml:space="preserve">Recientemente, el 1 de Febrero de 2013 ha sido aprobado un primer borrador del nuevo Plan Flamenco de Política Climática para el periodo 2013-2020, ajustado a la estrategia Europa 2020 </w:t>
      </w:r>
      <w:r w:rsidRPr="00A81347">
        <w:rPr>
          <w:rFonts w:cs="Arial"/>
          <w:sz w:val="24"/>
          <w:szCs w:val="24"/>
        </w:rPr>
        <w:t>(</w:t>
      </w:r>
      <w:hyperlink r:id="rId10" w:history="1">
        <w:r w:rsidRPr="00A81347">
          <w:rPr>
            <w:rStyle w:val="Hipervnculo"/>
            <w:rFonts w:cs="Arial"/>
            <w:sz w:val="24"/>
            <w:szCs w:val="24"/>
          </w:rPr>
          <w:t>http://www.vlaandereninactie.be/sites/default/files/ english_summary_of_the_flemish_reform_program.pdf</w:t>
        </w:r>
      </w:hyperlink>
      <w:r w:rsidRPr="00A81347">
        <w:rPr>
          <w:rFonts w:cs="Arial"/>
          <w:sz w:val="24"/>
          <w:szCs w:val="24"/>
        </w:rPr>
        <w:t>)</w:t>
      </w:r>
      <w:r>
        <w:rPr>
          <w:rFonts w:cs="Arial"/>
          <w:sz w:val="24"/>
          <w:szCs w:val="24"/>
        </w:rPr>
        <w:t xml:space="preserve">. En este sentido, es apreciable una cierta evolución en la ambición de los objetivos ya que se prevén medidas de recorte de GEIs en el sector  no incluido en el Sistema Europeo de Comercio de Derechos de Emisión, fundamentalmente el transporte que parece ser el principal factor que incide en el incumplimiento de los objetivos contenidos en el plan de 2006. </w:t>
      </w:r>
    </w:p>
    <w:p w:rsidR="00901D1C" w:rsidRDefault="00901D1C" w:rsidP="00DE53A2">
      <w:pPr>
        <w:spacing w:line="360" w:lineRule="auto"/>
        <w:jc w:val="both"/>
        <w:rPr>
          <w:rFonts w:cs="Arial"/>
          <w:sz w:val="24"/>
          <w:szCs w:val="24"/>
        </w:rPr>
      </w:pPr>
    </w:p>
    <w:p w:rsidR="00901D1C" w:rsidRDefault="00901D1C" w:rsidP="00DE53A2">
      <w:pPr>
        <w:spacing w:line="360" w:lineRule="auto"/>
        <w:jc w:val="both"/>
        <w:rPr>
          <w:rFonts w:cs="Arial"/>
          <w:sz w:val="24"/>
          <w:szCs w:val="24"/>
        </w:rPr>
      </w:pPr>
      <w:r>
        <w:rPr>
          <w:rFonts w:cs="Arial"/>
          <w:sz w:val="24"/>
          <w:szCs w:val="24"/>
        </w:rPr>
        <w:t>CATALUÑA</w:t>
      </w:r>
      <w:r w:rsidR="007C4C0E">
        <w:rPr>
          <w:rFonts w:cs="Arial"/>
          <w:sz w:val="24"/>
          <w:szCs w:val="24"/>
        </w:rPr>
        <w:t>-</w:t>
      </w:r>
    </w:p>
    <w:p w:rsidR="00DE53A2" w:rsidRDefault="00DE53A2" w:rsidP="00DE53A2">
      <w:pPr>
        <w:spacing w:line="360" w:lineRule="auto"/>
        <w:jc w:val="both"/>
        <w:rPr>
          <w:sz w:val="24"/>
          <w:szCs w:val="24"/>
        </w:rPr>
      </w:pPr>
      <w:r>
        <w:rPr>
          <w:sz w:val="24"/>
          <w:szCs w:val="24"/>
        </w:rPr>
        <w:t>E</w:t>
      </w:r>
      <w:r w:rsidR="008B5212">
        <w:rPr>
          <w:sz w:val="24"/>
          <w:szCs w:val="24"/>
        </w:rPr>
        <w:t>n Cataluña, el</w:t>
      </w:r>
      <w:r>
        <w:rPr>
          <w:sz w:val="24"/>
          <w:szCs w:val="24"/>
        </w:rPr>
        <w:t xml:space="preserve"> año 2006 es una fecha significativa para las políticas de cambio climático en tanto se crean la Oficina Catalana de Cambio Climático (OCCC) y la Comisión Interdepa</w:t>
      </w:r>
      <w:r w:rsidR="00901D1C">
        <w:rPr>
          <w:sz w:val="24"/>
          <w:szCs w:val="24"/>
        </w:rPr>
        <w:t xml:space="preserve">rtamental del Cambio Climático </w:t>
      </w:r>
      <w:r>
        <w:rPr>
          <w:sz w:val="24"/>
          <w:szCs w:val="24"/>
        </w:rPr>
        <w:t xml:space="preserve">por el gobierno tripartito de izquierda </w:t>
      </w:r>
      <w:r w:rsidR="00901D1C">
        <w:rPr>
          <w:sz w:val="24"/>
          <w:szCs w:val="24"/>
        </w:rPr>
        <w:t>(</w:t>
      </w:r>
      <w:r>
        <w:rPr>
          <w:sz w:val="24"/>
          <w:szCs w:val="24"/>
        </w:rPr>
        <w:t>PSC,</w:t>
      </w:r>
      <w:r w:rsidR="00B45EEB">
        <w:rPr>
          <w:sz w:val="24"/>
          <w:szCs w:val="24"/>
        </w:rPr>
        <w:t xml:space="preserve"> </w:t>
      </w:r>
      <w:r>
        <w:rPr>
          <w:sz w:val="24"/>
          <w:szCs w:val="24"/>
        </w:rPr>
        <w:t xml:space="preserve">ERC </w:t>
      </w:r>
      <w:r w:rsidR="00B45EEB">
        <w:rPr>
          <w:sz w:val="24"/>
          <w:szCs w:val="24"/>
        </w:rPr>
        <w:t>e ICV-Verds</w:t>
      </w:r>
      <w:r>
        <w:rPr>
          <w:sz w:val="24"/>
          <w:szCs w:val="24"/>
        </w:rPr>
        <w:t xml:space="preserve">- que impulsa las políticas de cambio climático como uno de los ejes de actuación de la legislatura. En esta línea, en septiembre de 2008 el gobierno catalán aprobará el </w:t>
      </w:r>
      <w:r w:rsidRPr="00A439C1">
        <w:rPr>
          <w:i/>
          <w:sz w:val="24"/>
          <w:szCs w:val="24"/>
        </w:rPr>
        <w:t>Plan Marco de Mitigación del Cambio Climático en Cataluña 2008-2012</w:t>
      </w:r>
      <w:r w:rsidR="00B45EEB">
        <w:rPr>
          <w:sz w:val="24"/>
          <w:szCs w:val="24"/>
        </w:rPr>
        <w:t xml:space="preserve"> (PMMCC), planteado </w:t>
      </w:r>
      <w:r>
        <w:rPr>
          <w:sz w:val="24"/>
          <w:szCs w:val="24"/>
        </w:rPr>
        <w:t>como principal herramienta de actuación y, asimismo, como culminación de un amplio proceso participativo</w:t>
      </w:r>
      <w:r w:rsidR="00B45EEB">
        <w:rPr>
          <w:sz w:val="24"/>
          <w:szCs w:val="24"/>
        </w:rPr>
        <w:t>, en el que, s</w:t>
      </w:r>
      <w:r>
        <w:rPr>
          <w:sz w:val="24"/>
          <w:szCs w:val="24"/>
        </w:rPr>
        <w:t>egún los propios cálculos de la Generalitat, tomaron parte unos 800 individuos y alrededor de 500 entidades que formularon un total de 974 propuestas (</w:t>
      </w:r>
      <w:r>
        <w:rPr>
          <w:i/>
          <w:sz w:val="24"/>
          <w:szCs w:val="24"/>
        </w:rPr>
        <w:t xml:space="preserve">Govern </w:t>
      </w:r>
      <w:r w:rsidRPr="00552460">
        <w:rPr>
          <w:i/>
          <w:sz w:val="24"/>
          <w:szCs w:val="24"/>
        </w:rPr>
        <w:t>de Catalunya</w:t>
      </w:r>
      <w:r>
        <w:rPr>
          <w:sz w:val="24"/>
          <w:szCs w:val="24"/>
        </w:rPr>
        <w:t xml:space="preserve"> 2008, 37-38).</w:t>
      </w:r>
    </w:p>
    <w:p w:rsidR="00DE53A2" w:rsidRDefault="00DE53A2" w:rsidP="00DE53A2">
      <w:pPr>
        <w:spacing w:line="360" w:lineRule="auto"/>
        <w:jc w:val="both"/>
        <w:rPr>
          <w:sz w:val="24"/>
          <w:szCs w:val="24"/>
        </w:rPr>
      </w:pPr>
      <w:r>
        <w:rPr>
          <w:sz w:val="24"/>
          <w:szCs w:val="24"/>
        </w:rPr>
        <w:t xml:space="preserve">El PMMCC se desgrana en tres objetivos estratégicos, cada uno de los cuales compone un programa de actuación con subprogramas más detallados y acciones específicas. Los tres grandes objetivos son limitar el crecimiento de las emisiones difusas de GEIs al 37% con respecto al año base de 1990; reducir las emisiones en los sectores </w:t>
      </w:r>
      <w:r>
        <w:rPr>
          <w:sz w:val="24"/>
          <w:szCs w:val="24"/>
        </w:rPr>
        <w:lastRenderedPageBreak/>
        <w:t>productivos sujetos a la Directiva europea de comercio de emisiones; e incrementar el conocimiento del fenómeno del cambio climático a todos los niveles sociales (</w:t>
      </w:r>
      <w:r>
        <w:rPr>
          <w:i/>
          <w:sz w:val="24"/>
          <w:szCs w:val="24"/>
        </w:rPr>
        <w:t xml:space="preserve">Govern </w:t>
      </w:r>
      <w:r w:rsidRPr="003C2A07">
        <w:rPr>
          <w:i/>
          <w:sz w:val="24"/>
          <w:szCs w:val="24"/>
        </w:rPr>
        <w:t>de Catalunya</w:t>
      </w:r>
      <w:r>
        <w:rPr>
          <w:sz w:val="24"/>
          <w:szCs w:val="24"/>
        </w:rPr>
        <w:t xml:space="preserve"> 2008, 41-42). Lógicamente, tal jerarquía de contenidos viene fuertemente condicionada por el peso relativo de la contaminación difusa en Cataluña que representa una proporción mayor que en el resto del Estado (</w:t>
      </w:r>
      <w:r>
        <w:rPr>
          <w:i/>
          <w:sz w:val="24"/>
          <w:szCs w:val="24"/>
        </w:rPr>
        <w:t xml:space="preserve">Govern </w:t>
      </w:r>
      <w:r w:rsidRPr="003C2A07">
        <w:rPr>
          <w:i/>
          <w:sz w:val="24"/>
          <w:szCs w:val="24"/>
        </w:rPr>
        <w:t>de Catalunya</w:t>
      </w:r>
      <w:r>
        <w:rPr>
          <w:sz w:val="24"/>
          <w:szCs w:val="24"/>
        </w:rPr>
        <w:t xml:space="preserve"> 2008, 28) y por la evolución de las emisiones de GEIs en el marco concreto del Estado: lo que se plantea es una limitación del crecimiento de éstas, dándose por hecho que un eventual cumplimiento de lo establecido en el Protocolo pasa necesariamente por la compra de permisos de emisión por parte de las autoridades españolas.</w:t>
      </w:r>
    </w:p>
    <w:p w:rsidR="00DE53A2" w:rsidRPr="007764AF" w:rsidRDefault="00DE53A2" w:rsidP="00DE53A2">
      <w:pPr>
        <w:spacing w:line="360" w:lineRule="auto"/>
        <w:jc w:val="both"/>
        <w:rPr>
          <w:sz w:val="24"/>
          <w:szCs w:val="24"/>
        </w:rPr>
      </w:pPr>
      <w:r>
        <w:rPr>
          <w:sz w:val="24"/>
          <w:szCs w:val="24"/>
        </w:rPr>
        <w:t xml:space="preserve">En todo caso, estamos ante un programa de notable pragmatismo, en cuanto que se plantea fundamentalmente cómo cumplir los compromisos de Kioto, sin entrar a desarrollar demasiado visiones a largo plazo o argumentos normativos en torno a la necesidad de avanzar en clave de sostenibilidad. El Plan es sumamente preciso y se traduce en medidas concretas </w:t>
      </w:r>
      <w:r w:rsidR="008B5212">
        <w:rPr>
          <w:sz w:val="24"/>
          <w:szCs w:val="24"/>
        </w:rPr>
        <w:t>que convergen</w:t>
      </w:r>
      <w:r>
        <w:rPr>
          <w:sz w:val="24"/>
          <w:szCs w:val="24"/>
        </w:rPr>
        <w:t xml:space="preserve"> con el Plan de la Energía de Cataluña 2006-2015, uno de cuyos ejes es, asimismo, la lucha contra el cambio climático. </w:t>
      </w:r>
      <w:r w:rsidRPr="007764AF">
        <w:rPr>
          <w:sz w:val="24"/>
          <w:szCs w:val="24"/>
        </w:rPr>
        <w:t>En cuanto a los dispositivos que selecciona el PMCC</w:t>
      </w:r>
      <w:r>
        <w:rPr>
          <w:sz w:val="24"/>
          <w:szCs w:val="24"/>
        </w:rPr>
        <w:t>, se plantea la funcionalidad de los instrumentos de mercado, entre los que dest</w:t>
      </w:r>
      <w:r w:rsidRPr="007764AF">
        <w:rPr>
          <w:sz w:val="24"/>
          <w:szCs w:val="24"/>
        </w:rPr>
        <w:t>aca la utilización de acuerdos voluntarios dirigidos a empresas, instituciones, administraciones públicas, asociaciones y fundaciones que quieran tomar medidas de reducción de GEIs que vayan más allá de lo establecido legalmente</w:t>
      </w:r>
      <w:r>
        <w:rPr>
          <w:rStyle w:val="Refdenotaalpie"/>
          <w:sz w:val="24"/>
          <w:szCs w:val="24"/>
        </w:rPr>
        <w:footnoteReference w:id="4"/>
      </w:r>
      <w:r>
        <w:rPr>
          <w:sz w:val="24"/>
          <w:szCs w:val="24"/>
        </w:rPr>
        <w:t>.</w:t>
      </w:r>
    </w:p>
    <w:p w:rsidR="00DE53A2" w:rsidRDefault="00DE53A2" w:rsidP="00DE53A2">
      <w:pPr>
        <w:spacing w:line="360" w:lineRule="auto"/>
        <w:jc w:val="both"/>
        <w:rPr>
          <w:sz w:val="24"/>
          <w:szCs w:val="24"/>
        </w:rPr>
      </w:pPr>
      <w:r>
        <w:rPr>
          <w:sz w:val="24"/>
          <w:szCs w:val="24"/>
        </w:rPr>
        <w:t xml:space="preserve">Sin embargo, el PMMCC parece haberse agotado y no solo por razones temporales: en noviembre de 2010 el gobierno tripartito es derrotado en las urnas y reemplazado por un ejecutivo monocolor de </w:t>
      </w:r>
      <w:r w:rsidRPr="002D35D8">
        <w:rPr>
          <w:i/>
          <w:sz w:val="24"/>
          <w:szCs w:val="24"/>
        </w:rPr>
        <w:t>Convergencia i Unió</w:t>
      </w:r>
      <w:r>
        <w:rPr>
          <w:sz w:val="24"/>
          <w:szCs w:val="24"/>
        </w:rPr>
        <w:t xml:space="preserve"> (CiU), liderado por Artur Mas</w:t>
      </w:r>
      <w:r w:rsidR="008B5212">
        <w:rPr>
          <w:sz w:val="24"/>
          <w:szCs w:val="24"/>
        </w:rPr>
        <w:t xml:space="preserve"> que dotará a la política climática de un enfoque propio</w:t>
      </w:r>
      <w:r>
        <w:rPr>
          <w:sz w:val="24"/>
          <w:szCs w:val="24"/>
        </w:rPr>
        <w:t xml:space="preserve">. De hecho, el nuevo Plan que se está elaborando actualmente, el </w:t>
      </w:r>
      <w:r w:rsidRPr="003C237B">
        <w:rPr>
          <w:i/>
          <w:sz w:val="24"/>
          <w:szCs w:val="24"/>
        </w:rPr>
        <w:t>Plan de Energía y Cambio Climático 2012-2020</w:t>
      </w:r>
      <w:r>
        <w:rPr>
          <w:sz w:val="24"/>
          <w:szCs w:val="24"/>
        </w:rPr>
        <w:t xml:space="preserve"> (PECC), conjuga </w:t>
      </w:r>
      <w:r w:rsidR="008B5212">
        <w:rPr>
          <w:sz w:val="24"/>
          <w:szCs w:val="24"/>
        </w:rPr>
        <w:t>los</w:t>
      </w:r>
      <w:r>
        <w:rPr>
          <w:sz w:val="24"/>
          <w:szCs w:val="24"/>
        </w:rPr>
        <w:t xml:space="preserve"> vectores</w:t>
      </w:r>
      <w:r w:rsidR="008B5212">
        <w:rPr>
          <w:sz w:val="24"/>
          <w:szCs w:val="24"/>
        </w:rPr>
        <w:t xml:space="preserve"> energético y climático</w:t>
      </w:r>
      <w:r>
        <w:rPr>
          <w:sz w:val="24"/>
          <w:szCs w:val="24"/>
        </w:rPr>
        <w:t xml:space="preserve">, aunque –a juzgar por el planteamiento general- supeditando el </w:t>
      </w:r>
      <w:r w:rsidR="008B5212">
        <w:rPr>
          <w:sz w:val="24"/>
          <w:szCs w:val="24"/>
        </w:rPr>
        <w:t>primero</w:t>
      </w:r>
      <w:r>
        <w:rPr>
          <w:sz w:val="24"/>
          <w:szCs w:val="24"/>
        </w:rPr>
        <w:t xml:space="preserve"> al</w:t>
      </w:r>
      <w:r w:rsidR="008B5212">
        <w:rPr>
          <w:sz w:val="24"/>
          <w:szCs w:val="24"/>
        </w:rPr>
        <w:t xml:space="preserve"> segundo</w:t>
      </w:r>
      <w:r>
        <w:rPr>
          <w:sz w:val="24"/>
          <w:szCs w:val="24"/>
        </w:rPr>
        <w:t xml:space="preserve">. </w:t>
      </w:r>
      <w:r w:rsidRPr="00491C5E">
        <w:rPr>
          <w:sz w:val="24"/>
          <w:szCs w:val="24"/>
        </w:rPr>
        <w:t xml:space="preserve">En </w:t>
      </w:r>
      <w:r>
        <w:rPr>
          <w:sz w:val="24"/>
          <w:szCs w:val="24"/>
        </w:rPr>
        <w:t>cualquier caso</w:t>
      </w:r>
      <w:r w:rsidRPr="00491C5E">
        <w:rPr>
          <w:sz w:val="24"/>
          <w:szCs w:val="24"/>
        </w:rPr>
        <w:t>,</w:t>
      </w:r>
      <w:r>
        <w:rPr>
          <w:sz w:val="24"/>
          <w:szCs w:val="24"/>
        </w:rPr>
        <w:t xml:space="preserve"> los últimos meses han supuesto cambios importantes en tanto</w:t>
      </w:r>
      <w:r w:rsidRPr="00491C5E">
        <w:rPr>
          <w:sz w:val="24"/>
          <w:szCs w:val="24"/>
        </w:rPr>
        <w:t xml:space="preserve"> el proceso político catalán ha generado un vuelco en todo este panor</w:t>
      </w:r>
      <w:r>
        <w:rPr>
          <w:sz w:val="24"/>
          <w:szCs w:val="24"/>
        </w:rPr>
        <w:t>a</w:t>
      </w:r>
      <w:r w:rsidRPr="00491C5E">
        <w:rPr>
          <w:sz w:val="24"/>
          <w:szCs w:val="24"/>
        </w:rPr>
        <w:t>ma que hemos descrito hasta a</w:t>
      </w:r>
      <w:r>
        <w:rPr>
          <w:sz w:val="24"/>
          <w:szCs w:val="24"/>
        </w:rPr>
        <w:t xml:space="preserve">hora. La declaración </w:t>
      </w:r>
      <w:r>
        <w:rPr>
          <w:sz w:val="24"/>
          <w:szCs w:val="24"/>
        </w:rPr>
        <w:lastRenderedPageBreak/>
        <w:t>independentista del Parlamento Catalán en 2012 precipita unas elecciones y reactivan el conflicto identitario hasta un punto de máxima intensidad. Como consecuencia, las elecciones que finalmente tuvieron lugar en noviembre de 2012 arrojan una nueva distribución de escaños parlamentarios por la cual CiU se ve obligada a pactar la formación de un nuevo gobierno con ERC, fuerza emergente de nuevo  y en posición fuerte para negociar. Así, si bien la formación republicana no entra a formar parte de él, sí está en condiciones de imponer parte de los contenidos del nuevo plan de gobierno  que se presenta en junio de 2013 y donde habrá cabida para la elaboración de una ley de cambio climático.</w:t>
      </w:r>
    </w:p>
    <w:p w:rsidR="00DE53A2" w:rsidRPr="00491C5E" w:rsidRDefault="00DE53A2" w:rsidP="00DE53A2">
      <w:pPr>
        <w:spacing w:line="360" w:lineRule="auto"/>
        <w:jc w:val="both"/>
        <w:rPr>
          <w:sz w:val="24"/>
          <w:szCs w:val="24"/>
        </w:rPr>
      </w:pPr>
      <w:r>
        <w:rPr>
          <w:sz w:val="24"/>
          <w:szCs w:val="24"/>
        </w:rPr>
        <w:t>En realidad, el enfoque propio de la ley abunda en elementos que ya hemos visto tanto en la normativa escocesa como en la vasca, por lo que el enfoque no parece excesivamente novedoso. Se insiste en los aspectos de ventaja competitiva y de situar a Cataluña en la vanguardia de la economía verde que se avecina</w:t>
      </w:r>
      <w:r>
        <w:rPr>
          <w:rStyle w:val="Refdenotaalpie"/>
          <w:sz w:val="24"/>
          <w:szCs w:val="24"/>
        </w:rPr>
        <w:footnoteReference w:id="5"/>
      </w:r>
      <w:r>
        <w:rPr>
          <w:sz w:val="24"/>
          <w:szCs w:val="24"/>
        </w:rPr>
        <w:t xml:space="preserve"> así como en la utilidad de mecanismos de mercado entre los que se hace especial mención sobre la fiscalidad. Curiosamente, también se pone de relieve la contribución de una ley de cambio climático sobre una eventual clarificación de competencias de Cataluña sobre la materia, con lo que parece ligarse también aquí la cuestión climática a la identitaria</w:t>
      </w:r>
      <w:r>
        <w:rPr>
          <w:rStyle w:val="Refdenotaalpie"/>
          <w:sz w:val="24"/>
          <w:szCs w:val="24"/>
        </w:rPr>
        <w:footnoteReference w:id="6"/>
      </w:r>
      <w:r>
        <w:rPr>
          <w:sz w:val="24"/>
          <w:szCs w:val="24"/>
        </w:rPr>
        <w:t xml:space="preserve">. En todo caso, todavía es temprano para vaticinar si esta ley tendrá mayor recorrido ya que se ciernen expectativas inciertas sobre el gobierno catalán, sobre todo si atendemos a la publicación reciente de encuestas en la que ERC parece rentabilizar la </w:t>
      </w:r>
      <w:r>
        <w:rPr>
          <w:sz w:val="24"/>
          <w:szCs w:val="24"/>
        </w:rPr>
        <w:lastRenderedPageBreak/>
        <w:t>progresiva intensificación del conflicto identitario a costa de CiU</w:t>
      </w:r>
      <w:r>
        <w:rPr>
          <w:rStyle w:val="Refdenotaalpie"/>
          <w:sz w:val="24"/>
          <w:szCs w:val="24"/>
        </w:rPr>
        <w:footnoteReference w:id="7"/>
      </w:r>
      <w:r>
        <w:rPr>
          <w:sz w:val="24"/>
          <w:szCs w:val="24"/>
        </w:rPr>
        <w:t>. Todo ello no hace sino sumar argumentos a la tesis que ya hemos manejado en torno a la influencia del proceso político sobre la elección de los instrumentos para atajar el problema del efecto invernadero. No parecen haberse dado esos cambios en el enfoque</w:t>
      </w:r>
      <w:r w:rsidR="00E10AEF">
        <w:rPr>
          <w:sz w:val="24"/>
          <w:szCs w:val="24"/>
        </w:rPr>
        <w:t xml:space="preserve"> general de la cuestión climática</w:t>
      </w:r>
      <w:r>
        <w:rPr>
          <w:sz w:val="24"/>
          <w:szCs w:val="24"/>
        </w:rPr>
        <w:t>, dado que parece variar escasamente por los detalles que se han dado hasta ahora. Sin embargo, un proceso político en cierta medida “acelerado” como el catalán no garantiza la posibilidad de que esa apuesta por la elaboración de una ley de cambio climático sea finalmente una realidad.</w:t>
      </w:r>
    </w:p>
    <w:p w:rsidR="00DE53A2" w:rsidRDefault="00DE53A2" w:rsidP="006B6A53">
      <w:pPr>
        <w:spacing w:line="360" w:lineRule="auto"/>
        <w:jc w:val="both"/>
        <w:rPr>
          <w:bCs/>
          <w:sz w:val="24"/>
          <w:szCs w:val="24"/>
        </w:rPr>
      </w:pPr>
    </w:p>
    <w:p w:rsidR="00DE53A2" w:rsidRPr="00DE53A2" w:rsidRDefault="00DE53A2" w:rsidP="006B6A53">
      <w:pPr>
        <w:spacing w:line="360" w:lineRule="auto"/>
        <w:jc w:val="both"/>
        <w:rPr>
          <w:b/>
          <w:bCs/>
          <w:sz w:val="32"/>
          <w:szCs w:val="32"/>
        </w:rPr>
      </w:pPr>
      <w:r w:rsidRPr="00DE53A2">
        <w:rPr>
          <w:b/>
          <w:bCs/>
          <w:sz w:val="32"/>
          <w:szCs w:val="32"/>
        </w:rPr>
        <w:t>Conclusiones</w:t>
      </w:r>
    </w:p>
    <w:p w:rsidR="00A17091" w:rsidRDefault="00DE53A2" w:rsidP="00A17091">
      <w:pPr>
        <w:spacing w:line="360" w:lineRule="auto"/>
        <w:jc w:val="both"/>
        <w:rPr>
          <w:bCs/>
          <w:sz w:val="24"/>
          <w:szCs w:val="24"/>
        </w:rPr>
      </w:pPr>
      <w:r>
        <w:rPr>
          <w:bCs/>
          <w:sz w:val="24"/>
          <w:szCs w:val="24"/>
        </w:rPr>
        <w:t>De</w:t>
      </w:r>
      <w:r w:rsidR="00A17091">
        <w:rPr>
          <w:bCs/>
          <w:sz w:val="24"/>
          <w:szCs w:val="24"/>
        </w:rPr>
        <w:t xml:space="preserve"> todo lo que antecede, creemos que podemos extraer algunas conclusiones en torno a las causas de la variabilidad de las políticas climáticas regionales en el contexto europeo. </w:t>
      </w:r>
      <w:r w:rsidR="006B6A53">
        <w:rPr>
          <w:bCs/>
          <w:sz w:val="24"/>
          <w:szCs w:val="24"/>
        </w:rPr>
        <w:t xml:space="preserve">Hemos intentado plasmar en el gráfico </w:t>
      </w:r>
      <w:r w:rsidR="00A17091">
        <w:rPr>
          <w:bCs/>
          <w:sz w:val="24"/>
          <w:szCs w:val="24"/>
        </w:rPr>
        <w:t>1</w:t>
      </w:r>
      <w:r w:rsidR="006B6A53">
        <w:rPr>
          <w:bCs/>
          <w:sz w:val="24"/>
          <w:szCs w:val="24"/>
        </w:rPr>
        <w:t xml:space="preserve"> lo que podría ser el hilo conductor de </w:t>
      </w:r>
      <w:r w:rsidR="00A17091">
        <w:rPr>
          <w:bCs/>
          <w:sz w:val="24"/>
          <w:szCs w:val="24"/>
        </w:rPr>
        <w:t>tales</w:t>
      </w:r>
      <w:r w:rsidR="006B6A53">
        <w:rPr>
          <w:bCs/>
          <w:sz w:val="24"/>
          <w:szCs w:val="24"/>
        </w:rPr>
        <w:t xml:space="preserve"> conclusiones, estructurándolas en la triple dimensión de análisis a la que repetidamente hemos venido haciendo alusión y centrándonos ante todo en las características que diferencian las propuestas analizadas. </w:t>
      </w:r>
    </w:p>
    <w:p w:rsidR="00A17091" w:rsidRDefault="00A17091" w:rsidP="00A17091">
      <w:pPr>
        <w:spacing w:line="360" w:lineRule="auto"/>
        <w:jc w:val="both"/>
        <w:rPr>
          <w:bCs/>
          <w:sz w:val="24"/>
          <w:szCs w:val="24"/>
        </w:rPr>
      </w:pPr>
      <w:r>
        <w:rPr>
          <w:bCs/>
          <w:sz w:val="24"/>
          <w:szCs w:val="24"/>
        </w:rPr>
        <w:t xml:space="preserve">Así, la primera dimensión alude al marco institucional (polity) en el que se desarrollan las políticas climáticas y que, según nuestro argumento, afectan fundamentalmente a los recursos económicos y normativos de los que disponen los actores públicos para elaborar respuestas. Según este argumento y la hipótesis que definimos a principio, los gobiernos de sistemas descentralizados tendrán mayor capacidad  de aplicar políticas innovadoras y trascender los compromisos adquiridos a nivel estatal. Viendo los diferentes casos de política climática que hemos seleccionado, parecería que tal es el caso: mientras en los casos centralizados se establecen políticas adaptadas a la especificidad regional pero definidas en el Parlamento del Estado central, los cuatro casos correspondientes a modelos descentralizados implantan políticas de perfiles más propios y plasmadas en documentos como estrategias, planes, etc. Estudio aparte </w:t>
      </w:r>
      <w:r>
        <w:rPr>
          <w:bCs/>
          <w:sz w:val="24"/>
          <w:szCs w:val="24"/>
        </w:rPr>
        <w:lastRenderedPageBreak/>
        <w:t>merece el caso de Escocia y País Vasco, donde la innovación se lleva al extremo de elaborar vía legislativa la política de cambio climático, innovación tanto más acusada en el caso vasco en tanto no existía un precedente de normativa estatal en este ámbito.  De cualquier forma, un alto nivel de autogobierno habilita a los actores regionales para intentar otras vías de acción fuera del estricto cumplimiento de compromisos firmados desde el centro. Paradójicamente, el caso más descentralizado de todos, Flandes, no opta por esta vía pese a disponer de los recursos: en nuestra opinión, porque las otras dos dimensiones no suman a favor de incrementar la apuesta climática de sus instituciones.</w:t>
      </w:r>
    </w:p>
    <w:p w:rsidR="006B6A53" w:rsidRDefault="006B6A53" w:rsidP="006B6A53">
      <w:pPr>
        <w:spacing w:line="240" w:lineRule="auto"/>
        <w:ind w:left="360"/>
        <w:rPr>
          <w:b/>
          <w:bCs/>
          <w:sz w:val="24"/>
          <w:szCs w:val="24"/>
        </w:rPr>
      </w:pPr>
    </w:p>
    <w:p w:rsidR="006B6A53" w:rsidRPr="005D1066" w:rsidRDefault="006B6A53" w:rsidP="00A17091">
      <w:pPr>
        <w:spacing w:line="240" w:lineRule="auto"/>
        <w:ind w:left="426"/>
        <w:rPr>
          <w:b/>
          <w:bCs/>
          <w:sz w:val="24"/>
          <w:szCs w:val="24"/>
        </w:rPr>
      </w:pPr>
      <w:r w:rsidRPr="005D1066">
        <w:rPr>
          <w:b/>
          <w:bCs/>
          <w:sz w:val="24"/>
          <w:szCs w:val="24"/>
        </w:rPr>
        <w:t xml:space="preserve">Gráfico </w:t>
      </w:r>
      <w:r w:rsidR="00A17091">
        <w:rPr>
          <w:b/>
          <w:bCs/>
          <w:sz w:val="24"/>
          <w:szCs w:val="24"/>
        </w:rPr>
        <w:t>1</w:t>
      </w:r>
      <w:r w:rsidRPr="005D1066">
        <w:rPr>
          <w:b/>
          <w:bCs/>
          <w:sz w:val="24"/>
          <w:szCs w:val="24"/>
        </w:rPr>
        <w:t>: Dimensiones de análisis y casos</w:t>
      </w:r>
    </w:p>
    <w:p w:rsidR="006B6A53" w:rsidRDefault="005D0D5B" w:rsidP="00A17091">
      <w:pPr>
        <w:spacing w:line="240" w:lineRule="auto"/>
        <w:ind w:left="426" w:right="707"/>
        <w:rPr>
          <w:bCs/>
          <w:sz w:val="20"/>
          <w:szCs w:val="20"/>
        </w:rPr>
      </w:pPr>
      <w:r w:rsidRPr="003005F9">
        <w:object w:dxaOrig="6795" w:dyaOrig="5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9pt;height:288.95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PowerPoint.Slide.12" ShapeID="_x0000_i1025" DrawAspect="Content" ObjectID="_1440345169" r:id="rId12"/>
        </w:object>
      </w:r>
      <w:r w:rsidR="006B6A53" w:rsidRPr="005D1066">
        <w:rPr>
          <w:bCs/>
          <w:sz w:val="20"/>
          <w:szCs w:val="20"/>
        </w:rPr>
        <w:t>Fuente: elaboración propia</w:t>
      </w:r>
    </w:p>
    <w:p w:rsidR="006B6A53" w:rsidRDefault="006B6A53" w:rsidP="006B6A53">
      <w:pPr>
        <w:rPr>
          <w:bCs/>
          <w:sz w:val="20"/>
          <w:szCs w:val="20"/>
        </w:rPr>
      </w:pPr>
    </w:p>
    <w:p w:rsidR="00E10AEF" w:rsidRDefault="006B6A53" w:rsidP="006B6A53">
      <w:pPr>
        <w:spacing w:line="360" w:lineRule="auto"/>
        <w:jc w:val="both"/>
        <w:rPr>
          <w:bCs/>
          <w:sz w:val="24"/>
          <w:szCs w:val="24"/>
        </w:rPr>
      </w:pPr>
      <w:r>
        <w:rPr>
          <w:bCs/>
          <w:sz w:val="24"/>
          <w:szCs w:val="24"/>
        </w:rPr>
        <w:t xml:space="preserve">La dimensión relativa al proceso político también parece haber generado importantes </w:t>
      </w:r>
      <w:r w:rsidR="00E10AEF">
        <w:rPr>
          <w:bCs/>
          <w:sz w:val="24"/>
          <w:szCs w:val="24"/>
        </w:rPr>
        <w:t>en la variación de las políticas regionales, hasta el punto de que</w:t>
      </w:r>
      <w:r>
        <w:rPr>
          <w:bCs/>
          <w:sz w:val="24"/>
          <w:szCs w:val="24"/>
        </w:rPr>
        <w:t xml:space="preserve"> parece ser el aspecto que más determina la elección de los instrumentos de política climática como hemos visto parti</w:t>
      </w:r>
      <w:r w:rsidR="00E10AEF">
        <w:rPr>
          <w:bCs/>
          <w:sz w:val="24"/>
          <w:szCs w:val="24"/>
        </w:rPr>
        <w:t xml:space="preserve">cularmente en el caso escocés, </w:t>
      </w:r>
      <w:r>
        <w:rPr>
          <w:bCs/>
          <w:sz w:val="24"/>
          <w:szCs w:val="24"/>
        </w:rPr>
        <w:t>vasco</w:t>
      </w:r>
      <w:r w:rsidR="00E10AEF">
        <w:rPr>
          <w:bCs/>
          <w:sz w:val="24"/>
          <w:szCs w:val="24"/>
        </w:rPr>
        <w:t xml:space="preserve"> y catalánL</w:t>
      </w:r>
      <w:r>
        <w:rPr>
          <w:bCs/>
          <w:sz w:val="24"/>
          <w:szCs w:val="24"/>
        </w:rPr>
        <w:t xml:space="preserve">a respuesta vía legislación se comprende solamente en el marco de una situación política más amplia y en la </w:t>
      </w:r>
      <w:r>
        <w:rPr>
          <w:bCs/>
          <w:sz w:val="24"/>
          <w:szCs w:val="24"/>
        </w:rPr>
        <w:lastRenderedPageBreak/>
        <w:t xml:space="preserve">conformación de los gobiernos y su identidad. En el caso vasco, vimos que la ley sobre cambio climático se plantea justo cuando los tres factores aludidos confluyen para presentarla como una alternativa: un gobierno de un solo partido –lo que favorece la aprobación de un proyecto de ley transversal por definición, como es éste-; un partido en el gobierno que puede rentabilizar políticamente el tema del cambio climático por su perfil ideológico; y un momento de alternancia donde el gabinete está casi obligado a presentar nuevas propuestas que transmitan la idea de que se da un nuevo rumbo a los asuntos públicos. </w:t>
      </w:r>
      <w:r w:rsidR="00E10AEF">
        <w:rPr>
          <w:bCs/>
          <w:sz w:val="24"/>
          <w:szCs w:val="24"/>
        </w:rPr>
        <w:t>En los casos catalán y escocés también la ley aparece vinculada a elementos de política identitaria</w:t>
      </w:r>
    </w:p>
    <w:p w:rsidR="006B6A53" w:rsidRDefault="006B6A53" w:rsidP="006B6A53">
      <w:pPr>
        <w:spacing w:line="360" w:lineRule="auto"/>
        <w:jc w:val="both"/>
        <w:rPr>
          <w:bCs/>
          <w:sz w:val="24"/>
          <w:szCs w:val="24"/>
        </w:rPr>
      </w:pPr>
      <w:r>
        <w:rPr>
          <w:bCs/>
          <w:sz w:val="24"/>
          <w:szCs w:val="24"/>
        </w:rPr>
        <w:t>Por último, destacamos la estructura de gobernanza como la tercera dimensión de análisis por su relevancia a la hora de comprender el enfoque aplicado a las políticas climáticas. Partimos aquí del supuesto de que todas las respuestas institucionales en este tema involucran a los actores económicos y sociales que se ven afectados por las mismas</w:t>
      </w:r>
      <w:r w:rsidR="00901D1C">
        <w:rPr>
          <w:bCs/>
          <w:sz w:val="24"/>
          <w:szCs w:val="24"/>
        </w:rPr>
        <w:t xml:space="preserve"> y que la configuración de esta red determina la forma de diagnosticar los problemas climáticos y sus soluciones</w:t>
      </w:r>
      <w:r>
        <w:rPr>
          <w:bCs/>
          <w:sz w:val="24"/>
          <w:szCs w:val="24"/>
        </w:rPr>
        <w:t>. En este sentido, una sobrerrepresentación de, pongamos por caso, el elemento industrial interesado estratégicamente en abrirse camino en nuevos sectores económicos seguramente habría de empujar a las élites políticas hacia la adopción de instrumentos más ambiciosos.</w:t>
      </w:r>
      <w:r w:rsidR="00901D1C">
        <w:rPr>
          <w:bCs/>
          <w:sz w:val="24"/>
          <w:szCs w:val="24"/>
        </w:rPr>
        <w:t xml:space="preserve"> </w:t>
      </w:r>
      <w:r>
        <w:rPr>
          <w:bCs/>
          <w:sz w:val="24"/>
          <w:szCs w:val="24"/>
        </w:rPr>
        <w:t xml:space="preserve">Algo de esto podría haber pasado en el caso concreto de la CAPV, donde históricamente las políticas ambientales han funcionado sobre la base de una cierta alianza, la configuración de una </w:t>
      </w:r>
      <w:r w:rsidRPr="002907A6">
        <w:rPr>
          <w:bCs/>
          <w:i/>
          <w:sz w:val="24"/>
          <w:szCs w:val="24"/>
        </w:rPr>
        <w:t>advocacy coalition</w:t>
      </w:r>
      <w:r>
        <w:rPr>
          <w:bCs/>
          <w:sz w:val="24"/>
          <w:szCs w:val="24"/>
        </w:rPr>
        <w:t xml:space="preserve"> entre la autoridad ambiental, centros tecnológicos y una parte del sector empresarial nucleado en torno al clúster ACLIMA. Visto lo visto, e</w:t>
      </w:r>
      <w:r w:rsidRPr="00550105">
        <w:rPr>
          <w:bCs/>
          <w:sz w:val="24"/>
          <w:szCs w:val="24"/>
        </w:rPr>
        <w:t>l panorama en Escocia podría ser s</w:t>
      </w:r>
      <w:r>
        <w:rPr>
          <w:bCs/>
          <w:sz w:val="24"/>
          <w:szCs w:val="24"/>
        </w:rPr>
        <w:t>imilar al ser una región tempranamente industrializada</w:t>
      </w:r>
      <w:r w:rsidR="00901D1C">
        <w:rPr>
          <w:bCs/>
          <w:sz w:val="24"/>
          <w:szCs w:val="24"/>
        </w:rPr>
        <w:t xml:space="preserve"> y con una similar configuración de actores</w:t>
      </w:r>
      <w:r>
        <w:rPr>
          <w:bCs/>
          <w:sz w:val="24"/>
          <w:szCs w:val="24"/>
        </w:rPr>
        <w:t>.</w:t>
      </w:r>
    </w:p>
    <w:p w:rsidR="006B6A53" w:rsidRPr="0020418A" w:rsidRDefault="006B6A53" w:rsidP="00901D1C">
      <w:pPr>
        <w:spacing w:line="360" w:lineRule="auto"/>
        <w:jc w:val="both"/>
        <w:rPr>
          <w:sz w:val="24"/>
          <w:szCs w:val="24"/>
        </w:rPr>
      </w:pPr>
      <w:r>
        <w:rPr>
          <w:rFonts w:cs="Arial"/>
          <w:sz w:val="24"/>
          <w:szCs w:val="24"/>
        </w:rPr>
        <w:t xml:space="preserve">En todo caso, la lógica analítica de separar dimensiones no puede hacernos perder de vista el conjunto de factores que inciden en un problema complejo como éste. </w:t>
      </w:r>
      <w:r w:rsidRPr="00670927">
        <w:rPr>
          <w:rFonts w:cs="Arial"/>
          <w:sz w:val="24"/>
          <w:szCs w:val="24"/>
        </w:rPr>
        <w:t xml:space="preserve">De esta forma, a la pregunta </w:t>
      </w:r>
      <w:r>
        <w:rPr>
          <w:rFonts w:cs="Arial"/>
          <w:sz w:val="24"/>
          <w:szCs w:val="24"/>
        </w:rPr>
        <w:t xml:space="preserve">de por qué son diferentes las políticas climáticas regionales en un contexto como el europeo cuyas regiones están sometidas a un mismo proceso de armonización supranacional, habríamos de responder invocando las tres dimensiones descritas: el marco territorial e institucional estatal, el proceso político doméstico y la estructura de gobernanza regional. </w:t>
      </w:r>
    </w:p>
    <w:p w:rsidR="006B6A53" w:rsidRPr="007C4C0E" w:rsidRDefault="007C4C0E" w:rsidP="006B6A53">
      <w:pPr>
        <w:spacing w:after="0" w:line="360" w:lineRule="auto"/>
        <w:jc w:val="both"/>
        <w:rPr>
          <w:rFonts w:asciiTheme="minorHAnsi" w:hAnsiTheme="minorHAnsi" w:cs="Arial"/>
          <w:b/>
          <w:sz w:val="32"/>
          <w:szCs w:val="32"/>
        </w:rPr>
      </w:pPr>
      <w:r w:rsidRPr="007C4C0E">
        <w:rPr>
          <w:rFonts w:asciiTheme="minorHAnsi" w:hAnsiTheme="minorHAnsi" w:cs="Arial"/>
          <w:b/>
          <w:sz w:val="32"/>
          <w:szCs w:val="32"/>
        </w:rPr>
        <w:lastRenderedPageBreak/>
        <w:t>Referencias</w:t>
      </w:r>
    </w:p>
    <w:p w:rsidR="007C4C0E" w:rsidRPr="00FB7179" w:rsidRDefault="007C4C0E" w:rsidP="006B6A53">
      <w:pPr>
        <w:spacing w:after="0" w:line="360" w:lineRule="auto"/>
        <w:jc w:val="both"/>
        <w:rPr>
          <w:rFonts w:asciiTheme="minorHAnsi" w:hAnsiTheme="minorHAnsi" w:cs="Arial"/>
          <w:sz w:val="24"/>
        </w:rPr>
      </w:pPr>
    </w:p>
    <w:p w:rsidR="006C69C5" w:rsidRDefault="006C69C5" w:rsidP="006C69C5">
      <w:pPr>
        <w:rPr>
          <w:rFonts w:ascii="Arial" w:hAnsi="Arial" w:cs="Arial"/>
          <w:sz w:val="20"/>
          <w:szCs w:val="20"/>
          <w:lang w:val="es-MX"/>
        </w:rPr>
      </w:pPr>
      <w:r w:rsidRPr="006235A0">
        <w:rPr>
          <w:rFonts w:ascii="Arial" w:hAnsi="Arial" w:cs="Arial"/>
          <w:sz w:val="20"/>
          <w:szCs w:val="20"/>
          <w:lang w:val="es-MX"/>
        </w:rPr>
        <w:t>AGUILERA DE PRAT, C</w:t>
      </w:r>
      <w:r>
        <w:rPr>
          <w:rFonts w:ascii="Arial" w:hAnsi="Arial" w:cs="Arial"/>
          <w:sz w:val="20"/>
          <w:szCs w:val="20"/>
          <w:lang w:val="es-MX"/>
        </w:rPr>
        <w:t>esáreo</w:t>
      </w:r>
      <w:r w:rsidRPr="006235A0">
        <w:rPr>
          <w:rFonts w:ascii="Arial" w:hAnsi="Arial" w:cs="Arial"/>
          <w:sz w:val="20"/>
          <w:szCs w:val="20"/>
          <w:lang w:val="es-MX"/>
        </w:rPr>
        <w:t xml:space="preserve"> R. y MARTÍNEZ, R</w:t>
      </w:r>
      <w:r>
        <w:rPr>
          <w:rFonts w:ascii="Arial" w:hAnsi="Arial" w:cs="Arial"/>
          <w:sz w:val="20"/>
          <w:szCs w:val="20"/>
          <w:lang w:val="es-MX"/>
        </w:rPr>
        <w:t xml:space="preserve">afael, </w:t>
      </w:r>
      <w:r w:rsidRPr="006235A0">
        <w:rPr>
          <w:rFonts w:ascii="Arial" w:hAnsi="Arial" w:cs="Arial"/>
          <w:sz w:val="20"/>
          <w:szCs w:val="20"/>
          <w:lang w:val="es-MX"/>
        </w:rPr>
        <w:t>2000</w:t>
      </w:r>
      <w:r>
        <w:rPr>
          <w:rFonts w:ascii="Arial" w:hAnsi="Arial" w:cs="Arial"/>
          <w:sz w:val="20"/>
          <w:szCs w:val="20"/>
          <w:lang w:val="es-MX"/>
        </w:rPr>
        <w:t>.</w:t>
      </w:r>
      <w:r w:rsidRPr="006235A0">
        <w:rPr>
          <w:rFonts w:ascii="Arial" w:hAnsi="Arial" w:cs="Arial"/>
          <w:sz w:val="20"/>
          <w:szCs w:val="20"/>
          <w:lang w:val="es-MX"/>
        </w:rPr>
        <w:t xml:space="preserve"> </w:t>
      </w:r>
      <w:r w:rsidRPr="006235A0">
        <w:rPr>
          <w:rFonts w:ascii="Arial" w:hAnsi="Arial" w:cs="Arial"/>
          <w:i/>
          <w:iCs/>
          <w:sz w:val="20"/>
          <w:szCs w:val="20"/>
          <w:lang w:val="es-MX"/>
        </w:rPr>
        <w:t>Sistemas de gobierno, partidos y territorio</w:t>
      </w:r>
      <w:r>
        <w:rPr>
          <w:rFonts w:ascii="Arial" w:hAnsi="Arial" w:cs="Arial"/>
          <w:sz w:val="20"/>
          <w:szCs w:val="20"/>
          <w:lang w:val="es-MX"/>
        </w:rPr>
        <w:t>. Madrid,</w:t>
      </w:r>
      <w:r w:rsidRPr="006235A0">
        <w:rPr>
          <w:rFonts w:ascii="Arial" w:hAnsi="Arial" w:cs="Arial"/>
          <w:sz w:val="20"/>
          <w:szCs w:val="20"/>
          <w:lang w:val="es-MX"/>
        </w:rPr>
        <w:t xml:space="preserve"> Tecnos</w:t>
      </w:r>
      <w:r>
        <w:rPr>
          <w:rFonts w:ascii="Arial" w:hAnsi="Arial" w:cs="Arial"/>
          <w:sz w:val="20"/>
          <w:szCs w:val="20"/>
          <w:lang w:val="es-MX"/>
        </w:rPr>
        <w:t>.</w:t>
      </w:r>
    </w:p>
    <w:p w:rsidR="006C69C5" w:rsidRPr="009022E6" w:rsidRDefault="006C69C5" w:rsidP="006C69C5">
      <w:pPr>
        <w:shd w:val="clear" w:color="auto" w:fill="FFFFFF"/>
        <w:jc w:val="both"/>
        <w:rPr>
          <w:rFonts w:asciiTheme="minorHAnsi" w:hAnsiTheme="minorHAnsi" w:cs="Arial"/>
          <w:sz w:val="24"/>
          <w:szCs w:val="24"/>
        </w:rPr>
      </w:pPr>
      <w:r w:rsidRPr="009022E6">
        <w:rPr>
          <w:rFonts w:asciiTheme="minorHAnsi" w:hAnsiTheme="minorHAnsi" w:cs="Arial"/>
          <w:sz w:val="24"/>
          <w:szCs w:val="24"/>
        </w:rPr>
        <w:t>ALDA Mercedes y RAMOS, Juan A. 2004. El marco de las relaciones intergubernamentales de la política de medio ambiente en el Estado autonómico, Gestión y Análisis de Políticas Públicas, 28/29, pp. 87-104.</w:t>
      </w:r>
    </w:p>
    <w:p w:rsidR="006C69C5" w:rsidRPr="009022E6" w:rsidRDefault="006C69C5" w:rsidP="006C69C5">
      <w:pPr>
        <w:shd w:val="clear" w:color="auto" w:fill="FFFFFF"/>
        <w:jc w:val="both"/>
        <w:rPr>
          <w:rFonts w:asciiTheme="minorHAnsi" w:hAnsiTheme="minorHAnsi" w:cs="Arial"/>
          <w:sz w:val="24"/>
          <w:szCs w:val="24"/>
        </w:rPr>
      </w:pPr>
      <w:r w:rsidRPr="009022E6">
        <w:rPr>
          <w:rFonts w:asciiTheme="minorHAnsi" w:hAnsiTheme="minorHAnsi" w:cs="Arial"/>
          <w:sz w:val="24"/>
          <w:szCs w:val="24"/>
        </w:rPr>
        <w:t xml:space="preserve">ALDA Mercedes y RAMOS, Juan A. (2006). "Relaciones Intergubernamentales y Políticas Públicas: El Caso De La Política De Medio Ambiente." en Lourdes López Nieto (ed.) </w:t>
      </w:r>
      <w:r w:rsidRPr="009022E6">
        <w:rPr>
          <w:rFonts w:asciiTheme="minorHAnsi" w:hAnsiTheme="minorHAnsi" w:cs="Arial"/>
          <w:i/>
          <w:sz w:val="24"/>
          <w:szCs w:val="24"/>
        </w:rPr>
        <w:t>Relaciones intergubernamentales en la España democrática: interdependencia, autonomía, conflicto y cooperación</w:t>
      </w:r>
      <w:r w:rsidRPr="009022E6">
        <w:rPr>
          <w:rFonts w:asciiTheme="minorHAnsi" w:hAnsiTheme="minorHAnsi" w:cs="Arial"/>
          <w:sz w:val="24"/>
          <w:szCs w:val="24"/>
        </w:rPr>
        <w:t>. Madrid, Dykinson, pp. 241-60.</w:t>
      </w:r>
    </w:p>
    <w:p w:rsidR="006C69C5" w:rsidRPr="006C69C5" w:rsidRDefault="006C69C5" w:rsidP="006C69C5">
      <w:pPr>
        <w:jc w:val="both"/>
        <w:rPr>
          <w:rFonts w:asciiTheme="minorHAnsi" w:hAnsiTheme="minorHAnsi"/>
          <w:sz w:val="24"/>
          <w:szCs w:val="24"/>
        </w:rPr>
      </w:pPr>
      <w:r w:rsidRPr="009022E6">
        <w:rPr>
          <w:rFonts w:asciiTheme="minorHAnsi" w:hAnsiTheme="minorHAnsi"/>
          <w:sz w:val="24"/>
          <w:szCs w:val="24"/>
        </w:rPr>
        <w:t xml:space="preserve">ALENZA GARCÍA, José F. 2001. </w:t>
      </w:r>
      <w:r w:rsidRPr="009022E6">
        <w:rPr>
          <w:rFonts w:asciiTheme="minorHAnsi" w:hAnsiTheme="minorHAnsi"/>
          <w:i/>
          <w:sz w:val="24"/>
          <w:szCs w:val="24"/>
        </w:rPr>
        <w:t>Manual de Derecho Ambiental</w:t>
      </w:r>
      <w:r w:rsidRPr="009022E6">
        <w:rPr>
          <w:rFonts w:asciiTheme="minorHAnsi" w:hAnsiTheme="minorHAnsi"/>
          <w:sz w:val="24"/>
          <w:szCs w:val="24"/>
        </w:rPr>
        <w:t xml:space="preserve">. </w:t>
      </w:r>
      <w:r w:rsidRPr="006C69C5">
        <w:rPr>
          <w:rFonts w:asciiTheme="minorHAnsi" w:hAnsiTheme="minorHAnsi"/>
          <w:sz w:val="24"/>
          <w:szCs w:val="24"/>
        </w:rPr>
        <w:t>Pamplona, UPNA.</w:t>
      </w:r>
    </w:p>
    <w:p w:rsidR="006C69C5" w:rsidRPr="009022E6" w:rsidRDefault="006C69C5" w:rsidP="006C69C5">
      <w:pPr>
        <w:autoSpaceDE w:val="0"/>
        <w:autoSpaceDN w:val="0"/>
        <w:adjustRightInd w:val="0"/>
        <w:jc w:val="both"/>
        <w:rPr>
          <w:rFonts w:asciiTheme="minorHAnsi" w:hAnsiTheme="minorHAnsi" w:cs="Arial"/>
          <w:sz w:val="24"/>
          <w:szCs w:val="24"/>
        </w:rPr>
      </w:pPr>
      <w:r w:rsidRPr="009022E6">
        <w:rPr>
          <w:rFonts w:asciiTheme="minorHAnsi" w:hAnsiTheme="minorHAnsi" w:cs="Arial"/>
          <w:sz w:val="24"/>
          <w:szCs w:val="24"/>
        </w:rPr>
        <w:t xml:space="preserve">COLINO, César. 2002. “Diseño institucional y eficacia de las políticas. El federalismo y la política medioambiental”, en Mireia Grau y Araceli Mateos (eds.), </w:t>
      </w:r>
      <w:r w:rsidRPr="009022E6">
        <w:rPr>
          <w:rFonts w:asciiTheme="minorHAnsi" w:hAnsiTheme="minorHAnsi" w:cs="Arial"/>
          <w:i/>
          <w:sz w:val="24"/>
          <w:szCs w:val="24"/>
        </w:rPr>
        <w:t>Análisis de políticas públicas en España: enfoques y casos</w:t>
      </w:r>
      <w:r w:rsidRPr="009022E6">
        <w:rPr>
          <w:rFonts w:asciiTheme="minorHAnsi" w:hAnsiTheme="minorHAnsi" w:cs="Arial"/>
          <w:sz w:val="24"/>
          <w:szCs w:val="24"/>
        </w:rPr>
        <w:t>, Valencia, Tirant lo Blanch, pp. 305-333.</w:t>
      </w:r>
    </w:p>
    <w:p w:rsidR="006C69C5" w:rsidRPr="006C69C5" w:rsidRDefault="006C69C5" w:rsidP="006C69C5">
      <w:pPr>
        <w:spacing w:line="360" w:lineRule="auto"/>
        <w:jc w:val="both"/>
        <w:rPr>
          <w:rFonts w:asciiTheme="minorHAnsi" w:hAnsiTheme="minorHAnsi" w:cs="Arial"/>
          <w:sz w:val="24"/>
          <w:szCs w:val="24"/>
        </w:rPr>
      </w:pPr>
      <w:r w:rsidRPr="009022E6">
        <w:rPr>
          <w:rFonts w:asciiTheme="minorHAnsi" w:hAnsiTheme="minorHAnsi"/>
          <w:iCs/>
          <w:sz w:val="24"/>
          <w:szCs w:val="24"/>
        </w:rPr>
        <w:t xml:space="preserve">CHAQUES, Laura, 2005. </w:t>
      </w:r>
      <w:r w:rsidRPr="009022E6">
        <w:rPr>
          <w:rFonts w:asciiTheme="minorHAnsi" w:hAnsiTheme="minorHAnsi" w:cs="Arial"/>
          <w:i/>
          <w:sz w:val="24"/>
          <w:szCs w:val="24"/>
        </w:rPr>
        <w:t>Redes de políticas públicas</w:t>
      </w:r>
      <w:r w:rsidRPr="009022E6">
        <w:rPr>
          <w:rFonts w:asciiTheme="minorHAnsi" w:hAnsiTheme="minorHAnsi" w:cs="Arial"/>
          <w:sz w:val="24"/>
          <w:szCs w:val="24"/>
        </w:rPr>
        <w:t xml:space="preserve">. </w:t>
      </w:r>
      <w:r w:rsidRPr="006C69C5">
        <w:rPr>
          <w:rFonts w:asciiTheme="minorHAnsi" w:hAnsiTheme="minorHAnsi" w:cs="Arial"/>
          <w:sz w:val="24"/>
          <w:szCs w:val="24"/>
        </w:rPr>
        <w:t>Madrid, CIS.</w:t>
      </w:r>
    </w:p>
    <w:p w:rsidR="006C69C5" w:rsidRPr="009022E6" w:rsidRDefault="006C69C5" w:rsidP="006C69C5">
      <w:pPr>
        <w:jc w:val="both"/>
        <w:rPr>
          <w:rFonts w:asciiTheme="minorHAnsi" w:hAnsiTheme="minorHAnsi"/>
          <w:iCs/>
          <w:sz w:val="24"/>
          <w:szCs w:val="24"/>
        </w:rPr>
      </w:pPr>
      <w:r w:rsidRPr="00847C2F">
        <w:rPr>
          <w:rFonts w:asciiTheme="minorHAnsi" w:hAnsiTheme="minorHAnsi"/>
          <w:iCs/>
          <w:sz w:val="24"/>
          <w:szCs w:val="24"/>
        </w:rPr>
        <w:t xml:space="preserve">DE LA PEÑA, Alberto, 2013. </w:t>
      </w:r>
      <w:r w:rsidRPr="009022E6">
        <w:rPr>
          <w:rFonts w:asciiTheme="minorHAnsi" w:hAnsiTheme="minorHAnsi"/>
          <w:iCs/>
          <w:sz w:val="24"/>
          <w:szCs w:val="24"/>
        </w:rPr>
        <w:t xml:space="preserve">“Claves explicativas y desarrollo de las políticas de sostenibilidad en la Comunidad Autónoma del País Vasco”, </w:t>
      </w:r>
      <w:r w:rsidRPr="009022E6">
        <w:rPr>
          <w:rFonts w:asciiTheme="minorHAnsi" w:hAnsiTheme="minorHAnsi"/>
          <w:i/>
          <w:iCs/>
          <w:sz w:val="24"/>
          <w:szCs w:val="24"/>
        </w:rPr>
        <w:t>Revista Española de Ciencia Política</w:t>
      </w:r>
      <w:r w:rsidRPr="009022E6">
        <w:rPr>
          <w:rFonts w:asciiTheme="minorHAnsi" w:hAnsiTheme="minorHAnsi"/>
          <w:iCs/>
          <w:sz w:val="24"/>
          <w:szCs w:val="24"/>
        </w:rPr>
        <w:t>, 32.</w:t>
      </w:r>
    </w:p>
    <w:p w:rsidR="006C69C5" w:rsidRPr="00767498" w:rsidRDefault="006C69C5" w:rsidP="006C69C5">
      <w:pPr>
        <w:spacing w:line="240" w:lineRule="auto"/>
        <w:jc w:val="both"/>
        <w:rPr>
          <w:rFonts w:cs="Arial"/>
          <w:iCs/>
          <w:sz w:val="24"/>
          <w:szCs w:val="24"/>
        </w:rPr>
      </w:pPr>
      <w:r>
        <w:rPr>
          <w:sz w:val="24"/>
          <w:szCs w:val="24"/>
        </w:rPr>
        <w:t>DE L</w:t>
      </w:r>
      <w:r w:rsidRPr="003A7773">
        <w:rPr>
          <w:sz w:val="24"/>
          <w:szCs w:val="24"/>
        </w:rPr>
        <w:t>A PEÑA, Alberto</w:t>
      </w:r>
      <w:r>
        <w:rPr>
          <w:sz w:val="24"/>
          <w:szCs w:val="24"/>
        </w:rPr>
        <w:t xml:space="preserve">, 2012. </w:t>
      </w:r>
      <w:r w:rsidRPr="000A63E8">
        <w:rPr>
          <w:rFonts w:cs="Arial"/>
          <w:iCs/>
          <w:sz w:val="24"/>
          <w:szCs w:val="24"/>
        </w:rPr>
        <w:t>Estructuras y procesos de gobernanza en la política medio ambiental: red de actores en la Co</w:t>
      </w:r>
      <w:r>
        <w:rPr>
          <w:rFonts w:cs="Arial"/>
          <w:iCs/>
          <w:sz w:val="24"/>
          <w:szCs w:val="24"/>
        </w:rPr>
        <w:t>munidad Autónoma del País Vasco,</w:t>
      </w:r>
      <w:r w:rsidRPr="000A63E8">
        <w:rPr>
          <w:rFonts w:cs="Arial"/>
          <w:iCs/>
          <w:sz w:val="24"/>
          <w:szCs w:val="24"/>
        </w:rPr>
        <w:t xml:space="preserve"> </w:t>
      </w:r>
      <w:r w:rsidRPr="00767498">
        <w:rPr>
          <w:rFonts w:cs="Arial"/>
          <w:i/>
          <w:iCs/>
          <w:sz w:val="24"/>
          <w:szCs w:val="24"/>
        </w:rPr>
        <w:t>Gestión y</w:t>
      </w:r>
      <w:r>
        <w:rPr>
          <w:rFonts w:cs="Arial"/>
          <w:i/>
          <w:iCs/>
          <w:sz w:val="24"/>
          <w:szCs w:val="24"/>
        </w:rPr>
        <w:t xml:space="preserve"> Análisis de Políticas Públicas. Nueva época</w:t>
      </w:r>
      <w:r w:rsidRPr="00767498">
        <w:rPr>
          <w:rFonts w:cs="Arial"/>
          <w:i/>
          <w:iCs/>
          <w:sz w:val="24"/>
          <w:szCs w:val="24"/>
        </w:rPr>
        <w:t xml:space="preserve"> </w:t>
      </w:r>
      <w:r>
        <w:rPr>
          <w:rFonts w:cs="Arial"/>
          <w:iCs/>
          <w:sz w:val="24"/>
          <w:szCs w:val="24"/>
        </w:rPr>
        <w:t>7:</w:t>
      </w:r>
      <w:r w:rsidRPr="00767498">
        <w:rPr>
          <w:rFonts w:cs="Arial"/>
          <w:iCs/>
          <w:sz w:val="24"/>
          <w:szCs w:val="24"/>
        </w:rPr>
        <w:t xml:space="preserve"> 125-147.</w:t>
      </w:r>
    </w:p>
    <w:p w:rsidR="006C69C5" w:rsidRPr="006C69C5" w:rsidRDefault="006C69C5" w:rsidP="006C69C5">
      <w:pPr>
        <w:pStyle w:val="NormalWeb"/>
        <w:jc w:val="both"/>
        <w:rPr>
          <w:rFonts w:asciiTheme="minorHAnsi" w:hAnsiTheme="minorHAnsi" w:cstheme="minorHAnsi"/>
          <w:lang w:val="en-US"/>
        </w:rPr>
      </w:pPr>
      <w:r w:rsidRPr="00847C2F">
        <w:rPr>
          <w:rFonts w:asciiTheme="minorHAnsi" w:hAnsiTheme="minorHAnsi" w:cstheme="minorHAnsi"/>
        </w:rPr>
        <w:t xml:space="preserve">DUMONT, Hughes; LAGASSE, Nicolas; VAN DER HULST, Marc y VAN DROOGHENBROECK, Sèbastien. </w:t>
      </w:r>
      <w:r w:rsidRPr="006C69C5">
        <w:rPr>
          <w:rFonts w:asciiTheme="minorHAnsi" w:hAnsiTheme="minorHAnsi" w:cstheme="minorHAnsi"/>
          <w:lang w:val="en-US"/>
        </w:rPr>
        <w:t xml:space="preserve">2006. “Kingdom of Belgium” en Akhtar Majeed, Ronald L. Watts y Douglas M. Brown (eds.) </w:t>
      </w:r>
      <w:r w:rsidRPr="006C69C5">
        <w:rPr>
          <w:rFonts w:asciiTheme="minorHAnsi" w:hAnsiTheme="minorHAnsi" w:cstheme="minorHAnsi"/>
          <w:i/>
          <w:lang w:val="en-US"/>
        </w:rPr>
        <w:t>Distribution of powers and responsibilities in federal countries</w:t>
      </w:r>
      <w:r w:rsidRPr="006C69C5">
        <w:rPr>
          <w:rFonts w:asciiTheme="minorHAnsi" w:hAnsiTheme="minorHAnsi" w:cstheme="minorHAnsi"/>
          <w:lang w:val="en-US"/>
        </w:rPr>
        <w:t>. McGill-Queen´s University Press.</w:t>
      </w:r>
    </w:p>
    <w:p w:rsidR="006C69C5" w:rsidRPr="009022E6" w:rsidRDefault="006C69C5" w:rsidP="006C69C5">
      <w:pPr>
        <w:jc w:val="both"/>
        <w:rPr>
          <w:rFonts w:asciiTheme="minorHAnsi" w:hAnsiTheme="minorHAnsi"/>
          <w:sz w:val="24"/>
          <w:szCs w:val="24"/>
        </w:rPr>
      </w:pPr>
      <w:r w:rsidRPr="009022E6">
        <w:rPr>
          <w:rFonts w:asciiTheme="minorHAnsi" w:hAnsiTheme="minorHAnsi" w:cs="Arial"/>
          <w:sz w:val="24"/>
          <w:szCs w:val="24"/>
        </w:rPr>
        <w:t xml:space="preserve">FONT, Nuria. 1999. “Quién es quién en la política ambiental” en </w:t>
      </w:r>
      <w:r w:rsidRPr="009022E6">
        <w:rPr>
          <w:rFonts w:asciiTheme="minorHAnsi" w:hAnsiTheme="minorHAnsi"/>
          <w:sz w:val="24"/>
          <w:szCs w:val="24"/>
        </w:rPr>
        <w:t xml:space="preserve">VVAA (eds.) </w:t>
      </w:r>
      <w:r w:rsidRPr="009022E6">
        <w:rPr>
          <w:rFonts w:asciiTheme="minorHAnsi" w:hAnsiTheme="minorHAnsi"/>
          <w:i/>
          <w:sz w:val="24"/>
          <w:szCs w:val="24"/>
        </w:rPr>
        <w:t>Política Ambiental en España. Subsidiariedad y Desarrollo Sostenible</w:t>
      </w:r>
      <w:r w:rsidRPr="009022E6">
        <w:rPr>
          <w:rFonts w:asciiTheme="minorHAnsi" w:hAnsiTheme="minorHAnsi"/>
          <w:sz w:val="24"/>
          <w:szCs w:val="24"/>
        </w:rPr>
        <w:t>. Valencia, Tirant lo Blanch, pp. 51-81.</w:t>
      </w:r>
    </w:p>
    <w:p w:rsidR="006C69C5" w:rsidRPr="009022E6" w:rsidRDefault="006C69C5" w:rsidP="006C69C5">
      <w:pPr>
        <w:pStyle w:val="NormalWeb"/>
        <w:jc w:val="both"/>
        <w:rPr>
          <w:rFonts w:asciiTheme="minorHAnsi" w:hAnsiTheme="minorHAnsi" w:cstheme="minorHAnsi"/>
        </w:rPr>
      </w:pPr>
      <w:r w:rsidRPr="006C69C5">
        <w:rPr>
          <w:rFonts w:asciiTheme="minorHAnsi" w:hAnsiTheme="minorHAnsi" w:cstheme="minorHAnsi"/>
          <w:lang w:val="en-US"/>
        </w:rPr>
        <w:t xml:space="preserve">GALLAGHER, Michael; LAVER, Michael y MAIR, Peter, 2006. </w:t>
      </w:r>
      <w:r w:rsidRPr="006C69C5">
        <w:rPr>
          <w:rFonts w:asciiTheme="minorHAnsi" w:hAnsiTheme="minorHAnsi" w:cstheme="minorHAnsi"/>
          <w:i/>
          <w:lang w:val="en-US"/>
        </w:rPr>
        <w:t>Representative government in modern Europe</w:t>
      </w:r>
      <w:r w:rsidRPr="006C69C5">
        <w:rPr>
          <w:rFonts w:asciiTheme="minorHAnsi" w:hAnsiTheme="minorHAnsi" w:cstheme="minorHAnsi"/>
          <w:lang w:val="en-US"/>
        </w:rPr>
        <w:t xml:space="preserve">. </w:t>
      </w:r>
      <w:r w:rsidRPr="009022E6">
        <w:rPr>
          <w:rFonts w:asciiTheme="minorHAnsi" w:hAnsiTheme="minorHAnsi" w:cstheme="minorHAnsi"/>
        </w:rPr>
        <w:t>4</w:t>
      </w:r>
      <w:r w:rsidRPr="009022E6">
        <w:rPr>
          <w:rFonts w:asciiTheme="minorHAnsi" w:hAnsiTheme="minorHAnsi" w:cstheme="minorHAnsi"/>
          <w:vertAlign w:val="superscript"/>
        </w:rPr>
        <w:t>th</w:t>
      </w:r>
      <w:r w:rsidRPr="009022E6">
        <w:rPr>
          <w:rFonts w:asciiTheme="minorHAnsi" w:hAnsiTheme="minorHAnsi" w:cstheme="minorHAnsi"/>
        </w:rPr>
        <w:t xml:space="preserve"> edition. Singapore, McGraw Hill.</w:t>
      </w:r>
    </w:p>
    <w:p w:rsidR="006C69C5" w:rsidRPr="006C69C5" w:rsidRDefault="006C69C5" w:rsidP="006C69C5">
      <w:pPr>
        <w:shd w:val="clear" w:color="auto" w:fill="FFFFFF"/>
        <w:tabs>
          <w:tab w:val="left" w:pos="0"/>
        </w:tabs>
        <w:autoSpaceDE w:val="0"/>
        <w:autoSpaceDN w:val="0"/>
        <w:adjustRightInd w:val="0"/>
        <w:jc w:val="both"/>
        <w:rPr>
          <w:rFonts w:asciiTheme="minorHAnsi" w:hAnsiTheme="minorHAnsi" w:cs="Arial"/>
          <w:sz w:val="24"/>
          <w:szCs w:val="24"/>
        </w:rPr>
      </w:pPr>
      <w:r w:rsidRPr="009022E6">
        <w:rPr>
          <w:rFonts w:asciiTheme="minorHAnsi" w:hAnsiTheme="minorHAnsi" w:cs="Arial"/>
          <w:sz w:val="24"/>
          <w:szCs w:val="24"/>
        </w:rPr>
        <w:t xml:space="preserve">GONZÁLEZ GÓMEZ, Alfredo. 2006. "La cooperación multilateral institucionalizada: las conferencias sectoriales" en Lourdes López Nieto (ed.) </w:t>
      </w:r>
      <w:r w:rsidRPr="009022E6">
        <w:rPr>
          <w:rFonts w:asciiTheme="minorHAnsi" w:hAnsiTheme="minorHAnsi" w:cs="Arial"/>
          <w:i/>
          <w:sz w:val="24"/>
          <w:szCs w:val="24"/>
        </w:rPr>
        <w:t xml:space="preserve">Relaciones </w:t>
      </w:r>
      <w:r w:rsidRPr="009022E6">
        <w:rPr>
          <w:rFonts w:asciiTheme="minorHAnsi" w:hAnsiTheme="minorHAnsi" w:cs="Arial"/>
          <w:i/>
          <w:sz w:val="24"/>
          <w:szCs w:val="24"/>
        </w:rPr>
        <w:lastRenderedPageBreak/>
        <w:t>intergubernamentales en la España democrática: interdependencia, autonomía, conflicto y cooperación</w:t>
      </w:r>
      <w:r w:rsidRPr="009022E6">
        <w:rPr>
          <w:rFonts w:asciiTheme="minorHAnsi" w:hAnsiTheme="minorHAnsi" w:cs="Arial"/>
          <w:sz w:val="24"/>
          <w:szCs w:val="24"/>
        </w:rPr>
        <w:t xml:space="preserve">. </w:t>
      </w:r>
      <w:r w:rsidRPr="006C69C5">
        <w:rPr>
          <w:rFonts w:asciiTheme="minorHAnsi" w:hAnsiTheme="minorHAnsi" w:cs="Arial"/>
          <w:sz w:val="24"/>
          <w:szCs w:val="24"/>
        </w:rPr>
        <w:t>Madrid, Dykinson, pp. 241-60.</w:t>
      </w:r>
    </w:p>
    <w:p w:rsidR="006C69C5" w:rsidRPr="009022E6" w:rsidRDefault="006C69C5" w:rsidP="006C69C5">
      <w:pPr>
        <w:pStyle w:val="NormalWeb"/>
        <w:contextualSpacing/>
        <w:jc w:val="both"/>
        <w:rPr>
          <w:rFonts w:asciiTheme="minorHAnsi" w:hAnsiTheme="minorHAnsi" w:cstheme="minorHAnsi"/>
        </w:rPr>
      </w:pPr>
      <w:r w:rsidRPr="009022E6">
        <w:rPr>
          <w:rFonts w:asciiTheme="minorHAnsi" w:hAnsiTheme="minorHAnsi" w:cstheme="minorHAnsi"/>
        </w:rPr>
        <w:t xml:space="preserve">GOVERN DE CATALUNYA, 2008. </w:t>
      </w:r>
      <w:r w:rsidRPr="009022E6">
        <w:rPr>
          <w:rFonts w:asciiTheme="minorHAnsi" w:hAnsiTheme="minorHAnsi" w:cstheme="minorHAnsi"/>
          <w:i/>
          <w:iCs/>
        </w:rPr>
        <w:t xml:space="preserve">Plan marco de mitigación del cambio climático en Catalunya 2008-2012. </w:t>
      </w:r>
      <w:r w:rsidRPr="009022E6">
        <w:rPr>
          <w:rFonts w:asciiTheme="minorHAnsi" w:hAnsiTheme="minorHAnsi" w:cstheme="minorHAnsi"/>
        </w:rPr>
        <w:t xml:space="preserve">Barcelona: Generalitat de Catalunya. Departament de Medi Ambient i Habitatge. </w:t>
      </w:r>
      <w:hyperlink r:id="rId13" w:history="1">
        <w:r w:rsidRPr="009022E6">
          <w:rPr>
            <w:rStyle w:val="Hipervnculo"/>
            <w:rFonts w:asciiTheme="minorHAnsi" w:hAnsiTheme="minorHAnsi" w:cstheme="minorHAnsi"/>
          </w:rPr>
          <w:t>http://www20.gencat.cat/portal/site/canviclimatic</w:t>
        </w:r>
      </w:hyperlink>
      <w:r w:rsidRPr="009022E6">
        <w:rPr>
          <w:rFonts w:asciiTheme="minorHAnsi" w:hAnsiTheme="minorHAnsi" w:cstheme="minorHAnsi"/>
        </w:rPr>
        <w:t xml:space="preserve"> Consultado el 20 de junio de 2012</w:t>
      </w:r>
    </w:p>
    <w:p w:rsidR="006C69C5" w:rsidRPr="009022E6" w:rsidRDefault="006C69C5" w:rsidP="006C69C5">
      <w:pPr>
        <w:pStyle w:val="NormalWeb"/>
        <w:contextualSpacing/>
        <w:jc w:val="both"/>
        <w:rPr>
          <w:rFonts w:asciiTheme="minorHAnsi" w:hAnsiTheme="minorHAnsi" w:cstheme="minorHAnsi"/>
        </w:rPr>
      </w:pPr>
    </w:p>
    <w:p w:rsidR="006C69C5" w:rsidRPr="009022E6" w:rsidRDefault="006C69C5" w:rsidP="006C69C5">
      <w:pPr>
        <w:pStyle w:val="NormalWeb"/>
        <w:contextualSpacing/>
        <w:rPr>
          <w:rFonts w:asciiTheme="minorHAnsi" w:hAnsiTheme="minorHAnsi" w:cstheme="minorHAnsi"/>
        </w:rPr>
      </w:pPr>
      <w:r w:rsidRPr="009022E6">
        <w:rPr>
          <w:rFonts w:asciiTheme="minorHAnsi" w:hAnsiTheme="minorHAnsi" w:cstheme="minorHAnsi"/>
        </w:rPr>
        <w:t xml:space="preserve">GOVERN DE CATALUNYA, 2012. </w:t>
      </w:r>
      <w:r w:rsidRPr="009022E6">
        <w:rPr>
          <w:rFonts w:asciiTheme="minorHAnsi" w:hAnsiTheme="minorHAnsi" w:cstheme="minorHAnsi"/>
          <w:i/>
          <w:iCs/>
        </w:rPr>
        <w:t>Pla de Govern 2011-2014. Balanç primer any de legislatura. Valoracions per àmbit i actuacions representatives. On line</w:t>
      </w:r>
      <w:r w:rsidRPr="009022E6">
        <w:rPr>
          <w:rFonts w:asciiTheme="minorHAnsi" w:hAnsiTheme="minorHAnsi" w:cstheme="minorHAnsi"/>
        </w:rPr>
        <w:t xml:space="preserve"> http://premsa.gencat.cat/pres_fsvp/docs/2012/01/03/19/36/32881b19-a8a1-456f-9fc0-215cdfdc4ae8.pdf Consultado el 20 de junio de 2012</w:t>
      </w:r>
    </w:p>
    <w:p w:rsidR="006C69C5" w:rsidRPr="009022E6" w:rsidRDefault="006C69C5" w:rsidP="006C69C5">
      <w:pPr>
        <w:spacing w:line="240" w:lineRule="auto"/>
        <w:jc w:val="both"/>
        <w:rPr>
          <w:rFonts w:asciiTheme="minorHAnsi" w:hAnsiTheme="minorHAnsi" w:cs="Arial"/>
          <w:sz w:val="24"/>
          <w:szCs w:val="24"/>
        </w:rPr>
      </w:pPr>
      <w:r w:rsidRPr="009022E6">
        <w:rPr>
          <w:rFonts w:asciiTheme="minorHAnsi" w:hAnsiTheme="minorHAnsi" w:cs="Arial"/>
          <w:sz w:val="24"/>
          <w:szCs w:val="24"/>
          <w:lang w:val="en-GB"/>
        </w:rPr>
        <w:t xml:space="preserve">HOOGHE, Liesbet, SCHAKEL, Arjan H. and MARKS, Gary, 2008, Appendix B: Country and Regional Scores. </w:t>
      </w:r>
      <w:r w:rsidRPr="009022E6">
        <w:rPr>
          <w:rFonts w:asciiTheme="minorHAnsi" w:hAnsiTheme="minorHAnsi" w:cs="Arial"/>
          <w:i/>
          <w:sz w:val="24"/>
          <w:szCs w:val="24"/>
        </w:rPr>
        <w:t>Regional &amp; Federal Studies</w:t>
      </w:r>
      <w:r w:rsidRPr="009022E6">
        <w:rPr>
          <w:rFonts w:asciiTheme="minorHAnsi" w:hAnsiTheme="minorHAnsi" w:cs="Arial"/>
          <w:sz w:val="24"/>
          <w:szCs w:val="24"/>
        </w:rPr>
        <w:t>, 18 (2), pp. 259-274.</w:t>
      </w:r>
    </w:p>
    <w:p w:rsidR="006C69C5" w:rsidRPr="009022E6" w:rsidRDefault="006C69C5" w:rsidP="006C69C5">
      <w:pPr>
        <w:shd w:val="clear" w:color="auto" w:fill="FFFFFF"/>
        <w:tabs>
          <w:tab w:val="left" w:pos="0"/>
        </w:tabs>
        <w:autoSpaceDE w:val="0"/>
        <w:autoSpaceDN w:val="0"/>
        <w:adjustRightInd w:val="0"/>
        <w:spacing w:line="240" w:lineRule="auto"/>
        <w:jc w:val="both"/>
        <w:rPr>
          <w:rFonts w:asciiTheme="minorHAnsi" w:hAnsiTheme="minorHAnsi" w:cs="Arial"/>
          <w:sz w:val="24"/>
          <w:szCs w:val="24"/>
        </w:rPr>
      </w:pPr>
      <w:r w:rsidRPr="009022E6">
        <w:rPr>
          <w:rFonts w:asciiTheme="minorHAnsi" w:hAnsiTheme="minorHAnsi" w:cs="Arial"/>
          <w:sz w:val="24"/>
          <w:szCs w:val="24"/>
        </w:rPr>
        <w:t xml:space="preserve">INGLEHART, Ronald, 1991. </w:t>
      </w:r>
      <w:r w:rsidRPr="009022E6">
        <w:rPr>
          <w:rFonts w:asciiTheme="minorHAnsi" w:hAnsiTheme="minorHAnsi" w:cs="Arial"/>
          <w:i/>
          <w:sz w:val="24"/>
          <w:szCs w:val="24"/>
        </w:rPr>
        <w:t>El cambio cultural en las sociedades industriales avanzadas</w:t>
      </w:r>
      <w:r>
        <w:rPr>
          <w:rFonts w:asciiTheme="minorHAnsi" w:hAnsiTheme="minorHAnsi" w:cs="Arial"/>
          <w:sz w:val="24"/>
          <w:szCs w:val="24"/>
        </w:rPr>
        <w:t>. Madrid, CIS.</w:t>
      </w:r>
    </w:p>
    <w:p w:rsidR="006C69C5" w:rsidRDefault="006C69C5" w:rsidP="006C69C5">
      <w:pPr>
        <w:shd w:val="clear" w:color="auto" w:fill="FFFFFF"/>
        <w:tabs>
          <w:tab w:val="left" w:pos="0"/>
        </w:tabs>
        <w:autoSpaceDE w:val="0"/>
        <w:autoSpaceDN w:val="0"/>
        <w:adjustRightInd w:val="0"/>
        <w:spacing w:line="240" w:lineRule="auto"/>
        <w:jc w:val="both"/>
        <w:rPr>
          <w:rFonts w:asciiTheme="minorHAnsi" w:hAnsiTheme="minorHAnsi" w:cs="Arial"/>
          <w:sz w:val="24"/>
          <w:szCs w:val="24"/>
        </w:rPr>
      </w:pPr>
      <w:r w:rsidRPr="009022E6">
        <w:rPr>
          <w:rFonts w:asciiTheme="minorHAnsi" w:hAnsiTheme="minorHAnsi" w:cs="Arial"/>
          <w:sz w:val="24"/>
          <w:szCs w:val="24"/>
        </w:rPr>
        <w:t xml:space="preserve">INGLEHART, Ronald, 1998. </w:t>
      </w:r>
      <w:r w:rsidRPr="009022E6">
        <w:rPr>
          <w:rFonts w:asciiTheme="minorHAnsi" w:hAnsiTheme="minorHAnsi" w:cs="Arial"/>
          <w:i/>
          <w:sz w:val="24"/>
          <w:szCs w:val="24"/>
        </w:rPr>
        <w:t>Modernización y posmodernización. El cambio cultural, económico y político en 43 sociedades</w:t>
      </w:r>
      <w:r>
        <w:rPr>
          <w:rFonts w:asciiTheme="minorHAnsi" w:hAnsiTheme="minorHAnsi" w:cs="Arial"/>
          <w:sz w:val="24"/>
          <w:szCs w:val="24"/>
        </w:rPr>
        <w:t xml:space="preserve"> </w:t>
      </w:r>
      <w:r w:rsidRPr="009022E6">
        <w:rPr>
          <w:rFonts w:asciiTheme="minorHAnsi" w:hAnsiTheme="minorHAnsi" w:cs="Arial"/>
          <w:sz w:val="24"/>
          <w:szCs w:val="24"/>
        </w:rPr>
        <w:t>.</w:t>
      </w:r>
      <w:r w:rsidRPr="00E444E5">
        <w:rPr>
          <w:rFonts w:asciiTheme="minorHAnsi" w:hAnsiTheme="minorHAnsi" w:cs="Arial"/>
          <w:sz w:val="24"/>
          <w:szCs w:val="24"/>
        </w:rPr>
        <w:t xml:space="preserve"> </w:t>
      </w:r>
      <w:r>
        <w:rPr>
          <w:rFonts w:asciiTheme="minorHAnsi" w:hAnsiTheme="minorHAnsi" w:cs="Arial"/>
          <w:sz w:val="24"/>
          <w:szCs w:val="24"/>
        </w:rPr>
        <w:t>Madrid, CIS.</w:t>
      </w:r>
    </w:p>
    <w:p w:rsidR="006C69C5" w:rsidRPr="009022E6" w:rsidRDefault="006C69C5" w:rsidP="006C69C5">
      <w:pPr>
        <w:autoSpaceDE w:val="0"/>
        <w:autoSpaceDN w:val="0"/>
        <w:adjustRightInd w:val="0"/>
        <w:jc w:val="both"/>
        <w:rPr>
          <w:rFonts w:asciiTheme="minorHAnsi" w:hAnsiTheme="minorHAnsi" w:cs="Arial"/>
          <w:sz w:val="24"/>
          <w:szCs w:val="24"/>
        </w:rPr>
      </w:pPr>
      <w:r w:rsidRPr="009022E6">
        <w:rPr>
          <w:rFonts w:asciiTheme="minorHAnsi" w:hAnsiTheme="minorHAnsi" w:cs="Arial"/>
          <w:sz w:val="24"/>
          <w:szCs w:val="24"/>
        </w:rPr>
        <w:t xml:space="preserve">NOVO, Ainhoa. 2000. Las comisiones como órganos de relación entre Gobierno Vasco y Diputaciones Forales, </w:t>
      </w:r>
      <w:r w:rsidRPr="009022E6">
        <w:rPr>
          <w:rFonts w:asciiTheme="minorHAnsi" w:hAnsiTheme="minorHAnsi" w:cs="Arial"/>
          <w:i/>
          <w:sz w:val="24"/>
          <w:szCs w:val="24"/>
        </w:rPr>
        <w:t>Gestión y Análisis de Políticas Públicas</w:t>
      </w:r>
      <w:r w:rsidRPr="009022E6">
        <w:rPr>
          <w:rFonts w:asciiTheme="minorHAnsi" w:hAnsiTheme="minorHAnsi" w:cs="Arial"/>
          <w:sz w:val="24"/>
          <w:szCs w:val="24"/>
        </w:rPr>
        <w:t>, 17-18, pp. 71-80.</w:t>
      </w:r>
    </w:p>
    <w:p w:rsidR="006C69C5" w:rsidRPr="006C69C5" w:rsidRDefault="006C69C5" w:rsidP="006C69C5">
      <w:pPr>
        <w:pStyle w:val="NormalWeb"/>
        <w:jc w:val="both"/>
        <w:rPr>
          <w:rFonts w:asciiTheme="minorHAnsi" w:hAnsiTheme="minorHAnsi" w:cstheme="minorHAnsi"/>
          <w:lang w:val="en-US"/>
        </w:rPr>
      </w:pPr>
      <w:r w:rsidRPr="006C69C5">
        <w:rPr>
          <w:rFonts w:asciiTheme="minorHAnsi" w:hAnsiTheme="minorHAnsi" w:cstheme="minorHAnsi"/>
          <w:lang w:val="en-US"/>
        </w:rPr>
        <w:t>OECD, 2002.</w:t>
      </w:r>
      <w:r w:rsidRPr="006C69C5">
        <w:rPr>
          <w:rFonts w:asciiTheme="minorHAnsi" w:hAnsiTheme="minorHAnsi" w:cstheme="minorHAnsi"/>
          <w:i/>
          <w:lang w:val="en-US"/>
        </w:rPr>
        <w:t>Environmental performance review. United Kingdom</w:t>
      </w:r>
      <w:r w:rsidRPr="006C69C5">
        <w:rPr>
          <w:rFonts w:asciiTheme="minorHAnsi" w:hAnsiTheme="minorHAnsi" w:cstheme="minorHAnsi"/>
          <w:lang w:val="en-US"/>
        </w:rPr>
        <w:t>. Paris: OECD Publications Service.</w:t>
      </w:r>
    </w:p>
    <w:p w:rsidR="006C69C5" w:rsidRPr="006C69C5" w:rsidRDefault="006C69C5" w:rsidP="006C69C5">
      <w:pPr>
        <w:pStyle w:val="NormalWeb"/>
        <w:jc w:val="both"/>
        <w:rPr>
          <w:rFonts w:asciiTheme="minorHAnsi" w:hAnsiTheme="minorHAnsi" w:cstheme="minorHAnsi"/>
          <w:lang w:val="en-US"/>
        </w:rPr>
      </w:pPr>
      <w:r w:rsidRPr="006C69C5">
        <w:rPr>
          <w:rFonts w:asciiTheme="minorHAnsi" w:hAnsiTheme="minorHAnsi" w:cstheme="minorHAnsi"/>
          <w:lang w:val="en-US"/>
        </w:rPr>
        <w:t xml:space="preserve">OECD, 2007a. </w:t>
      </w:r>
      <w:r w:rsidRPr="006C69C5">
        <w:rPr>
          <w:rFonts w:asciiTheme="minorHAnsi" w:hAnsiTheme="minorHAnsi" w:cstheme="minorHAnsi"/>
          <w:i/>
          <w:lang w:val="en-US"/>
        </w:rPr>
        <w:t>OECD Environmental performance review. Sweden´s progress report</w:t>
      </w:r>
      <w:r w:rsidRPr="006C69C5">
        <w:rPr>
          <w:rFonts w:asciiTheme="minorHAnsi" w:hAnsiTheme="minorHAnsi" w:cstheme="minorHAnsi"/>
          <w:lang w:val="en-US"/>
        </w:rPr>
        <w:t>. Stockholm: Ministry of the Environment.</w:t>
      </w:r>
      <w:r w:rsidRPr="006C69C5">
        <w:rPr>
          <w:rFonts w:asciiTheme="minorHAnsi" w:hAnsiTheme="minorHAnsi"/>
          <w:lang w:val="en-US"/>
        </w:rPr>
        <w:t xml:space="preserve"> (</w:t>
      </w:r>
      <w:hyperlink r:id="rId14" w:history="1">
        <w:r w:rsidRPr="006C69C5">
          <w:rPr>
            <w:rStyle w:val="Hipervnculo"/>
            <w:rFonts w:asciiTheme="minorHAnsi" w:hAnsiTheme="minorHAnsi" w:cstheme="minorHAnsi"/>
            <w:lang w:val="en-US"/>
          </w:rPr>
          <w:t>http://www.government.se/content/ 1/c6/02/58/45/ed0a44a4.pdf</w:t>
        </w:r>
      </w:hyperlink>
      <w:r w:rsidRPr="006C69C5">
        <w:rPr>
          <w:rFonts w:asciiTheme="minorHAnsi" w:hAnsiTheme="minorHAnsi" w:cstheme="minorHAnsi"/>
          <w:lang w:val="en-US"/>
        </w:rPr>
        <w:t xml:space="preserve">). </w:t>
      </w:r>
    </w:p>
    <w:p w:rsidR="006C69C5" w:rsidRPr="006C69C5" w:rsidRDefault="006C69C5" w:rsidP="006C69C5">
      <w:pPr>
        <w:pStyle w:val="NormalWeb"/>
        <w:jc w:val="both"/>
        <w:rPr>
          <w:rFonts w:asciiTheme="minorHAnsi" w:hAnsiTheme="minorHAnsi" w:cstheme="minorHAnsi"/>
          <w:lang w:val="en-US"/>
        </w:rPr>
      </w:pPr>
      <w:r w:rsidRPr="006C69C5">
        <w:rPr>
          <w:rFonts w:asciiTheme="minorHAnsi" w:hAnsiTheme="minorHAnsi" w:cstheme="minorHAnsi"/>
          <w:lang w:val="en-US"/>
        </w:rPr>
        <w:t>OECD, 2007b.</w:t>
      </w:r>
      <w:r w:rsidRPr="006C69C5">
        <w:rPr>
          <w:rFonts w:asciiTheme="minorHAnsi" w:hAnsiTheme="minorHAnsi" w:cstheme="minorHAnsi"/>
          <w:i/>
          <w:lang w:val="en-US"/>
        </w:rPr>
        <w:t xml:space="preserve"> OECD Environmental performance reviews. Belgium 2007.</w:t>
      </w:r>
      <w:r w:rsidRPr="006C69C5">
        <w:rPr>
          <w:rFonts w:asciiTheme="minorHAnsi" w:hAnsiTheme="minorHAnsi" w:cstheme="minorHAnsi"/>
          <w:lang w:val="en-US"/>
        </w:rPr>
        <w:t xml:space="preserve"> (</w:t>
      </w:r>
      <w:hyperlink r:id="rId15" w:history="1">
        <w:r w:rsidRPr="006C69C5">
          <w:rPr>
            <w:rStyle w:val="Hipervnculo"/>
            <w:rFonts w:asciiTheme="minorHAnsi" w:hAnsiTheme="minorHAnsi" w:cstheme="minorHAnsi"/>
            <w:lang w:val="en-US"/>
          </w:rPr>
          <w:t>http://www.keepeek.com/Digital-Asset-Management/oecd/environment/oecd-environmental-performance-reviews-belgium-2007_9789264031128-en</w:t>
        </w:r>
      </w:hyperlink>
    </w:p>
    <w:p w:rsidR="006C69C5" w:rsidRPr="009022E6" w:rsidRDefault="006C69C5" w:rsidP="006C69C5">
      <w:pPr>
        <w:autoSpaceDE w:val="0"/>
        <w:autoSpaceDN w:val="0"/>
        <w:adjustRightInd w:val="0"/>
        <w:jc w:val="both"/>
        <w:rPr>
          <w:rFonts w:cs="Arial"/>
          <w:sz w:val="24"/>
          <w:szCs w:val="24"/>
          <w:lang w:val="en-GB"/>
        </w:rPr>
      </w:pPr>
      <w:r w:rsidRPr="009022E6">
        <w:rPr>
          <w:rFonts w:cs="Arial"/>
          <w:sz w:val="24"/>
          <w:szCs w:val="24"/>
          <w:lang w:val="en-GB"/>
        </w:rPr>
        <w:t>SABATIER, P</w:t>
      </w:r>
      <w:r w:rsidRPr="009022E6">
        <w:rPr>
          <w:rFonts w:asciiTheme="minorHAnsi" w:hAnsiTheme="minorHAnsi" w:cs="Arial"/>
          <w:sz w:val="24"/>
          <w:szCs w:val="24"/>
          <w:lang w:val="en-GB"/>
        </w:rPr>
        <w:t xml:space="preserve">aul </w:t>
      </w:r>
      <w:r w:rsidRPr="009022E6">
        <w:rPr>
          <w:rFonts w:cs="Arial"/>
          <w:sz w:val="24"/>
          <w:szCs w:val="24"/>
          <w:lang w:val="en-GB"/>
        </w:rPr>
        <w:t>A. y JENKINS-SMITH, H</w:t>
      </w:r>
      <w:r w:rsidRPr="009022E6">
        <w:rPr>
          <w:rFonts w:asciiTheme="minorHAnsi" w:hAnsiTheme="minorHAnsi" w:cs="Arial"/>
          <w:sz w:val="24"/>
          <w:szCs w:val="24"/>
          <w:lang w:val="en-GB"/>
        </w:rPr>
        <w:t xml:space="preserve">ank </w:t>
      </w:r>
      <w:r w:rsidRPr="009022E6">
        <w:rPr>
          <w:rFonts w:cs="Arial"/>
          <w:sz w:val="24"/>
          <w:szCs w:val="24"/>
          <w:lang w:val="en-GB"/>
        </w:rPr>
        <w:t>C. (1999) “The Advocacy Coalition Framework: an assessment” en Paul A. Sabatier (ed) Theories of the policy process. Oxford: Westview Press: 117-166.</w:t>
      </w:r>
    </w:p>
    <w:p w:rsidR="006C69C5" w:rsidRDefault="006C69C5" w:rsidP="006C69C5">
      <w:pPr>
        <w:pStyle w:val="NormalWeb"/>
        <w:jc w:val="both"/>
        <w:rPr>
          <w:rFonts w:asciiTheme="minorHAnsi" w:hAnsiTheme="minorHAnsi" w:cs="Arial"/>
          <w:lang w:val="en-GB"/>
        </w:rPr>
      </w:pPr>
      <w:r>
        <w:rPr>
          <w:rFonts w:asciiTheme="minorHAnsi" w:hAnsiTheme="minorHAnsi" w:cs="Arial"/>
          <w:lang w:val="en-GB"/>
        </w:rPr>
        <w:t>SCOTTISH GOVERNMENT, 2013. Low carbon Scotland. Meeting the emissions reduction targets 2013-2027. The second report on proposals and policies (</w:t>
      </w:r>
      <w:hyperlink r:id="rId16" w:history="1">
        <w:r w:rsidRPr="00FA17FA">
          <w:rPr>
            <w:rStyle w:val="Hipervnculo"/>
            <w:rFonts w:asciiTheme="minorHAnsi" w:hAnsiTheme="minorHAnsi" w:cs="Arial"/>
            <w:lang w:val="en-GB"/>
          </w:rPr>
          <w:t>http://www.scotland.gov.uk/Resource/0042/00426134.pdf</w:t>
        </w:r>
      </w:hyperlink>
      <w:r>
        <w:rPr>
          <w:rFonts w:asciiTheme="minorHAnsi" w:hAnsiTheme="minorHAnsi" w:cs="Arial"/>
          <w:lang w:val="en-GB"/>
        </w:rPr>
        <w:t xml:space="preserve">) </w:t>
      </w:r>
    </w:p>
    <w:p w:rsidR="006C69C5" w:rsidRPr="009022E6" w:rsidRDefault="006C69C5" w:rsidP="006C69C5">
      <w:pPr>
        <w:pStyle w:val="NormalWeb"/>
        <w:jc w:val="both"/>
        <w:rPr>
          <w:rFonts w:asciiTheme="minorHAnsi" w:hAnsiTheme="minorHAnsi" w:cs="Arial"/>
          <w:lang w:val="en-GB"/>
        </w:rPr>
      </w:pPr>
      <w:r w:rsidRPr="009022E6">
        <w:rPr>
          <w:rFonts w:asciiTheme="minorHAnsi" w:hAnsiTheme="minorHAnsi" w:cs="Arial"/>
          <w:lang w:val="en-GB"/>
        </w:rPr>
        <w:t xml:space="preserve">VAN HECKE, Karel and ZGAJEWSKI, Tania, 2008. </w:t>
      </w:r>
      <w:r w:rsidRPr="009022E6">
        <w:rPr>
          <w:rFonts w:asciiTheme="minorHAnsi" w:hAnsiTheme="minorHAnsi" w:cs="Arial"/>
          <w:i/>
          <w:lang w:val="en-GB"/>
        </w:rPr>
        <w:t>The Kyoto Policy of Belgium</w:t>
      </w:r>
      <w:r w:rsidRPr="009022E6">
        <w:rPr>
          <w:rFonts w:asciiTheme="minorHAnsi" w:hAnsiTheme="minorHAnsi" w:cs="Arial"/>
          <w:lang w:val="en-GB"/>
        </w:rPr>
        <w:t xml:space="preserve"> (Brussels: Academia Press). </w:t>
      </w:r>
    </w:p>
    <w:p w:rsidR="006C69C5" w:rsidRPr="00424B89" w:rsidRDefault="006C69C5" w:rsidP="006C69C5">
      <w:pPr>
        <w:spacing w:before="100" w:beforeAutospacing="1" w:after="100" w:afterAutospacing="1" w:line="240" w:lineRule="auto"/>
        <w:jc w:val="both"/>
        <w:rPr>
          <w:rFonts w:asciiTheme="minorHAnsi" w:hAnsiTheme="minorHAnsi"/>
          <w:sz w:val="24"/>
          <w:szCs w:val="24"/>
          <w:lang w:val="en-US"/>
        </w:rPr>
      </w:pPr>
      <w:r w:rsidRPr="009022E6">
        <w:rPr>
          <w:rFonts w:asciiTheme="minorHAnsi" w:hAnsiTheme="minorHAnsi" w:cstheme="minorHAnsi"/>
          <w:sz w:val="24"/>
          <w:szCs w:val="24"/>
          <w:lang w:val="en-US"/>
        </w:rPr>
        <w:lastRenderedPageBreak/>
        <w:t xml:space="preserve">VLAAMSE OVERHEID, 2006. </w:t>
      </w:r>
      <w:r w:rsidRPr="009022E6">
        <w:rPr>
          <w:rFonts w:asciiTheme="minorHAnsi" w:hAnsiTheme="minorHAnsi" w:cstheme="minorHAnsi"/>
          <w:i/>
          <w:sz w:val="24"/>
          <w:szCs w:val="24"/>
          <w:lang w:val="en-US"/>
        </w:rPr>
        <w:t>The climate is changing. Are you canging too? The Flemish Climate Policy Plan 2006-2012</w:t>
      </w:r>
      <w:r w:rsidRPr="009022E6">
        <w:rPr>
          <w:rFonts w:asciiTheme="minorHAnsi" w:hAnsiTheme="minorHAnsi" w:cstheme="minorHAnsi"/>
          <w:sz w:val="24"/>
          <w:szCs w:val="24"/>
          <w:lang w:val="en-US"/>
        </w:rPr>
        <w:t xml:space="preserve">. </w:t>
      </w:r>
      <w:hyperlink r:id="rId17" w:history="1">
        <w:r w:rsidRPr="00FA17FA">
          <w:rPr>
            <w:rStyle w:val="Hipervnculo"/>
            <w:rFonts w:asciiTheme="minorHAnsi" w:hAnsiTheme="minorHAnsi" w:cstheme="minorHAnsi"/>
            <w:sz w:val="24"/>
            <w:szCs w:val="24"/>
            <w:lang w:val="en-US"/>
          </w:rPr>
          <w:t>http://www.lne.be/themas/klimaatverandering/ vlaams-klimaatbeleidsplan-2006-2012/flemish-climate-policy-plan-2006-012/070124 _english_version_versie_website.pdf</w:t>
        </w:r>
      </w:hyperlink>
      <w:r w:rsidRPr="009022E6">
        <w:rPr>
          <w:rFonts w:asciiTheme="minorHAnsi" w:hAnsiTheme="minorHAnsi" w:cstheme="minorHAnsi"/>
          <w:sz w:val="24"/>
          <w:szCs w:val="24"/>
          <w:lang w:val="en-US"/>
        </w:rPr>
        <w:t xml:space="preserve">. </w:t>
      </w:r>
    </w:p>
    <w:p w:rsidR="006C69C5" w:rsidRPr="009022E6" w:rsidRDefault="006C69C5" w:rsidP="006C69C5">
      <w:pPr>
        <w:pStyle w:val="NormalWeb"/>
        <w:jc w:val="both"/>
        <w:rPr>
          <w:rFonts w:asciiTheme="minorHAnsi" w:hAnsiTheme="minorHAnsi" w:cs="Arial"/>
          <w:lang w:val="en-GB"/>
        </w:rPr>
      </w:pPr>
      <w:r w:rsidRPr="009022E6">
        <w:rPr>
          <w:rFonts w:asciiTheme="minorHAnsi" w:hAnsiTheme="minorHAnsi" w:cs="Arial"/>
          <w:lang w:val="en-GB"/>
        </w:rPr>
        <w:t xml:space="preserve">WAGSTAFF, Peter 1999. “Belgium: a new federalism” en Peter Wagstaff (ed.). </w:t>
      </w:r>
      <w:r w:rsidRPr="009022E6">
        <w:rPr>
          <w:rFonts w:asciiTheme="minorHAnsi" w:hAnsiTheme="minorHAnsi" w:cs="Arial"/>
          <w:i/>
          <w:lang w:val="en-GB"/>
        </w:rPr>
        <w:t>Regionalism in the European Union.</w:t>
      </w:r>
      <w:r w:rsidRPr="009022E6">
        <w:rPr>
          <w:rFonts w:asciiTheme="minorHAnsi" w:hAnsiTheme="minorHAnsi" w:cs="Arial"/>
          <w:lang w:val="en-GB"/>
        </w:rPr>
        <w:t xml:space="preserve"> Portland, Intellect Books.</w:t>
      </w:r>
    </w:p>
    <w:p w:rsidR="006C69C5" w:rsidRPr="00847C2F" w:rsidRDefault="006C69C5" w:rsidP="006C69C5">
      <w:pPr>
        <w:pStyle w:val="NormalWeb"/>
        <w:jc w:val="both"/>
        <w:rPr>
          <w:rFonts w:asciiTheme="minorHAnsi" w:hAnsiTheme="minorHAnsi" w:cs="Arial"/>
        </w:rPr>
      </w:pPr>
      <w:r w:rsidRPr="009022E6">
        <w:rPr>
          <w:rFonts w:asciiTheme="minorHAnsi" w:hAnsiTheme="minorHAnsi" w:cs="Arial"/>
          <w:lang w:val="en-GB"/>
        </w:rPr>
        <w:t xml:space="preserve">WATTS, Ronald L. 1999. </w:t>
      </w:r>
      <w:r w:rsidRPr="00847C2F">
        <w:rPr>
          <w:rFonts w:asciiTheme="minorHAnsi" w:hAnsiTheme="minorHAnsi" w:cs="Arial"/>
          <w:i/>
        </w:rPr>
        <w:t>Sistemas federales comparados</w:t>
      </w:r>
      <w:r w:rsidRPr="00847C2F">
        <w:rPr>
          <w:rFonts w:asciiTheme="minorHAnsi" w:hAnsiTheme="minorHAnsi" w:cs="Arial"/>
        </w:rPr>
        <w:t>. Madrid, Marcial Pons.</w:t>
      </w:r>
    </w:p>
    <w:sectPr w:rsidR="006C69C5" w:rsidRPr="00847C2F" w:rsidSect="00A1709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0F2" w:rsidRDefault="00BF30F2" w:rsidP="006B6A53">
      <w:pPr>
        <w:spacing w:after="0" w:line="240" w:lineRule="auto"/>
      </w:pPr>
      <w:r>
        <w:separator/>
      </w:r>
    </w:p>
  </w:endnote>
  <w:endnote w:type="continuationSeparator" w:id="0">
    <w:p w:rsidR="00BF30F2" w:rsidRDefault="00BF30F2" w:rsidP="006B6A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78784"/>
      <w:docPartObj>
        <w:docPartGallery w:val="Page Numbers (Bottom of Page)"/>
        <w:docPartUnique/>
      </w:docPartObj>
    </w:sdtPr>
    <w:sdtContent>
      <w:p w:rsidR="00BF30F2" w:rsidRDefault="00642B33">
        <w:pPr>
          <w:pStyle w:val="Piedepgina"/>
          <w:jc w:val="right"/>
        </w:pPr>
        <w:fldSimple w:instr=" PAGE   \* MERGEFORMAT ">
          <w:r w:rsidR="00850A68">
            <w:rPr>
              <w:noProof/>
            </w:rPr>
            <w:t>2</w:t>
          </w:r>
        </w:fldSimple>
      </w:p>
    </w:sdtContent>
  </w:sdt>
  <w:p w:rsidR="00BF30F2" w:rsidRDefault="00BF30F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0F2" w:rsidRDefault="00BF30F2" w:rsidP="006B6A53">
      <w:pPr>
        <w:spacing w:after="0" w:line="240" w:lineRule="auto"/>
      </w:pPr>
      <w:r>
        <w:separator/>
      </w:r>
    </w:p>
  </w:footnote>
  <w:footnote w:type="continuationSeparator" w:id="0">
    <w:p w:rsidR="00BF30F2" w:rsidRDefault="00BF30F2" w:rsidP="006B6A53">
      <w:pPr>
        <w:spacing w:after="0" w:line="240" w:lineRule="auto"/>
      </w:pPr>
      <w:r>
        <w:continuationSeparator/>
      </w:r>
    </w:p>
  </w:footnote>
  <w:footnote w:id="1">
    <w:p w:rsidR="00BF30F2" w:rsidRPr="00AC5ACC" w:rsidRDefault="00BF30F2" w:rsidP="00AC5ACC">
      <w:pPr>
        <w:pStyle w:val="Textonotapie"/>
        <w:jc w:val="both"/>
        <w:rPr>
          <w:rFonts w:asciiTheme="minorHAnsi" w:hAnsiTheme="minorHAnsi"/>
        </w:rPr>
      </w:pPr>
      <w:r w:rsidRPr="00AC5ACC">
        <w:rPr>
          <w:rStyle w:val="Refdenotaalpie"/>
          <w:rFonts w:asciiTheme="minorHAnsi" w:hAnsiTheme="minorHAnsi"/>
        </w:rPr>
        <w:footnoteRef/>
      </w:r>
      <w:r w:rsidRPr="00AC5ACC">
        <w:rPr>
          <w:rFonts w:asciiTheme="minorHAnsi" w:hAnsiTheme="minorHAnsi"/>
        </w:rPr>
        <w:t xml:space="preserve"> A modo de contraste, otras regiones con una política climática destacada, presentes en </w:t>
      </w:r>
      <w:r w:rsidRPr="00AC5ACC">
        <w:rPr>
          <w:rFonts w:asciiTheme="minorHAnsi" w:hAnsiTheme="minorHAnsi"/>
          <w:i/>
        </w:rPr>
        <w:t>The Climate Group</w:t>
      </w:r>
      <w:r w:rsidRPr="00AC5ACC">
        <w:rPr>
          <w:rFonts w:asciiTheme="minorHAnsi" w:hAnsiTheme="minorHAnsi"/>
        </w:rPr>
        <w:t>, pero encuadradas en modelos centralizados, como Rhône-Alpes (Francia) y Jämtland (Suecia), obtienen un índice RAI 8,0 y 10,0 respectivamente.</w:t>
      </w:r>
    </w:p>
  </w:footnote>
  <w:footnote w:id="2">
    <w:p w:rsidR="00BF30F2" w:rsidRDefault="00BF30F2" w:rsidP="001F6BA4">
      <w:pPr>
        <w:tabs>
          <w:tab w:val="left" w:pos="720"/>
          <w:tab w:val="num" w:pos="792"/>
        </w:tabs>
        <w:autoSpaceDE w:val="0"/>
        <w:autoSpaceDN w:val="0"/>
        <w:adjustRightInd w:val="0"/>
        <w:spacing w:line="240" w:lineRule="auto"/>
        <w:jc w:val="both"/>
      </w:pPr>
      <w:r w:rsidRPr="004469C8">
        <w:rPr>
          <w:rStyle w:val="Refdenotaalpie"/>
          <w:sz w:val="20"/>
          <w:szCs w:val="20"/>
        </w:rPr>
        <w:footnoteRef/>
      </w:r>
      <w:r w:rsidRPr="004469C8">
        <w:rPr>
          <w:sz w:val="20"/>
          <w:szCs w:val="20"/>
        </w:rPr>
        <w:t>En todo caso, habría que decir que tampoco la CSMA destaca entre las demás por un menor ritmo de funcionamiento: si se computa el periodo 1981-2007, la CSMA ha celebrado un total de cuarenta reuniones, situándose como la novena conferencia -de un total de treinta y siete constituidas- que más frecuentemente ha funcionado (MAP 2008, p. 32); de hecho, fue creada en 1988 y tiene ya una larga trayectoria, habiendo adquirido un notable grado de institucionalización, como prueba el hecho de que fue dotada de reglamento interno en 1995.  Los análisis en torno a su rendimiento destacan asimismo la evolución al alza en la frecuencia de sus reuniones a partir de 1996, un marcado protagonismo de los temas relacionados con las obligaciones medioambientales ante la Unión Europea y, en un sentido menos positivo, cierto absentismo por parte de la administración vasca (Alda y Ramos 2006, 249 y ss.).</w:t>
      </w:r>
    </w:p>
  </w:footnote>
  <w:footnote w:id="3">
    <w:p w:rsidR="00BF30F2" w:rsidRPr="00094F69" w:rsidRDefault="00BF30F2" w:rsidP="006B6A53">
      <w:pPr>
        <w:pStyle w:val="Textonotapie"/>
        <w:rPr>
          <w:rFonts w:asciiTheme="minorHAnsi" w:hAnsiTheme="minorHAnsi"/>
        </w:rPr>
      </w:pPr>
      <w:r w:rsidRPr="00094F69">
        <w:rPr>
          <w:rStyle w:val="Refdenotaalpie"/>
          <w:rFonts w:asciiTheme="minorHAnsi" w:hAnsiTheme="minorHAnsi"/>
        </w:rPr>
        <w:footnoteRef/>
      </w:r>
      <w:r>
        <w:rPr>
          <w:rFonts w:asciiTheme="minorHAnsi" w:hAnsiTheme="minorHAnsi"/>
        </w:rPr>
        <w:t>En concreto, las condiciones acordadas por el SNP y el partido verde serían tres: no construir nuevas centrales nucleares, iniciar prontamente una ley para la mitigación del cambio climático y apoyar una iniciativa, fundamentada parlamentariamente, en torno al futuro constitucional escocés.</w:t>
      </w:r>
      <w:r w:rsidRPr="00094F69">
        <w:rPr>
          <w:rFonts w:asciiTheme="minorHAnsi" w:hAnsiTheme="minorHAnsi"/>
        </w:rPr>
        <w:t xml:space="preserve"> (</w:t>
      </w:r>
      <w:hyperlink r:id="rId1" w:history="1">
        <w:r w:rsidRPr="00221555">
          <w:rPr>
            <w:rStyle w:val="Hipervnculo"/>
            <w:rFonts w:asciiTheme="minorHAnsi" w:hAnsiTheme="minorHAnsi"/>
          </w:rPr>
          <w:t>http://news.bbc.co.uk/2/shared/bsp/hi/pdfs/11_05_07_agreement.pdf</w:t>
        </w:r>
      </w:hyperlink>
      <w:r>
        <w:rPr>
          <w:rFonts w:asciiTheme="minorHAnsi" w:hAnsiTheme="minorHAnsi"/>
        </w:rPr>
        <w:t>). Consultado el 8 de julio de 2013.</w:t>
      </w:r>
    </w:p>
  </w:footnote>
  <w:footnote w:id="4">
    <w:p w:rsidR="00BF30F2" w:rsidRPr="007764AF" w:rsidRDefault="00BF30F2" w:rsidP="00DE53A2">
      <w:pPr>
        <w:pStyle w:val="Textonotapie"/>
        <w:rPr>
          <w:rFonts w:asciiTheme="minorHAnsi" w:hAnsiTheme="minorHAnsi"/>
        </w:rPr>
      </w:pPr>
      <w:r w:rsidRPr="007764AF">
        <w:rPr>
          <w:rStyle w:val="Refdenotaalpie"/>
          <w:rFonts w:asciiTheme="minorHAnsi" w:hAnsiTheme="minorHAnsi"/>
        </w:rPr>
        <w:footnoteRef/>
      </w:r>
      <w:r w:rsidRPr="007764AF">
        <w:rPr>
          <w:rFonts w:asciiTheme="minorHAnsi" w:hAnsiTheme="minorHAnsi"/>
        </w:rPr>
        <w:t xml:space="preserve"> </w:t>
      </w:r>
      <w:hyperlink r:id="rId2" w:history="1">
        <w:r w:rsidRPr="009059D3">
          <w:rPr>
            <w:rStyle w:val="Hipervnculo"/>
            <w:rFonts w:asciiTheme="minorHAnsi" w:hAnsiTheme="minorHAnsi"/>
          </w:rPr>
          <w:t>http://www20.gencat.cat/portal/site/canviclimatic/menuitem.daafef89898de25e9b85ea75b0c0e1a0/ ?vgnextoid=169ae9d6f97d6210VgnVCM1000008d0c1e0aRCRD&amp;vgnextchannel=169ae9d6f97d6210VgnVCM1000008d0c1e0aRCRD&amp;vgnextfmt=default</w:t>
        </w:r>
      </w:hyperlink>
      <w:r>
        <w:rPr>
          <w:rFonts w:asciiTheme="minorHAnsi" w:hAnsiTheme="minorHAnsi"/>
        </w:rPr>
        <w:t xml:space="preserve"> </w:t>
      </w:r>
    </w:p>
  </w:footnote>
  <w:footnote w:id="5">
    <w:p w:rsidR="00BF30F2" w:rsidRPr="005E4402" w:rsidRDefault="00BF30F2" w:rsidP="00DE53A2">
      <w:pPr>
        <w:pStyle w:val="Textonotapie"/>
        <w:jc w:val="both"/>
        <w:rPr>
          <w:rFonts w:asciiTheme="minorHAnsi" w:hAnsiTheme="minorHAnsi"/>
        </w:rPr>
      </w:pPr>
      <w:r w:rsidRPr="005E4402">
        <w:rPr>
          <w:rStyle w:val="Refdenotaalpie"/>
          <w:rFonts w:asciiTheme="minorHAnsi" w:hAnsiTheme="minorHAnsi"/>
        </w:rPr>
        <w:footnoteRef/>
      </w:r>
      <w:hyperlink r:id="rId3" w:history="1">
        <w:r w:rsidRPr="00B23EDF">
          <w:rPr>
            <w:rStyle w:val="Hipervnculo"/>
            <w:rFonts w:asciiTheme="minorHAnsi" w:hAnsiTheme="minorHAnsi"/>
          </w:rPr>
          <w:t>http://www.europapress.es/epsocial/naturaleza-00323/noticia-cataluna-anuncia-ley-cambio-climatico-incluira-aspectos-fiscalidad-verde-20120611190053.html</w:t>
        </w:r>
      </w:hyperlink>
      <w:r>
        <w:rPr>
          <w:rFonts w:asciiTheme="minorHAnsi" w:hAnsiTheme="minorHAnsi"/>
        </w:rPr>
        <w:t xml:space="preserve">. </w:t>
      </w:r>
    </w:p>
  </w:footnote>
  <w:footnote w:id="6">
    <w:p w:rsidR="00BF30F2" w:rsidRPr="00332E25" w:rsidRDefault="00BF30F2" w:rsidP="00DE53A2">
      <w:pPr>
        <w:pStyle w:val="Textonotapie"/>
        <w:jc w:val="both"/>
        <w:rPr>
          <w:rFonts w:asciiTheme="minorHAnsi" w:hAnsiTheme="minorHAnsi"/>
        </w:rPr>
      </w:pPr>
      <w:r w:rsidRPr="005E4402">
        <w:rPr>
          <w:rStyle w:val="Refdenotaalpie"/>
          <w:rFonts w:asciiTheme="minorHAnsi" w:hAnsiTheme="minorHAnsi"/>
        </w:rPr>
        <w:footnoteRef/>
      </w:r>
      <w:r w:rsidRPr="005E4402">
        <w:rPr>
          <w:rFonts w:asciiTheme="minorHAnsi" w:hAnsiTheme="minorHAnsi"/>
        </w:rPr>
        <w:t xml:space="preserve"> </w:t>
      </w:r>
      <w:r>
        <w:rPr>
          <w:rFonts w:asciiTheme="minorHAnsi" w:hAnsiTheme="minorHAnsi"/>
        </w:rPr>
        <w:t xml:space="preserve">En este sentido, es ilustrativa la presentación de la ley aparecida en la propia web institucional del cambio climático en la que se afirma textualmente: </w:t>
      </w:r>
      <w:r w:rsidRPr="00332E25">
        <w:rPr>
          <w:rFonts w:asciiTheme="minorHAnsi" w:hAnsiTheme="minorHAnsi"/>
        </w:rPr>
        <w:t xml:space="preserve">La Ley también ayudará a consolidar el marco competencial de Cataluña en materia climática. El país tiene gran capacidad para incidir en el nivel de emisiones, muy especialmente en las difusas, y en este sentido ha de alcanzar el nivel de reducción de emisiones que le corresponde y contribuir de esta manera a la consecución de los objetivos generales establecidos por la Unión Europea. Esto se traduce para el año 2020 en una reducción del 10% de las emisiones difusas respecto nuestras emisiones de 2005. La normativa también debe ayudar a disponer de los fondos económicos necesarios para llevar a cabo las acciones de mitigación y de adaptación. La nueva ley se plantea como un proyecto que abarcará esta legislatura y donde los trabajos preparatorios comenzarán en 2012. Con su aprobación, Catalunya se situará al nivel de otros estados y regiones de todo el mundo líderes en la lucha contra el cambio climático, como Gran Bretaña, con la Climate Change Act (2008); Escocia, con la Scotland Climate Change Act (2009); Suecia con la Bill National climate policy in global cooperation; o Quebec con la Environment Quality </w:t>
      </w:r>
      <w:r>
        <w:rPr>
          <w:rFonts w:asciiTheme="minorHAnsi" w:hAnsiTheme="minorHAnsi"/>
        </w:rPr>
        <w:t>Act, por citar algunos ejemplos”</w:t>
      </w:r>
      <w:r w:rsidRPr="00332E25">
        <w:t xml:space="preserve"> </w:t>
      </w:r>
      <w:r>
        <w:t>(</w:t>
      </w:r>
      <w:hyperlink r:id="rId4" w:history="1">
        <w:r w:rsidRPr="00332E25">
          <w:rPr>
            <w:rStyle w:val="Hipervnculo"/>
            <w:rFonts w:asciiTheme="minorHAnsi" w:hAnsiTheme="minorHAnsi"/>
          </w:rPr>
          <w:t>http://www20.gencat.cat/portal/site/canviclimatic/menuitem.19a41a24dc847ece9b85ea75b0c0e1a0/?vgnextoid=df80dcc12a098210VgnVCM1000008d0c1e0aRCRD&amp;vgnextchannel=df80dcc12a098210VgnVCM1000008d0c1e0aRCRD&amp;vgnextfmt=detall&amp;contentid=58bc01be37fd7310VgnVCM1000008d0c1e0aRCRD&amp;newLang=es_ES</w:t>
        </w:r>
      </w:hyperlink>
      <w:r w:rsidRPr="00332E25">
        <w:rPr>
          <w:rFonts w:asciiTheme="minorHAnsi" w:hAnsiTheme="minorHAnsi"/>
        </w:rPr>
        <w:t xml:space="preserve">). </w:t>
      </w:r>
    </w:p>
  </w:footnote>
  <w:footnote w:id="7">
    <w:p w:rsidR="00BF30F2" w:rsidRPr="00332E25" w:rsidRDefault="00BF30F2" w:rsidP="00DE53A2">
      <w:pPr>
        <w:pStyle w:val="Sinespaciado"/>
        <w:jc w:val="both"/>
        <w:rPr>
          <w:rFonts w:asciiTheme="minorHAnsi" w:hAnsiTheme="minorHAnsi"/>
          <w:b/>
          <w:sz w:val="20"/>
          <w:szCs w:val="20"/>
        </w:rPr>
      </w:pPr>
      <w:r w:rsidRPr="00332E25">
        <w:rPr>
          <w:rStyle w:val="Refdenotaalpie"/>
          <w:rFonts w:asciiTheme="minorHAnsi" w:hAnsiTheme="minorHAnsi"/>
          <w:b/>
          <w:sz w:val="20"/>
          <w:szCs w:val="20"/>
        </w:rPr>
        <w:footnoteRef/>
      </w:r>
      <w:r w:rsidRPr="00332E25">
        <w:rPr>
          <w:rFonts w:asciiTheme="minorHAnsi" w:hAnsiTheme="minorHAnsi"/>
          <w:b/>
          <w:sz w:val="20"/>
          <w:szCs w:val="20"/>
        </w:rPr>
        <w:t xml:space="preserve"> </w:t>
      </w:r>
      <w:r w:rsidRPr="00332E25">
        <w:t xml:space="preserve">V. El País, 21-6-2013: Los recortes y la división en CiU </w:t>
      </w:r>
      <w:r>
        <w:t>hunden a Mas y encumbran a ERC (</w:t>
      </w:r>
      <w:hyperlink r:id="rId5" w:history="1">
        <w:r w:rsidRPr="00B23EDF">
          <w:rPr>
            <w:rStyle w:val="Hipervnculo"/>
          </w:rPr>
          <w:t>http://ccaa.elpais.com/ccaa/2013/06/20/catalunya/1371720484_228298.html</w:t>
        </w:r>
      </w:hyperlink>
      <w:r w:rsidRPr="00332E25">
        <w:t>)</w:t>
      </w:r>
      <w:r>
        <w:t xml:space="preserve">. </w:t>
      </w:r>
      <w:r w:rsidRPr="00332E25">
        <w:t xml:space="preserve"> </w:t>
      </w:r>
      <w:r>
        <w:t xml:space="preserve"> </w:t>
      </w:r>
    </w:p>
    <w:p w:rsidR="00BF30F2" w:rsidRDefault="00BF30F2" w:rsidP="00DE53A2">
      <w:pPr>
        <w:pStyle w:val="Textonotapie"/>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1"/>
    <w:footnote w:id="0"/>
  </w:footnotePr>
  <w:endnotePr>
    <w:endnote w:id="-1"/>
    <w:endnote w:id="0"/>
  </w:endnotePr>
  <w:compat/>
  <w:rsids>
    <w:rsidRoot w:val="006B6A53"/>
    <w:rsid w:val="00115D23"/>
    <w:rsid w:val="001F6BA4"/>
    <w:rsid w:val="00211E57"/>
    <w:rsid w:val="004E2AD1"/>
    <w:rsid w:val="0053507A"/>
    <w:rsid w:val="005D0D5B"/>
    <w:rsid w:val="00642B33"/>
    <w:rsid w:val="006A3D61"/>
    <w:rsid w:val="006B6A53"/>
    <w:rsid w:val="006C69C5"/>
    <w:rsid w:val="007C4C0E"/>
    <w:rsid w:val="0084418C"/>
    <w:rsid w:val="00850A68"/>
    <w:rsid w:val="008B5212"/>
    <w:rsid w:val="00901D1C"/>
    <w:rsid w:val="00A17091"/>
    <w:rsid w:val="00A27996"/>
    <w:rsid w:val="00A70EFD"/>
    <w:rsid w:val="00AC5ACC"/>
    <w:rsid w:val="00B45EEB"/>
    <w:rsid w:val="00BF30F2"/>
    <w:rsid w:val="00D15AB1"/>
    <w:rsid w:val="00D46DEE"/>
    <w:rsid w:val="00DE53A2"/>
    <w:rsid w:val="00E10AEF"/>
    <w:rsid w:val="00EA2CC9"/>
    <w:rsid w:val="00F64817"/>
    <w:rsid w:val="00F8041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A53"/>
    <w:rPr>
      <w:rFonts w:ascii="Calibri" w:eastAsia="Times New Roman" w:hAnsi="Calibri" w:cs="Calibri"/>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6B6A5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6A53"/>
    <w:rPr>
      <w:rFonts w:ascii="Calibri" w:eastAsia="Times New Roman" w:hAnsi="Calibri" w:cs="Calibri"/>
      <w:lang w:eastAsia="es-ES"/>
    </w:rPr>
  </w:style>
  <w:style w:type="paragraph" w:styleId="Textonotapie">
    <w:name w:val="footnote text"/>
    <w:basedOn w:val="Normal"/>
    <w:link w:val="TextonotapieCar"/>
    <w:uiPriority w:val="99"/>
    <w:semiHidden/>
    <w:rsid w:val="006B6A53"/>
    <w:pPr>
      <w:spacing w:after="0" w:line="240" w:lineRule="auto"/>
    </w:pPr>
    <w:rPr>
      <w:rFonts w:ascii="Arial" w:hAnsi="Arial" w:cs="Times New Roman"/>
      <w:sz w:val="20"/>
      <w:szCs w:val="20"/>
    </w:rPr>
  </w:style>
  <w:style w:type="character" w:customStyle="1" w:styleId="TextonotapieCar">
    <w:name w:val="Texto nota pie Car"/>
    <w:basedOn w:val="Fuentedeprrafopredeter"/>
    <w:link w:val="Textonotapie"/>
    <w:uiPriority w:val="99"/>
    <w:semiHidden/>
    <w:rsid w:val="006B6A53"/>
    <w:rPr>
      <w:rFonts w:ascii="Arial" w:eastAsia="Times New Roman" w:hAnsi="Arial" w:cs="Times New Roman"/>
      <w:sz w:val="20"/>
      <w:szCs w:val="20"/>
      <w:lang w:eastAsia="es-ES"/>
    </w:rPr>
  </w:style>
  <w:style w:type="character" w:styleId="Refdenotaalpie">
    <w:name w:val="footnote reference"/>
    <w:basedOn w:val="Fuentedeprrafopredeter"/>
    <w:semiHidden/>
    <w:rsid w:val="006B6A53"/>
    <w:rPr>
      <w:vertAlign w:val="superscript"/>
    </w:rPr>
  </w:style>
  <w:style w:type="character" w:styleId="Hipervnculo">
    <w:name w:val="Hyperlink"/>
    <w:basedOn w:val="Fuentedeprrafopredeter"/>
    <w:uiPriority w:val="99"/>
    <w:unhideWhenUsed/>
    <w:rsid w:val="006B6A53"/>
    <w:rPr>
      <w:color w:val="0000FF" w:themeColor="hyperlink"/>
      <w:u w:val="single"/>
    </w:rPr>
  </w:style>
  <w:style w:type="table" w:styleId="Tablaconcuadrcula">
    <w:name w:val="Table Grid"/>
    <w:basedOn w:val="Tablanormal"/>
    <w:uiPriority w:val="59"/>
    <w:rsid w:val="006B6A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semiHidden/>
    <w:unhideWhenUsed/>
    <w:rsid w:val="006B6A53"/>
    <w:pPr>
      <w:spacing w:after="120" w:line="480" w:lineRule="auto"/>
    </w:pPr>
  </w:style>
  <w:style w:type="character" w:customStyle="1" w:styleId="Textoindependiente2Car">
    <w:name w:val="Texto independiente 2 Car"/>
    <w:basedOn w:val="Fuentedeprrafopredeter"/>
    <w:link w:val="Textoindependiente2"/>
    <w:uiPriority w:val="99"/>
    <w:semiHidden/>
    <w:rsid w:val="006B6A53"/>
    <w:rPr>
      <w:rFonts w:ascii="Calibri" w:eastAsia="Times New Roman" w:hAnsi="Calibri" w:cs="Calibri"/>
      <w:lang w:eastAsia="es-ES"/>
    </w:rPr>
  </w:style>
  <w:style w:type="character" w:customStyle="1" w:styleId="leftside">
    <w:name w:val="left_side"/>
    <w:basedOn w:val="Fuentedeprrafopredeter"/>
    <w:rsid w:val="006B6A53"/>
  </w:style>
  <w:style w:type="paragraph" w:styleId="NormalWeb">
    <w:name w:val="Normal (Web)"/>
    <w:basedOn w:val="Normal"/>
    <w:unhideWhenUsed/>
    <w:rsid w:val="006B6A53"/>
    <w:pPr>
      <w:spacing w:before="100" w:beforeAutospacing="1" w:after="100" w:afterAutospacing="1" w:line="240" w:lineRule="auto"/>
    </w:pPr>
    <w:rPr>
      <w:rFonts w:ascii="Times New Roman" w:hAnsi="Times New Roman" w:cs="Times New Roman"/>
      <w:sz w:val="24"/>
      <w:szCs w:val="24"/>
    </w:rPr>
  </w:style>
  <w:style w:type="character" w:styleId="Textoennegrita">
    <w:name w:val="Strong"/>
    <w:basedOn w:val="Fuentedeprrafopredeter"/>
    <w:uiPriority w:val="22"/>
    <w:qFormat/>
    <w:rsid w:val="006B6A53"/>
    <w:rPr>
      <w:b/>
      <w:bCs/>
    </w:rPr>
  </w:style>
  <w:style w:type="paragraph" w:styleId="Sinespaciado">
    <w:name w:val="No Spacing"/>
    <w:uiPriority w:val="1"/>
    <w:qFormat/>
    <w:rsid w:val="00DE53A2"/>
    <w:pPr>
      <w:spacing w:after="0" w:line="240" w:lineRule="auto"/>
    </w:pPr>
    <w:rPr>
      <w:rFonts w:ascii="Calibri" w:eastAsia="Times New Roman" w:hAnsi="Calibri" w:cs="Calibri"/>
      <w:lang w:eastAsia="es-ES"/>
    </w:rPr>
  </w:style>
  <w:style w:type="paragraph" w:customStyle="1" w:styleId="Artculos">
    <w:name w:val="Artículos"/>
    <w:basedOn w:val="Normal"/>
    <w:rsid w:val="00850A68"/>
    <w:pPr>
      <w:spacing w:after="0" w:line="360" w:lineRule="auto"/>
    </w:pPr>
    <w:rPr>
      <w:rFonts w:ascii="Arial" w:hAnsi="Arial"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pa.org.uk/about_us.aspx" TargetMode="External"/><Relationship Id="rId13" Type="http://schemas.openxmlformats.org/officeDocument/2006/relationships/hyperlink" Target="http://www20.gencat.cat/portal/site/canviclimati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ppsso.eurostat.ec.europa.eu/nui/show.do?dataset=nama_r_e3gdp&amp;lang=en" TargetMode="External"/><Relationship Id="rId12" Type="http://schemas.openxmlformats.org/officeDocument/2006/relationships/package" Target="embeddings/Diapositiva_de_Microsoft_Office_PowerPoint1.sldx"/><Relationship Id="rId17" Type="http://schemas.openxmlformats.org/officeDocument/2006/relationships/hyperlink" Target="http://www.lne.be/themas/klimaatverandering/%20vlaams-klimaatbeleidsplan-2006-2012/flemish-climate-policy-plan-2006-012/070124%20_english_version_versie_website.pdf" TargetMode="External"/><Relationship Id="rId2" Type="http://schemas.openxmlformats.org/officeDocument/2006/relationships/styles" Target="styles.xml"/><Relationship Id="rId16" Type="http://schemas.openxmlformats.org/officeDocument/2006/relationships/hyperlink" Target="http://www.scotland.gov.uk/Resource/0042/00426134.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hyperlink" Target="http://www.keepeek.com/Digital-Asset-Management/oecd/environment/oecd-environmental-performance-reviews-belgium-2007_9789264031128-en" TargetMode="External"/><Relationship Id="rId10" Type="http://schemas.openxmlformats.org/officeDocument/2006/relationships/hyperlink" Target="http://www.vlaandereninactie.be/sites/default/files/%20english_summary_of_the_flemish_reform_program.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government.se/content/%201/c6/02/58/45/ed0a44a4.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europapress.es/epsocial/naturaleza-00323/noticia-cataluna-anuncia-ley-cambio-climatico-incluira-aspectos-fiscalidad-verde-20120611190053.html" TargetMode="External"/><Relationship Id="rId2" Type="http://schemas.openxmlformats.org/officeDocument/2006/relationships/hyperlink" Target="http://www20.gencat.cat/portal/site/canviclimatic/menuitem.daafef89898de25e9b85ea75b0c0e1a0/%20?vgnextoid=169ae9d6f97d6210VgnVCM1000008d0c1e0aRCRD&amp;vgnextchannel=169ae9d6f97d6210VgnVCM1000008d0c1e0aRCRD&amp;vgnextfmt=default" TargetMode="External"/><Relationship Id="rId1" Type="http://schemas.openxmlformats.org/officeDocument/2006/relationships/hyperlink" Target="http://news.bbc.co.uk/2/shared/bsp/hi/pdfs/11_05_07_agreement.pdf" TargetMode="External"/><Relationship Id="rId5" Type="http://schemas.openxmlformats.org/officeDocument/2006/relationships/hyperlink" Target="http://ccaa.elpais.com/ccaa/2013/06/20/catalunya/1371720484_228298.html" TargetMode="External"/><Relationship Id="rId4" Type="http://schemas.openxmlformats.org/officeDocument/2006/relationships/hyperlink" Target="http://www20.gencat.cat/portal/site/canviclimatic/menuitem.19a41a24dc847ece9b85ea75b0c0e1a0/?vgnextoid=df80dcc12a098210VgnVCM1000008d0c1e0aRCRD&amp;vgnextchannel=df80dcc12a098210VgnVCM1000008d0c1e0aRCRD&amp;vgnextfmt=detall&amp;contentid=58bc01be37fd7310VgnVCM1000008d0c1e0aRCRD&amp;newLang=es_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3E602E-7EB2-430F-B7A0-3C2CF4DBA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26</Pages>
  <Words>8274</Words>
  <Characters>45509</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UPV-EHU</Company>
  <LinksUpToDate>false</LinksUpToDate>
  <CharactersWithSpaces>53676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cppdebaa</dc:creator>
  <cp:keywords/>
  <dc:description/>
  <cp:lastModifiedBy>ALBERTO</cp:lastModifiedBy>
  <cp:revision>4</cp:revision>
  <dcterms:created xsi:type="dcterms:W3CDTF">2013-09-06T11:58:00Z</dcterms:created>
  <dcterms:modified xsi:type="dcterms:W3CDTF">2013-09-10T17:06:00Z</dcterms:modified>
</cp:coreProperties>
</file>