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drawings/drawing3.xml" ContentType="application/vnd.openxmlformats-officedocument.drawingml.chartshap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rawings/drawing1.xml" ContentType="application/vnd.openxmlformats-officedocument.drawingml.chartshapes+xml"/>
  <Override PartName="/word/drawings/drawing2.xml" ContentType="application/vnd.openxmlformats-officedocument.drawingml.chartshape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44A4" w:rsidRPr="00F575C5" w:rsidRDefault="007244A4" w:rsidP="00B86037">
      <w:pPr>
        <w:jc w:val="both"/>
        <w:rPr>
          <w:rFonts w:ascii="Times New Roman" w:hAnsi="Times New Roman" w:cs="Times New Roman"/>
          <w:sz w:val="36"/>
          <w:szCs w:val="36"/>
        </w:rPr>
      </w:pPr>
      <w:r w:rsidRPr="00F575C5">
        <w:rPr>
          <w:rFonts w:ascii="Times New Roman" w:hAnsi="Times New Roman" w:cs="Times New Roman"/>
          <w:sz w:val="36"/>
          <w:szCs w:val="36"/>
        </w:rPr>
        <w:t>Instituciones, derechos de propiedad y credibilidad del compromiso: El caso de YPF-Repsol en Argentina</w:t>
      </w:r>
    </w:p>
    <w:p w:rsidR="007244A4" w:rsidRPr="00F575C5" w:rsidRDefault="007244A4" w:rsidP="007244A4">
      <w:pPr>
        <w:rPr>
          <w:rFonts w:ascii="Times New Roman" w:hAnsi="Times New Roman" w:cs="Times New Roman"/>
          <w:sz w:val="36"/>
          <w:szCs w:val="36"/>
        </w:rPr>
      </w:pPr>
    </w:p>
    <w:p w:rsidR="007244A4" w:rsidRPr="00F575C5" w:rsidRDefault="007244A4" w:rsidP="007244A4">
      <w:pPr>
        <w:tabs>
          <w:tab w:val="left" w:pos="3060"/>
        </w:tabs>
        <w:spacing w:after="0" w:line="240" w:lineRule="auto"/>
        <w:rPr>
          <w:rFonts w:ascii="Times New Roman" w:hAnsi="Times New Roman" w:cs="Times New Roman"/>
          <w:sz w:val="24"/>
          <w:szCs w:val="24"/>
        </w:rPr>
      </w:pPr>
      <w:r w:rsidRPr="00F575C5">
        <w:rPr>
          <w:rFonts w:ascii="Times New Roman" w:hAnsi="Times New Roman" w:cs="Times New Roman"/>
          <w:sz w:val="24"/>
          <w:szCs w:val="24"/>
        </w:rPr>
        <w:t xml:space="preserve">Raquel Fernández </w:t>
      </w:r>
      <w:r w:rsidR="0062157C" w:rsidRPr="00F575C5">
        <w:rPr>
          <w:rFonts w:ascii="Times New Roman" w:hAnsi="Times New Roman" w:cs="Times New Roman"/>
          <w:sz w:val="24"/>
          <w:szCs w:val="24"/>
        </w:rPr>
        <w:t>González</w:t>
      </w:r>
    </w:p>
    <w:p w:rsidR="007244A4" w:rsidRPr="00F575C5" w:rsidRDefault="007244A4" w:rsidP="007244A4">
      <w:pPr>
        <w:tabs>
          <w:tab w:val="left" w:pos="3060"/>
        </w:tabs>
        <w:spacing w:after="0" w:line="240" w:lineRule="auto"/>
        <w:rPr>
          <w:rFonts w:ascii="Times New Roman" w:hAnsi="Times New Roman" w:cs="Times New Roman"/>
          <w:sz w:val="24"/>
          <w:szCs w:val="24"/>
        </w:rPr>
      </w:pPr>
      <w:r w:rsidRPr="00F575C5">
        <w:rPr>
          <w:rFonts w:ascii="Times New Roman" w:hAnsi="Times New Roman" w:cs="Times New Roman"/>
          <w:sz w:val="24"/>
          <w:szCs w:val="24"/>
        </w:rPr>
        <w:t>Universidad de Vigo, grupo ERENEA.</w:t>
      </w:r>
    </w:p>
    <w:p w:rsidR="007244A4" w:rsidRDefault="007244A4" w:rsidP="007244A4">
      <w:pPr>
        <w:tabs>
          <w:tab w:val="left" w:pos="3060"/>
        </w:tabs>
        <w:spacing w:after="0" w:line="240" w:lineRule="auto"/>
        <w:rPr>
          <w:rFonts w:ascii="Times New Roman" w:hAnsi="Times New Roman" w:cs="Times New Roman"/>
          <w:sz w:val="24"/>
          <w:szCs w:val="24"/>
        </w:rPr>
      </w:pPr>
      <w:r w:rsidRPr="00F575C5">
        <w:rPr>
          <w:rFonts w:ascii="Times New Roman" w:hAnsi="Times New Roman" w:cs="Times New Roman"/>
          <w:sz w:val="24"/>
          <w:szCs w:val="24"/>
        </w:rPr>
        <w:t>raquelf@uvigo.es</w:t>
      </w:r>
    </w:p>
    <w:p w:rsidR="00CC44BF" w:rsidRDefault="00CC44BF" w:rsidP="007244A4">
      <w:pPr>
        <w:tabs>
          <w:tab w:val="left" w:pos="3060"/>
        </w:tabs>
        <w:spacing w:after="0" w:line="240" w:lineRule="auto"/>
        <w:rPr>
          <w:rFonts w:ascii="Times New Roman" w:hAnsi="Times New Roman" w:cs="Times New Roman"/>
          <w:sz w:val="24"/>
          <w:szCs w:val="24"/>
        </w:rPr>
      </w:pPr>
    </w:p>
    <w:p w:rsidR="00CC44BF" w:rsidRDefault="00CC44BF" w:rsidP="007244A4">
      <w:pPr>
        <w:tabs>
          <w:tab w:val="left" w:pos="3060"/>
        </w:tabs>
        <w:spacing w:after="0" w:line="240" w:lineRule="auto"/>
        <w:rPr>
          <w:rFonts w:ascii="Times New Roman" w:hAnsi="Times New Roman" w:cs="Times New Roman"/>
          <w:sz w:val="24"/>
          <w:szCs w:val="24"/>
        </w:rPr>
      </w:pPr>
    </w:p>
    <w:p w:rsidR="00CC44BF" w:rsidRDefault="00CC44BF" w:rsidP="007244A4">
      <w:pPr>
        <w:tabs>
          <w:tab w:val="left" w:pos="3060"/>
        </w:tabs>
        <w:spacing w:after="0" w:line="240" w:lineRule="auto"/>
        <w:rPr>
          <w:rFonts w:ascii="Times New Roman" w:hAnsi="Times New Roman" w:cs="Times New Roman"/>
          <w:sz w:val="24"/>
          <w:szCs w:val="24"/>
        </w:rPr>
      </w:pPr>
    </w:p>
    <w:p w:rsidR="00CC44BF" w:rsidRDefault="00CC44BF" w:rsidP="007244A4">
      <w:pPr>
        <w:tabs>
          <w:tab w:val="left" w:pos="3060"/>
        </w:tabs>
        <w:spacing w:after="0" w:line="240" w:lineRule="auto"/>
        <w:rPr>
          <w:rFonts w:ascii="Times New Roman" w:hAnsi="Times New Roman" w:cs="Times New Roman"/>
          <w:sz w:val="24"/>
          <w:szCs w:val="24"/>
        </w:rPr>
      </w:pPr>
    </w:p>
    <w:p w:rsidR="00CC44BF" w:rsidRPr="00F575C5" w:rsidRDefault="00CC44BF" w:rsidP="007244A4">
      <w:pPr>
        <w:tabs>
          <w:tab w:val="left" w:pos="3060"/>
        </w:tabs>
        <w:spacing w:after="0" w:line="240" w:lineRule="auto"/>
        <w:rPr>
          <w:rFonts w:ascii="Times New Roman" w:hAnsi="Times New Roman" w:cs="Times New Roman"/>
          <w:sz w:val="24"/>
          <w:szCs w:val="24"/>
        </w:rPr>
      </w:pPr>
    </w:p>
    <w:p w:rsidR="007244A4" w:rsidRPr="00CC44BF" w:rsidRDefault="007244A4" w:rsidP="00CC44BF">
      <w:pPr>
        <w:pStyle w:val="Ttulo1"/>
        <w:spacing w:before="0"/>
        <w:jc w:val="both"/>
        <w:rPr>
          <w:rFonts w:ascii="Times New Roman" w:hAnsi="Times New Roman" w:cs="Times New Roman"/>
          <w:color w:val="auto"/>
          <w:sz w:val="24"/>
          <w:szCs w:val="24"/>
        </w:rPr>
      </w:pPr>
      <w:r w:rsidRPr="00CC44BF">
        <w:rPr>
          <w:rFonts w:ascii="Times New Roman" w:hAnsi="Times New Roman" w:cs="Times New Roman"/>
          <w:color w:val="auto"/>
          <w:sz w:val="24"/>
          <w:szCs w:val="24"/>
        </w:rPr>
        <w:t>Resumen</w:t>
      </w:r>
    </w:p>
    <w:p w:rsidR="00CC44BF" w:rsidRPr="00CC44BF" w:rsidRDefault="00CC44BF" w:rsidP="00CC44BF">
      <w:pPr>
        <w:spacing w:after="0"/>
      </w:pPr>
    </w:p>
    <w:p w:rsidR="007244A4" w:rsidRPr="007244A4" w:rsidRDefault="007244A4" w:rsidP="00CC44BF">
      <w:pPr>
        <w:pStyle w:val="Ttulo1"/>
        <w:spacing w:before="0"/>
        <w:jc w:val="both"/>
        <w:rPr>
          <w:rFonts w:ascii="Times New Roman" w:hAnsi="Times New Roman" w:cs="Times New Roman"/>
          <w:b w:val="0"/>
          <w:color w:val="auto"/>
          <w:sz w:val="24"/>
          <w:szCs w:val="24"/>
        </w:rPr>
      </w:pPr>
      <w:r w:rsidRPr="00F575C5">
        <w:rPr>
          <w:rFonts w:ascii="Times New Roman" w:hAnsi="Times New Roman" w:cs="Times New Roman"/>
          <w:b w:val="0"/>
          <w:color w:val="auto"/>
          <w:sz w:val="24"/>
          <w:szCs w:val="24"/>
        </w:rPr>
        <w:t xml:space="preserve">Argentina es una de las mayores potencias </w:t>
      </w:r>
      <w:r w:rsidR="00320681">
        <w:rPr>
          <w:rFonts w:ascii="Times New Roman" w:hAnsi="Times New Roman" w:cs="Times New Roman"/>
          <w:b w:val="0"/>
          <w:color w:val="auto"/>
          <w:sz w:val="24"/>
          <w:szCs w:val="24"/>
        </w:rPr>
        <w:t xml:space="preserve">latinas </w:t>
      </w:r>
      <w:r w:rsidRPr="00F575C5">
        <w:rPr>
          <w:rFonts w:ascii="Times New Roman" w:hAnsi="Times New Roman" w:cs="Times New Roman"/>
          <w:b w:val="0"/>
          <w:color w:val="auto"/>
          <w:sz w:val="24"/>
          <w:szCs w:val="24"/>
        </w:rPr>
        <w:t>en hidrocarburos. En la década de los noventa, el país decide poner en marcha un plan de liberalización y privatización de la industria de hidrocarburos. Así, en 1999, Repsol se convierte en accionista mayoritario de YPF. Sin embargo, trece años después, YPF</w:t>
      </w:r>
      <w:r w:rsidRPr="007244A4">
        <w:rPr>
          <w:rFonts w:ascii="Times New Roman" w:hAnsi="Times New Roman" w:cs="Times New Roman"/>
          <w:b w:val="0"/>
          <w:color w:val="auto"/>
          <w:sz w:val="24"/>
          <w:szCs w:val="24"/>
        </w:rPr>
        <w:t xml:space="preserve"> es expropiada por el gobierno argentino. Este hecho pone de relieve que el frágil entramado institucional argentino promueve la incerteza e inestabilidad, debilitando así la inversión extranjera en el país. Bajo la perspectiva de la Nueva Economía Institucional, este artículo analiza los fundamentos institucionales de las políticas públicas en Argentina y la importancia de que exista un marco institucional creíble, el cual origine un compromiso que garantice los derechos de propiedad y fomente la senda del crecimiento económico.</w:t>
      </w:r>
    </w:p>
    <w:p w:rsidR="007244A4" w:rsidRPr="00EA054D" w:rsidRDefault="007244A4" w:rsidP="007244A4">
      <w:pPr>
        <w:pStyle w:val="Ttulo1"/>
        <w:jc w:val="both"/>
        <w:rPr>
          <w:rFonts w:ascii="Times New Roman" w:hAnsi="Times New Roman" w:cs="Times New Roman"/>
          <w:b w:val="0"/>
          <w:i/>
          <w:color w:val="auto"/>
          <w:sz w:val="24"/>
          <w:szCs w:val="24"/>
        </w:rPr>
      </w:pPr>
      <w:r w:rsidRPr="00EA054D">
        <w:rPr>
          <w:rFonts w:ascii="Times New Roman" w:hAnsi="Times New Roman" w:cs="Times New Roman"/>
          <w:b w:val="0"/>
          <w:i/>
          <w:color w:val="auto"/>
          <w:sz w:val="24"/>
          <w:szCs w:val="24"/>
        </w:rPr>
        <w:t xml:space="preserve">Palabras claves: derechos de propiedad, instituciones, credibilidad, recursos naturales, Argentina. </w:t>
      </w:r>
    </w:p>
    <w:p w:rsidR="00CF304A" w:rsidRPr="00CF304A" w:rsidRDefault="00CF304A" w:rsidP="00CF304A"/>
    <w:p w:rsidR="007244A4" w:rsidRPr="00CF304A" w:rsidRDefault="00CF304A" w:rsidP="00CF304A">
      <w:pPr>
        <w:rPr>
          <w:rFonts w:ascii="Times New Roman" w:hAnsi="Times New Roman" w:cs="Times New Roman"/>
          <w:sz w:val="24"/>
          <w:szCs w:val="24"/>
        </w:rPr>
      </w:pPr>
      <w:r w:rsidRPr="00CF304A">
        <w:rPr>
          <w:rFonts w:ascii="Times New Roman" w:hAnsi="Times New Roman" w:cs="Times New Roman"/>
          <w:sz w:val="24"/>
          <w:szCs w:val="24"/>
        </w:rPr>
        <w:t xml:space="preserve">Nota biográfica: </w:t>
      </w:r>
      <w:r w:rsidR="008F193C">
        <w:rPr>
          <w:rFonts w:ascii="Times New Roman" w:hAnsi="Times New Roman" w:cs="Times New Roman"/>
          <w:sz w:val="24"/>
          <w:szCs w:val="24"/>
        </w:rPr>
        <w:t>Licenciada en Economía por la Universidad de Vigo. Candidata a doctora (Universidad de Vigo).</w:t>
      </w:r>
    </w:p>
    <w:p w:rsidR="00CF304A" w:rsidRPr="00CF304A" w:rsidRDefault="00CF304A" w:rsidP="00CF304A"/>
    <w:p w:rsidR="00543765" w:rsidRPr="008A0273" w:rsidRDefault="008A0273" w:rsidP="008A0273">
      <w:pPr>
        <w:pStyle w:val="Prrafodelista"/>
        <w:ind w:left="0"/>
        <w:rPr>
          <w:rFonts w:ascii="Times New Roman" w:hAnsi="Times New Roman" w:cs="Times New Roman"/>
          <w:b/>
          <w:sz w:val="24"/>
          <w:szCs w:val="24"/>
        </w:rPr>
      </w:pPr>
      <w:r>
        <w:rPr>
          <w:rFonts w:ascii="Times New Roman" w:hAnsi="Times New Roman" w:cs="Times New Roman"/>
          <w:b/>
          <w:sz w:val="24"/>
          <w:szCs w:val="24"/>
        </w:rPr>
        <w:t xml:space="preserve">1. </w:t>
      </w:r>
      <w:r w:rsidR="00F575C5" w:rsidRPr="008A0273">
        <w:rPr>
          <w:rFonts w:ascii="Times New Roman" w:hAnsi="Times New Roman" w:cs="Times New Roman"/>
          <w:b/>
          <w:sz w:val="24"/>
          <w:szCs w:val="24"/>
        </w:rPr>
        <w:t>Introducción</w:t>
      </w:r>
    </w:p>
    <w:p w:rsidR="00FA6AFF" w:rsidRDefault="00DE4BF7" w:rsidP="00DE4BF7">
      <w:pPr>
        <w:jc w:val="both"/>
        <w:rPr>
          <w:rFonts w:ascii="Times New Roman" w:hAnsi="Times New Roman" w:cs="Times New Roman"/>
          <w:sz w:val="24"/>
          <w:szCs w:val="24"/>
        </w:rPr>
      </w:pPr>
      <w:r>
        <w:rPr>
          <w:rFonts w:ascii="Times New Roman" w:hAnsi="Times New Roman" w:cs="Times New Roman"/>
          <w:sz w:val="24"/>
          <w:szCs w:val="24"/>
        </w:rPr>
        <w:t>En abril de 2012, se consumó l</w:t>
      </w:r>
      <w:r w:rsidR="00413077">
        <w:rPr>
          <w:rFonts w:ascii="Times New Roman" w:hAnsi="Times New Roman" w:cs="Times New Roman"/>
          <w:sz w:val="24"/>
          <w:szCs w:val="24"/>
        </w:rPr>
        <w:t>a nacionalización de YPF</w:t>
      </w:r>
      <w:r>
        <w:rPr>
          <w:rFonts w:ascii="Times New Roman" w:hAnsi="Times New Roman" w:cs="Times New Roman"/>
          <w:sz w:val="24"/>
          <w:szCs w:val="24"/>
        </w:rPr>
        <w:t xml:space="preserve"> por parte del Estado argentino. Su presiden</w:t>
      </w:r>
      <w:r w:rsidR="00FA6AFF">
        <w:rPr>
          <w:rFonts w:ascii="Times New Roman" w:hAnsi="Times New Roman" w:cs="Times New Roman"/>
          <w:sz w:val="24"/>
          <w:szCs w:val="24"/>
        </w:rPr>
        <w:t>ta</w:t>
      </w:r>
      <w:r>
        <w:rPr>
          <w:rFonts w:ascii="Times New Roman" w:hAnsi="Times New Roman" w:cs="Times New Roman"/>
          <w:sz w:val="24"/>
          <w:szCs w:val="24"/>
        </w:rPr>
        <w:t>, Cristina Fernández de Kirchner, ratificaba el decreto por el cual la empresa, de</w:t>
      </w:r>
      <w:r w:rsidR="00FA6AFF">
        <w:rPr>
          <w:rFonts w:ascii="Times New Roman" w:hAnsi="Times New Roman" w:cs="Times New Roman"/>
          <w:sz w:val="24"/>
          <w:szCs w:val="24"/>
        </w:rPr>
        <w:t>dicada al sector energético, era</w:t>
      </w:r>
      <w:r>
        <w:rPr>
          <w:rFonts w:ascii="Times New Roman" w:hAnsi="Times New Roman" w:cs="Times New Roman"/>
          <w:sz w:val="24"/>
          <w:szCs w:val="24"/>
        </w:rPr>
        <w:t xml:space="preserve"> declarada de utilidad pública. Este fue el culmen del deterioro de las relaciones existentes entre Repsol y </w:t>
      </w:r>
      <w:r w:rsidR="00814AD5">
        <w:rPr>
          <w:rFonts w:ascii="Times New Roman" w:hAnsi="Times New Roman" w:cs="Times New Roman"/>
          <w:sz w:val="24"/>
          <w:szCs w:val="24"/>
        </w:rPr>
        <w:t>Argentina. A</w:t>
      </w:r>
      <w:r w:rsidR="00792EE9">
        <w:rPr>
          <w:rFonts w:ascii="Times New Roman" w:hAnsi="Times New Roman" w:cs="Times New Roman"/>
          <w:sz w:val="24"/>
          <w:szCs w:val="24"/>
        </w:rPr>
        <w:t>unque meses atrás, la retirada de licencias por parte de algunas regiones</w:t>
      </w:r>
      <w:r w:rsidR="00814AD5">
        <w:rPr>
          <w:rFonts w:ascii="Times New Roman" w:hAnsi="Times New Roman" w:cs="Times New Roman"/>
          <w:sz w:val="24"/>
          <w:szCs w:val="24"/>
        </w:rPr>
        <w:t>,</w:t>
      </w:r>
      <w:r w:rsidR="00792EE9">
        <w:rPr>
          <w:rFonts w:ascii="Times New Roman" w:hAnsi="Times New Roman" w:cs="Times New Roman"/>
          <w:sz w:val="24"/>
          <w:szCs w:val="24"/>
        </w:rPr>
        <w:t xml:space="preserve"> como Neuquén y Mendoza ya hacían presagiar el desenlace final.</w:t>
      </w:r>
      <w:r w:rsidR="00FA6AFF">
        <w:rPr>
          <w:rFonts w:ascii="Times New Roman" w:hAnsi="Times New Roman" w:cs="Times New Roman"/>
          <w:sz w:val="24"/>
          <w:szCs w:val="24"/>
        </w:rPr>
        <w:t xml:space="preserve"> Las razones por las cuales se justific</w:t>
      </w:r>
      <w:r w:rsidR="00814AD5">
        <w:rPr>
          <w:rFonts w:ascii="Times New Roman" w:hAnsi="Times New Roman" w:cs="Times New Roman"/>
          <w:sz w:val="24"/>
          <w:szCs w:val="24"/>
        </w:rPr>
        <w:t>ó este proceso</w:t>
      </w:r>
      <w:r w:rsidR="00030410">
        <w:rPr>
          <w:rFonts w:ascii="Times New Roman" w:hAnsi="Times New Roman" w:cs="Times New Roman"/>
          <w:sz w:val="24"/>
          <w:szCs w:val="24"/>
        </w:rPr>
        <w:t xml:space="preserve"> fueron la falta de inversión de</w:t>
      </w:r>
      <w:r w:rsidR="00FA6AFF">
        <w:rPr>
          <w:rFonts w:ascii="Times New Roman" w:hAnsi="Times New Roman" w:cs="Times New Roman"/>
          <w:sz w:val="24"/>
          <w:szCs w:val="24"/>
        </w:rPr>
        <w:t xml:space="preserve"> Repsol </w:t>
      </w:r>
      <w:r w:rsidR="00030410">
        <w:rPr>
          <w:rFonts w:ascii="Times New Roman" w:hAnsi="Times New Roman" w:cs="Times New Roman"/>
          <w:sz w:val="24"/>
          <w:szCs w:val="24"/>
        </w:rPr>
        <w:t>y la consecución del</w:t>
      </w:r>
      <w:r w:rsidR="00F97375">
        <w:rPr>
          <w:rFonts w:ascii="Times New Roman" w:hAnsi="Times New Roman" w:cs="Times New Roman"/>
          <w:sz w:val="24"/>
          <w:szCs w:val="24"/>
        </w:rPr>
        <w:t xml:space="preserve"> autoabastecimiento energético, a</w:t>
      </w:r>
      <w:r w:rsidR="00814AD5">
        <w:rPr>
          <w:rFonts w:ascii="Times New Roman" w:hAnsi="Times New Roman" w:cs="Times New Roman"/>
          <w:sz w:val="24"/>
          <w:szCs w:val="24"/>
        </w:rPr>
        <w:t>unque hay indicios de que existe</w:t>
      </w:r>
      <w:r w:rsidR="00F97375">
        <w:rPr>
          <w:rFonts w:ascii="Times New Roman" w:hAnsi="Times New Roman" w:cs="Times New Roman"/>
          <w:sz w:val="24"/>
          <w:szCs w:val="24"/>
        </w:rPr>
        <w:t xml:space="preserve">n otros motivos para </w:t>
      </w:r>
      <w:r w:rsidR="00F97375">
        <w:rPr>
          <w:rFonts w:ascii="Times New Roman" w:hAnsi="Times New Roman" w:cs="Times New Roman"/>
          <w:sz w:val="24"/>
          <w:szCs w:val="24"/>
        </w:rPr>
        <w:lastRenderedPageBreak/>
        <w:t>llevar a cabo la nacionalización</w:t>
      </w:r>
      <w:r w:rsidR="004B0C1F">
        <w:rPr>
          <w:rFonts w:ascii="Times New Roman" w:hAnsi="Times New Roman" w:cs="Times New Roman"/>
          <w:sz w:val="24"/>
          <w:szCs w:val="24"/>
        </w:rPr>
        <w:t xml:space="preserve">, </w:t>
      </w:r>
      <w:r w:rsidR="00F97375">
        <w:rPr>
          <w:rFonts w:ascii="Times New Roman" w:hAnsi="Times New Roman" w:cs="Times New Roman"/>
          <w:sz w:val="24"/>
          <w:szCs w:val="24"/>
        </w:rPr>
        <w:t xml:space="preserve">como el descubrimiento del yacimiento de Vaca Muerta, </w:t>
      </w:r>
      <w:r w:rsidR="00F37A64">
        <w:rPr>
          <w:rFonts w:ascii="Times New Roman" w:hAnsi="Times New Roman" w:cs="Times New Roman"/>
          <w:sz w:val="24"/>
          <w:szCs w:val="24"/>
        </w:rPr>
        <w:t xml:space="preserve">el cual aumentaría las reservas de gas y petróleo del país sustancialmente. </w:t>
      </w:r>
    </w:p>
    <w:p w:rsidR="00775422" w:rsidRDefault="004B0C1F" w:rsidP="00775422">
      <w:pPr>
        <w:jc w:val="both"/>
        <w:rPr>
          <w:rFonts w:ascii="Times New Roman" w:hAnsi="Times New Roman" w:cs="Times New Roman"/>
          <w:sz w:val="24"/>
          <w:szCs w:val="24"/>
        </w:rPr>
      </w:pPr>
      <w:r>
        <w:rPr>
          <w:rFonts w:ascii="Times New Roman" w:hAnsi="Times New Roman" w:cs="Times New Roman"/>
          <w:sz w:val="24"/>
          <w:szCs w:val="24"/>
        </w:rPr>
        <w:t>La nacionalización ha puesto</w:t>
      </w:r>
      <w:r w:rsidR="00413077">
        <w:rPr>
          <w:rFonts w:ascii="Times New Roman" w:hAnsi="Times New Roman" w:cs="Times New Roman"/>
          <w:sz w:val="24"/>
          <w:szCs w:val="24"/>
        </w:rPr>
        <w:t xml:space="preserve"> en el punto de mira </w:t>
      </w:r>
      <w:r w:rsidR="00DE4BF7">
        <w:rPr>
          <w:rFonts w:ascii="Times New Roman" w:hAnsi="Times New Roman" w:cs="Times New Roman"/>
          <w:sz w:val="24"/>
          <w:szCs w:val="24"/>
        </w:rPr>
        <w:t>el entramado institucional del país</w:t>
      </w:r>
      <w:r w:rsidR="00821176">
        <w:rPr>
          <w:rFonts w:ascii="Times New Roman" w:hAnsi="Times New Roman" w:cs="Times New Roman"/>
          <w:sz w:val="24"/>
          <w:szCs w:val="24"/>
        </w:rPr>
        <w:t xml:space="preserve">, el cual ha quedado en entredicho después de </w:t>
      </w:r>
      <w:r w:rsidR="0078528E">
        <w:rPr>
          <w:rFonts w:ascii="Times New Roman" w:hAnsi="Times New Roman" w:cs="Times New Roman"/>
          <w:sz w:val="24"/>
          <w:szCs w:val="24"/>
        </w:rPr>
        <w:t xml:space="preserve">esta expropiación. Un entramado, el cual será objeto de estudio y el cual ayudará a esclarecer la legitimidad de la nacionalización. </w:t>
      </w:r>
      <w:r w:rsidR="00775422">
        <w:rPr>
          <w:rFonts w:ascii="Times New Roman" w:hAnsi="Times New Roman" w:cs="Times New Roman"/>
          <w:sz w:val="24"/>
          <w:szCs w:val="24"/>
        </w:rPr>
        <w:t xml:space="preserve"> En este sentido, el presente artículo ayudará a esclarecer este punto, así como hará una descripción de cuál ha sido el trayecto de la petrolera</w:t>
      </w:r>
      <w:r w:rsidR="008006C4">
        <w:rPr>
          <w:rFonts w:ascii="Times New Roman" w:hAnsi="Times New Roman" w:cs="Times New Roman"/>
          <w:sz w:val="24"/>
          <w:szCs w:val="24"/>
        </w:rPr>
        <w:t xml:space="preserve"> estatal argentina y revisará su historia. De esta forma</w:t>
      </w:r>
      <w:r w:rsidR="00814AD5">
        <w:rPr>
          <w:rFonts w:ascii="Times New Roman" w:hAnsi="Times New Roman" w:cs="Times New Roman"/>
          <w:sz w:val="24"/>
          <w:szCs w:val="24"/>
        </w:rPr>
        <w:t>,</w:t>
      </w:r>
      <w:r w:rsidR="008006C4">
        <w:rPr>
          <w:rFonts w:ascii="Times New Roman" w:hAnsi="Times New Roman" w:cs="Times New Roman"/>
          <w:sz w:val="24"/>
          <w:szCs w:val="24"/>
        </w:rPr>
        <w:t xml:space="preserve"> se busca contextualizar la decisión del gobierno argentino  </w:t>
      </w:r>
      <w:r w:rsidR="00775422">
        <w:rPr>
          <w:rFonts w:ascii="Times New Roman" w:hAnsi="Times New Roman" w:cs="Times New Roman"/>
          <w:sz w:val="24"/>
          <w:szCs w:val="24"/>
        </w:rPr>
        <w:t>y</w:t>
      </w:r>
      <w:r w:rsidR="008006C4">
        <w:rPr>
          <w:rFonts w:ascii="Times New Roman" w:hAnsi="Times New Roman" w:cs="Times New Roman"/>
          <w:sz w:val="24"/>
          <w:szCs w:val="24"/>
        </w:rPr>
        <w:t xml:space="preserve"> </w:t>
      </w:r>
      <w:r w:rsidR="00775422">
        <w:rPr>
          <w:rFonts w:ascii="Times New Roman" w:hAnsi="Times New Roman" w:cs="Times New Roman"/>
          <w:sz w:val="24"/>
          <w:szCs w:val="24"/>
        </w:rPr>
        <w:t xml:space="preserve">el impacto que ha podido tener </w:t>
      </w:r>
      <w:r w:rsidR="00814AD5">
        <w:rPr>
          <w:rFonts w:ascii="Times New Roman" w:hAnsi="Times New Roman" w:cs="Times New Roman"/>
          <w:sz w:val="24"/>
          <w:szCs w:val="24"/>
        </w:rPr>
        <w:t xml:space="preserve">esta </w:t>
      </w:r>
      <w:r w:rsidR="00775422">
        <w:rPr>
          <w:rFonts w:ascii="Times New Roman" w:hAnsi="Times New Roman" w:cs="Times New Roman"/>
          <w:sz w:val="24"/>
          <w:szCs w:val="24"/>
        </w:rPr>
        <w:t>en la economía del país. Todo ello fundamentado en la relación existente entre el cambio institucional y el desarrollo económico</w:t>
      </w:r>
      <w:r w:rsidR="00814AD5">
        <w:rPr>
          <w:rFonts w:ascii="Times New Roman" w:hAnsi="Times New Roman" w:cs="Times New Roman"/>
          <w:sz w:val="24"/>
          <w:szCs w:val="24"/>
        </w:rPr>
        <w:t>.</w:t>
      </w:r>
    </w:p>
    <w:p w:rsidR="00775422" w:rsidRDefault="00775422" w:rsidP="00DE4BF7">
      <w:pPr>
        <w:jc w:val="both"/>
        <w:rPr>
          <w:rFonts w:ascii="Times New Roman" w:hAnsi="Times New Roman" w:cs="Times New Roman"/>
          <w:sz w:val="24"/>
          <w:szCs w:val="24"/>
        </w:rPr>
      </w:pPr>
      <w:r>
        <w:rPr>
          <w:rFonts w:ascii="Times New Roman" w:hAnsi="Times New Roman" w:cs="Times New Roman"/>
          <w:sz w:val="24"/>
          <w:szCs w:val="24"/>
        </w:rPr>
        <w:t>P</w:t>
      </w:r>
      <w:r w:rsidR="00B76287">
        <w:rPr>
          <w:rFonts w:ascii="Times New Roman" w:hAnsi="Times New Roman" w:cs="Times New Roman"/>
          <w:sz w:val="24"/>
          <w:szCs w:val="24"/>
        </w:rPr>
        <w:t>or</w:t>
      </w:r>
      <w:r>
        <w:rPr>
          <w:rFonts w:ascii="Times New Roman" w:hAnsi="Times New Roman" w:cs="Times New Roman"/>
          <w:sz w:val="24"/>
          <w:szCs w:val="24"/>
        </w:rPr>
        <w:t xml:space="preserve"> ello</w:t>
      </w:r>
      <w:r w:rsidR="008006C4">
        <w:rPr>
          <w:rFonts w:ascii="Times New Roman" w:hAnsi="Times New Roman" w:cs="Times New Roman"/>
          <w:sz w:val="24"/>
          <w:szCs w:val="24"/>
        </w:rPr>
        <w:t>,</w:t>
      </w:r>
      <w:r>
        <w:rPr>
          <w:rFonts w:ascii="Times New Roman" w:hAnsi="Times New Roman" w:cs="Times New Roman"/>
          <w:sz w:val="24"/>
          <w:szCs w:val="24"/>
        </w:rPr>
        <w:t xml:space="preserve"> las bases teóricas que aporta la Nueva Economía Institucional (NEI) serán de gran relieve para poder definir los </w:t>
      </w:r>
      <w:r w:rsidRPr="00775422">
        <w:rPr>
          <w:rFonts w:ascii="Times New Roman" w:hAnsi="Times New Roman" w:cs="Times New Roman"/>
          <w:sz w:val="24"/>
          <w:szCs w:val="24"/>
        </w:rPr>
        <w:t xml:space="preserve">fenómenos sociales, políticos y económicos que envuelven este </w:t>
      </w:r>
      <w:r w:rsidR="00A470B5">
        <w:rPr>
          <w:rFonts w:ascii="Times New Roman" w:hAnsi="Times New Roman" w:cs="Times New Roman"/>
          <w:sz w:val="24"/>
          <w:szCs w:val="24"/>
        </w:rPr>
        <w:t>suceso</w:t>
      </w:r>
      <w:r w:rsidRPr="00775422">
        <w:rPr>
          <w:rFonts w:ascii="Times New Roman" w:hAnsi="Times New Roman" w:cs="Times New Roman"/>
          <w:sz w:val="24"/>
          <w:szCs w:val="24"/>
        </w:rPr>
        <w:t>.</w:t>
      </w:r>
      <w:r w:rsidR="00A470B5">
        <w:rPr>
          <w:rFonts w:ascii="Calibri" w:hAnsi="Calibri"/>
          <w:lang w:val="es-ES_tradnl"/>
        </w:rPr>
        <w:t xml:space="preserve"> </w:t>
      </w:r>
      <w:r w:rsidR="00A470B5" w:rsidRPr="00A470B5">
        <w:rPr>
          <w:rFonts w:ascii="Times New Roman" w:hAnsi="Times New Roman" w:cs="Times New Roman"/>
          <w:sz w:val="24"/>
          <w:szCs w:val="24"/>
          <w:lang w:val="es-ES_tradnl"/>
        </w:rPr>
        <w:t>Lograr</w:t>
      </w:r>
      <w:r w:rsidR="00A470B5" w:rsidRPr="00A470B5">
        <w:rPr>
          <w:rFonts w:ascii="Times New Roman" w:hAnsi="Times New Roman" w:cs="Times New Roman"/>
          <w:sz w:val="24"/>
          <w:szCs w:val="24"/>
        </w:rPr>
        <w:t xml:space="preserve"> una adecuada comprensión</w:t>
      </w:r>
      <w:r w:rsidR="00A470B5">
        <w:rPr>
          <w:rFonts w:ascii="Times New Roman" w:hAnsi="Times New Roman" w:cs="Times New Roman"/>
          <w:sz w:val="24"/>
          <w:szCs w:val="24"/>
        </w:rPr>
        <w:t xml:space="preserve"> del caso argentino ayudará a extraer lecciones relevantes para economías </w:t>
      </w:r>
      <w:r w:rsidR="008006C4">
        <w:rPr>
          <w:rFonts w:ascii="Times New Roman" w:hAnsi="Times New Roman" w:cs="Times New Roman"/>
          <w:sz w:val="24"/>
          <w:szCs w:val="24"/>
        </w:rPr>
        <w:t>latinoamericanas</w:t>
      </w:r>
      <w:r w:rsidR="001C0A37">
        <w:rPr>
          <w:rFonts w:ascii="Times New Roman" w:hAnsi="Times New Roman" w:cs="Times New Roman"/>
          <w:sz w:val="24"/>
          <w:szCs w:val="24"/>
        </w:rPr>
        <w:t>,</w:t>
      </w:r>
      <w:r w:rsidR="008006C4">
        <w:rPr>
          <w:rFonts w:ascii="Times New Roman" w:hAnsi="Times New Roman" w:cs="Times New Roman"/>
          <w:sz w:val="24"/>
          <w:szCs w:val="24"/>
        </w:rPr>
        <w:t xml:space="preserve"> sobre todo en materia de protección de inversiones. </w:t>
      </w:r>
    </w:p>
    <w:p w:rsidR="00FB0129" w:rsidRDefault="00FB0129" w:rsidP="00DE4BF7">
      <w:pPr>
        <w:jc w:val="both"/>
        <w:rPr>
          <w:rFonts w:ascii="Times New Roman" w:hAnsi="Times New Roman" w:cs="Times New Roman"/>
          <w:sz w:val="24"/>
          <w:szCs w:val="24"/>
        </w:rPr>
      </w:pPr>
    </w:p>
    <w:p w:rsidR="00EE3EC0" w:rsidRPr="00CC44BF" w:rsidRDefault="008A0273" w:rsidP="00DE4BF7">
      <w:pPr>
        <w:jc w:val="both"/>
        <w:rPr>
          <w:rFonts w:ascii="Times New Roman" w:hAnsi="Times New Roman" w:cs="Times New Roman"/>
          <w:b/>
          <w:sz w:val="24"/>
          <w:szCs w:val="24"/>
        </w:rPr>
      </w:pPr>
      <w:r>
        <w:rPr>
          <w:rFonts w:ascii="Times New Roman" w:hAnsi="Times New Roman" w:cs="Times New Roman"/>
          <w:b/>
          <w:sz w:val="24"/>
          <w:szCs w:val="24"/>
        </w:rPr>
        <w:t>2. El e</w:t>
      </w:r>
      <w:r w:rsidR="00FB0129" w:rsidRPr="00CC44BF">
        <w:rPr>
          <w:rFonts w:ascii="Times New Roman" w:hAnsi="Times New Roman" w:cs="Times New Roman"/>
          <w:b/>
          <w:sz w:val="24"/>
          <w:szCs w:val="24"/>
        </w:rPr>
        <w:t>nfoque</w:t>
      </w:r>
      <w:r>
        <w:rPr>
          <w:rFonts w:ascii="Times New Roman" w:hAnsi="Times New Roman" w:cs="Times New Roman"/>
          <w:b/>
          <w:sz w:val="24"/>
          <w:szCs w:val="24"/>
        </w:rPr>
        <w:t xml:space="preserve"> de la Nueva Economía I</w:t>
      </w:r>
      <w:r w:rsidR="00FB0129" w:rsidRPr="00CC44BF">
        <w:rPr>
          <w:rFonts w:ascii="Times New Roman" w:hAnsi="Times New Roman" w:cs="Times New Roman"/>
          <w:b/>
          <w:sz w:val="24"/>
          <w:szCs w:val="24"/>
        </w:rPr>
        <w:t>nstitucional</w:t>
      </w:r>
    </w:p>
    <w:p w:rsidR="001029EE" w:rsidRPr="001029EE" w:rsidRDefault="001029EE" w:rsidP="001029EE">
      <w:pPr>
        <w:spacing w:after="120"/>
        <w:jc w:val="both"/>
        <w:rPr>
          <w:rFonts w:ascii="Times New Roman" w:hAnsi="Times New Roman" w:cs="Times New Roman"/>
          <w:sz w:val="24"/>
          <w:szCs w:val="24"/>
        </w:rPr>
      </w:pPr>
      <w:r w:rsidRPr="001029EE">
        <w:rPr>
          <w:rFonts w:ascii="Times New Roman" w:hAnsi="Times New Roman" w:cs="Times New Roman"/>
          <w:sz w:val="24"/>
          <w:szCs w:val="24"/>
        </w:rPr>
        <w:t>El impulso que ha tenido la nueva economía institucional (NEI) ha hecho que el término instituciones llegue a ser de gran relevancia. Esto no significa que</w:t>
      </w:r>
      <w:r w:rsidR="005D7D3A">
        <w:rPr>
          <w:rFonts w:ascii="Times New Roman" w:hAnsi="Times New Roman" w:cs="Times New Roman"/>
          <w:sz w:val="24"/>
          <w:szCs w:val="24"/>
        </w:rPr>
        <w:t>,</w:t>
      </w:r>
      <w:r w:rsidRPr="001029EE">
        <w:rPr>
          <w:rFonts w:ascii="Times New Roman" w:hAnsi="Times New Roman" w:cs="Times New Roman"/>
          <w:sz w:val="24"/>
          <w:szCs w:val="24"/>
        </w:rPr>
        <w:t xml:space="preserve"> ya anteriormente</w:t>
      </w:r>
      <w:r w:rsidR="005D7D3A">
        <w:rPr>
          <w:rFonts w:ascii="Times New Roman" w:hAnsi="Times New Roman" w:cs="Times New Roman"/>
          <w:sz w:val="24"/>
          <w:szCs w:val="24"/>
        </w:rPr>
        <w:t>,</w:t>
      </w:r>
      <w:r w:rsidRPr="001029EE">
        <w:rPr>
          <w:rFonts w:ascii="Times New Roman" w:hAnsi="Times New Roman" w:cs="Times New Roman"/>
          <w:sz w:val="24"/>
          <w:szCs w:val="24"/>
        </w:rPr>
        <w:t xml:space="preserve"> las instituciones no demandasen un papel de suma importancia</w:t>
      </w:r>
      <w:r w:rsidR="005D7D3A">
        <w:rPr>
          <w:rFonts w:ascii="Times New Roman" w:hAnsi="Times New Roman" w:cs="Times New Roman"/>
          <w:sz w:val="24"/>
          <w:szCs w:val="24"/>
        </w:rPr>
        <w:t>,</w:t>
      </w:r>
      <w:r w:rsidRPr="001029EE">
        <w:rPr>
          <w:rFonts w:ascii="Times New Roman" w:hAnsi="Times New Roman" w:cs="Times New Roman"/>
          <w:sz w:val="24"/>
          <w:szCs w:val="24"/>
        </w:rPr>
        <w:t xml:space="preserve"> en el análisis económico</w:t>
      </w:r>
      <w:r w:rsidR="005D7D3A">
        <w:rPr>
          <w:rFonts w:ascii="Times New Roman" w:hAnsi="Times New Roman" w:cs="Times New Roman"/>
          <w:sz w:val="24"/>
          <w:szCs w:val="24"/>
        </w:rPr>
        <w:t>,</w:t>
      </w:r>
      <w:r w:rsidRPr="001029EE">
        <w:rPr>
          <w:rFonts w:ascii="Times New Roman" w:hAnsi="Times New Roman" w:cs="Times New Roman"/>
          <w:sz w:val="24"/>
          <w:szCs w:val="24"/>
        </w:rPr>
        <w:t xml:space="preserve"> o que ciertos autores no recalasen en su trascendencia, si no que su retorno a la corriente principal de la ciencia económica no llegaría hasta finales del pasado siglo. El análisis institucional ha cobrado fuerza no solo en la economía, sino también en el conjunto de las ciencias sociales. Esta afirmación responde a que la NEI respalda la importancia de que las ciencias sociales se interrelacionen. </w:t>
      </w:r>
    </w:p>
    <w:p w:rsidR="001029EE" w:rsidRPr="007B73AE" w:rsidRDefault="001029EE" w:rsidP="007B73AE">
      <w:pPr>
        <w:autoSpaceDE w:val="0"/>
        <w:autoSpaceDN w:val="0"/>
        <w:adjustRightInd w:val="0"/>
        <w:spacing w:after="120"/>
        <w:jc w:val="both"/>
        <w:rPr>
          <w:rFonts w:ascii="Times New Roman" w:hAnsi="Times New Roman" w:cs="Times New Roman"/>
          <w:sz w:val="24"/>
          <w:szCs w:val="24"/>
          <w:lang w:val="es-ES_tradnl"/>
        </w:rPr>
      </w:pPr>
      <w:r w:rsidRPr="001029EE">
        <w:rPr>
          <w:rFonts w:ascii="Times New Roman" w:hAnsi="Times New Roman" w:cs="Times New Roman"/>
          <w:sz w:val="24"/>
          <w:szCs w:val="24"/>
        </w:rPr>
        <w:t xml:space="preserve">Las instituciones forman parte de las estructuras sociales e incluso pueden cambiar el comportamiento o las preferencias de los agentes. Uno de sus rasgos más destacables es que determinan la interacción social, pudiendo promover o contraer los intercambios en una economía. Esto sucede así ya que disminuyen o dificultan la incertidumbre a la que los individuos se ven sometidos, estimulando o desincentivando las transacciones al </w:t>
      </w:r>
      <w:r w:rsidRPr="007B73AE">
        <w:rPr>
          <w:rFonts w:ascii="Times New Roman" w:hAnsi="Times New Roman" w:cs="Times New Roman"/>
          <w:sz w:val="24"/>
          <w:szCs w:val="24"/>
        </w:rPr>
        <w:t>proporcionar más seguridad sobre cuál va a ser la actuación de los agentes económicos.</w:t>
      </w:r>
      <w:r w:rsidRPr="007B73AE">
        <w:rPr>
          <w:rFonts w:ascii="Times New Roman" w:hAnsi="Times New Roman" w:cs="Times New Roman"/>
          <w:sz w:val="24"/>
          <w:szCs w:val="24"/>
          <w:lang w:val="es-ES_tradnl"/>
        </w:rPr>
        <w:t xml:space="preserve"> </w:t>
      </w:r>
    </w:p>
    <w:p w:rsidR="00B072BB" w:rsidRDefault="007B73AE" w:rsidP="007B73AE">
      <w:pPr>
        <w:spacing w:after="120"/>
        <w:jc w:val="both"/>
        <w:rPr>
          <w:rFonts w:ascii="Times New Roman" w:hAnsi="Times New Roman" w:cs="Times New Roman"/>
          <w:sz w:val="24"/>
          <w:szCs w:val="24"/>
        </w:rPr>
      </w:pPr>
      <w:r w:rsidRPr="007B73AE">
        <w:rPr>
          <w:rFonts w:ascii="Times New Roman" w:hAnsi="Times New Roman" w:cs="Times New Roman"/>
          <w:sz w:val="24"/>
          <w:szCs w:val="24"/>
        </w:rPr>
        <w:t>At</w:t>
      </w:r>
      <w:r w:rsidR="005D7D3A">
        <w:rPr>
          <w:rFonts w:ascii="Times New Roman" w:hAnsi="Times New Roman" w:cs="Times New Roman"/>
          <w:sz w:val="24"/>
          <w:szCs w:val="24"/>
        </w:rPr>
        <w:t xml:space="preserve">endiendo a las reglas formales e </w:t>
      </w:r>
      <w:r w:rsidRPr="007B73AE">
        <w:rPr>
          <w:rFonts w:ascii="Times New Roman" w:hAnsi="Times New Roman" w:cs="Times New Roman"/>
          <w:sz w:val="24"/>
          <w:szCs w:val="24"/>
        </w:rPr>
        <w:t xml:space="preserve">informales podemos </w:t>
      </w:r>
      <w:r w:rsidR="005D7D3A" w:rsidRPr="007B73AE">
        <w:rPr>
          <w:rFonts w:ascii="Times New Roman" w:hAnsi="Times New Roman" w:cs="Times New Roman"/>
          <w:sz w:val="24"/>
          <w:szCs w:val="24"/>
        </w:rPr>
        <w:t>crearnos</w:t>
      </w:r>
      <w:r w:rsidRPr="007B73AE">
        <w:rPr>
          <w:rFonts w:ascii="Times New Roman" w:hAnsi="Times New Roman" w:cs="Times New Roman"/>
          <w:sz w:val="24"/>
          <w:szCs w:val="24"/>
        </w:rPr>
        <w:t xml:space="preserve"> una idea cie</w:t>
      </w:r>
      <w:r w:rsidR="000B163F">
        <w:rPr>
          <w:rFonts w:ascii="Times New Roman" w:hAnsi="Times New Roman" w:cs="Times New Roman"/>
          <w:sz w:val="24"/>
          <w:szCs w:val="24"/>
        </w:rPr>
        <w:t xml:space="preserve">rtamente </w:t>
      </w:r>
      <w:r w:rsidR="000B163F" w:rsidRPr="000B163F">
        <w:rPr>
          <w:rFonts w:ascii="Times New Roman" w:hAnsi="Times New Roman" w:cs="Times New Roman"/>
          <w:sz w:val="24"/>
          <w:szCs w:val="24"/>
        </w:rPr>
        <w:t>aproximada de cuál es el</w:t>
      </w:r>
      <w:r w:rsidRPr="000B163F">
        <w:rPr>
          <w:rFonts w:ascii="Times New Roman" w:hAnsi="Times New Roman" w:cs="Times New Roman"/>
          <w:sz w:val="24"/>
          <w:szCs w:val="24"/>
        </w:rPr>
        <w:t xml:space="preserve"> nivel de desarrollo</w:t>
      </w:r>
      <w:r w:rsidR="000B163F" w:rsidRPr="000B163F">
        <w:rPr>
          <w:rFonts w:ascii="Times New Roman" w:hAnsi="Times New Roman" w:cs="Times New Roman"/>
          <w:sz w:val="24"/>
          <w:szCs w:val="24"/>
        </w:rPr>
        <w:t xml:space="preserve"> de una región</w:t>
      </w:r>
      <w:r w:rsidRPr="000B163F">
        <w:rPr>
          <w:rFonts w:ascii="Times New Roman" w:hAnsi="Times New Roman" w:cs="Times New Roman"/>
          <w:sz w:val="24"/>
          <w:szCs w:val="24"/>
        </w:rPr>
        <w:t>.</w:t>
      </w:r>
      <w:r w:rsidR="000B163F" w:rsidRPr="000B163F">
        <w:rPr>
          <w:rFonts w:ascii="Times New Roman" w:hAnsi="Times New Roman" w:cs="Times New Roman"/>
          <w:sz w:val="24"/>
          <w:szCs w:val="24"/>
        </w:rPr>
        <w:t xml:space="preserve"> Aunque</w:t>
      </w:r>
      <w:r w:rsidR="005D7D3A">
        <w:rPr>
          <w:rFonts w:ascii="Times New Roman" w:hAnsi="Times New Roman" w:cs="Times New Roman"/>
          <w:sz w:val="24"/>
          <w:szCs w:val="24"/>
        </w:rPr>
        <w:t>,</w:t>
      </w:r>
      <w:r w:rsidRPr="000B163F">
        <w:rPr>
          <w:rFonts w:ascii="Times New Roman" w:hAnsi="Times New Roman" w:cs="Times New Roman"/>
          <w:sz w:val="24"/>
          <w:szCs w:val="24"/>
        </w:rPr>
        <w:t xml:space="preserve"> </w:t>
      </w:r>
      <w:r w:rsidR="000B163F" w:rsidRPr="000B163F">
        <w:rPr>
          <w:rFonts w:ascii="Times New Roman" w:hAnsi="Times New Roman" w:cs="Times New Roman"/>
          <w:sz w:val="24"/>
          <w:szCs w:val="24"/>
        </w:rPr>
        <w:t>la mera aprobación de las reglas no significa que estas se cumplan, por lo que han de existir diversos medios que permitan el cumplimiento incondicional de las mismas y así garantizar que se consiga el propósito buscado.</w:t>
      </w:r>
      <w:r w:rsidR="008F3DC6">
        <w:rPr>
          <w:rFonts w:ascii="Times New Roman" w:hAnsi="Times New Roman" w:cs="Times New Roman"/>
          <w:sz w:val="24"/>
          <w:szCs w:val="24"/>
        </w:rPr>
        <w:t xml:space="preserve"> </w:t>
      </w:r>
    </w:p>
    <w:p w:rsidR="007B73AE" w:rsidRDefault="008F3DC6" w:rsidP="007B73AE">
      <w:pPr>
        <w:spacing w:after="120"/>
        <w:jc w:val="both"/>
        <w:rPr>
          <w:rFonts w:ascii="Times New Roman" w:hAnsi="Times New Roman" w:cs="Times New Roman"/>
          <w:sz w:val="24"/>
          <w:szCs w:val="24"/>
        </w:rPr>
      </w:pPr>
      <w:r>
        <w:rPr>
          <w:rFonts w:ascii="Times New Roman" w:hAnsi="Times New Roman" w:cs="Times New Roman"/>
          <w:sz w:val="24"/>
          <w:szCs w:val="24"/>
        </w:rPr>
        <w:t>En el caso argentino, el poder judicial no promueve una total garantía en el cumplimiento de las leyes, con lo que este hecho conlleva un previsible mayor incumplimiento de las reglas. Por otro lado, que la burocracia no sea</w:t>
      </w:r>
      <w:r w:rsidR="005D7D3A">
        <w:rPr>
          <w:rFonts w:ascii="Times New Roman" w:hAnsi="Times New Roman" w:cs="Times New Roman"/>
          <w:sz w:val="24"/>
          <w:szCs w:val="24"/>
        </w:rPr>
        <w:t xml:space="preserve"> totalmente</w:t>
      </w:r>
      <w:r>
        <w:rPr>
          <w:rFonts w:ascii="Times New Roman" w:hAnsi="Times New Roman" w:cs="Times New Roman"/>
          <w:sz w:val="24"/>
          <w:szCs w:val="24"/>
        </w:rPr>
        <w:t xml:space="preserve"> </w:t>
      </w:r>
      <w:r>
        <w:rPr>
          <w:rFonts w:ascii="Times New Roman" w:hAnsi="Times New Roman" w:cs="Times New Roman"/>
          <w:sz w:val="24"/>
          <w:szCs w:val="24"/>
        </w:rPr>
        <w:lastRenderedPageBreak/>
        <w:t>eficiente implantando las políticas aún empeora la situación</w:t>
      </w:r>
      <w:r w:rsidR="00B072BB">
        <w:rPr>
          <w:rFonts w:ascii="Times New Roman" w:hAnsi="Times New Roman" w:cs="Times New Roman"/>
          <w:sz w:val="24"/>
          <w:szCs w:val="24"/>
        </w:rPr>
        <w:t>. Además, se une que en el  proceso de elaboración de políticas interactúan múltiples factores como poderes diversos, horizontes temporales varios e incentivos dispares</w:t>
      </w:r>
      <w:r w:rsidR="00283182">
        <w:rPr>
          <w:rFonts w:ascii="Times New Roman" w:hAnsi="Times New Roman" w:cs="Times New Roman"/>
          <w:sz w:val="24"/>
          <w:szCs w:val="24"/>
        </w:rPr>
        <w:t>, lo que hace que la estabilidad, coordinación, coherencia e implementación de las políticas sea mucho más árdua</w:t>
      </w:r>
      <w:r w:rsidR="00B072BB">
        <w:rPr>
          <w:rFonts w:ascii="Times New Roman" w:hAnsi="Times New Roman" w:cs="Times New Roman"/>
          <w:sz w:val="24"/>
          <w:szCs w:val="24"/>
        </w:rPr>
        <w:t>: “Argentina ejecuta pobremente sus políticas. La pobre implementación política se relaciona con la inadecuada capacidad del Estado por la falta de incentivos para investir. Esto pone de manifiesto ineficiencias en las transacciones del proceso de hacer política: los actores deben tener en cuenta y compensar los intereses de otros actores” (</w:t>
      </w:r>
      <w:r w:rsidR="00B072BB" w:rsidRPr="00B072BB">
        <w:rPr>
          <w:rFonts w:ascii="Times New Roman" w:hAnsi="Times New Roman" w:cs="Times New Roman"/>
          <w:sz w:val="24"/>
          <w:szCs w:val="24"/>
        </w:rPr>
        <w:t>Spiller, P., y Tommasi, M.</w:t>
      </w:r>
      <w:r w:rsidR="00B072BB">
        <w:rPr>
          <w:rFonts w:ascii="Times New Roman" w:hAnsi="Times New Roman" w:cs="Times New Roman"/>
          <w:sz w:val="24"/>
          <w:szCs w:val="24"/>
        </w:rPr>
        <w:t>,</w:t>
      </w:r>
      <w:r w:rsidR="00B072BB" w:rsidRPr="00B072BB">
        <w:rPr>
          <w:rFonts w:ascii="Times New Roman" w:hAnsi="Times New Roman" w:cs="Times New Roman"/>
          <w:sz w:val="24"/>
          <w:szCs w:val="24"/>
        </w:rPr>
        <w:t xml:space="preserve"> 2009</w:t>
      </w:r>
      <w:r w:rsidR="00B072BB">
        <w:rPr>
          <w:rFonts w:ascii="Times New Roman" w:hAnsi="Times New Roman" w:cs="Times New Roman"/>
          <w:sz w:val="24"/>
          <w:szCs w:val="24"/>
        </w:rPr>
        <w:t>)</w:t>
      </w:r>
      <w:r w:rsidR="00957F8C">
        <w:rPr>
          <w:rFonts w:ascii="Times New Roman" w:hAnsi="Times New Roman" w:cs="Times New Roman"/>
          <w:sz w:val="24"/>
          <w:szCs w:val="24"/>
        </w:rPr>
        <w:t>.</w:t>
      </w:r>
    </w:p>
    <w:p w:rsidR="00957F8C" w:rsidRPr="00957F8C" w:rsidRDefault="00957F8C" w:rsidP="007B73AE">
      <w:pPr>
        <w:spacing w:after="120"/>
        <w:jc w:val="both"/>
        <w:rPr>
          <w:rFonts w:ascii="Times New Roman" w:hAnsi="Times New Roman" w:cs="Times New Roman"/>
          <w:sz w:val="24"/>
          <w:szCs w:val="24"/>
        </w:rPr>
      </w:pPr>
      <w:r w:rsidRPr="00957F8C">
        <w:rPr>
          <w:rStyle w:val="hps"/>
          <w:rFonts w:ascii="Times New Roman" w:hAnsi="Times New Roman" w:cs="Times New Roman"/>
          <w:sz w:val="24"/>
          <w:szCs w:val="24"/>
        </w:rPr>
        <w:t>“Una regla</w:t>
      </w:r>
      <w:r w:rsidRPr="00957F8C">
        <w:rPr>
          <w:rFonts w:ascii="Times New Roman" w:hAnsi="Times New Roman" w:cs="Times New Roman"/>
          <w:sz w:val="24"/>
          <w:szCs w:val="24"/>
        </w:rPr>
        <w:t xml:space="preserve"> </w:t>
      </w:r>
      <w:r w:rsidRPr="00957F8C">
        <w:rPr>
          <w:rStyle w:val="hps"/>
          <w:rFonts w:ascii="Times New Roman" w:hAnsi="Times New Roman" w:cs="Times New Roman"/>
          <w:sz w:val="24"/>
          <w:szCs w:val="24"/>
        </w:rPr>
        <w:t>puede</w:t>
      </w:r>
      <w:r w:rsidRPr="00957F8C">
        <w:rPr>
          <w:rFonts w:ascii="Times New Roman" w:hAnsi="Times New Roman" w:cs="Times New Roman"/>
          <w:sz w:val="24"/>
          <w:szCs w:val="24"/>
        </w:rPr>
        <w:t xml:space="preserve"> </w:t>
      </w:r>
      <w:r w:rsidRPr="00957F8C">
        <w:rPr>
          <w:rStyle w:val="hps"/>
          <w:rFonts w:ascii="Times New Roman" w:hAnsi="Times New Roman" w:cs="Times New Roman"/>
          <w:sz w:val="24"/>
          <w:szCs w:val="24"/>
        </w:rPr>
        <w:t>establecer</w:t>
      </w:r>
      <w:r w:rsidRPr="00957F8C">
        <w:rPr>
          <w:rFonts w:ascii="Times New Roman" w:hAnsi="Times New Roman" w:cs="Times New Roman"/>
          <w:sz w:val="24"/>
          <w:szCs w:val="24"/>
        </w:rPr>
        <w:t xml:space="preserve"> </w:t>
      </w:r>
      <w:r>
        <w:rPr>
          <w:rStyle w:val="hps"/>
          <w:rFonts w:ascii="Times New Roman" w:hAnsi="Times New Roman" w:cs="Times New Roman"/>
          <w:sz w:val="24"/>
          <w:szCs w:val="24"/>
        </w:rPr>
        <w:t>un</w:t>
      </w:r>
      <w:r w:rsidRPr="00957F8C">
        <w:rPr>
          <w:rStyle w:val="hps"/>
          <w:rFonts w:ascii="Times New Roman" w:hAnsi="Times New Roman" w:cs="Times New Roman"/>
          <w:sz w:val="24"/>
          <w:szCs w:val="24"/>
        </w:rPr>
        <w:t xml:space="preserve"> compromiso</w:t>
      </w:r>
      <w:r w:rsidRPr="00957F8C">
        <w:rPr>
          <w:rFonts w:ascii="Times New Roman" w:hAnsi="Times New Roman" w:cs="Times New Roman"/>
          <w:sz w:val="24"/>
          <w:szCs w:val="24"/>
        </w:rPr>
        <w:t xml:space="preserve"> </w:t>
      </w:r>
      <w:r w:rsidRPr="00957F8C">
        <w:rPr>
          <w:rStyle w:val="hps"/>
          <w:rFonts w:ascii="Times New Roman" w:hAnsi="Times New Roman" w:cs="Times New Roman"/>
          <w:sz w:val="24"/>
          <w:szCs w:val="24"/>
        </w:rPr>
        <w:t>de dos maneras</w:t>
      </w:r>
      <w:r w:rsidRPr="00957F8C">
        <w:rPr>
          <w:rFonts w:ascii="Times New Roman" w:hAnsi="Times New Roman" w:cs="Times New Roman"/>
          <w:sz w:val="24"/>
          <w:szCs w:val="24"/>
        </w:rPr>
        <w:t xml:space="preserve">: </w:t>
      </w:r>
      <w:r>
        <w:rPr>
          <w:rStyle w:val="hps"/>
          <w:rFonts w:ascii="Times New Roman" w:hAnsi="Times New Roman" w:cs="Times New Roman"/>
          <w:sz w:val="24"/>
          <w:szCs w:val="24"/>
        </w:rPr>
        <w:t>Por un lado,</w:t>
      </w:r>
      <w:r w:rsidRPr="00957F8C">
        <w:rPr>
          <w:rStyle w:val="hps"/>
          <w:rFonts w:ascii="Times New Roman" w:hAnsi="Times New Roman" w:cs="Times New Roman"/>
          <w:sz w:val="24"/>
          <w:szCs w:val="24"/>
        </w:rPr>
        <w:t xml:space="preserve"> mediante el establecimiento de</w:t>
      </w:r>
      <w:r w:rsidRPr="00957F8C">
        <w:rPr>
          <w:rFonts w:ascii="Times New Roman" w:hAnsi="Times New Roman" w:cs="Times New Roman"/>
          <w:sz w:val="24"/>
          <w:szCs w:val="24"/>
        </w:rPr>
        <w:t xml:space="preserve"> </w:t>
      </w:r>
      <w:r w:rsidRPr="00957F8C">
        <w:rPr>
          <w:rStyle w:val="hps"/>
          <w:rFonts w:ascii="Times New Roman" w:hAnsi="Times New Roman" w:cs="Times New Roman"/>
          <w:sz w:val="24"/>
          <w:szCs w:val="24"/>
        </w:rPr>
        <w:t>un precedente</w:t>
      </w:r>
      <w:r w:rsidRPr="00957F8C">
        <w:rPr>
          <w:rFonts w:ascii="Times New Roman" w:hAnsi="Times New Roman" w:cs="Times New Roman"/>
          <w:sz w:val="24"/>
          <w:szCs w:val="24"/>
        </w:rPr>
        <w:t xml:space="preserve"> </w:t>
      </w:r>
      <w:r w:rsidRPr="00957F8C">
        <w:rPr>
          <w:rStyle w:val="hps"/>
          <w:rFonts w:ascii="Times New Roman" w:hAnsi="Times New Roman" w:cs="Times New Roman"/>
          <w:sz w:val="24"/>
          <w:szCs w:val="24"/>
        </w:rPr>
        <w:t>de</w:t>
      </w:r>
      <w:r w:rsidRPr="00957F8C">
        <w:rPr>
          <w:rFonts w:ascii="Times New Roman" w:hAnsi="Times New Roman" w:cs="Times New Roman"/>
          <w:sz w:val="24"/>
          <w:szCs w:val="24"/>
        </w:rPr>
        <w:t xml:space="preserve"> </w:t>
      </w:r>
      <w:r w:rsidRPr="00957F8C">
        <w:rPr>
          <w:rStyle w:val="hps"/>
          <w:rFonts w:ascii="Times New Roman" w:hAnsi="Times New Roman" w:cs="Times New Roman"/>
          <w:sz w:val="24"/>
          <w:szCs w:val="24"/>
        </w:rPr>
        <w:t>"</w:t>
      </w:r>
      <w:r w:rsidRPr="00957F8C">
        <w:rPr>
          <w:rFonts w:ascii="Times New Roman" w:hAnsi="Times New Roman" w:cs="Times New Roman"/>
          <w:sz w:val="24"/>
          <w:szCs w:val="24"/>
        </w:rPr>
        <w:t xml:space="preserve">comportamiento responsable", </w:t>
      </w:r>
      <w:r>
        <w:rPr>
          <w:rFonts w:ascii="Times New Roman" w:hAnsi="Times New Roman" w:cs="Times New Roman"/>
          <w:sz w:val="24"/>
          <w:szCs w:val="24"/>
        </w:rPr>
        <w:t xml:space="preserve">el cual va unido a </w:t>
      </w:r>
      <w:r w:rsidR="00A27148">
        <w:rPr>
          <w:rStyle w:val="hps"/>
          <w:rFonts w:ascii="Times New Roman" w:hAnsi="Times New Roman" w:cs="Times New Roman"/>
          <w:sz w:val="24"/>
          <w:szCs w:val="24"/>
        </w:rPr>
        <w:t>un conjunto</w:t>
      </w:r>
      <w:r w:rsidRPr="00957F8C">
        <w:rPr>
          <w:rStyle w:val="hps"/>
          <w:rFonts w:ascii="Times New Roman" w:hAnsi="Times New Roman" w:cs="Times New Roman"/>
          <w:sz w:val="24"/>
          <w:szCs w:val="24"/>
        </w:rPr>
        <w:t xml:space="preserve"> de</w:t>
      </w:r>
      <w:r w:rsidRPr="00957F8C">
        <w:rPr>
          <w:rFonts w:ascii="Times New Roman" w:hAnsi="Times New Roman" w:cs="Times New Roman"/>
          <w:sz w:val="24"/>
          <w:szCs w:val="24"/>
        </w:rPr>
        <w:t xml:space="preserve"> </w:t>
      </w:r>
      <w:r>
        <w:rPr>
          <w:rStyle w:val="hps"/>
          <w:rFonts w:ascii="Times New Roman" w:hAnsi="Times New Roman" w:cs="Times New Roman"/>
          <w:sz w:val="24"/>
          <w:szCs w:val="24"/>
        </w:rPr>
        <w:t xml:space="preserve">reglas </w:t>
      </w:r>
      <w:r w:rsidRPr="00957F8C">
        <w:rPr>
          <w:rStyle w:val="hps"/>
          <w:rFonts w:ascii="Times New Roman" w:hAnsi="Times New Roman" w:cs="Times New Roman"/>
          <w:sz w:val="24"/>
          <w:szCs w:val="24"/>
        </w:rPr>
        <w:t xml:space="preserve">que </w:t>
      </w:r>
      <w:r>
        <w:rPr>
          <w:rStyle w:val="hps"/>
          <w:rFonts w:ascii="Times New Roman" w:hAnsi="Times New Roman" w:cs="Times New Roman"/>
          <w:sz w:val="24"/>
          <w:szCs w:val="24"/>
        </w:rPr>
        <w:t>se</w:t>
      </w:r>
      <w:r w:rsidRPr="00957F8C">
        <w:rPr>
          <w:rFonts w:ascii="Times New Roman" w:hAnsi="Times New Roman" w:cs="Times New Roman"/>
          <w:sz w:val="24"/>
          <w:szCs w:val="24"/>
        </w:rPr>
        <w:t xml:space="preserve"> </w:t>
      </w:r>
      <w:r w:rsidRPr="00957F8C">
        <w:rPr>
          <w:rStyle w:val="hps"/>
          <w:rFonts w:ascii="Times New Roman" w:hAnsi="Times New Roman" w:cs="Times New Roman"/>
          <w:sz w:val="24"/>
          <w:szCs w:val="24"/>
        </w:rPr>
        <w:t>aplicar</w:t>
      </w:r>
      <w:r>
        <w:rPr>
          <w:rStyle w:val="hps"/>
          <w:rFonts w:ascii="Times New Roman" w:hAnsi="Times New Roman" w:cs="Times New Roman"/>
          <w:sz w:val="24"/>
          <w:szCs w:val="24"/>
        </w:rPr>
        <w:t>án</w:t>
      </w:r>
      <w:r w:rsidRPr="00957F8C">
        <w:rPr>
          <w:rFonts w:ascii="Times New Roman" w:hAnsi="Times New Roman" w:cs="Times New Roman"/>
          <w:sz w:val="24"/>
          <w:szCs w:val="24"/>
        </w:rPr>
        <w:t xml:space="preserve"> </w:t>
      </w:r>
      <w:r w:rsidRPr="00957F8C">
        <w:rPr>
          <w:rStyle w:val="hps"/>
          <w:rFonts w:ascii="Times New Roman" w:hAnsi="Times New Roman" w:cs="Times New Roman"/>
          <w:sz w:val="24"/>
          <w:szCs w:val="24"/>
        </w:rPr>
        <w:t>de forma coherente.</w:t>
      </w:r>
      <w:r w:rsidRPr="00957F8C">
        <w:rPr>
          <w:rFonts w:ascii="Times New Roman" w:hAnsi="Times New Roman" w:cs="Times New Roman"/>
          <w:sz w:val="24"/>
          <w:szCs w:val="24"/>
        </w:rPr>
        <w:t xml:space="preserve"> </w:t>
      </w:r>
      <w:r>
        <w:rPr>
          <w:rStyle w:val="hps"/>
          <w:rFonts w:ascii="Times New Roman" w:hAnsi="Times New Roman" w:cs="Times New Roman"/>
          <w:sz w:val="24"/>
          <w:szCs w:val="24"/>
        </w:rPr>
        <w:t>Por otro,</w:t>
      </w:r>
      <w:r w:rsidRPr="00957F8C">
        <w:rPr>
          <w:rFonts w:ascii="Times New Roman" w:hAnsi="Times New Roman" w:cs="Times New Roman"/>
          <w:sz w:val="24"/>
          <w:szCs w:val="24"/>
        </w:rPr>
        <w:t xml:space="preserve"> </w:t>
      </w:r>
      <w:r w:rsidRPr="00957F8C">
        <w:rPr>
          <w:rStyle w:val="hps"/>
          <w:rFonts w:ascii="Times New Roman" w:hAnsi="Times New Roman" w:cs="Times New Roman"/>
          <w:sz w:val="24"/>
          <w:szCs w:val="24"/>
        </w:rPr>
        <w:t>obliga</w:t>
      </w:r>
      <w:r>
        <w:rPr>
          <w:rStyle w:val="hps"/>
          <w:rFonts w:ascii="Times New Roman" w:hAnsi="Times New Roman" w:cs="Times New Roman"/>
          <w:sz w:val="24"/>
          <w:szCs w:val="24"/>
        </w:rPr>
        <w:t>n</w:t>
      </w:r>
      <w:r w:rsidRPr="00957F8C">
        <w:rPr>
          <w:rStyle w:val="hps"/>
          <w:rFonts w:ascii="Times New Roman" w:hAnsi="Times New Roman" w:cs="Times New Roman"/>
          <w:sz w:val="24"/>
          <w:szCs w:val="24"/>
        </w:rPr>
        <w:t>do a</w:t>
      </w:r>
      <w:r w:rsidRPr="00957F8C">
        <w:rPr>
          <w:rFonts w:ascii="Times New Roman" w:hAnsi="Times New Roman" w:cs="Times New Roman"/>
          <w:sz w:val="24"/>
          <w:szCs w:val="24"/>
        </w:rPr>
        <w:t xml:space="preserve"> </w:t>
      </w:r>
      <w:r w:rsidRPr="00957F8C">
        <w:rPr>
          <w:rStyle w:val="hps"/>
          <w:rFonts w:ascii="Times New Roman" w:hAnsi="Times New Roman" w:cs="Times New Roman"/>
          <w:sz w:val="24"/>
          <w:szCs w:val="24"/>
        </w:rPr>
        <w:t>obedecer una</w:t>
      </w:r>
      <w:r w:rsidRPr="00957F8C">
        <w:rPr>
          <w:rFonts w:ascii="Times New Roman" w:hAnsi="Times New Roman" w:cs="Times New Roman"/>
          <w:sz w:val="24"/>
          <w:szCs w:val="24"/>
        </w:rPr>
        <w:t xml:space="preserve"> </w:t>
      </w:r>
      <w:r w:rsidRPr="00957F8C">
        <w:rPr>
          <w:rStyle w:val="hps"/>
          <w:rFonts w:ascii="Times New Roman" w:hAnsi="Times New Roman" w:cs="Times New Roman"/>
          <w:sz w:val="24"/>
          <w:szCs w:val="24"/>
        </w:rPr>
        <w:t>serie de reglas</w:t>
      </w:r>
      <w:r w:rsidRPr="00957F8C">
        <w:rPr>
          <w:rFonts w:ascii="Times New Roman" w:hAnsi="Times New Roman" w:cs="Times New Roman"/>
          <w:sz w:val="24"/>
          <w:szCs w:val="24"/>
        </w:rPr>
        <w:t xml:space="preserve"> </w:t>
      </w:r>
      <w:r w:rsidRPr="00957F8C">
        <w:rPr>
          <w:rStyle w:val="hps"/>
          <w:rFonts w:ascii="Times New Roman" w:hAnsi="Times New Roman" w:cs="Times New Roman"/>
          <w:sz w:val="24"/>
          <w:szCs w:val="24"/>
        </w:rPr>
        <w:t>que no permiten la</w:t>
      </w:r>
      <w:r w:rsidRPr="00957F8C">
        <w:rPr>
          <w:rFonts w:ascii="Times New Roman" w:hAnsi="Times New Roman" w:cs="Times New Roman"/>
          <w:sz w:val="24"/>
          <w:szCs w:val="24"/>
        </w:rPr>
        <w:t xml:space="preserve"> </w:t>
      </w:r>
      <w:r w:rsidRPr="00957F8C">
        <w:rPr>
          <w:rStyle w:val="hps"/>
          <w:rFonts w:ascii="Times New Roman" w:hAnsi="Times New Roman" w:cs="Times New Roman"/>
          <w:sz w:val="24"/>
          <w:szCs w:val="24"/>
        </w:rPr>
        <w:t>libertad de acción</w:t>
      </w:r>
      <w:r w:rsidRPr="00957F8C">
        <w:rPr>
          <w:rFonts w:ascii="Times New Roman" w:hAnsi="Times New Roman" w:cs="Times New Roman"/>
          <w:sz w:val="24"/>
          <w:szCs w:val="24"/>
        </w:rPr>
        <w:t xml:space="preserve"> </w:t>
      </w:r>
      <w:r>
        <w:rPr>
          <w:rStyle w:val="hps"/>
          <w:rFonts w:ascii="Times New Roman" w:hAnsi="Times New Roman" w:cs="Times New Roman"/>
          <w:sz w:val="24"/>
          <w:szCs w:val="24"/>
        </w:rPr>
        <w:t>cuando esta</w:t>
      </w:r>
      <w:r w:rsidRPr="00957F8C">
        <w:rPr>
          <w:rStyle w:val="hps"/>
          <w:rFonts w:ascii="Times New Roman" w:hAnsi="Times New Roman" w:cs="Times New Roman"/>
          <w:sz w:val="24"/>
          <w:szCs w:val="24"/>
        </w:rPr>
        <w:t xml:space="preserve"> viola los</w:t>
      </w:r>
      <w:r w:rsidRPr="00957F8C">
        <w:rPr>
          <w:rFonts w:ascii="Times New Roman" w:hAnsi="Times New Roman" w:cs="Times New Roman"/>
          <w:sz w:val="24"/>
          <w:szCs w:val="24"/>
        </w:rPr>
        <w:t xml:space="preserve"> </w:t>
      </w:r>
      <w:r w:rsidRPr="00957F8C">
        <w:rPr>
          <w:rStyle w:val="hps"/>
          <w:rFonts w:ascii="Times New Roman" w:hAnsi="Times New Roman" w:cs="Times New Roman"/>
          <w:sz w:val="24"/>
          <w:szCs w:val="24"/>
        </w:rPr>
        <w:t>compromisos</w:t>
      </w:r>
      <w:r>
        <w:rPr>
          <w:rStyle w:val="hps"/>
          <w:rFonts w:ascii="Times New Roman" w:hAnsi="Times New Roman" w:cs="Times New Roman"/>
          <w:sz w:val="24"/>
          <w:szCs w:val="24"/>
        </w:rPr>
        <w:t>” (</w:t>
      </w:r>
      <w:r w:rsidRPr="00663BFC">
        <w:rPr>
          <w:rFonts w:ascii="Times New Roman" w:eastAsia="Times New Roman" w:hAnsi="Times New Roman" w:cs="Times New Roman"/>
          <w:sz w:val="24"/>
          <w:szCs w:val="24"/>
          <w:lang w:eastAsia="es-ES"/>
        </w:rPr>
        <w:t>N</w:t>
      </w:r>
      <w:r w:rsidRPr="00957F8C">
        <w:rPr>
          <w:rFonts w:ascii="Times New Roman" w:eastAsia="Times New Roman" w:hAnsi="Times New Roman" w:cs="Times New Roman"/>
          <w:sz w:val="24"/>
          <w:szCs w:val="24"/>
          <w:lang w:eastAsia="es-ES"/>
        </w:rPr>
        <w:t>orth</w:t>
      </w:r>
      <w:r w:rsidRPr="00663BFC">
        <w:rPr>
          <w:rFonts w:ascii="Times New Roman" w:eastAsia="Times New Roman" w:hAnsi="Times New Roman" w:cs="Times New Roman"/>
          <w:sz w:val="24"/>
          <w:szCs w:val="24"/>
          <w:lang w:eastAsia="es-ES"/>
        </w:rPr>
        <w:t>, D. C.y</w:t>
      </w:r>
      <w:r w:rsidRPr="00957F8C">
        <w:rPr>
          <w:rFonts w:ascii="Times New Roman" w:eastAsia="Times New Roman" w:hAnsi="Times New Roman" w:cs="Times New Roman"/>
          <w:sz w:val="24"/>
          <w:szCs w:val="24"/>
          <w:lang w:eastAsia="es-ES"/>
        </w:rPr>
        <w:t xml:space="preserve"> </w:t>
      </w:r>
      <w:r w:rsidRPr="00663BFC">
        <w:rPr>
          <w:rFonts w:ascii="Times New Roman" w:eastAsia="Times New Roman" w:hAnsi="Times New Roman" w:cs="Times New Roman"/>
          <w:sz w:val="24"/>
          <w:szCs w:val="24"/>
          <w:lang w:eastAsia="es-ES"/>
        </w:rPr>
        <w:t>B. R. W</w:t>
      </w:r>
      <w:r w:rsidRPr="00957F8C">
        <w:rPr>
          <w:rFonts w:ascii="Times New Roman" w:eastAsia="Times New Roman" w:hAnsi="Times New Roman" w:cs="Times New Roman"/>
          <w:sz w:val="24"/>
          <w:szCs w:val="24"/>
          <w:lang w:eastAsia="es-ES"/>
        </w:rPr>
        <w:t>eingast</w:t>
      </w:r>
      <w:r>
        <w:rPr>
          <w:rFonts w:ascii="Times New Roman" w:eastAsia="Times New Roman" w:hAnsi="Times New Roman" w:cs="Times New Roman"/>
          <w:sz w:val="24"/>
          <w:szCs w:val="24"/>
          <w:lang w:eastAsia="es-ES"/>
        </w:rPr>
        <w:t>,</w:t>
      </w:r>
      <w:r w:rsidRPr="00957F8C">
        <w:rPr>
          <w:rFonts w:ascii="Times New Roman" w:eastAsia="Times New Roman" w:hAnsi="Times New Roman" w:cs="Times New Roman"/>
          <w:sz w:val="24"/>
          <w:szCs w:val="24"/>
          <w:lang w:eastAsia="es-ES"/>
        </w:rPr>
        <w:t xml:space="preserve"> </w:t>
      </w:r>
      <w:r w:rsidRPr="00663BFC">
        <w:rPr>
          <w:rFonts w:ascii="Times New Roman" w:eastAsia="Times New Roman" w:hAnsi="Times New Roman" w:cs="Times New Roman"/>
          <w:sz w:val="24"/>
          <w:szCs w:val="24"/>
          <w:lang w:eastAsia="es-ES"/>
        </w:rPr>
        <w:t>1989</w:t>
      </w:r>
      <w:r>
        <w:rPr>
          <w:rStyle w:val="hps"/>
          <w:rFonts w:ascii="Times New Roman" w:hAnsi="Times New Roman" w:cs="Times New Roman"/>
          <w:sz w:val="24"/>
          <w:szCs w:val="24"/>
        </w:rPr>
        <w:t>). Argentina</w:t>
      </w:r>
      <w:r w:rsidR="00E903D3">
        <w:rPr>
          <w:rStyle w:val="hps"/>
          <w:rFonts w:ascii="Times New Roman" w:hAnsi="Times New Roman" w:cs="Times New Roman"/>
          <w:sz w:val="24"/>
          <w:szCs w:val="24"/>
        </w:rPr>
        <w:t xml:space="preserve"> </w:t>
      </w:r>
      <w:r>
        <w:rPr>
          <w:rStyle w:val="hps"/>
          <w:rFonts w:ascii="Times New Roman" w:hAnsi="Times New Roman" w:cs="Times New Roman"/>
          <w:sz w:val="24"/>
          <w:szCs w:val="24"/>
        </w:rPr>
        <w:t>parece que no alcanza</w:t>
      </w:r>
      <w:r w:rsidR="00E903D3">
        <w:rPr>
          <w:rStyle w:val="hps"/>
          <w:rFonts w:ascii="Times New Roman" w:hAnsi="Times New Roman" w:cs="Times New Roman"/>
          <w:sz w:val="24"/>
          <w:szCs w:val="24"/>
        </w:rPr>
        <w:t>r</w:t>
      </w:r>
      <w:r>
        <w:rPr>
          <w:rStyle w:val="hps"/>
          <w:rFonts w:ascii="Times New Roman" w:hAnsi="Times New Roman" w:cs="Times New Roman"/>
          <w:sz w:val="24"/>
          <w:szCs w:val="24"/>
        </w:rPr>
        <w:t xml:space="preserve"> la consecución de compromisos por ninguna de estas dos anteriores vías. </w:t>
      </w:r>
    </w:p>
    <w:p w:rsidR="001029EE" w:rsidRPr="001029EE" w:rsidRDefault="001029EE" w:rsidP="001029EE">
      <w:pPr>
        <w:spacing w:after="120"/>
        <w:jc w:val="both"/>
        <w:rPr>
          <w:sz w:val="24"/>
          <w:szCs w:val="24"/>
          <w:lang w:val="es-ES_tradnl"/>
        </w:rPr>
      </w:pPr>
    </w:p>
    <w:p w:rsidR="00543765" w:rsidRPr="00CC44BF" w:rsidRDefault="008A0273" w:rsidP="00C046F5">
      <w:pPr>
        <w:jc w:val="both"/>
        <w:rPr>
          <w:rFonts w:ascii="Times New Roman" w:hAnsi="Times New Roman" w:cs="Times New Roman"/>
          <w:b/>
          <w:sz w:val="24"/>
          <w:szCs w:val="24"/>
        </w:rPr>
      </w:pPr>
      <w:r>
        <w:rPr>
          <w:rFonts w:ascii="Times New Roman" w:hAnsi="Times New Roman" w:cs="Times New Roman"/>
          <w:b/>
          <w:sz w:val="24"/>
          <w:szCs w:val="24"/>
        </w:rPr>
        <w:t xml:space="preserve">3. </w:t>
      </w:r>
      <w:r w:rsidR="00543765" w:rsidRPr="00CC44BF">
        <w:rPr>
          <w:rFonts w:ascii="Times New Roman" w:hAnsi="Times New Roman" w:cs="Times New Roman"/>
          <w:b/>
          <w:sz w:val="24"/>
          <w:szCs w:val="24"/>
        </w:rPr>
        <w:t xml:space="preserve">Estructura </w:t>
      </w:r>
      <w:r>
        <w:rPr>
          <w:rFonts w:ascii="Times New Roman" w:hAnsi="Times New Roman" w:cs="Times New Roman"/>
          <w:b/>
          <w:sz w:val="24"/>
          <w:szCs w:val="24"/>
        </w:rPr>
        <w:t>institucional</w:t>
      </w:r>
      <w:r w:rsidR="00543765" w:rsidRPr="00CC44BF">
        <w:rPr>
          <w:rFonts w:ascii="Times New Roman" w:hAnsi="Times New Roman" w:cs="Times New Roman"/>
          <w:b/>
          <w:sz w:val="24"/>
          <w:szCs w:val="24"/>
        </w:rPr>
        <w:t xml:space="preserve"> del Estado </w:t>
      </w:r>
      <w:r>
        <w:rPr>
          <w:rFonts w:ascii="Times New Roman" w:hAnsi="Times New Roman" w:cs="Times New Roman"/>
          <w:b/>
          <w:sz w:val="24"/>
          <w:szCs w:val="24"/>
        </w:rPr>
        <w:t>argentino</w:t>
      </w:r>
    </w:p>
    <w:p w:rsidR="00E94060" w:rsidRPr="00E94060" w:rsidRDefault="00E94060" w:rsidP="00E94060">
      <w:pPr>
        <w:jc w:val="both"/>
        <w:rPr>
          <w:rFonts w:ascii="Times New Roman" w:hAnsi="Times New Roman" w:cs="Times New Roman"/>
          <w:sz w:val="24"/>
          <w:szCs w:val="24"/>
        </w:rPr>
      </w:pPr>
      <w:r>
        <w:rPr>
          <w:rFonts w:ascii="Times New Roman" w:hAnsi="Times New Roman" w:cs="Times New Roman"/>
          <w:sz w:val="24"/>
          <w:szCs w:val="24"/>
        </w:rPr>
        <w:t xml:space="preserve">Es relevante poder conocer el entramado institucional del país de estudio, pues las instituciones, como tales, </w:t>
      </w:r>
      <w:r w:rsidRPr="00E94060">
        <w:rPr>
          <w:rFonts w:ascii="Times New Roman" w:hAnsi="Times New Roman" w:cs="Times New Roman"/>
          <w:sz w:val="24"/>
          <w:szCs w:val="24"/>
        </w:rPr>
        <w:t xml:space="preserve">son </w:t>
      </w:r>
      <w:r w:rsidR="00CB22F5" w:rsidRPr="00E94060">
        <w:rPr>
          <w:rFonts w:ascii="Times New Roman" w:hAnsi="Times New Roman" w:cs="Times New Roman"/>
          <w:sz w:val="24"/>
          <w:szCs w:val="24"/>
        </w:rPr>
        <w:t>un rasgo estructural de la sociedad, ciertamente estable</w:t>
      </w:r>
      <w:r w:rsidR="00C7169B">
        <w:rPr>
          <w:rFonts w:ascii="Times New Roman" w:hAnsi="Times New Roman" w:cs="Times New Roman"/>
          <w:sz w:val="24"/>
          <w:szCs w:val="24"/>
        </w:rPr>
        <w:t>s en el tiempo</w:t>
      </w:r>
      <w:r w:rsidRPr="00E94060">
        <w:rPr>
          <w:rFonts w:ascii="Times New Roman" w:hAnsi="Times New Roman" w:cs="Times New Roman"/>
          <w:sz w:val="24"/>
          <w:szCs w:val="24"/>
        </w:rPr>
        <w:t xml:space="preserve"> </w:t>
      </w:r>
      <w:r w:rsidR="00CB22F5">
        <w:rPr>
          <w:rFonts w:ascii="Times New Roman" w:hAnsi="Times New Roman" w:cs="Times New Roman"/>
          <w:sz w:val="24"/>
          <w:szCs w:val="24"/>
        </w:rPr>
        <w:t xml:space="preserve">que </w:t>
      </w:r>
      <w:r w:rsidRPr="00E94060">
        <w:rPr>
          <w:rFonts w:ascii="Times New Roman" w:hAnsi="Times New Roman" w:cs="Times New Roman"/>
          <w:sz w:val="24"/>
          <w:szCs w:val="24"/>
        </w:rPr>
        <w:t>afecta</w:t>
      </w:r>
      <w:r w:rsidR="00C7169B">
        <w:rPr>
          <w:rFonts w:ascii="Times New Roman" w:hAnsi="Times New Roman" w:cs="Times New Roman"/>
          <w:sz w:val="24"/>
          <w:szCs w:val="24"/>
        </w:rPr>
        <w:t>n a las acciones de los agentes.</w:t>
      </w:r>
    </w:p>
    <w:p w:rsidR="00543765" w:rsidRPr="00C046F5" w:rsidRDefault="00543765" w:rsidP="00C046F5">
      <w:pPr>
        <w:jc w:val="both"/>
        <w:rPr>
          <w:rFonts w:ascii="Times New Roman" w:hAnsi="Times New Roman" w:cs="Times New Roman"/>
          <w:sz w:val="24"/>
          <w:szCs w:val="24"/>
        </w:rPr>
      </w:pPr>
      <w:r w:rsidRPr="00C046F5">
        <w:rPr>
          <w:rFonts w:ascii="Times New Roman" w:hAnsi="Times New Roman" w:cs="Times New Roman"/>
          <w:sz w:val="24"/>
          <w:szCs w:val="24"/>
        </w:rPr>
        <w:t xml:space="preserve">La nación argentina es una República Federal. Este país está regido por una de las Constituciones más antiguas en vigencia, ya que data de 1853, aunque </w:t>
      </w:r>
      <w:r w:rsidR="00A14513">
        <w:rPr>
          <w:rFonts w:ascii="Times New Roman" w:hAnsi="Times New Roman" w:cs="Times New Roman"/>
          <w:sz w:val="24"/>
          <w:szCs w:val="24"/>
        </w:rPr>
        <w:t>fue reformada en varias ocasiones, la última en</w:t>
      </w:r>
      <w:r w:rsidRPr="00C046F5">
        <w:rPr>
          <w:rFonts w:ascii="Times New Roman" w:hAnsi="Times New Roman" w:cs="Times New Roman"/>
          <w:sz w:val="24"/>
          <w:szCs w:val="24"/>
        </w:rPr>
        <w:t xml:space="preserve"> 1994. Ha adoptado un sistema presidencial, en ciertos aspectos semejante al de los Estados Unidos</w:t>
      </w:r>
      <w:r w:rsidR="00A14513">
        <w:rPr>
          <w:rFonts w:ascii="Times New Roman" w:hAnsi="Times New Roman" w:cs="Times New Roman"/>
          <w:sz w:val="24"/>
          <w:szCs w:val="24"/>
        </w:rPr>
        <w:t>,</w:t>
      </w:r>
      <w:r w:rsidRPr="00C046F5">
        <w:rPr>
          <w:rFonts w:ascii="Times New Roman" w:hAnsi="Times New Roman" w:cs="Times New Roman"/>
          <w:sz w:val="24"/>
          <w:szCs w:val="24"/>
        </w:rPr>
        <w:t xml:space="preserve"> ya que su Constitución se vio influida por la de este país. Por ello, el Presidente de la Nación Argentina es, a su vez, según el apartado 1 del artículo 99 de la constitución “… el jefe supremo de la Nación, jefe del gobierno y responsable político de la administración general de</w:t>
      </w:r>
      <w:r w:rsidR="00A14513">
        <w:rPr>
          <w:rFonts w:ascii="Times New Roman" w:hAnsi="Times New Roman" w:cs="Times New Roman"/>
          <w:sz w:val="24"/>
          <w:szCs w:val="24"/>
        </w:rPr>
        <w:t xml:space="preserve">l país.”. Además del Presidente, </w:t>
      </w:r>
      <w:r w:rsidRPr="00C046F5">
        <w:rPr>
          <w:rFonts w:ascii="Times New Roman" w:hAnsi="Times New Roman" w:cs="Times New Roman"/>
          <w:sz w:val="24"/>
          <w:szCs w:val="24"/>
        </w:rPr>
        <w:t>el poder legislativo está compuesto por</w:t>
      </w:r>
      <w:r w:rsidR="00346A72">
        <w:rPr>
          <w:rFonts w:ascii="Times New Roman" w:hAnsi="Times New Roman" w:cs="Times New Roman"/>
          <w:sz w:val="24"/>
          <w:szCs w:val="24"/>
        </w:rPr>
        <w:t xml:space="preserve"> el Vicepresidente</w:t>
      </w:r>
      <w:r w:rsidRPr="00C046F5">
        <w:rPr>
          <w:rFonts w:ascii="Times New Roman" w:hAnsi="Times New Roman" w:cs="Times New Roman"/>
          <w:sz w:val="24"/>
          <w:szCs w:val="24"/>
        </w:rPr>
        <w:t xml:space="preserve"> el cual también será presidente del Senado, y la figura, creada con la reforma de 1994, de jefe de gabinete. Esta última tiene entre sus funciones las de ejercer la administración general del país, r</w:t>
      </w:r>
      <w:r w:rsidRPr="00C046F5">
        <w:rPr>
          <w:rStyle w:val="texto"/>
          <w:rFonts w:ascii="Times New Roman" w:hAnsi="Times New Roman" w:cs="Times New Roman"/>
          <w:sz w:val="24"/>
          <w:szCs w:val="24"/>
        </w:rPr>
        <w:t>ecaudar las rentas de la Nación o ejecutar la ley de Presupuesto nacional. Sin embargo, este puesto de autoridad que podría ser visto como un contr</w:t>
      </w:r>
      <w:r w:rsidR="00346A72">
        <w:rPr>
          <w:rStyle w:val="texto"/>
          <w:rFonts w:ascii="Times New Roman" w:hAnsi="Times New Roman" w:cs="Times New Roman"/>
          <w:sz w:val="24"/>
          <w:szCs w:val="24"/>
        </w:rPr>
        <w:t xml:space="preserve">apunto al presidente, no es tal, </w:t>
      </w:r>
      <w:r w:rsidRPr="00C046F5">
        <w:rPr>
          <w:rStyle w:val="texto"/>
          <w:rFonts w:ascii="Times New Roman" w:hAnsi="Times New Roman" w:cs="Times New Roman"/>
          <w:sz w:val="24"/>
          <w:szCs w:val="24"/>
        </w:rPr>
        <w:t xml:space="preserve">puesto que este último quien nombra y remueve al jefe de gabinete de su cargo. </w:t>
      </w:r>
    </w:p>
    <w:p w:rsidR="00543765" w:rsidRPr="00C046F5" w:rsidRDefault="00543765" w:rsidP="00C046F5">
      <w:pPr>
        <w:jc w:val="both"/>
        <w:rPr>
          <w:rFonts w:ascii="Times New Roman" w:hAnsi="Times New Roman" w:cs="Times New Roman"/>
          <w:sz w:val="24"/>
          <w:szCs w:val="24"/>
        </w:rPr>
      </w:pPr>
      <w:r w:rsidRPr="00C046F5">
        <w:rPr>
          <w:rFonts w:ascii="Times New Roman" w:hAnsi="Times New Roman" w:cs="Times New Roman"/>
          <w:sz w:val="24"/>
          <w:szCs w:val="24"/>
        </w:rPr>
        <w:t xml:space="preserve">El poder ejecutivo está representado por el congreso, el cual se compone de dos cámaras: la de los diputados de la Nación y la de los senadores de las provincias y </w:t>
      </w:r>
      <w:r w:rsidRPr="00C046F5">
        <w:rPr>
          <w:rStyle w:val="texto"/>
          <w:rFonts w:ascii="Times New Roman" w:hAnsi="Times New Roman" w:cs="Times New Roman"/>
          <w:sz w:val="24"/>
          <w:szCs w:val="24"/>
        </w:rPr>
        <w:t>de la ciudad de Buenos Aires. Según el artículo 54 de la Constitución, el s</w:t>
      </w:r>
      <w:r w:rsidRPr="00C046F5">
        <w:rPr>
          <w:rFonts w:ascii="Times New Roman" w:hAnsi="Times New Roman" w:cs="Times New Roman"/>
          <w:sz w:val="24"/>
          <w:szCs w:val="24"/>
        </w:rPr>
        <w:t>enado está compuesto  de tres senadores por cada provincia y tres por la ciudad de Buenos Aires</w:t>
      </w:r>
      <w:r w:rsidR="00664179">
        <w:rPr>
          <w:rFonts w:ascii="Times New Roman" w:hAnsi="Times New Roman" w:cs="Times New Roman"/>
          <w:sz w:val="24"/>
          <w:szCs w:val="24"/>
        </w:rPr>
        <w:t>,  cuya duración en el</w:t>
      </w:r>
      <w:r w:rsidRPr="00C046F5">
        <w:rPr>
          <w:rFonts w:ascii="Times New Roman" w:hAnsi="Times New Roman" w:cs="Times New Roman"/>
          <w:sz w:val="24"/>
          <w:szCs w:val="24"/>
        </w:rPr>
        <w:t xml:space="preserve"> mandato es de seis años. Estos pueden ser reelegidos en el cargo indefinidamente, pero, buscando la renovación de sus miembros, el Senado </w:t>
      </w:r>
      <w:r w:rsidR="00664179">
        <w:rPr>
          <w:rFonts w:ascii="Times New Roman" w:hAnsi="Times New Roman" w:cs="Times New Roman"/>
          <w:sz w:val="24"/>
          <w:szCs w:val="24"/>
        </w:rPr>
        <w:t>reemplazará</w:t>
      </w:r>
      <w:r w:rsidR="00664179" w:rsidRPr="00C046F5">
        <w:rPr>
          <w:rFonts w:ascii="Times New Roman" w:hAnsi="Times New Roman" w:cs="Times New Roman"/>
          <w:sz w:val="24"/>
          <w:szCs w:val="24"/>
        </w:rPr>
        <w:t xml:space="preserve"> </w:t>
      </w:r>
      <w:r w:rsidRPr="00C046F5">
        <w:rPr>
          <w:rFonts w:ascii="Times New Roman" w:hAnsi="Times New Roman" w:cs="Times New Roman"/>
          <w:sz w:val="24"/>
          <w:szCs w:val="24"/>
        </w:rPr>
        <w:t xml:space="preserve">un tercio de los distritos electorales cada dos años. Son elegidos en forma directa y </w:t>
      </w:r>
      <w:r w:rsidRPr="00C046F5">
        <w:rPr>
          <w:rFonts w:ascii="Times New Roman" w:hAnsi="Times New Roman" w:cs="Times New Roman"/>
          <w:sz w:val="24"/>
          <w:szCs w:val="24"/>
        </w:rPr>
        <w:lastRenderedPageBreak/>
        <w:t xml:space="preserve">conjunta. Cada senador posee un voto.  En cuanto a la cámara de diputados, la formarán los representantes de las provincias, de la ciudad de Buenos Aires, y de la Capital en caso de traslado. Elegidos mediante sufragio, ostentarán su cargo durante cuatro años, siendo reelegibles. Sin embargo, cada dos años la cámara ha de renovar la mitad de sus componentes, sorteando entre ellos aquellos diputados que tiene derecho a volver a repetir cargo. </w:t>
      </w:r>
    </w:p>
    <w:p w:rsidR="00543765" w:rsidRPr="00C046F5" w:rsidRDefault="00543765" w:rsidP="00C046F5">
      <w:pPr>
        <w:jc w:val="both"/>
        <w:rPr>
          <w:rStyle w:val="texto"/>
          <w:rFonts w:ascii="Times New Roman" w:hAnsi="Times New Roman" w:cs="Times New Roman"/>
          <w:sz w:val="24"/>
          <w:szCs w:val="24"/>
        </w:rPr>
      </w:pPr>
      <w:r w:rsidRPr="00C046F5">
        <w:rPr>
          <w:rFonts w:ascii="Times New Roman" w:hAnsi="Times New Roman" w:cs="Times New Roman"/>
          <w:sz w:val="24"/>
          <w:szCs w:val="24"/>
        </w:rPr>
        <w:t>En cuanto al poder judicial,</w:t>
      </w:r>
      <w:r w:rsidR="00664179">
        <w:rPr>
          <w:rFonts w:ascii="Times New Roman" w:hAnsi="Times New Roman" w:cs="Times New Roman"/>
          <w:sz w:val="24"/>
          <w:szCs w:val="24"/>
        </w:rPr>
        <w:t xml:space="preserve"> sus organismos son:</w:t>
      </w:r>
      <w:r w:rsidRPr="00C046F5">
        <w:rPr>
          <w:rFonts w:ascii="Times New Roman" w:hAnsi="Times New Roman" w:cs="Times New Roman"/>
          <w:sz w:val="24"/>
          <w:szCs w:val="24"/>
        </w:rPr>
        <w:t xml:space="preserve"> la Corte Suprema de Justicia y los restantes tribunales. Otro órgano relacionado con este poder </w:t>
      </w:r>
      <w:r w:rsidR="00664179">
        <w:rPr>
          <w:rFonts w:ascii="Times New Roman" w:hAnsi="Times New Roman" w:cs="Times New Roman"/>
          <w:sz w:val="24"/>
          <w:szCs w:val="24"/>
        </w:rPr>
        <w:t xml:space="preserve">es </w:t>
      </w:r>
      <w:r w:rsidRPr="00C046F5">
        <w:rPr>
          <w:rFonts w:ascii="Times New Roman" w:hAnsi="Times New Roman" w:cs="Times New Roman"/>
          <w:sz w:val="24"/>
          <w:szCs w:val="24"/>
        </w:rPr>
        <w:t>el Consejo de la Magistratura (artículo 114 de la Constitución)</w:t>
      </w:r>
      <w:r w:rsidR="00664179">
        <w:rPr>
          <w:rFonts w:ascii="Times New Roman" w:hAnsi="Times New Roman" w:cs="Times New Roman"/>
          <w:sz w:val="24"/>
          <w:szCs w:val="24"/>
        </w:rPr>
        <w:t xml:space="preserve">, </w:t>
      </w:r>
      <w:r w:rsidRPr="00C046F5">
        <w:rPr>
          <w:rFonts w:ascii="Times New Roman" w:hAnsi="Times New Roman" w:cs="Times New Roman"/>
          <w:sz w:val="24"/>
          <w:szCs w:val="24"/>
        </w:rPr>
        <w:t xml:space="preserve"> el cual tendrá como misión </w:t>
      </w:r>
      <w:r w:rsidRPr="00C046F5">
        <w:rPr>
          <w:rStyle w:val="texto"/>
          <w:rFonts w:ascii="Times New Roman" w:hAnsi="Times New Roman" w:cs="Times New Roman"/>
          <w:sz w:val="24"/>
          <w:szCs w:val="24"/>
        </w:rPr>
        <w:t xml:space="preserve">elegir los magistrados y la administración del Poder Judicial. </w:t>
      </w:r>
    </w:p>
    <w:p w:rsidR="00543765" w:rsidRPr="00C046F5" w:rsidRDefault="00543765" w:rsidP="00C046F5">
      <w:pPr>
        <w:jc w:val="both"/>
        <w:rPr>
          <w:rStyle w:val="texto"/>
          <w:rFonts w:ascii="Times New Roman" w:hAnsi="Times New Roman" w:cs="Times New Roman"/>
          <w:sz w:val="24"/>
          <w:szCs w:val="24"/>
        </w:rPr>
      </w:pPr>
      <w:r w:rsidRPr="00C046F5">
        <w:rPr>
          <w:rStyle w:val="texto"/>
          <w:rFonts w:ascii="Times New Roman" w:hAnsi="Times New Roman" w:cs="Times New Roman"/>
          <w:sz w:val="24"/>
          <w:szCs w:val="24"/>
        </w:rPr>
        <w:t>En los anteriores párrafos se ha descrito la estructura orgánica del Estado en Argentina pero, ¿Cuál es su desempeño? ¿Ha llevado esta estructura institucional al éxito o al fracaso político y económico? Un punto importante para hacer que las políticas funcionen es la habilidad con la que cuenten los actores para cooperar juntos. En cuanto a Argentina, la realidad nos indica que las prácticas políticas no facilitan e</w:t>
      </w:r>
      <w:r w:rsidR="00B53EF2">
        <w:rPr>
          <w:rStyle w:val="texto"/>
          <w:rFonts w:ascii="Times New Roman" w:hAnsi="Times New Roman" w:cs="Times New Roman"/>
          <w:sz w:val="24"/>
          <w:szCs w:val="24"/>
        </w:rPr>
        <w:t>l consenso político.</w:t>
      </w:r>
      <w:r w:rsidRPr="00C046F5">
        <w:rPr>
          <w:rStyle w:val="texto"/>
          <w:rFonts w:ascii="Times New Roman" w:hAnsi="Times New Roman" w:cs="Times New Roman"/>
          <w:sz w:val="24"/>
          <w:szCs w:val="24"/>
        </w:rPr>
        <w:t xml:space="preserve"> </w:t>
      </w:r>
      <w:r w:rsidR="00B53EF2">
        <w:rPr>
          <w:rStyle w:val="texto"/>
          <w:rFonts w:ascii="Times New Roman" w:hAnsi="Times New Roman" w:cs="Times New Roman"/>
          <w:sz w:val="24"/>
          <w:szCs w:val="24"/>
        </w:rPr>
        <w:t>L</w:t>
      </w:r>
      <w:r w:rsidRPr="00C046F5">
        <w:rPr>
          <w:rStyle w:val="texto"/>
          <w:rFonts w:ascii="Times New Roman" w:hAnsi="Times New Roman" w:cs="Times New Roman"/>
          <w:sz w:val="24"/>
          <w:szCs w:val="24"/>
        </w:rPr>
        <w:t xml:space="preserve">a coordinación política y las políticas son raramente consistentes a lo largo del tiempo.  Una de las razones por las que esto sucede es la perspectiva cortoplacista de la mayoría de los actores políticos. Además, las reglas electorales transfieren demasiado poder a las provincias en detrimento del congreso y los partidos nacionales. </w:t>
      </w:r>
    </w:p>
    <w:p w:rsidR="00543765" w:rsidRPr="00C046F5" w:rsidRDefault="00543765" w:rsidP="00B072BB">
      <w:pPr>
        <w:tabs>
          <w:tab w:val="left" w:pos="2552"/>
        </w:tabs>
        <w:jc w:val="both"/>
        <w:rPr>
          <w:rStyle w:val="texto"/>
          <w:rFonts w:ascii="Times New Roman" w:hAnsi="Times New Roman" w:cs="Times New Roman"/>
          <w:sz w:val="24"/>
          <w:szCs w:val="24"/>
        </w:rPr>
      </w:pPr>
      <w:r w:rsidRPr="00C046F5">
        <w:rPr>
          <w:rStyle w:val="texto"/>
          <w:rFonts w:ascii="Times New Roman" w:hAnsi="Times New Roman" w:cs="Times New Roman"/>
          <w:sz w:val="24"/>
          <w:szCs w:val="24"/>
        </w:rPr>
        <w:t>Entre algunas de las razones que explican el hecho de que el proceso de decisión político sea deficiente (</w:t>
      </w:r>
      <w:r w:rsidR="00B072BB" w:rsidRPr="00B072BB">
        <w:rPr>
          <w:rFonts w:ascii="Times New Roman" w:hAnsi="Times New Roman" w:cs="Times New Roman"/>
          <w:sz w:val="24"/>
          <w:szCs w:val="24"/>
        </w:rPr>
        <w:t>Spiller, P., y Tommasi, M. 2009</w:t>
      </w:r>
      <w:r w:rsidRPr="00C046F5">
        <w:rPr>
          <w:rStyle w:val="texto"/>
          <w:rFonts w:ascii="Times New Roman" w:hAnsi="Times New Roman" w:cs="Times New Roman"/>
          <w:sz w:val="24"/>
          <w:szCs w:val="24"/>
        </w:rPr>
        <w:t xml:space="preserve">) se encuentran, la poca cohesión entre el poder ejecutivo a la hora de tomar decisiones, el papel secundario del congreso como arena política, la </w:t>
      </w:r>
      <w:r w:rsidR="00A24DB3">
        <w:rPr>
          <w:rStyle w:val="texto"/>
          <w:rFonts w:ascii="Times New Roman" w:hAnsi="Times New Roman" w:cs="Times New Roman"/>
          <w:sz w:val="24"/>
          <w:szCs w:val="24"/>
        </w:rPr>
        <w:t xml:space="preserve">excesiva </w:t>
      </w:r>
      <w:r w:rsidRPr="00C046F5">
        <w:rPr>
          <w:rStyle w:val="texto"/>
          <w:rFonts w:ascii="Times New Roman" w:hAnsi="Times New Roman" w:cs="Times New Roman"/>
          <w:sz w:val="24"/>
          <w:szCs w:val="24"/>
        </w:rPr>
        <w:t>importancia de los poderes políticos provinciales, el escaso investimento en la capacidades políticas, la ineficacia en la burocracia implementando políticas o la falta de garantía</w:t>
      </w:r>
      <w:r w:rsidR="00A24DB3">
        <w:rPr>
          <w:rStyle w:val="texto"/>
          <w:rFonts w:ascii="Times New Roman" w:hAnsi="Times New Roman" w:cs="Times New Roman"/>
          <w:sz w:val="24"/>
          <w:szCs w:val="24"/>
        </w:rPr>
        <w:t>s</w:t>
      </w:r>
      <w:r w:rsidRPr="00C046F5">
        <w:rPr>
          <w:rStyle w:val="texto"/>
          <w:rFonts w:ascii="Times New Roman" w:hAnsi="Times New Roman" w:cs="Times New Roman"/>
          <w:sz w:val="24"/>
          <w:szCs w:val="24"/>
        </w:rPr>
        <w:t xml:space="preserve"> por parte del poder judicial en los acuerdos políticos. </w:t>
      </w:r>
    </w:p>
    <w:p w:rsidR="00543765" w:rsidRDefault="00543765" w:rsidP="00C046F5">
      <w:pPr>
        <w:jc w:val="both"/>
        <w:rPr>
          <w:rStyle w:val="texto"/>
          <w:rFonts w:ascii="Times New Roman" w:hAnsi="Times New Roman" w:cs="Times New Roman"/>
          <w:sz w:val="24"/>
          <w:szCs w:val="24"/>
        </w:rPr>
      </w:pPr>
      <w:r w:rsidRPr="00C046F5">
        <w:rPr>
          <w:rStyle w:val="texto"/>
          <w:rFonts w:ascii="Times New Roman" w:hAnsi="Times New Roman" w:cs="Times New Roman"/>
          <w:sz w:val="24"/>
          <w:szCs w:val="24"/>
        </w:rPr>
        <w:t xml:space="preserve">Los movimientos unilaterales y la falta de institucionalización en el </w:t>
      </w:r>
      <w:r w:rsidR="00A24DB3">
        <w:rPr>
          <w:rStyle w:val="texto"/>
          <w:rFonts w:ascii="Times New Roman" w:hAnsi="Times New Roman" w:cs="Times New Roman"/>
          <w:sz w:val="24"/>
          <w:szCs w:val="24"/>
        </w:rPr>
        <w:t>c</w:t>
      </w:r>
      <w:r w:rsidRPr="00C046F5">
        <w:rPr>
          <w:rStyle w:val="texto"/>
          <w:rFonts w:ascii="Times New Roman" w:hAnsi="Times New Roman" w:cs="Times New Roman"/>
          <w:sz w:val="24"/>
          <w:szCs w:val="24"/>
        </w:rPr>
        <w:t xml:space="preserve">ongreso han trasladado el centro de toma de decisiones fuera de lo que es la visión nacional. Decisiones políticas cruciales son adoptadas en arenas informales. Por estas razones, el desempeño de las  instituciones argentinas ha hecho que el país entrase en un ciclo dinámica de inestabilidad. </w:t>
      </w:r>
    </w:p>
    <w:p w:rsidR="00EA054D" w:rsidRPr="00C046F5" w:rsidRDefault="00EA054D" w:rsidP="00C046F5">
      <w:pPr>
        <w:jc w:val="both"/>
        <w:rPr>
          <w:rStyle w:val="texto"/>
          <w:rFonts w:ascii="Times New Roman" w:hAnsi="Times New Roman" w:cs="Times New Roman"/>
          <w:sz w:val="24"/>
          <w:szCs w:val="24"/>
        </w:rPr>
      </w:pPr>
    </w:p>
    <w:p w:rsidR="00AA50CC" w:rsidRPr="00CC44BF" w:rsidRDefault="008A0273" w:rsidP="00CC44BF">
      <w:pPr>
        <w:jc w:val="both"/>
        <w:rPr>
          <w:rFonts w:ascii="Times New Roman" w:hAnsi="Times New Roman" w:cs="Times New Roman"/>
          <w:b/>
          <w:sz w:val="24"/>
          <w:szCs w:val="24"/>
        </w:rPr>
      </w:pPr>
      <w:r>
        <w:rPr>
          <w:rFonts w:ascii="Times New Roman" w:hAnsi="Times New Roman" w:cs="Times New Roman"/>
          <w:b/>
          <w:sz w:val="24"/>
          <w:szCs w:val="24"/>
        </w:rPr>
        <w:t xml:space="preserve">4. </w:t>
      </w:r>
      <w:r w:rsidR="00CC44BF" w:rsidRPr="00CC44BF">
        <w:rPr>
          <w:rFonts w:ascii="Times New Roman" w:hAnsi="Times New Roman" w:cs="Times New Roman"/>
          <w:b/>
          <w:sz w:val="24"/>
          <w:szCs w:val="24"/>
        </w:rPr>
        <w:t xml:space="preserve">Recursos hidrocarburíferos en </w:t>
      </w:r>
      <w:r w:rsidR="00A24DB3">
        <w:rPr>
          <w:rFonts w:ascii="Times New Roman" w:hAnsi="Times New Roman" w:cs="Times New Roman"/>
          <w:b/>
          <w:sz w:val="24"/>
          <w:szCs w:val="24"/>
        </w:rPr>
        <w:t>A</w:t>
      </w:r>
      <w:r w:rsidR="00CC44BF" w:rsidRPr="00CC44BF">
        <w:rPr>
          <w:rFonts w:ascii="Times New Roman" w:hAnsi="Times New Roman" w:cs="Times New Roman"/>
          <w:b/>
          <w:sz w:val="24"/>
          <w:szCs w:val="24"/>
        </w:rPr>
        <w:t>rgentina</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 xml:space="preserve">Con más de 750.000 barriles de petróleo producidos cada día en 2010, Argentina ocupa el vigesimotercer puesto en la escala mundial de productores de petróleo, siendo la cuarta potencia en América del Sur (solo superada por Brasil, Venezuela y Colombia). </w:t>
      </w:r>
    </w:p>
    <w:p w:rsidR="00AA50CC" w:rsidRPr="00C046F5" w:rsidRDefault="00AA50CC" w:rsidP="00C046F5">
      <w:pPr>
        <w:rPr>
          <w:rFonts w:ascii="Times New Roman" w:hAnsi="Times New Roman" w:cs="Times New Roman"/>
          <w:sz w:val="28"/>
          <w:szCs w:val="28"/>
        </w:rPr>
      </w:pPr>
      <w:r w:rsidRPr="00C046F5">
        <w:rPr>
          <w:rFonts w:ascii="Times New Roman" w:hAnsi="Times New Roman" w:cs="Times New Roman"/>
          <w:noProof/>
          <w:sz w:val="28"/>
          <w:szCs w:val="28"/>
          <w:lang w:eastAsia="es-ES"/>
        </w:rPr>
        <w:lastRenderedPageBreak/>
        <w:drawing>
          <wp:inline distT="0" distB="0" distL="0" distR="0">
            <wp:extent cx="4381500" cy="2914650"/>
            <wp:effectExtent l="19050" t="0" r="19050" b="0"/>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En cuanto a la producción de gas natural, Argentina se posiciona, en 2010, como el productor número 21 en el ranquin mundial. Sus reservas son de 14</w:t>
      </w:r>
      <w:r w:rsidR="00A040B0">
        <w:rPr>
          <w:rFonts w:ascii="Times New Roman" w:hAnsi="Times New Roman" w:cs="Times New Roman"/>
          <w:sz w:val="24"/>
          <w:szCs w:val="24"/>
        </w:rPr>
        <w:t xml:space="preserve"> </w:t>
      </w:r>
      <w:r w:rsidRPr="00C046F5">
        <w:rPr>
          <w:rFonts w:ascii="Times New Roman" w:hAnsi="Times New Roman" w:cs="Times New Roman"/>
          <w:sz w:val="24"/>
          <w:szCs w:val="24"/>
        </w:rPr>
        <w:t xml:space="preserve">billones de pies cúbicos, las cuales han seguido una tendencia a la baja los últimos años, lo que –sumado a que la mayoría de los yacimientos de gas son maduros – hace que las importaciones hayan crecido un </w:t>
      </w:r>
      <w:r w:rsidRPr="00C046F5">
        <w:rPr>
          <w:rFonts w:ascii="Times New Roman" w:eastAsia="Times New Roman" w:hAnsi="Times New Roman" w:cs="Times New Roman"/>
          <w:sz w:val="20"/>
          <w:szCs w:val="20"/>
        </w:rPr>
        <w:t>144</w:t>
      </w:r>
      <w:r w:rsidRPr="00C046F5">
        <w:rPr>
          <w:rFonts w:ascii="Times New Roman" w:hAnsi="Times New Roman" w:cs="Times New Roman"/>
          <w:sz w:val="24"/>
          <w:szCs w:val="24"/>
        </w:rPr>
        <w:t>% del año 2000 al 2010.</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noProof/>
          <w:lang w:eastAsia="es-ES"/>
        </w:rPr>
        <w:drawing>
          <wp:inline distT="0" distB="0" distL="0" distR="0">
            <wp:extent cx="4572000" cy="2200939"/>
            <wp:effectExtent l="0" t="0" r="19050" b="2794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C44BF" w:rsidRDefault="00CC44BF" w:rsidP="00CC44BF">
      <w:pPr>
        <w:pStyle w:val="Ttulo1"/>
        <w:spacing w:before="0"/>
        <w:rPr>
          <w:rFonts w:ascii="Times New Roman" w:hAnsi="Times New Roman" w:cs="Times New Roman"/>
          <w:color w:val="auto"/>
          <w:sz w:val="24"/>
          <w:szCs w:val="24"/>
        </w:rPr>
      </w:pPr>
    </w:p>
    <w:p w:rsidR="00AA50CC" w:rsidRDefault="008A0273" w:rsidP="00CC44BF">
      <w:pPr>
        <w:pStyle w:val="Ttulo1"/>
        <w:spacing w:before="0"/>
        <w:rPr>
          <w:rFonts w:ascii="Times New Roman" w:hAnsi="Times New Roman" w:cs="Times New Roman"/>
          <w:color w:val="auto"/>
          <w:sz w:val="24"/>
          <w:szCs w:val="24"/>
        </w:rPr>
      </w:pPr>
      <w:r>
        <w:rPr>
          <w:rFonts w:ascii="Times New Roman" w:hAnsi="Times New Roman" w:cs="Times New Roman"/>
          <w:color w:val="auto"/>
          <w:sz w:val="24"/>
          <w:szCs w:val="24"/>
        </w:rPr>
        <w:t>5. Recorrido histórico</w:t>
      </w:r>
      <w:r w:rsidR="00CC44BF" w:rsidRPr="00CC44BF">
        <w:rPr>
          <w:rFonts w:ascii="Times New Roman" w:hAnsi="Times New Roman" w:cs="Times New Roman"/>
          <w:color w:val="auto"/>
          <w:sz w:val="24"/>
          <w:szCs w:val="24"/>
        </w:rPr>
        <w:t xml:space="preserve"> de</w:t>
      </w:r>
      <w:r w:rsidR="002A6D38">
        <w:rPr>
          <w:rFonts w:ascii="Times New Roman" w:hAnsi="Times New Roman" w:cs="Times New Roman"/>
          <w:color w:val="auto"/>
          <w:sz w:val="24"/>
          <w:szCs w:val="24"/>
        </w:rPr>
        <w:t xml:space="preserve"> YPF</w:t>
      </w:r>
    </w:p>
    <w:p w:rsidR="00CC44BF" w:rsidRPr="00CC44BF" w:rsidRDefault="00CC44BF" w:rsidP="00CC44BF">
      <w:pPr>
        <w:spacing w:after="0"/>
      </w:pPr>
    </w:p>
    <w:p w:rsidR="00AA50CC" w:rsidRPr="00C046F5" w:rsidRDefault="00AA50CC" w:rsidP="00CC44BF">
      <w:pPr>
        <w:spacing w:after="0"/>
        <w:jc w:val="both"/>
        <w:rPr>
          <w:rFonts w:ascii="Times New Roman" w:hAnsi="Times New Roman" w:cs="Times New Roman"/>
          <w:sz w:val="24"/>
          <w:szCs w:val="24"/>
        </w:rPr>
      </w:pPr>
      <w:r w:rsidRPr="00C046F5">
        <w:rPr>
          <w:rFonts w:ascii="Times New Roman" w:hAnsi="Times New Roman" w:cs="Times New Roman"/>
          <w:sz w:val="24"/>
          <w:szCs w:val="24"/>
        </w:rPr>
        <w:t xml:space="preserve">En un primer momento, la propiedad tanto del gas como del petróleo pertenecía a las provincias aunque eran las iniciativas privadas las que se encargaban de la extracción, producción y transporte del producto. En 1910, con el descubrimiento del yacimiento Comodoro Rivadavia el Estado comenzó a intervenir en el sector, enfatizando su interés con la creación de YPF en 1922. Pero </w:t>
      </w:r>
      <w:r w:rsidR="003C4CF5">
        <w:rPr>
          <w:rFonts w:ascii="Times New Roman" w:hAnsi="Times New Roman" w:cs="Times New Roman"/>
          <w:sz w:val="24"/>
          <w:szCs w:val="24"/>
        </w:rPr>
        <w:t xml:space="preserve">no </w:t>
      </w:r>
      <w:r w:rsidRPr="00C046F5">
        <w:rPr>
          <w:rFonts w:ascii="Times New Roman" w:hAnsi="Times New Roman" w:cs="Times New Roman"/>
          <w:sz w:val="24"/>
          <w:szCs w:val="24"/>
        </w:rPr>
        <w:t xml:space="preserve">fue </w:t>
      </w:r>
      <w:r w:rsidR="003C4CF5">
        <w:rPr>
          <w:rFonts w:ascii="Times New Roman" w:hAnsi="Times New Roman" w:cs="Times New Roman"/>
          <w:sz w:val="24"/>
          <w:szCs w:val="24"/>
        </w:rPr>
        <w:t>hasta</w:t>
      </w:r>
      <w:r w:rsidRPr="00C046F5">
        <w:rPr>
          <w:rFonts w:ascii="Times New Roman" w:hAnsi="Times New Roman" w:cs="Times New Roman"/>
          <w:sz w:val="24"/>
          <w:szCs w:val="24"/>
        </w:rPr>
        <w:t xml:space="preserve"> 1949, por medio del artículo 40 de la Constitución</w:t>
      </w:r>
      <w:r w:rsidR="003C4CF5">
        <w:rPr>
          <w:rFonts w:ascii="Times New Roman" w:hAnsi="Times New Roman" w:cs="Times New Roman"/>
          <w:sz w:val="24"/>
          <w:szCs w:val="24"/>
        </w:rPr>
        <w:t>,</w:t>
      </w:r>
      <w:r w:rsidRPr="00C046F5">
        <w:rPr>
          <w:rFonts w:ascii="Times New Roman" w:hAnsi="Times New Roman" w:cs="Times New Roman"/>
          <w:sz w:val="24"/>
          <w:szCs w:val="24"/>
        </w:rPr>
        <w:t xml:space="preserve"> cuando el Estado se hace con el dominio del petróleo. No vuelve a ser hasta 1992, </w:t>
      </w:r>
      <w:r w:rsidR="003C4CF5">
        <w:rPr>
          <w:rFonts w:ascii="Times New Roman" w:hAnsi="Times New Roman" w:cs="Times New Roman"/>
          <w:sz w:val="24"/>
          <w:szCs w:val="24"/>
        </w:rPr>
        <w:t>cuando a través de la ley 21145</w:t>
      </w:r>
      <w:r w:rsidRPr="00C046F5">
        <w:rPr>
          <w:rFonts w:ascii="Times New Roman" w:hAnsi="Times New Roman" w:cs="Times New Roman"/>
          <w:sz w:val="24"/>
          <w:szCs w:val="24"/>
        </w:rPr>
        <w:t xml:space="preserve"> se otorga de nuevo la potestad de los hidrocarburos a las provincias.</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lastRenderedPageBreak/>
        <w:t xml:space="preserve">Este repaso por el domino de los hidrocarburos en Argentina nos demuestra que esta es una industria de largo recorrido en el país. Sus inicios se remontan a 1880 donde se producen las primeras perforaciones para encontrar petróleo en Mendoza. Aunque, el impulso definitivo no se dio hasta 1910 donde el gobierno de Roque Sáez Peña creó la Dirección General de Explotación de Petróleo de Comodoro Rivadavia, a la cual, a partir de ese momento, le correspondía la administración de los yacimientos de la nación. </w:t>
      </w:r>
    </w:p>
    <w:p w:rsidR="001E2B2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A partir de la experiencia obtenida a través de la Primera Guerra Mundial, donde se vivió un periodo de escasez de petróleo, tanto el gobierno como el ejército tomaron conciencia del potencial estratégico de los hidrocarburos. Por ello, con la misión de regular el mercado, la dirección General de Yacimientos Petrolíferos fiscales (YPF) fue fundada en 1922</w:t>
      </w:r>
      <w:r w:rsidR="002D7A30">
        <w:rPr>
          <w:rFonts w:ascii="Times New Roman" w:hAnsi="Times New Roman" w:cs="Times New Roman"/>
          <w:sz w:val="24"/>
          <w:szCs w:val="24"/>
        </w:rPr>
        <w:t xml:space="preserve"> </w:t>
      </w:r>
      <w:r w:rsidRPr="00C046F5">
        <w:rPr>
          <w:rFonts w:ascii="Times New Roman" w:hAnsi="Times New Roman" w:cs="Times New Roman"/>
          <w:sz w:val="24"/>
          <w:szCs w:val="24"/>
        </w:rPr>
        <w:t xml:space="preserve">y aunque su propósito era el de buscar el autoabastecimiento, no lo ha conseguido en todos estos años de vida. </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En la década de los ochenta, YPF producía más de la mitad del petróleo consumido en Argentina y era la primera empresa del país. Pero, al margen de estas cifras</w:t>
      </w:r>
      <w:r w:rsidR="001E2B25">
        <w:rPr>
          <w:rFonts w:ascii="Times New Roman" w:hAnsi="Times New Roman" w:cs="Times New Roman"/>
          <w:sz w:val="24"/>
          <w:szCs w:val="24"/>
        </w:rPr>
        <w:t>,</w:t>
      </w:r>
      <w:r w:rsidRPr="00C046F5">
        <w:rPr>
          <w:rFonts w:ascii="Times New Roman" w:hAnsi="Times New Roman" w:cs="Times New Roman"/>
          <w:sz w:val="24"/>
          <w:szCs w:val="24"/>
        </w:rPr>
        <w:t xml:space="preserve"> arrastraba un endeudamiento cada vez mayor, por lo que, con el fin de solucionar esta situación, se pusieron en marcha el Plan Houston y el Petroplan los cuales busca</w:t>
      </w:r>
      <w:r w:rsidR="001E2B25">
        <w:rPr>
          <w:rFonts w:ascii="Times New Roman" w:hAnsi="Times New Roman" w:cs="Times New Roman"/>
          <w:sz w:val="24"/>
          <w:szCs w:val="24"/>
        </w:rPr>
        <w:t>ban socios extranjeros para YPF. N</w:t>
      </w:r>
      <w:r w:rsidRPr="00C046F5">
        <w:rPr>
          <w:rFonts w:ascii="Times New Roman" w:hAnsi="Times New Roman" w:cs="Times New Roman"/>
          <w:sz w:val="24"/>
          <w:szCs w:val="24"/>
        </w:rPr>
        <w:t xml:space="preserve">inguno de ellos logró el éxito esperado. </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En cuanto al gas, en 1978, se descubre el yacimiento más importante del país</w:t>
      </w:r>
      <w:r w:rsidR="001E2B25">
        <w:rPr>
          <w:rFonts w:ascii="Times New Roman" w:hAnsi="Times New Roman" w:cs="Times New Roman"/>
          <w:sz w:val="24"/>
          <w:szCs w:val="24"/>
        </w:rPr>
        <w:t>. Era</w:t>
      </w:r>
      <w:r w:rsidRPr="00C046F5">
        <w:rPr>
          <w:rFonts w:ascii="Times New Roman" w:hAnsi="Times New Roman" w:cs="Times New Roman"/>
          <w:sz w:val="24"/>
          <w:szCs w:val="24"/>
        </w:rPr>
        <w:t xml:space="preserve"> el yacimiento Loma La Lata, el cual además de aportar 50% más de reservas de gas, hizo que se construyeran los gasoductos Centro Oeste y Neuba dando un gran impulso a esta industria en Argentina. </w:t>
      </w:r>
    </w:p>
    <w:p w:rsidR="00AA50CC" w:rsidRPr="00C046F5" w:rsidRDefault="00AA50CC" w:rsidP="00C046F5">
      <w:pPr>
        <w:jc w:val="both"/>
        <w:rPr>
          <w:rFonts w:ascii="Times New Roman" w:hAnsi="Times New Roman" w:cs="Times New Roman"/>
          <w:sz w:val="24"/>
          <w:szCs w:val="24"/>
          <w:highlight w:val="lightGray"/>
        </w:rPr>
      </w:pPr>
      <w:r w:rsidRPr="00C046F5">
        <w:rPr>
          <w:rFonts w:ascii="Times New Roman" w:hAnsi="Times New Roman" w:cs="Times New Roman"/>
          <w:sz w:val="24"/>
          <w:szCs w:val="24"/>
        </w:rPr>
        <w:t>Es en el año 1990 cuando se procede a desregular el sector y privatizar a YPF. Antes de su privatización YPF estaba enclavada en un sector donde la regulación del Estado era máxima. Era este quien fijaba las cantidades y precios de los hidrocarburos. Estas prácticas tenían como resultado un mayor precio para el consumidor final, falta de nuevas explotaciones -lo que producía un descenso de las reservas- y mayores costes de producción en las etapas productivas.</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 xml:space="preserve">Con todos estos precedentes llegó la ley 24.145 de </w:t>
      </w:r>
      <w:r w:rsidRPr="00C046F5">
        <w:rPr>
          <w:rFonts w:ascii="Times New Roman" w:hAnsi="Times New Roman" w:cs="Times New Roman"/>
          <w:i/>
          <w:sz w:val="24"/>
          <w:szCs w:val="24"/>
        </w:rPr>
        <w:t>Privatización de YPF y Federalización de los Hidrocarburos</w:t>
      </w:r>
      <w:r w:rsidR="00FC3F8C">
        <w:rPr>
          <w:rFonts w:ascii="Times New Roman" w:hAnsi="Times New Roman" w:cs="Times New Roman"/>
          <w:i/>
          <w:sz w:val="24"/>
          <w:szCs w:val="24"/>
        </w:rPr>
        <w:t xml:space="preserve"> </w:t>
      </w:r>
      <w:r w:rsidRPr="00C046F5">
        <w:rPr>
          <w:rFonts w:ascii="Times New Roman" w:hAnsi="Times New Roman" w:cs="Times New Roman"/>
          <w:sz w:val="24"/>
          <w:szCs w:val="24"/>
        </w:rPr>
        <w:t>y los decretos 1212/89, 1055/89 y 1589/89  que conjuntamente formaban un marco legislativo para la privatización de YRPF.  Con ello, se buscaba implantar medidas donde el mercado, y no el Estado, actuase como regulador: precios y cantidades fijados por el mercado, liberalización de las exportaciones e importaciones, creación de nuevas refinerías y estaciones de servicio…</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 xml:space="preserve">La justificación a esta desregularización fue la ineficiencia en la gestión de la compañía nacional de hidrocarburos, la cual presentaba continuadas pérdidas. Pero, tales perdidas </w:t>
      </w:r>
      <w:r w:rsidR="001E2B25">
        <w:rPr>
          <w:rFonts w:ascii="Times New Roman" w:hAnsi="Times New Roman" w:cs="Times New Roman"/>
          <w:sz w:val="24"/>
          <w:szCs w:val="24"/>
        </w:rPr>
        <w:t xml:space="preserve">también </w:t>
      </w:r>
      <w:r w:rsidRPr="00C046F5">
        <w:rPr>
          <w:rFonts w:ascii="Times New Roman" w:hAnsi="Times New Roman" w:cs="Times New Roman"/>
          <w:sz w:val="24"/>
          <w:szCs w:val="24"/>
        </w:rPr>
        <w:t>era</w:t>
      </w:r>
      <w:r w:rsidR="001E2B25">
        <w:rPr>
          <w:rFonts w:ascii="Times New Roman" w:hAnsi="Times New Roman" w:cs="Times New Roman"/>
          <w:sz w:val="24"/>
          <w:szCs w:val="24"/>
        </w:rPr>
        <w:t>n</w:t>
      </w:r>
      <w:r w:rsidRPr="00C046F5">
        <w:rPr>
          <w:rFonts w:ascii="Times New Roman" w:hAnsi="Times New Roman" w:cs="Times New Roman"/>
          <w:sz w:val="24"/>
          <w:szCs w:val="24"/>
        </w:rPr>
        <w:t xml:space="preserve"> fruto de las políticas implementadas en tiempos de la dictadura desde 1976.</w:t>
      </w:r>
    </w:p>
    <w:p w:rsidR="00AA50CC" w:rsidRPr="00C046F5" w:rsidRDefault="001E2B25" w:rsidP="00C046F5">
      <w:pPr>
        <w:jc w:val="both"/>
        <w:rPr>
          <w:rFonts w:ascii="Times New Roman" w:hAnsi="Times New Roman" w:cs="Times New Roman"/>
          <w:sz w:val="24"/>
          <w:szCs w:val="24"/>
          <w:highlight w:val="lightGray"/>
        </w:rPr>
      </w:pPr>
      <w:r>
        <w:rPr>
          <w:rFonts w:ascii="Times New Roman" w:hAnsi="Times New Roman" w:cs="Times New Roman"/>
          <w:sz w:val="24"/>
          <w:szCs w:val="24"/>
        </w:rPr>
        <w:lastRenderedPageBreak/>
        <w:t>P</w:t>
      </w:r>
      <w:r w:rsidR="00AA50CC" w:rsidRPr="00C046F5">
        <w:rPr>
          <w:rFonts w:ascii="Times New Roman" w:hAnsi="Times New Roman" w:cs="Times New Roman"/>
          <w:sz w:val="24"/>
          <w:szCs w:val="24"/>
        </w:rPr>
        <w:t xml:space="preserve">ara dar salida a </w:t>
      </w:r>
      <w:r>
        <w:rPr>
          <w:rFonts w:ascii="Times New Roman" w:hAnsi="Times New Roman" w:cs="Times New Roman"/>
          <w:sz w:val="24"/>
          <w:szCs w:val="24"/>
        </w:rPr>
        <w:t>YPF  y que resultara más atractiva</w:t>
      </w:r>
      <w:r w:rsidR="00AA50CC" w:rsidRPr="00C046F5">
        <w:rPr>
          <w:rFonts w:ascii="Times New Roman" w:hAnsi="Times New Roman" w:cs="Times New Roman"/>
          <w:sz w:val="24"/>
          <w:szCs w:val="24"/>
        </w:rPr>
        <w:t>, el Estado asumió su deuda contraída</w:t>
      </w:r>
      <w:r>
        <w:rPr>
          <w:rFonts w:ascii="Times New Roman" w:hAnsi="Times New Roman" w:cs="Times New Roman"/>
          <w:sz w:val="24"/>
          <w:szCs w:val="24"/>
        </w:rPr>
        <w:t xml:space="preserve">, que </w:t>
      </w:r>
      <w:r w:rsidR="00AA50CC" w:rsidRPr="00C046F5">
        <w:rPr>
          <w:rFonts w:ascii="Times New Roman" w:hAnsi="Times New Roman" w:cs="Times New Roman"/>
          <w:sz w:val="24"/>
          <w:szCs w:val="24"/>
        </w:rPr>
        <w:t>ascendían a 11.340 millones de dólares, de los cuales el Estado argentino con</w:t>
      </w:r>
      <w:r>
        <w:rPr>
          <w:rFonts w:ascii="Times New Roman" w:hAnsi="Times New Roman" w:cs="Times New Roman"/>
          <w:sz w:val="24"/>
          <w:szCs w:val="24"/>
        </w:rPr>
        <w:t>trajo el 75% por ciento de esta</w:t>
      </w:r>
      <w:r w:rsidR="00AA50CC" w:rsidRPr="00C046F5">
        <w:rPr>
          <w:rFonts w:ascii="Times New Roman" w:hAnsi="Times New Roman" w:cs="Times New Roman"/>
          <w:sz w:val="24"/>
          <w:szCs w:val="24"/>
        </w:rPr>
        <w:t>.</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 xml:space="preserve">Los antecedentes de esta privatización se remontan a agosto de 1989 con la puesta en marcha de la ley 23696/89 de la Reforma del Estado y ley 23697/89 de Emergencia Económica. </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En 1991 la administración Menem  puso en marcha el Plan Argentina, con el se ponía fin al monopolio de los hidrocarburos convirtiendo a YPF en una sociedad anónima. Con él, se adoptaban las siguientes medidas:</w:t>
      </w:r>
    </w:p>
    <w:p w:rsidR="00AA50CC" w:rsidRPr="00C046F5" w:rsidRDefault="00AA50CC" w:rsidP="00C046F5">
      <w:pPr>
        <w:pStyle w:val="Prrafodelista"/>
        <w:numPr>
          <w:ilvl w:val="0"/>
          <w:numId w:val="1"/>
        </w:numPr>
        <w:jc w:val="both"/>
        <w:rPr>
          <w:rFonts w:ascii="Times New Roman" w:hAnsi="Times New Roman" w:cs="Times New Roman"/>
          <w:sz w:val="24"/>
          <w:szCs w:val="24"/>
        </w:rPr>
      </w:pPr>
      <w:r w:rsidRPr="00C046F5">
        <w:rPr>
          <w:rFonts w:ascii="Times New Roman" w:hAnsi="Times New Roman" w:cs="Times New Roman"/>
          <w:sz w:val="24"/>
          <w:szCs w:val="24"/>
        </w:rPr>
        <w:t xml:space="preserve">La fijación de precios, tarifas y niveles de producción quedaba en manos de la empresa privada. También se suprimen los aranceles sobre la importación y exportación de petróleo. </w:t>
      </w:r>
    </w:p>
    <w:p w:rsidR="00AA50CC" w:rsidRPr="00C046F5" w:rsidRDefault="00AA50CC" w:rsidP="00C046F5">
      <w:pPr>
        <w:pStyle w:val="Prrafodelista"/>
        <w:numPr>
          <w:ilvl w:val="0"/>
          <w:numId w:val="1"/>
        </w:numPr>
        <w:jc w:val="both"/>
        <w:rPr>
          <w:rFonts w:ascii="Times New Roman" w:hAnsi="Times New Roman" w:cs="Times New Roman"/>
          <w:sz w:val="24"/>
          <w:szCs w:val="24"/>
        </w:rPr>
      </w:pPr>
      <w:r w:rsidRPr="00C046F5">
        <w:rPr>
          <w:rFonts w:ascii="Times New Roman" w:hAnsi="Times New Roman" w:cs="Times New Roman"/>
          <w:sz w:val="24"/>
          <w:szCs w:val="24"/>
        </w:rPr>
        <w:t>Se da autorización para explotar nuevas áreas y  privatizar los yacimientos.</w:t>
      </w:r>
    </w:p>
    <w:p w:rsidR="00AA50CC" w:rsidRPr="00C046F5" w:rsidRDefault="00AA50CC" w:rsidP="00C046F5">
      <w:pPr>
        <w:spacing w:after="0"/>
        <w:jc w:val="both"/>
        <w:rPr>
          <w:rFonts w:ascii="Times New Roman" w:hAnsi="Times New Roman" w:cs="Times New Roman"/>
          <w:sz w:val="24"/>
          <w:szCs w:val="24"/>
        </w:rPr>
      </w:pPr>
      <w:r w:rsidRPr="00C046F5">
        <w:rPr>
          <w:rFonts w:ascii="Times New Roman" w:hAnsi="Times New Roman" w:cs="Times New Roman"/>
          <w:sz w:val="24"/>
          <w:szCs w:val="24"/>
        </w:rPr>
        <w:t xml:space="preserve">Al mismo tiempo, se dio paso a que se vendieran seis de sus refinerías, múltiples yacimientos, aviones, barcos y equipos de extracción. Toda esta operación supuso un beneficio de 2000 millones de dólares para las arcas estatales. </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 xml:space="preserve">Sin embargo, la desregularización también trajo consigo consecuencias adversas, como las del despido de aproximadamente el 85% de los trabajadores de la empresa. </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 xml:space="preserve">En 1992, YPF  se privatiza y la explotación de sus yacimientos  se hace en este caso por medio de concesiones de explotación, así como también se otorgan licencias de explotación. </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 xml:space="preserve">Para llevar </w:t>
      </w:r>
      <w:r w:rsidR="001E2B25">
        <w:rPr>
          <w:rFonts w:ascii="Times New Roman" w:hAnsi="Times New Roman" w:cs="Times New Roman"/>
          <w:sz w:val="24"/>
          <w:szCs w:val="24"/>
        </w:rPr>
        <w:t xml:space="preserve">a cabo </w:t>
      </w:r>
      <w:r w:rsidRPr="00C046F5">
        <w:rPr>
          <w:rFonts w:ascii="Times New Roman" w:hAnsi="Times New Roman" w:cs="Times New Roman"/>
          <w:sz w:val="24"/>
          <w:szCs w:val="24"/>
        </w:rPr>
        <w:t>el proceso de privatización del YPF se dividió a la empresa en acciones de distintas clases, las cuales quedaron repartidas de la siguiente forma:</w:t>
      </w:r>
    </w:p>
    <w:p w:rsidR="00AA50CC" w:rsidRPr="00C046F5" w:rsidRDefault="00AA50CC" w:rsidP="00C046F5">
      <w:pPr>
        <w:pStyle w:val="Prrafodelista"/>
        <w:numPr>
          <w:ilvl w:val="0"/>
          <w:numId w:val="2"/>
        </w:numPr>
        <w:jc w:val="both"/>
        <w:rPr>
          <w:rFonts w:ascii="Times New Roman" w:hAnsi="Times New Roman" w:cs="Times New Roman"/>
          <w:sz w:val="24"/>
          <w:szCs w:val="24"/>
        </w:rPr>
      </w:pPr>
      <w:r w:rsidRPr="00C046F5">
        <w:rPr>
          <w:rFonts w:ascii="Times New Roman" w:hAnsi="Times New Roman" w:cs="Times New Roman"/>
          <w:sz w:val="24"/>
          <w:szCs w:val="24"/>
        </w:rPr>
        <w:t>Clase A (20,00%): propiedad del Estado + acción de oro</w:t>
      </w:r>
    </w:p>
    <w:p w:rsidR="00AA50CC" w:rsidRPr="00C046F5" w:rsidRDefault="00AA50CC" w:rsidP="00C046F5">
      <w:pPr>
        <w:pStyle w:val="Prrafodelista"/>
        <w:numPr>
          <w:ilvl w:val="0"/>
          <w:numId w:val="2"/>
        </w:numPr>
        <w:jc w:val="both"/>
        <w:rPr>
          <w:rFonts w:ascii="Times New Roman" w:hAnsi="Times New Roman" w:cs="Times New Roman"/>
          <w:sz w:val="24"/>
          <w:szCs w:val="24"/>
        </w:rPr>
      </w:pPr>
      <w:r w:rsidRPr="00C046F5">
        <w:rPr>
          <w:rFonts w:ascii="Times New Roman" w:hAnsi="Times New Roman" w:cs="Times New Roman"/>
          <w:sz w:val="24"/>
          <w:szCs w:val="24"/>
        </w:rPr>
        <w:t>Clase B (11,26%): adquiridas por las provincias</w:t>
      </w:r>
    </w:p>
    <w:p w:rsidR="00AA50CC" w:rsidRPr="00C046F5" w:rsidRDefault="00AA50CC" w:rsidP="00C046F5">
      <w:pPr>
        <w:pStyle w:val="Prrafodelista"/>
        <w:numPr>
          <w:ilvl w:val="0"/>
          <w:numId w:val="2"/>
        </w:numPr>
        <w:jc w:val="both"/>
        <w:rPr>
          <w:rFonts w:ascii="Times New Roman" w:hAnsi="Times New Roman" w:cs="Times New Roman"/>
          <w:sz w:val="24"/>
          <w:szCs w:val="24"/>
        </w:rPr>
      </w:pPr>
      <w:r w:rsidRPr="00C046F5">
        <w:rPr>
          <w:rFonts w:ascii="Times New Roman" w:hAnsi="Times New Roman" w:cs="Times New Roman"/>
          <w:sz w:val="24"/>
          <w:szCs w:val="24"/>
        </w:rPr>
        <w:t xml:space="preserve">Clase C (10,00%): adquiridas por los trabajadores de YPF </w:t>
      </w:r>
    </w:p>
    <w:p w:rsidR="00AA50CC" w:rsidRPr="00C046F5" w:rsidRDefault="00AA50CC" w:rsidP="00C046F5">
      <w:pPr>
        <w:pStyle w:val="Prrafodelista"/>
        <w:numPr>
          <w:ilvl w:val="0"/>
          <w:numId w:val="2"/>
        </w:numPr>
        <w:jc w:val="both"/>
        <w:rPr>
          <w:rFonts w:ascii="Times New Roman" w:hAnsi="Times New Roman" w:cs="Times New Roman"/>
          <w:sz w:val="24"/>
          <w:szCs w:val="24"/>
        </w:rPr>
      </w:pPr>
      <w:r w:rsidRPr="00C046F5">
        <w:rPr>
          <w:rFonts w:ascii="Times New Roman" w:hAnsi="Times New Roman" w:cs="Times New Roman"/>
          <w:sz w:val="24"/>
          <w:szCs w:val="24"/>
        </w:rPr>
        <w:t xml:space="preserve">Clase D (58,74%):  Un 46,44% de las acciones se </w:t>
      </w:r>
      <w:r w:rsidR="001E2B25">
        <w:rPr>
          <w:rFonts w:ascii="Times New Roman" w:hAnsi="Times New Roman" w:cs="Times New Roman"/>
          <w:sz w:val="24"/>
          <w:szCs w:val="24"/>
        </w:rPr>
        <w:t>venden</w:t>
      </w:r>
      <w:r w:rsidRPr="00C046F5">
        <w:rPr>
          <w:rFonts w:ascii="Times New Roman" w:hAnsi="Times New Roman" w:cs="Times New Roman"/>
          <w:sz w:val="24"/>
          <w:szCs w:val="24"/>
        </w:rPr>
        <w:t xml:space="preserve"> en las bolsas de Nueva York, Londres, Buenos Aires y México, mientras que el 12,30% son transferidas a los jubilados del país por los pagos atrasados de sus pensiones. </w:t>
      </w:r>
    </w:p>
    <w:p w:rsidR="00AA50CC" w:rsidRPr="00C046F5" w:rsidRDefault="00AA50CC" w:rsidP="00C046F5">
      <w:pPr>
        <w:pStyle w:val="Prrafodelista"/>
        <w:jc w:val="both"/>
        <w:rPr>
          <w:rFonts w:ascii="Times New Roman" w:hAnsi="Times New Roman" w:cs="Times New Roman"/>
          <w:sz w:val="24"/>
          <w:szCs w:val="24"/>
        </w:rPr>
      </w:pPr>
    </w:p>
    <w:p w:rsidR="00AA50CC" w:rsidRPr="00C046F5" w:rsidRDefault="00AA50CC" w:rsidP="00C046F5">
      <w:pPr>
        <w:pStyle w:val="Prrafodelista"/>
        <w:ind w:left="0"/>
        <w:jc w:val="both"/>
        <w:rPr>
          <w:rFonts w:ascii="Times New Roman" w:hAnsi="Times New Roman" w:cs="Times New Roman"/>
          <w:sz w:val="24"/>
          <w:szCs w:val="24"/>
        </w:rPr>
      </w:pPr>
      <w:r w:rsidRPr="00C046F5">
        <w:rPr>
          <w:rFonts w:ascii="Times New Roman" w:hAnsi="Times New Roman" w:cs="Times New Roman"/>
          <w:sz w:val="24"/>
          <w:szCs w:val="24"/>
        </w:rPr>
        <w:t xml:space="preserve">La acción de oro del </w:t>
      </w:r>
      <w:r w:rsidR="001E2B25">
        <w:rPr>
          <w:rFonts w:ascii="Times New Roman" w:hAnsi="Times New Roman" w:cs="Times New Roman"/>
          <w:sz w:val="24"/>
          <w:szCs w:val="24"/>
        </w:rPr>
        <w:t>E</w:t>
      </w:r>
      <w:r w:rsidRPr="00C046F5">
        <w:rPr>
          <w:rFonts w:ascii="Times New Roman" w:hAnsi="Times New Roman" w:cs="Times New Roman"/>
          <w:sz w:val="24"/>
          <w:szCs w:val="24"/>
        </w:rPr>
        <w:t xml:space="preserve">stado le atribuía a este el derecho de vetar o no la venta y cambio de sede de YPF. También, se le concedía un director de los 12 existentes en la compañía y un síndico de tres. </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Con las acciones vendidas en bolsa</w:t>
      </w:r>
      <w:r w:rsidR="001E2B25">
        <w:rPr>
          <w:rFonts w:ascii="Times New Roman" w:hAnsi="Times New Roman" w:cs="Times New Roman"/>
          <w:sz w:val="24"/>
          <w:szCs w:val="24"/>
        </w:rPr>
        <w:t>,</w:t>
      </w:r>
      <w:r w:rsidRPr="00C046F5">
        <w:rPr>
          <w:rFonts w:ascii="Times New Roman" w:hAnsi="Times New Roman" w:cs="Times New Roman"/>
          <w:sz w:val="24"/>
          <w:szCs w:val="24"/>
        </w:rPr>
        <w:t xml:space="preserve"> el Estado recaudó 3.040 millones de dólares. Aunque en un principio las acciones de Clase D no suponían más de un 60%, cinco año después de esta operación suponían</w:t>
      </w:r>
      <w:r w:rsidR="001E2B25">
        <w:rPr>
          <w:rFonts w:ascii="Times New Roman" w:hAnsi="Times New Roman" w:cs="Times New Roman"/>
          <w:sz w:val="24"/>
          <w:szCs w:val="24"/>
        </w:rPr>
        <w:t xml:space="preserve"> solo</w:t>
      </w:r>
      <w:r w:rsidRPr="00C046F5">
        <w:rPr>
          <w:rFonts w:ascii="Times New Roman" w:hAnsi="Times New Roman" w:cs="Times New Roman"/>
          <w:sz w:val="24"/>
          <w:szCs w:val="24"/>
        </w:rPr>
        <w:t xml:space="preserve"> algo más de un tercio de las acciones totales, puesto que las provincias vendieron la mayoría de acciones en su poder y los </w:t>
      </w:r>
      <w:r w:rsidRPr="00C046F5">
        <w:rPr>
          <w:rFonts w:ascii="Times New Roman" w:hAnsi="Times New Roman" w:cs="Times New Roman"/>
          <w:sz w:val="24"/>
          <w:szCs w:val="24"/>
        </w:rPr>
        <w:lastRenderedPageBreak/>
        <w:t xml:space="preserve">trabajadores de YPF hicieron lo mismo con las suyas, dado que los precios en el mercado de las acciones habían crecido y por la falta de liquidez de ambos grupos. </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No es hasta 1998 cuando se comienza a barajar el nombre de Repsol para la adquisición de YPF. El acuerdo al que llegaron la administración Menem y la presidencia de Repsol, en abril de 1999, era que la primera vendiese a la segunda el paquete de acciones que aún poseía (14,99%) por 38 dólares la acción.</w:t>
      </w:r>
      <w:r w:rsidR="005772BF">
        <w:rPr>
          <w:rFonts w:ascii="Times New Roman" w:hAnsi="Times New Roman" w:cs="Times New Roman"/>
          <w:sz w:val="24"/>
          <w:szCs w:val="24"/>
        </w:rPr>
        <w:t xml:space="preserve"> </w:t>
      </w:r>
      <w:r w:rsidRPr="00C046F5">
        <w:rPr>
          <w:rFonts w:ascii="Times New Roman" w:hAnsi="Times New Roman" w:cs="Times New Roman"/>
          <w:sz w:val="24"/>
          <w:szCs w:val="24"/>
        </w:rPr>
        <w:t>Asimismo, este acuerdo incluía una cláusula en donde se especificaba que al adquirir ese paquete del 14,99% de YPF, tenía la posibilidad de ofertar por el 100% de las acciones en, al menos, un plazo de dos años. Si otro competidor deseaba apropiarse de la totalidad de la empresa debía ofrecer una oferta al menos un 25% mayor.</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En ese momento la composición de YPF era la siguiente:</w:t>
      </w:r>
    </w:p>
    <w:p w:rsidR="00AA50CC" w:rsidRPr="00C046F5" w:rsidRDefault="00AA50CC" w:rsidP="00C046F5">
      <w:pPr>
        <w:spacing w:after="0"/>
        <w:jc w:val="both"/>
        <w:rPr>
          <w:rFonts w:ascii="Times New Roman" w:hAnsi="Times New Roman" w:cs="Times New Roman"/>
          <w:sz w:val="24"/>
          <w:szCs w:val="24"/>
        </w:rPr>
      </w:pPr>
      <w:r w:rsidRPr="00C046F5">
        <w:rPr>
          <w:rFonts w:ascii="Times New Roman" w:hAnsi="Times New Roman" w:cs="Times New Roman"/>
          <w:sz w:val="24"/>
          <w:szCs w:val="24"/>
        </w:rPr>
        <w:t xml:space="preserve">Estado: 5,00%  + acción de oro </w:t>
      </w:r>
    </w:p>
    <w:p w:rsidR="00AA50CC" w:rsidRPr="00C046F5" w:rsidRDefault="00AA50CC" w:rsidP="00C046F5">
      <w:pPr>
        <w:spacing w:after="0"/>
        <w:jc w:val="both"/>
        <w:rPr>
          <w:rFonts w:ascii="Times New Roman" w:hAnsi="Times New Roman" w:cs="Times New Roman"/>
          <w:sz w:val="24"/>
          <w:szCs w:val="24"/>
        </w:rPr>
      </w:pPr>
      <w:r w:rsidRPr="00C046F5">
        <w:rPr>
          <w:rFonts w:ascii="Times New Roman" w:hAnsi="Times New Roman" w:cs="Times New Roman"/>
          <w:sz w:val="24"/>
          <w:szCs w:val="24"/>
        </w:rPr>
        <w:t>Provincias: 4,7%</w:t>
      </w:r>
    </w:p>
    <w:p w:rsidR="00AA50CC" w:rsidRPr="00C046F5" w:rsidRDefault="00AA50CC" w:rsidP="00C046F5">
      <w:pPr>
        <w:spacing w:after="0"/>
        <w:jc w:val="both"/>
        <w:rPr>
          <w:rFonts w:ascii="Times New Roman" w:hAnsi="Times New Roman" w:cs="Times New Roman"/>
          <w:sz w:val="24"/>
          <w:szCs w:val="24"/>
        </w:rPr>
      </w:pPr>
      <w:r w:rsidRPr="00C046F5">
        <w:rPr>
          <w:rFonts w:ascii="Times New Roman" w:hAnsi="Times New Roman" w:cs="Times New Roman"/>
          <w:sz w:val="24"/>
          <w:szCs w:val="24"/>
        </w:rPr>
        <w:t xml:space="preserve">Trabajadores de YPF: 0,4% </w:t>
      </w:r>
    </w:p>
    <w:p w:rsidR="00AA50CC" w:rsidRPr="00C046F5" w:rsidRDefault="00AA50CC" w:rsidP="00C046F5">
      <w:pPr>
        <w:spacing w:after="0"/>
        <w:jc w:val="both"/>
        <w:rPr>
          <w:rFonts w:ascii="Times New Roman" w:hAnsi="Times New Roman" w:cs="Times New Roman"/>
          <w:sz w:val="24"/>
          <w:szCs w:val="24"/>
        </w:rPr>
      </w:pPr>
      <w:r w:rsidRPr="00C046F5">
        <w:rPr>
          <w:rFonts w:ascii="Times New Roman" w:hAnsi="Times New Roman" w:cs="Times New Roman"/>
          <w:sz w:val="24"/>
          <w:szCs w:val="24"/>
        </w:rPr>
        <w:t xml:space="preserve">Sector privado: 74,99% </w:t>
      </w:r>
    </w:p>
    <w:p w:rsidR="00AA50CC" w:rsidRPr="00C046F5" w:rsidRDefault="00AA50CC" w:rsidP="00C046F5">
      <w:pPr>
        <w:spacing w:after="0"/>
        <w:jc w:val="both"/>
        <w:rPr>
          <w:rFonts w:ascii="Times New Roman" w:hAnsi="Times New Roman" w:cs="Times New Roman"/>
          <w:sz w:val="24"/>
          <w:szCs w:val="24"/>
        </w:rPr>
      </w:pPr>
      <w:r w:rsidRPr="00C046F5">
        <w:rPr>
          <w:rFonts w:ascii="Times New Roman" w:hAnsi="Times New Roman" w:cs="Times New Roman"/>
          <w:sz w:val="24"/>
          <w:szCs w:val="24"/>
        </w:rPr>
        <w:t>Repsol: 14,99%</w:t>
      </w:r>
    </w:p>
    <w:p w:rsidR="00AA50CC" w:rsidRPr="00C046F5" w:rsidRDefault="00AA50CC" w:rsidP="00C046F5">
      <w:pPr>
        <w:spacing w:after="0"/>
        <w:jc w:val="both"/>
        <w:rPr>
          <w:rFonts w:ascii="Times New Roman" w:hAnsi="Times New Roman" w:cs="Times New Roman"/>
          <w:sz w:val="24"/>
          <w:szCs w:val="24"/>
        </w:rPr>
      </w:pP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En junio de 1999, Repsol decide ejercer su derecho de compra y suma a sus acciones otro 83,24% de YPF. Esta vez, paga 44,78 dólares por acción.</w:t>
      </w:r>
      <w:r w:rsidR="005772BF">
        <w:rPr>
          <w:rFonts w:ascii="Times New Roman" w:hAnsi="Times New Roman" w:cs="Times New Roman"/>
          <w:sz w:val="24"/>
          <w:szCs w:val="24"/>
        </w:rPr>
        <w:t xml:space="preserve"> </w:t>
      </w:r>
      <w:r w:rsidRPr="00C046F5">
        <w:rPr>
          <w:rFonts w:ascii="Times New Roman" w:hAnsi="Times New Roman" w:cs="Times New Roman"/>
          <w:sz w:val="24"/>
          <w:szCs w:val="24"/>
        </w:rPr>
        <w:t>Por lo tanto, la composición de YPF a finales de 1999 es la siguiente:</w:t>
      </w:r>
    </w:p>
    <w:p w:rsidR="00AA50CC" w:rsidRPr="00C046F5" w:rsidRDefault="00AA50CC" w:rsidP="00C046F5">
      <w:pPr>
        <w:spacing w:after="0"/>
        <w:jc w:val="both"/>
        <w:rPr>
          <w:rFonts w:ascii="Times New Roman" w:hAnsi="Times New Roman" w:cs="Times New Roman"/>
          <w:sz w:val="24"/>
          <w:szCs w:val="24"/>
        </w:rPr>
      </w:pPr>
      <w:r w:rsidRPr="00C046F5">
        <w:rPr>
          <w:rFonts w:ascii="Times New Roman" w:hAnsi="Times New Roman" w:cs="Times New Roman"/>
          <w:sz w:val="24"/>
          <w:szCs w:val="24"/>
        </w:rPr>
        <w:t>Estado: acción de oro</w:t>
      </w:r>
    </w:p>
    <w:p w:rsidR="00AA50CC" w:rsidRPr="00C046F5" w:rsidRDefault="00AA50CC" w:rsidP="00C046F5">
      <w:pPr>
        <w:spacing w:after="0"/>
        <w:jc w:val="both"/>
        <w:rPr>
          <w:rFonts w:ascii="Times New Roman" w:hAnsi="Times New Roman" w:cs="Times New Roman"/>
          <w:sz w:val="24"/>
          <w:szCs w:val="24"/>
        </w:rPr>
      </w:pPr>
      <w:r w:rsidRPr="00C046F5">
        <w:rPr>
          <w:rFonts w:ascii="Times New Roman" w:hAnsi="Times New Roman" w:cs="Times New Roman"/>
          <w:sz w:val="24"/>
          <w:szCs w:val="24"/>
        </w:rPr>
        <w:t xml:space="preserve">Trabajadores de YPF: 0,4% </w:t>
      </w:r>
    </w:p>
    <w:p w:rsidR="00AA50CC" w:rsidRPr="00C046F5" w:rsidRDefault="00AA50CC" w:rsidP="00C046F5">
      <w:pPr>
        <w:spacing w:after="0"/>
        <w:jc w:val="both"/>
        <w:rPr>
          <w:rFonts w:ascii="Times New Roman" w:hAnsi="Times New Roman" w:cs="Times New Roman"/>
          <w:sz w:val="24"/>
          <w:szCs w:val="24"/>
        </w:rPr>
      </w:pPr>
      <w:r w:rsidRPr="00C046F5">
        <w:rPr>
          <w:rFonts w:ascii="Times New Roman" w:hAnsi="Times New Roman" w:cs="Times New Roman"/>
          <w:sz w:val="24"/>
          <w:szCs w:val="24"/>
        </w:rPr>
        <w:t xml:space="preserve">Sector privado: 1,37% </w:t>
      </w:r>
    </w:p>
    <w:p w:rsidR="00AA50CC" w:rsidRPr="00C046F5" w:rsidRDefault="00AA50CC" w:rsidP="00C046F5">
      <w:pPr>
        <w:spacing w:after="120"/>
        <w:jc w:val="both"/>
        <w:rPr>
          <w:rFonts w:ascii="Times New Roman" w:hAnsi="Times New Roman" w:cs="Times New Roman"/>
          <w:sz w:val="24"/>
          <w:szCs w:val="24"/>
        </w:rPr>
      </w:pPr>
      <w:r w:rsidRPr="00C046F5">
        <w:rPr>
          <w:rFonts w:ascii="Times New Roman" w:hAnsi="Times New Roman" w:cs="Times New Roman"/>
          <w:sz w:val="24"/>
          <w:szCs w:val="24"/>
        </w:rPr>
        <w:t>Repsol: 98,23%</w:t>
      </w:r>
    </w:p>
    <w:p w:rsidR="00AA50CC" w:rsidRDefault="00AA50CC" w:rsidP="00CC44BF">
      <w:pPr>
        <w:spacing w:after="0"/>
        <w:jc w:val="both"/>
        <w:rPr>
          <w:rFonts w:ascii="Times New Roman" w:hAnsi="Times New Roman" w:cs="Times New Roman"/>
          <w:sz w:val="24"/>
          <w:szCs w:val="24"/>
        </w:rPr>
      </w:pPr>
      <w:r w:rsidRPr="00C046F5">
        <w:rPr>
          <w:rFonts w:ascii="Times New Roman" w:hAnsi="Times New Roman" w:cs="Times New Roman"/>
          <w:sz w:val="24"/>
          <w:szCs w:val="24"/>
        </w:rPr>
        <w:t>El acuerdo por el que Repsol adquiría YPF especificaba que debía deshacerse del 9% de las estaciones expendedoras de combustible, una refinería, campos de producción y  el compromiso de  no aumentar la generación de energía eléctrica con gas natural. Es por ello que Repsol y PETROBRAS intercambia</w:t>
      </w:r>
      <w:r w:rsidR="001B6820">
        <w:rPr>
          <w:rFonts w:ascii="Times New Roman" w:hAnsi="Times New Roman" w:cs="Times New Roman"/>
          <w:sz w:val="24"/>
          <w:szCs w:val="24"/>
        </w:rPr>
        <w:t>ro</w:t>
      </w:r>
      <w:r w:rsidRPr="00C046F5">
        <w:rPr>
          <w:rFonts w:ascii="Times New Roman" w:hAnsi="Times New Roman" w:cs="Times New Roman"/>
          <w:sz w:val="24"/>
          <w:szCs w:val="24"/>
        </w:rPr>
        <w:t xml:space="preserve">n activos para cumplir con la normativa. </w:t>
      </w:r>
    </w:p>
    <w:p w:rsidR="00CC44BF" w:rsidRDefault="00CC44BF" w:rsidP="00CC44BF">
      <w:pPr>
        <w:spacing w:after="0"/>
        <w:jc w:val="both"/>
        <w:rPr>
          <w:rFonts w:ascii="Times New Roman" w:hAnsi="Times New Roman" w:cs="Times New Roman"/>
          <w:sz w:val="24"/>
          <w:szCs w:val="24"/>
        </w:rPr>
      </w:pPr>
    </w:p>
    <w:p w:rsidR="00CC44BF" w:rsidRPr="00C046F5" w:rsidRDefault="00CC44BF" w:rsidP="00CC44BF">
      <w:pPr>
        <w:spacing w:after="0"/>
        <w:jc w:val="both"/>
        <w:rPr>
          <w:rFonts w:ascii="Times New Roman" w:hAnsi="Times New Roman" w:cs="Times New Roman"/>
          <w:sz w:val="24"/>
          <w:szCs w:val="24"/>
        </w:rPr>
      </w:pPr>
    </w:p>
    <w:p w:rsidR="00AA50CC" w:rsidRDefault="008A0273" w:rsidP="00CC44BF">
      <w:pPr>
        <w:pStyle w:val="Ttulo1"/>
        <w:spacing w:before="0"/>
        <w:rPr>
          <w:rFonts w:ascii="Times New Roman" w:hAnsi="Times New Roman" w:cs="Times New Roman"/>
          <w:color w:val="auto"/>
          <w:sz w:val="24"/>
          <w:szCs w:val="24"/>
        </w:rPr>
      </w:pPr>
      <w:r>
        <w:rPr>
          <w:rFonts w:ascii="Times New Roman" w:hAnsi="Times New Roman" w:cs="Times New Roman"/>
          <w:color w:val="auto"/>
          <w:sz w:val="24"/>
          <w:szCs w:val="24"/>
        </w:rPr>
        <w:t>6. El caso de estudio: la e</w:t>
      </w:r>
      <w:r w:rsidR="00CC44BF" w:rsidRPr="00CC44BF">
        <w:rPr>
          <w:rFonts w:ascii="Times New Roman" w:hAnsi="Times New Roman" w:cs="Times New Roman"/>
          <w:color w:val="auto"/>
          <w:sz w:val="24"/>
          <w:szCs w:val="24"/>
        </w:rPr>
        <w:t xml:space="preserve">xpropiación de </w:t>
      </w:r>
      <w:r w:rsidR="00CC44BF">
        <w:rPr>
          <w:rFonts w:ascii="Times New Roman" w:hAnsi="Times New Roman" w:cs="Times New Roman"/>
          <w:color w:val="auto"/>
          <w:sz w:val="24"/>
          <w:szCs w:val="24"/>
        </w:rPr>
        <w:t>YPF</w:t>
      </w:r>
    </w:p>
    <w:p w:rsidR="00CC44BF" w:rsidRPr="00CC44BF" w:rsidRDefault="00CC44BF" w:rsidP="00CC44BF">
      <w:pPr>
        <w:spacing w:after="0"/>
      </w:pPr>
    </w:p>
    <w:p w:rsidR="00AA50CC" w:rsidRPr="00C046F5" w:rsidRDefault="00AA50CC" w:rsidP="00CC44BF">
      <w:pPr>
        <w:spacing w:after="0"/>
        <w:jc w:val="both"/>
        <w:rPr>
          <w:rFonts w:ascii="Times New Roman" w:hAnsi="Times New Roman" w:cs="Times New Roman"/>
          <w:sz w:val="24"/>
          <w:szCs w:val="24"/>
        </w:rPr>
      </w:pPr>
      <w:r w:rsidRPr="00C046F5">
        <w:rPr>
          <w:rFonts w:ascii="Times New Roman" w:hAnsi="Times New Roman" w:cs="Times New Roman"/>
          <w:sz w:val="24"/>
          <w:szCs w:val="24"/>
        </w:rPr>
        <w:t>Las relaciones entre Repsol y el gobierno han sido cordiales hasta que en Noviembre de 2011 el gobierno argentino comenzó una campaña de acoso a Repsol. En un primer momento el gobierno advierte a la compañía que su inversión es insuficiente para la producción idónea para el país. Más tarde, se repiten diversas inspecciones fiscales</w:t>
      </w:r>
      <w:r w:rsidR="00AE20DB">
        <w:rPr>
          <w:rFonts w:ascii="Times New Roman" w:hAnsi="Times New Roman" w:cs="Times New Roman"/>
          <w:sz w:val="24"/>
          <w:szCs w:val="24"/>
        </w:rPr>
        <w:t>,</w:t>
      </w:r>
      <w:r w:rsidRPr="00C046F5">
        <w:rPr>
          <w:rFonts w:ascii="Times New Roman" w:hAnsi="Times New Roman" w:cs="Times New Roman"/>
          <w:sz w:val="24"/>
          <w:szCs w:val="24"/>
        </w:rPr>
        <w:t xml:space="preserve"> las cuales finalizan en expedientes administrativos.  La situación se agravó cuando cinco gobernadores rescindieron los contratos de explotación que sus provincias tenían con Repsol –YPF, lo que su</w:t>
      </w:r>
      <w:r w:rsidR="00AE20DB">
        <w:rPr>
          <w:rFonts w:ascii="Times New Roman" w:hAnsi="Times New Roman" w:cs="Times New Roman"/>
          <w:sz w:val="24"/>
          <w:szCs w:val="24"/>
        </w:rPr>
        <w:t>puso</w:t>
      </w:r>
      <w:r w:rsidRPr="00C046F5">
        <w:rPr>
          <w:rFonts w:ascii="Times New Roman" w:hAnsi="Times New Roman" w:cs="Times New Roman"/>
          <w:sz w:val="24"/>
          <w:szCs w:val="24"/>
        </w:rPr>
        <w:t xml:space="preserve"> una pérdida del 12% de la producción en Argentina. </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 xml:space="preserve">Ante tales circunstancias la cotización de la empresa en Wall Street comenzó a disminuir. Fue entonces, cuando el presidente de Repsol, Antonio Brufau, solicitó </w:t>
      </w:r>
      <w:r w:rsidRPr="00C046F5">
        <w:rPr>
          <w:rFonts w:ascii="Times New Roman" w:hAnsi="Times New Roman" w:cs="Times New Roman"/>
          <w:sz w:val="24"/>
          <w:szCs w:val="24"/>
        </w:rPr>
        <w:lastRenderedPageBreak/>
        <w:t xml:space="preserve">audiencia con la presidenta argentina. Sin embargo, esta petición no fue atendida y el Sr. Brufau envió una misiva al gobierno presentando </w:t>
      </w:r>
      <w:r w:rsidR="00AE20DB">
        <w:rPr>
          <w:rFonts w:ascii="Times New Roman" w:hAnsi="Times New Roman" w:cs="Times New Roman"/>
          <w:sz w:val="24"/>
          <w:szCs w:val="24"/>
        </w:rPr>
        <w:t>proyectos</w:t>
      </w:r>
      <w:r w:rsidRPr="00C046F5">
        <w:rPr>
          <w:rFonts w:ascii="Times New Roman" w:hAnsi="Times New Roman" w:cs="Times New Roman"/>
          <w:sz w:val="24"/>
          <w:szCs w:val="24"/>
        </w:rPr>
        <w:t xml:space="preserve"> de inversión de 3.500 millones de dólares y sus planes de explotación para el yacimiento de Vaca Muerta (el cual posee la mitad de las reservas de gas del país) pero esto tampoco fue suficiente para llegar a un acuerdo con Argentina. </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 xml:space="preserve">Las discrepancias terminaron el 15 de abril con la expropiación del 51% de las acciones de YPF del total de 57,43% que posee.  Estas se reparten de la siguiente forma: el 26,01% para el gobierno y el restante 24,99% para los gobernadores de las distintas provincias. </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 xml:space="preserve">Los argumentos esgrimidos por la presidenta, Cristina Kirchner, han sido los de buscar la suficiencia energética para Argentina, puesto que el país no debería importar ni gas ni petróleo. Se achacaba este saldo comercial deficitario a la falta de inversiones de Repsol- YPF. </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Sin embargo, (</w:t>
      </w:r>
      <w:hyperlink r:id="rId9" w:history="1">
        <w:r w:rsidRPr="00413077">
          <w:rPr>
            <w:rStyle w:val="Hipervnculo"/>
            <w:rFonts w:ascii="Times New Roman" w:hAnsi="Times New Roman" w:cs="Times New Roman"/>
            <w:color w:val="auto"/>
            <w:sz w:val="24"/>
            <w:szCs w:val="24"/>
            <w:u w:val="none"/>
          </w:rPr>
          <w:t>Bermejo García</w:t>
        </w:r>
      </w:hyperlink>
      <w:r w:rsidRPr="00413077">
        <w:rPr>
          <w:rFonts w:ascii="Times New Roman" w:hAnsi="Times New Roman" w:cs="Times New Roman"/>
          <w:sz w:val="24"/>
          <w:szCs w:val="24"/>
        </w:rPr>
        <w:t xml:space="preserve"> y </w:t>
      </w:r>
      <w:hyperlink r:id="rId10" w:history="1">
        <w:r w:rsidRPr="00413077">
          <w:rPr>
            <w:rStyle w:val="Hipervnculo"/>
            <w:rFonts w:ascii="Times New Roman" w:hAnsi="Times New Roman" w:cs="Times New Roman"/>
            <w:color w:val="auto"/>
            <w:sz w:val="24"/>
            <w:szCs w:val="24"/>
            <w:u w:val="none"/>
          </w:rPr>
          <w:t>Garciandía Garmendia</w:t>
        </w:r>
      </w:hyperlink>
      <w:r w:rsidRPr="00413077">
        <w:rPr>
          <w:rFonts w:ascii="Times New Roman" w:hAnsi="Times New Roman" w:cs="Times New Roman"/>
          <w:sz w:val="24"/>
          <w:szCs w:val="24"/>
        </w:rPr>
        <w:t>,</w:t>
      </w:r>
      <w:r w:rsidRPr="00C046F5">
        <w:rPr>
          <w:rFonts w:ascii="Times New Roman" w:hAnsi="Times New Roman" w:cs="Times New Roman"/>
          <w:sz w:val="24"/>
          <w:szCs w:val="24"/>
        </w:rPr>
        <w:t xml:space="preserve"> 2012), proponen 3 causas para explicar esta expropiación. La primera de ellas se refiere a la retirada progresi</w:t>
      </w:r>
      <w:r w:rsidR="00AE20DB">
        <w:rPr>
          <w:rFonts w:ascii="Times New Roman" w:hAnsi="Times New Roman" w:cs="Times New Roman"/>
          <w:sz w:val="24"/>
          <w:szCs w:val="24"/>
        </w:rPr>
        <w:t xml:space="preserve">va de licencias de explotación </w:t>
      </w:r>
      <w:r w:rsidRPr="00C046F5">
        <w:rPr>
          <w:rFonts w:ascii="Times New Roman" w:hAnsi="Times New Roman" w:cs="Times New Roman"/>
          <w:sz w:val="24"/>
          <w:szCs w:val="24"/>
        </w:rPr>
        <w:t>por parte de los gobernadores de las provincias. La segunda se centra en el descubrimiento del yacimiento de petróleo no convencional Vaca Muerta.  Su extensión es de 30.000 km. cuadrados y</w:t>
      </w:r>
      <w:r w:rsidR="00AE20DB">
        <w:rPr>
          <w:rFonts w:ascii="Times New Roman" w:hAnsi="Times New Roman" w:cs="Times New Roman"/>
          <w:sz w:val="24"/>
          <w:szCs w:val="24"/>
        </w:rPr>
        <w:t>,</w:t>
      </w:r>
      <w:r w:rsidRPr="00C046F5">
        <w:rPr>
          <w:rFonts w:ascii="Times New Roman" w:hAnsi="Times New Roman" w:cs="Times New Roman"/>
          <w:sz w:val="24"/>
          <w:szCs w:val="24"/>
        </w:rPr>
        <w:t xml:space="preserve">  según el informe de la consultora Ryder Scott, las reservas del mismo ascienden a 22.807 millones de barriles de petróleo equivalentes</w:t>
      </w:r>
      <w:r w:rsidRPr="00C046F5">
        <w:rPr>
          <w:rStyle w:val="Refdenotaalpie"/>
          <w:rFonts w:ascii="Times New Roman" w:hAnsi="Times New Roman" w:cs="Times New Roman"/>
          <w:sz w:val="24"/>
          <w:szCs w:val="24"/>
        </w:rPr>
        <w:footnoteReference w:id="1"/>
      </w:r>
      <w:r w:rsidRPr="00C046F5">
        <w:rPr>
          <w:rFonts w:ascii="Times New Roman" w:hAnsi="Times New Roman" w:cs="Times New Roman"/>
          <w:sz w:val="24"/>
          <w:szCs w:val="24"/>
        </w:rPr>
        <w:t>. Por último, el tercer factor sería la baja popularidad con la que contaba el ejecutivo Kirchner, pues los malos datos económicos y la crisis de gestión en un accidente fer</w:t>
      </w:r>
      <w:r w:rsidR="00AE20DB">
        <w:rPr>
          <w:rFonts w:ascii="Times New Roman" w:hAnsi="Times New Roman" w:cs="Times New Roman"/>
          <w:sz w:val="24"/>
          <w:szCs w:val="24"/>
        </w:rPr>
        <w:t xml:space="preserve">roviario habrían restado apoyo </w:t>
      </w:r>
      <w:r w:rsidRPr="00C046F5">
        <w:rPr>
          <w:rFonts w:ascii="Times New Roman" w:hAnsi="Times New Roman" w:cs="Times New Roman"/>
          <w:sz w:val="24"/>
          <w:szCs w:val="24"/>
        </w:rPr>
        <w:t>a la presidenta.</w:t>
      </w:r>
    </w:p>
    <w:p w:rsidR="00AA50CC" w:rsidRPr="00C046F5" w:rsidRDefault="00AE20DB" w:rsidP="00C046F5">
      <w:pPr>
        <w:jc w:val="both"/>
        <w:rPr>
          <w:rFonts w:ascii="Times New Roman" w:hAnsi="Times New Roman" w:cs="Times New Roman"/>
          <w:sz w:val="24"/>
          <w:szCs w:val="24"/>
        </w:rPr>
      </w:pPr>
      <w:r>
        <w:rPr>
          <w:rFonts w:ascii="Times New Roman" w:hAnsi="Times New Roman" w:cs="Times New Roman"/>
          <w:sz w:val="24"/>
          <w:szCs w:val="24"/>
        </w:rPr>
        <w:t xml:space="preserve">Estas acciones fueron </w:t>
      </w:r>
      <w:r w:rsidR="00AA50CC" w:rsidRPr="00C046F5">
        <w:rPr>
          <w:rFonts w:ascii="Times New Roman" w:hAnsi="Times New Roman" w:cs="Times New Roman"/>
          <w:sz w:val="24"/>
          <w:szCs w:val="24"/>
        </w:rPr>
        <w:t>extraídas de la parte que Repsol tiene en YPF y no de las pertenecientes al grupo P</w:t>
      </w:r>
      <w:r>
        <w:rPr>
          <w:rFonts w:ascii="Times New Roman" w:hAnsi="Times New Roman" w:cs="Times New Roman"/>
          <w:sz w:val="24"/>
          <w:szCs w:val="24"/>
        </w:rPr>
        <w:t xml:space="preserve">etersen de la familia Eskenazi, </w:t>
      </w:r>
      <w:r w:rsidR="00AA50CC" w:rsidRPr="00C046F5">
        <w:rPr>
          <w:rFonts w:ascii="Times New Roman" w:hAnsi="Times New Roman" w:cs="Times New Roman"/>
          <w:sz w:val="24"/>
          <w:szCs w:val="24"/>
        </w:rPr>
        <w:t xml:space="preserve">que cuenta con un 25,46% de las acciones. Su entrada en </w:t>
      </w:r>
      <w:r>
        <w:rPr>
          <w:rFonts w:ascii="Times New Roman" w:hAnsi="Times New Roman" w:cs="Times New Roman"/>
          <w:sz w:val="24"/>
          <w:szCs w:val="24"/>
        </w:rPr>
        <w:t>YPF</w:t>
      </w:r>
      <w:r w:rsidR="00AA50CC" w:rsidRPr="00C046F5">
        <w:rPr>
          <w:rFonts w:ascii="Times New Roman" w:hAnsi="Times New Roman" w:cs="Times New Roman"/>
          <w:sz w:val="24"/>
          <w:szCs w:val="24"/>
        </w:rPr>
        <w:t xml:space="preserve"> no estuvo exenta de polémica</w:t>
      </w:r>
      <w:r>
        <w:rPr>
          <w:rFonts w:ascii="Times New Roman" w:hAnsi="Times New Roman" w:cs="Times New Roman"/>
          <w:sz w:val="24"/>
          <w:szCs w:val="24"/>
        </w:rPr>
        <w:t>,</w:t>
      </w:r>
      <w:r w:rsidR="00AA50CC" w:rsidRPr="00C046F5">
        <w:rPr>
          <w:rFonts w:ascii="Times New Roman" w:hAnsi="Times New Roman" w:cs="Times New Roman"/>
          <w:sz w:val="24"/>
          <w:szCs w:val="24"/>
        </w:rPr>
        <w:t xml:space="preserve"> puesto que el pago del 90% del valor de las acciones se haría con los dividendos que ganase la familia Eskenazi en los sucesivos años, el otro 10% ya lo había abonado en efectivo. El préstamo que recibió la familia Eskenazi, en 2008, ascendía a 1.080 millones de dólares y procedía de un sindicato de bancos compuesto por CréditSuisse, Goldman Sachs, BNP Paribas y Banco Itaú Europa entre otros. Además, Repsol también ejerció de prestamista ofreciéndole 1.015 millones de dólares para la adquisición del 14, 9% de las acciones de YPF, los cuales serían devueltos basándose en el compromiso de que el 90% de los beneficios serían repartidos. En 2011 consiguió otro préstamos de 670 millones de dólares de un consorcio de Banca compuesto por el Banco Itaú, Standard Bank, CréditSuisse y City, mientras que Repsol también daba su aportación para adquirir el 10% de YPF. </w:t>
      </w:r>
    </w:p>
    <w:p w:rsidR="00AA50CC" w:rsidRDefault="00AA50CC" w:rsidP="00CC44BF">
      <w:pPr>
        <w:spacing w:after="0"/>
        <w:jc w:val="both"/>
        <w:rPr>
          <w:rFonts w:ascii="Times New Roman" w:hAnsi="Times New Roman" w:cs="Times New Roman"/>
          <w:sz w:val="24"/>
          <w:szCs w:val="24"/>
        </w:rPr>
      </w:pPr>
      <w:r w:rsidRPr="00C046F5">
        <w:rPr>
          <w:rFonts w:ascii="Times New Roman" w:hAnsi="Times New Roman" w:cs="Times New Roman"/>
          <w:sz w:val="24"/>
          <w:szCs w:val="24"/>
        </w:rPr>
        <w:lastRenderedPageBreak/>
        <w:t>Sin embargo, el grupo Petersen, no pudo hacer frente a los pagos para devolver los créditos a sus acreedores, dado que la nueva política de dividendos de la compañía YPF contemplaba una gran reducción de estos. El 11 de mayo de 2012, Crédit</w:t>
      </w:r>
      <w:r w:rsidR="00AC577F">
        <w:rPr>
          <w:rFonts w:ascii="Times New Roman" w:hAnsi="Times New Roman" w:cs="Times New Roman"/>
          <w:sz w:val="24"/>
          <w:szCs w:val="24"/>
        </w:rPr>
        <w:t xml:space="preserve"> </w:t>
      </w:r>
      <w:r w:rsidRPr="00C046F5">
        <w:rPr>
          <w:rFonts w:ascii="Times New Roman" w:hAnsi="Times New Roman" w:cs="Times New Roman"/>
          <w:sz w:val="24"/>
          <w:szCs w:val="24"/>
        </w:rPr>
        <w:t>Suisse informó de los primeros impagos. Repsol y el grupo Petersen</w:t>
      </w:r>
      <w:r w:rsidR="00AC577F">
        <w:rPr>
          <w:rFonts w:ascii="Times New Roman" w:hAnsi="Times New Roman" w:cs="Times New Roman"/>
          <w:sz w:val="24"/>
          <w:szCs w:val="24"/>
        </w:rPr>
        <w:t xml:space="preserve"> </w:t>
      </w:r>
      <w:r w:rsidRPr="00C046F5">
        <w:rPr>
          <w:rFonts w:ascii="Times New Roman" w:hAnsi="Times New Roman" w:cs="Times New Roman"/>
          <w:sz w:val="24"/>
          <w:szCs w:val="24"/>
        </w:rPr>
        <w:t xml:space="preserve">tenián en su acuerdo una cláusula donde la primera, bajo ciertas condiciones, debía hacerse cargo de los préstamos de  la familia Eskenazi y por lo tanto con las acciones correspondientes a este. El 31 de mayo de 2012, en junta general de Repsol, se hizo público el anuncio de que la compañía había asumido los derechos políticos correspondientes al 6% del  capital de YPF que anteriormente pertenecían al grupo Petersen. De esta forma Repsol tiene en su pertenencia el 12% de las acciones de YPF, convirtiéndose así, en el segundo mayor accionista después del gobierno argentino. </w:t>
      </w:r>
    </w:p>
    <w:p w:rsidR="00CC44BF" w:rsidRPr="00C046F5" w:rsidRDefault="00CC44BF" w:rsidP="00CC44BF">
      <w:pPr>
        <w:spacing w:after="0"/>
        <w:jc w:val="both"/>
        <w:rPr>
          <w:rFonts w:ascii="Times New Roman" w:hAnsi="Times New Roman" w:cs="Times New Roman"/>
          <w:sz w:val="24"/>
          <w:szCs w:val="24"/>
        </w:rPr>
      </w:pPr>
    </w:p>
    <w:p w:rsidR="00CC44BF" w:rsidRDefault="00CC44BF" w:rsidP="00CC44BF">
      <w:pPr>
        <w:pStyle w:val="Ttulo1"/>
        <w:spacing w:before="0"/>
        <w:rPr>
          <w:rFonts w:ascii="Times New Roman" w:hAnsi="Times New Roman" w:cs="Times New Roman"/>
          <w:color w:val="auto"/>
          <w:sz w:val="24"/>
          <w:szCs w:val="24"/>
        </w:rPr>
      </w:pPr>
    </w:p>
    <w:p w:rsidR="00AA50CC" w:rsidRDefault="008A0273" w:rsidP="00CC44BF">
      <w:pPr>
        <w:pStyle w:val="Ttulo1"/>
        <w:spacing w:before="0"/>
        <w:rPr>
          <w:rFonts w:ascii="Times New Roman" w:hAnsi="Times New Roman" w:cs="Times New Roman"/>
          <w:color w:val="auto"/>
          <w:sz w:val="24"/>
          <w:szCs w:val="24"/>
        </w:rPr>
      </w:pPr>
      <w:r>
        <w:rPr>
          <w:rFonts w:ascii="Times New Roman" w:hAnsi="Times New Roman" w:cs="Times New Roman"/>
          <w:color w:val="auto"/>
          <w:sz w:val="24"/>
          <w:szCs w:val="24"/>
        </w:rPr>
        <w:t>7. El debate sobre la legalidad de</w:t>
      </w:r>
      <w:r w:rsidR="00CC44BF" w:rsidRPr="00CC44BF">
        <w:rPr>
          <w:rFonts w:ascii="Times New Roman" w:hAnsi="Times New Roman" w:cs="Times New Roman"/>
          <w:color w:val="auto"/>
          <w:sz w:val="24"/>
          <w:szCs w:val="24"/>
        </w:rPr>
        <w:t xml:space="preserve"> la expropiación de </w:t>
      </w:r>
      <w:r w:rsidR="00CC44BF">
        <w:rPr>
          <w:rFonts w:ascii="Times New Roman" w:hAnsi="Times New Roman" w:cs="Times New Roman"/>
          <w:color w:val="auto"/>
          <w:sz w:val="24"/>
          <w:szCs w:val="24"/>
        </w:rPr>
        <w:t>YPF</w:t>
      </w:r>
    </w:p>
    <w:p w:rsidR="00CC44BF" w:rsidRPr="00CC44BF" w:rsidRDefault="00CC44BF" w:rsidP="00CC44BF">
      <w:pPr>
        <w:spacing w:after="0"/>
      </w:pPr>
    </w:p>
    <w:p w:rsidR="00AA50CC" w:rsidRPr="00C046F5" w:rsidRDefault="00AA50CC" w:rsidP="00CC44BF">
      <w:pPr>
        <w:autoSpaceDE w:val="0"/>
        <w:autoSpaceDN w:val="0"/>
        <w:adjustRightInd w:val="0"/>
        <w:spacing w:after="0"/>
        <w:jc w:val="both"/>
        <w:rPr>
          <w:rFonts w:ascii="Times New Roman" w:hAnsi="Times New Roman" w:cs="Times New Roman"/>
          <w:sz w:val="24"/>
          <w:szCs w:val="24"/>
        </w:rPr>
      </w:pPr>
      <w:r w:rsidRPr="00C046F5">
        <w:rPr>
          <w:rFonts w:ascii="Times New Roman" w:hAnsi="Times New Roman" w:cs="Times New Roman"/>
          <w:sz w:val="24"/>
          <w:szCs w:val="24"/>
        </w:rPr>
        <w:t xml:space="preserve">El hecho de que el gobierno argentino expropiara el 51% de las acciones de YPF a Repsol, ha vuelto a poner en el punto de mira la idoneidad de tales prácticas. Bajo  la perspectiva del Derecho Internacional, este hecho lleva décadas siendo estudiado a la par que el concepto de indemnización.  </w:t>
      </w:r>
    </w:p>
    <w:p w:rsidR="00AA50CC" w:rsidRPr="00C046F5" w:rsidRDefault="00AA50CC" w:rsidP="00C046F5">
      <w:pPr>
        <w:spacing w:after="0"/>
        <w:jc w:val="both"/>
        <w:rPr>
          <w:rFonts w:ascii="Times New Roman" w:hAnsi="Times New Roman" w:cs="Times New Roman"/>
          <w:sz w:val="24"/>
          <w:szCs w:val="24"/>
        </w:rPr>
      </w:pPr>
      <w:r w:rsidRPr="00C046F5">
        <w:rPr>
          <w:rFonts w:ascii="Times New Roman" w:hAnsi="Times New Roman" w:cs="Times New Roman"/>
          <w:sz w:val="24"/>
          <w:szCs w:val="24"/>
        </w:rPr>
        <w:t>La ley que utilizó al gobierno argentino fue promulgada en 19</w:t>
      </w:r>
      <w:r w:rsidR="00AB03A1">
        <w:rPr>
          <w:rFonts w:ascii="Times New Roman" w:hAnsi="Times New Roman" w:cs="Times New Roman"/>
          <w:sz w:val="24"/>
          <w:szCs w:val="24"/>
        </w:rPr>
        <w:t>77, bajo la dictadura de Videla: “</w:t>
      </w:r>
      <w:r w:rsidRPr="00C046F5">
        <w:rPr>
          <w:rFonts w:ascii="Times New Roman" w:hAnsi="Times New Roman" w:cs="Times New Roman"/>
          <w:sz w:val="24"/>
          <w:szCs w:val="24"/>
        </w:rPr>
        <w:t>Los procesos de expropiación estarán regidos por lo establecido en la Ley Nº 21.499 y actuará como expropiante el Poder Ejecutivo Nacional”. La ley 21499 Nacional de Expropiaciones  especifica que el argumento por el cual se ha de poner en marcha la expropiación es la utilidad pública.  Además, también especifica en el artículo 12 que: “El precio de los bienes sujetos a expropiación se determinará conforme lo previsto en el artículo 10 y concordantes de la Ley Nº 21.499. La tasación la efectuará el tribunal de tasaciones de la nación”. Dicho tribunal también era encargado de tasar el precio máximo a pagar en la ley de Videla.</w:t>
      </w:r>
    </w:p>
    <w:p w:rsidR="00AA50CC" w:rsidRPr="00C046F5" w:rsidRDefault="00AA50CC" w:rsidP="00C046F5">
      <w:pPr>
        <w:autoSpaceDE w:val="0"/>
        <w:autoSpaceDN w:val="0"/>
        <w:adjustRightInd w:val="0"/>
        <w:spacing w:after="0"/>
        <w:jc w:val="both"/>
        <w:rPr>
          <w:rFonts w:ascii="Times New Roman" w:hAnsi="Times New Roman" w:cs="Times New Roman"/>
          <w:sz w:val="24"/>
          <w:szCs w:val="24"/>
        </w:rPr>
      </w:pPr>
      <w:r w:rsidRPr="00C046F5">
        <w:rPr>
          <w:rFonts w:ascii="Times New Roman" w:hAnsi="Times New Roman" w:cs="Times New Roman"/>
          <w:sz w:val="24"/>
          <w:szCs w:val="24"/>
        </w:rPr>
        <w:t xml:space="preserve">La propia legislación argentina dedica el artículo 17 de su Constitución a este asunto atendiendo a que “…La expropiación por causa de utilidad pública, debe ser calificada por ley y previamente indemnizada….”. La causa de expropiación por “utilidad pública” se ha intentado demostrar bajo la consideración de que la soberanía energética estaba seriamente en peligro por la política cortoplacista del principal accionista (Repsol), el cual ha logrado la caída de la producción, la disminución de las inversiones y el descenso en las reservas de gas y petróleo. Aunque este argumento puede ser discutible, lo que no admite lugar a dudas es la no existencia de una indemnización previa, de hecho, ni siquiera se ha efectuado con posterioridad. </w:t>
      </w:r>
    </w:p>
    <w:p w:rsidR="00AA50CC" w:rsidRPr="00C046F5" w:rsidRDefault="00AA50CC" w:rsidP="00C046F5">
      <w:pPr>
        <w:autoSpaceDE w:val="0"/>
        <w:autoSpaceDN w:val="0"/>
        <w:adjustRightInd w:val="0"/>
        <w:spacing w:after="0"/>
        <w:jc w:val="both"/>
        <w:rPr>
          <w:rFonts w:ascii="Times New Roman" w:hAnsi="Times New Roman" w:cs="Times New Roman"/>
          <w:sz w:val="24"/>
          <w:szCs w:val="24"/>
        </w:rPr>
      </w:pPr>
      <w:r w:rsidRPr="00C046F5">
        <w:rPr>
          <w:rFonts w:ascii="Times New Roman" w:hAnsi="Times New Roman" w:cs="Times New Roman"/>
          <w:sz w:val="24"/>
          <w:szCs w:val="24"/>
        </w:rPr>
        <w:t>Por otra p</w:t>
      </w:r>
      <w:r w:rsidR="00AB03A1">
        <w:rPr>
          <w:rFonts w:ascii="Times New Roman" w:hAnsi="Times New Roman" w:cs="Times New Roman"/>
          <w:sz w:val="24"/>
          <w:szCs w:val="24"/>
        </w:rPr>
        <w:t>arte, en los estatutos de YPF, redactados</w:t>
      </w:r>
      <w:r w:rsidRPr="00C046F5">
        <w:rPr>
          <w:rFonts w:ascii="Times New Roman" w:hAnsi="Times New Roman" w:cs="Times New Roman"/>
          <w:sz w:val="24"/>
          <w:szCs w:val="24"/>
        </w:rPr>
        <w:t xml:space="preserve"> después de la privatización por parte del ejecutivo Menem, se pone de relieve que </w:t>
      </w:r>
      <w:r w:rsidR="007F7F2A">
        <w:rPr>
          <w:rFonts w:ascii="Times New Roman" w:hAnsi="Times New Roman" w:cs="Times New Roman"/>
          <w:sz w:val="24"/>
          <w:szCs w:val="24"/>
        </w:rPr>
        <w:t>en el</w:t>
      </w:r>
      <w:r w:rsidRPr="00C046F5">
        <w:rPr>
          <w:rFonts w:ascii="Times New Roman" w:hAnsi="Times New Roman" w:cs="Times New Roman"/>
          <w:sz w:val="24"/>
          <w:szCs w:val="24"/>
        </w:rPr>
        <w:t xml:space="preserve"> caso</w:t>
      </w:r>
      <w:r w:rsidR="007F7F2A">
        <w:rPr>
          <w:rFonts w:ascii="Times New Roman" w:hAnsi="Times New Roman" w:cs="Times New Roman"/>
          <w:sz w:val="24"/>
          <w:szCs w:val="24"/>
        </w:rPr>
        <w:t xml:space="preserve"> de que</w:t>
      </w:r>
      <w:r w:rsidRPr="00C046F5">
        <w:rPr>
          <w:rFonts w:ascii="Times New Roman" w:hAnsi="Times New Roman" w:cs="Times New Roman"/>
          <w:sz w:val="24"/>
          <w:szCs w:val="24"/>
        </w:rPr>
        <w:t>: “</w:t>
      </w:r>
      <w:r w:rsidR="007F7F2A">
        <w:rPr>
          <w:rFonts w:ascii="Times New Roman" w:hAnsi="Times New Roman" w:cs="Times New Roman"/>
          <w:sz w:val="24"/>
          <w:szCs w:val="24"/>
        </w:rPr>
        <w:t>…</w:t>
      </w:r>
      <w:r w:rsidRPr="00C046F5">
        <w:rPr>
          <w:rFonts w:ascii="Times New Roman" w:hAnsi="Times New Roman" w:cs="Times New Roman"/>
          <w:sz w:val="24"/>
          <w:szCs w:val="24"/>
        </w:rPr>
        <w:t>el Estado Nacional ejerza el control sobre el 49% o más del capital social, deberá realizar una oferta pública de adquisición (OPA) de todas las acciones de la sociedad”. Huelga decir que el ejecutivo no ha seguido esta cláusula, perjudicando a los accionistas de Repsol.</w:t>
      </w:r>
    </w:p>
    <w:p w:rsidR="00AA50CC" w:rsidRPr="00C046F5" w:rsidRDefault="00AA50CC" w:rsidP="00C046F5">
      <w:pPr>
        <w:autoSpaceDE w:val="0"/>
        <w:autoSpaceDN w:val="0"/>
        <w:adjustRightInd w:val="0"/>
        <w:spacing w:after="0"/>
        <w:jc w:val="both"/>
        <w:rPr>
          <w:rFonts w:ascii="Times New Roman" w:hAnsi="Times New Roman" w:cs="Times New Roman"/>
          <w:sz w:val="24"/>
          <w:szCs w:val="24"/>
        </w:rPr>
      </w:pPr>
      <w:r w:rsidRPr="00C046F5">
        <w:rPr>
          <w:rFonts w:ascii="Times New Roman" w:hAnsi="Times New Roman" w:cs="Times New Roman"/>
          <w:sz w:val="24"/>
          <w:szCs w:val="24"/>
        </w:rPr>
        <w:t xml:space="preserve">Asimismo, en el campo del derecho internacional,  España y Argentina cuentan con </w:t>
      </w:r>
      <w:r w:rsidR="007F7F2A">
        <w:rPr>
          <w:rFonts w:ascii="Times New Roman" w:hAnsi="Times New Roman" w:cs="Times New Roman"/>
          <w:sz w:val="24"/>
          <w:szCs w:val="24"/>
        </w:rPr>
        <w:t>un tratado bilateral</w:t>
      </w:r>
      <w:r w:rsidRPr="00C046F5">
        <w:rPr>
          <w:rFonts w:ascii="Times New Roman" w:hAnsi="Times New Roman" w:cs="Times New Roman"/>
          <w:sz w:val="24"/>
          <w:szCs w:val="24"/>
        </w:rPr>
        <w:t xml:space="preserve">, promulgado en 1992. En él, se plantea un marco legal para </w:t>
      </w:r>
      <w:r w:rsidRPr="00C046F5">
        <w:rPr>
          <w:rFonts w:ascii="Times New Roman" w:hAnsi="Times New Roman" w:cs="Times New Roman"/>
          <w:sz w:val="24"/>
          <w:szCs w:val="24"/>
        </w:rPr>
        <w:lastRenderedPageBreak/>
        <w:t xml:space="preserve">salvaguardar las inversiones </w:t>
      </w:r>
      <w:r w:rsidR="007F7F2A">
        <w:rPr>
          <w:rFonts w:ascii="Times New Roman" w:hAnsi="Times New Roman" w:cs="Times New Roman"/>
          <w:sz w:val="24"/>
          <w:szCs w:val="24"/>
        </w:rPr>
        <w:t>mutuas</w:t>
      </w:r>
      <w:r w:rsidRPr="00C046F5">
        <w:rPr>
          <w:rFonts w:ascii="Times New Roman" w:hAnsi="Times New Roman" w:cs="Times New Roman"/>
          <w:sz w:val="24"/>
          <w:szCs w:val="24"/>
        </w:rPr>
        <w:t xml:space="preserve">. </w:t>
      </w:r>
      <w:r w:rsidR="007F7F2A">
        <w:rPr>
          <w:rFonts w:ascii="Times New Roman" w:hAnsi="Times New Roman" w:cs="Times New Roman"/>
          <w:sz w:val="24"/>
          <w:szCs w:val="24"/>
        </w:rPr>
        <w:t>N</w:t>
      </w:r>
      <w:r w:rsidRPr="00C046F5">
        <w:rPr>
          <w:rFonts w:ascii="Times New Roman" w:hAnsi="Times New Roman" w:cs="Times New Roman"/>
          <w:sz w:val="24"/>
          <w:szCs w:val="24"/>
        </w:rPr>
        <w:t>inguna de las partes (ni Argentina ni España) deberán tomar medidas injustificadas o discriminatorias que pongan en peligro las inversiones del otro, además de que “Cada Parte garantizará en su territorio un tratamiento justo y equitativo a las inversiones realizadas por inversores de la otra Parte.”</w:t>
      </w:r>
    </w:p>
    <w:p w:rsidR="00AA50CC" w:rsidRPr="00C046F5" w:rsidRDefault="00AA50CC" w:rsidP="00C046F5">
      <w:pPr>
        <w:autoSpaceDE w:val="0"/>
        <w:autoSpaceDN w:val="0"/>
        <w:adjustRightInd w:val="0"/>
        <w:spacing w:after="0"/>
        <w:jc w:val="both"/>
        <w:rPr>
          <w:rFonts w:ascii="Times New Roman" w:hAnsi="Times New Roman" w:cs="Times New Roman"/>
          <w:sz w:val="24"/>
          <w:szCs w:val="24"/>
        </w:rPr>
      </w:pPr>
      <w:r w:rsidRPr="00C046F5">
        <w:rPr>
          <w:rFonts w:ascii="Times New Roman" w:hAnsi="Times New Roman" w:cs="Times New Roman"/>
          <w:sz w:val="24"/>
          <w:szCs w:val="24"/>
        </w:rPr>
        <w:t xml:space="preserve">En su artículo V, el cual versa sobre la nacionalización y la expropiación  del </w:t>
      </w:r>
      <w:r w:rsidRPr="00C046F5">
        <w:rPr>
          <w:rFonts w:ascii="Times New Roman" w:hAnsi="Times New Roman" w:cs="Times New Roman"/>
          <w:i/>
          <w:sz w:val="24"/>
          <w:szCs w:val="24"/>
        </w:rPr>
        <w:t>acuerdo para la promoción y la protección recíproca de inversiones entre la República Argentina y el Reino de España</w:t>
      </w:r>
      <w:r w:rsidRPr="00C046F5">
        <w:rPr>
          <w:rFonts w:ascii="Times New Roman" w:hAnsi="Times New Roman" w:cs="Times New Roman"/>
          <w:sz w:val="24"/>
          <w:szCs w:val="24"/>
        </w:rPr>
        <w:t xml:space="preserve">  dice lo siguiente: “La nacionalización, expropiación, o cualquier otra medida de características o efectos similares que pueda ser adoptada por las autoridades de una Parte contra las inversiones de inversores de la otra Parte en su territorio, deberá aplicarse exclusivamente por causas de utilidad pública conforme a las disposiciones legales y en ningún caso deberá ser discriminatoria. La Parte que adoptara alguna de estas medidas pagará al inversor o a su derecho-habiente, sin demora injustificada, una indemnización adecuada, en moneda convertible.”</w:t>
      </w:r>
    </w:p>
    <w:p w:rsidR="00AA50CC" w:rsidRPr="00C046F5" w:rsidRDefault="00AA50CC" w:rsidP="00C046F5">
      <w:pPr>
        <w:spacing w:after="0"/>
        <w:jc w:val="both"/>
        <w:rPr>
          <w:rFonts w:ascii="Times New Roman" w:hAnsi="Times New Roman" w:cs="Times New Roman"/>
          <w:sz w:val="24"/>
          <w:szCs w:val="24"/>
        </w:rPr>
      </w:pPr>
      <w:r w:rsidRPr="00C046F5">
        <w:rPr>
          <w:rFonts w:ascii="Times New Roman" w:hAnsi="Times New Roman" w:cs="Times New Roman"/>
          <w:sz w:val="24"/>
          <w:szCs w:val="24"/>
        </w:rPr>
        <w:t xml:space="preserve">En este caso se deberá demostrar que la nacionalización no ha sido discriminatoria, ya que el 51% de acciones expropiadas solo pertenecen a Repsol (57,43%) y, no se han expropiado las acciones del grupo Petersen (25,46%) ni el conjunto de acciones que cotizan en bolsa (17,11%). Por otra parte, más de un año después, la indemnización correspondiente no se ha hecho efectiva. Argentina, en junio de 2013, ha tratado de acercar posiciones y cerrar un trato entre las partes por el cual ofrecía a Repsol el 47% de una sociedad que reunía entorno al 6,4%  de la superficie de Vaca Muerta. Esta propuesta no fue aceptada por el consejo de Repsol que lo rechazó por considerar que la propuesta no cubría las pérdidas sufridas por Repsol. </w:t>
      </w:r>
    </w:p>
    <w:p w:rsidR="00AA50CC" w:rsidRPr="00C046F5" w:rsidRDefault="00AA50CC" w:rsidP="00C046F5">
      <w:pPr>
        <w:spacing w:after="0"/>
        <w:jc w:val="both"/>
        <w:rPr>
          <w:rFonts w:ascii="Times New Roman" w:hAnsi="Times New Roman" w:cs="Times New Roman"/>
          <w:sz w:val="24"/>
          <w:szCs w:val="24"/>
        </w:rPr>
      </w:pPr>
      <w:r w:rsidRPr="00C046F5">
        <w:rPr>
          <w:rFonts w:ascii="Times New Roman" w:hAnsi="Times New Roman" w:cs="Times New Roman"/>
          <w:sz w:val="24"/>
          <w:szCs w:val="24"/>
        </w:rPr>
        <w:t xml:space="preserve">Ante el hecho de que la única razón posible que justifique una nacionalización </w:t>
      </w:r>
      <w:r w:rsidR="007F7F2A">
        <w:rPr>
          <w:rFonts w:ascii="Times New Roman" w:hAnsi="Times New Roman" w:cs="Times New Roman"/>
          <w:sz w:val="24"/>
          <w:szCs w:val="24"/>
        </w:rPr>
        <w:t>sea</w:t>
      </w:r>
      <w:r w:rsidRPr="00C046F5">
        <w:rPr>
          <w:rFonts w:ascii="Times New Roman" w:hAnsi="Times New Roman" w:cs="Times New Roman"/>
          <w:sz w:val="24"/>
          <w:szCs w:val="24"/>
        </w:rPr>
        <w:t xml:space="preserve"> por causa de utilidad pública, el Gobierno de Cristina Fernández declaró de interés público nacional el logro del autoabastecimiento de hidrocarburos. Al mismo tiempo justificó la expropiación exponiendo en el decreto 530/2012, por el cual se intervenía la actividad de YPF en Argentina, que “…</w:t>
      </w:r>
      <w:r w:rsidRPr="00C046F5">
        <w:rPr>
          <w:rFonts w:ascii="Times New Roman" w:hAnsi="Times New Roman" w:cs="Times New Roman"/>
          <w:color w:val="090909"/>
          <w:sz w:val="24"/>
          <w:szCs w:val="24"/>
          <w:highlight w:val="white"/>
          <w:lang w:val="es-AR"/>
        </w:rPr>
        <w:t>los intereses del accionista mayoritario (Repsol) han sido distintos a los de la República Argentina, en tanto ha determinado la disminución de las inversiones, la caída de la producción y la reducción en el horizonte de reservas que compromete la soberanía energética del país</w:t>
      </w:r>
      <w:r w:rsidRPr="00C046F5">
        <w:rPr>
          <w:rFonts w:ascii="Times New Roman" w:hAnsi="Times New Roman" w:cs="Times New Roman"/>
          <w:color w:val="090909"/>
          <w:sz w:val="24"/>
          <w:szCs w:val="24"/>
          <w:lang w:val="es-AR"/>
        </w:rPr>
        <w:t>…</w:t>
      </w:r>
      <w:r w:rsidRPr="00C046F5">
        <w:rPr>
          <w:rFonts w:ascii="Times New Roman" w:hAnsi="Times New Roman" w:cs="Times New Roman"/>
          <w:sz w:val="24"/>
          <w:szCs w:val="24"/>
        </w:rPr>
        <w:t>”. También se le achaca a Repsol la no consecución de la auto-eficiencia energética “…</w:t>
      </w:r>
      <w:r w:rsidRPr="00C046F5">
        <w:rPr>
          <w:rFonts w:ascii="Times New Roman" w:hAnsi="Times New Roman" w:cs="Times New Roman"/>
          <w:color w:val="090909"/>
          <w:sz w:val="24"/>
          <w:szCs w:val="24"/>
          <w:highlight w:val="white"/>
          <w:lang w:val="es-AR"/>
        </w:rPr>
        <w:t>la política predatoria ejecutada por Repsol-YPF implicó que por primera vez en 17 años Argentina experimentara un saldo comercial deficitario en materia de combustibles</w:t>
      </w:r>
      <w:r w:rsidRPr="00C046F5">
        <w:rPr>
          <w:rFonts w:ascii="Times New Roman" w:hAnsi="Times New Roman" w:cs="Times New Roman"/>
          <w:color w:val="090909"/>
          <w:sz w:val="24"/>
          <w:szCs w:val="24"/>
          <w:lang w:val="es-AR"/>
        </w:rPr>
        <w:t>…</w:t>
      </w:r>
      <w:r w:rsidRPr="00C046F5">
        <w:rPr>
          <w:rFonts w:ascii="Times New Roman" w:hAnsi="Times New Roman" w:cs="Times New Roman"/>
          <w:sz w:val="24"/>
          <w:szCs w:val="24"/>
        </w:rPr>
        <w:t xml:space="preserve">” </w:t>
      </w:r>
    </w:p>
    <w:p w:rsidR="00AA50CC" w:rsidRPr="00C046F5" w:rsidRDefault="00AA50CC" w:rsidP="00C046F5">
      <w:pPr>
        <w:spacing w:after="0"/>
        <w:jc w:val="both"/>
        <w:rPr>
          <w:rFonts w:ascii="Times New Roman" w:hAnsi="Times New Roman" w:cs="Times New Roman"/>
          <w:sz w:val="24"/>
          <w:szCs w:val="24"/>
        </w:rPr>
      </w:pPr>
      <w:r w:rsidRPr="00C046F5">
        <w:rPr>
          <w:rFonts w:ascii="Times New Roman" w:hAnsi="Times New Roman" w:cs="Times New Roman"/>
          <w:sz w:val="24"/>
          <w:szCs w:val="24"/>
        </w:rPr>
        <w:t xml:space="preserve">El propio tratado bilateral especifica el procedimiento a seguir en caso de controversia. En primer lugar, antepone la vía diplomática para dar salida a las posibles discrepancias que puedan surgir. Si de esta forma no se soluciona, pasados seis meses, cualquiera de las partes podría recurrir a un tribunal de arbitraje. Este es el punto donde el litigio entre Repsol y el ejecutivo argentino se encuentra, puesto que Repsol presentó una notificación sobre la violación del Acuerdo para la Promoción y Protección Recíproca de Inversiones firmado por Argentina y España al  Centro Internacional de Arreglo de Diferencias Relativas a Inversiones (CIADI).  Tanto España como Argentina forman parte del convenio CIADI desde 1994. </w:t>
      </w:r>
    </w:p>
    <w:p w:rsidR="00AA50CC" w:rsidRPr="00C046F5" w:rsidRDefault="00AA50CC" w:rsidP="00C046F5">
      <w:pPr>
        <w:spacing w:after="0"/>
        <w:jc w:val="both"/>
        <w:rPr>
          <w:rFonts w:ascii="Times New Roman" w:hAnsi="Times New Roman" w:cs="Times New Roman"/>
          <w:sz w:val="24"/>
          <w:szCs w:val="24"/>
        </w:rPr>
      </w:pPr>
      <w:r w:rsidRPr="00C046F5">
        <w:rPr>
          <w:rFonts w:ascii="Times New Roman" w:hAnsi="Times New Roman" w:cs="Times New Roman"/>
          <w:sz w:val="24"/>
          <w:szCs w:val="24"/>
        </w:rPr>
        <w:lastRenderedPageBreak/>
        <w:t xml:space="preserve">Además del Tratado Bilateral,  las Naciones Unidas también han tratado la protección de inversiones. El 14 de diciembre de 1962 la asamblea general aprobó la Resolución 1803 (XVII), la cual declara que “La nacionalización, la expropiación o la requisición deberán fundarse en razones o motivos de utilidad pública, de </w:t>
      </w:r>
      <w:r w:rsidR="00120590">
        <w:rPr>
          <w:rFonts w:ascii="Times New Roman" w:hAnsi="Times New Roman" w:cs="Times New Roman"/>
          <w:sz w:val="24"/>
          <w:szCs w:val="24"/>
        </w:rPr>
        <w:t>seguridad o de interés nacional…</w:t>
      </w:r>
      <w:r w:rsidRPr="00C046F5">
        <w:rPr>
          <w:rFonts w:ascii="Times New Roman" w:hAnsi="Times New Roman" w:cs="Times New Roman"/>
          <w:sz w:val="24"/>
          <w:szCs w:val="24"/>
        </w:rPr>
        <w:t>. En estos casos se pagará al dueño la indemnización correspondiente, con arreglo a las normas en vigor en el Estado que adopte estas medidas en ejercicio de su soberanía y en conformidad con el derecho internacional. En cualquier caso en que la cuestión de la indemnización dé origen a un litigio, debe agotarse la jurisdicción nacional del Estado que adopte esas medidas. No obstante, por acuerdo entre Estados soberanos y otras partes interesadas, el litigio podrá dirimirse por arbitraje o arreglo judicial i</w:t>
      </w:r>
      <w:r w:rsidR="00120590">
        <w:rPr>
          <w:rFonts w:ascii="Times New Roman" w:hAnsi="Times New Roman" w:cs="Times New Roman"/>
          <w:sz w:val="24"/>
          <w:szCs w:val="24"/>
        </w:rPr>
        <w:t xml:space="preserve">nternacional.”  Por lo tanto, </w:t>
      </w:r>
      <w:r w:rsidRPr="00C046F5">
        <w:rPr>
          <w:rFonts w:ascii="Times New Roman" w:hAnsi="Times New Roman" w:cs="Times New Roman"/>
          <w:sz w:val="24"/>
          <w:szCs w:val="24"/>
        </w:rPr>
        <w:t xml:space="preserve">todo Estado Soberano puede expropiar o nacionalizar, siempre que se fundamente en las razones anteriormente expuestas. </w:t>
      </w:r>
    </w:p>
    <w:p w:rsidR="00AA50CC" w:rsidRDefault="00AA50CC" w:rsidP="00C046F5">
      <w:pPr>
        <w:spacing w:after="0"/>
        <w:jc w:val="both"/>
        <w:rPr>
          <w:rFonts w:ascii="Times New Roman" w:hAnsi="Times New Roman" w:cs="Times New Roman"/>
          <w:sz w:val="24"/>
          <w:szCs w:val="24"/>
        </w:rPr>
      </w:pPr>
      <w:r w:rsidRPr="00C046F5">
        <w:rPr>
          <w:rFonts w:ascii="Times New Roman" w:hAnsi="Times New Roman" w:cs="Times New Roman"/>
          <w:sz w:val="24"/>
          <w:szCs w:val="24"/>
        </w:rPr>
        <w:t xml:space="preserve">En 1974, también con el amparo de las Naciones Unidas, </w:t>
      </w:r>
      <w:r w:rsidRPr="00C046F5">
        <w:rPr>
          <w:rFonts w:ascii="Times New Roman" w:hAnsi="Times New Roman" w:cs="Times New Roman"/>
          <w:sz w:val="24"/>
          <w:szCs w:val="24"/>
        </w:rPr>
        <w:tab/>
        <w:t xml:space="preserve">se aprobó </w:t>
      </w:r>
      <w:r w:rsidR="00175E28">
        <w:rPr>
          <w:rFonts w:ascii="Times New Roman" w:hAnsi="Times New Roman" w:cs="Times New Roman"/>
          <w:sz w:val="24"/>
          <w:szCs w:val="24"/>
        </w:rPr>
        <w:t>la</w:t>
      </w:r>
      <w:r w:rsidRPr="00C046F5">
        <w:rPr>
          <w:rFonts w:ascii="Times New Roman" w:hAnsi="Times New Roman" w:cs="Times New Roman"/>
          <w:sz w:val="24"/>
          <w:szCs w:val="24"/>
        </w:rPr>
        <w:t xml:space="preserve"> Carta de Derechos y Deberes Económicos de los Estados. En ella se vuelve a reconocer el derecho de nacionalizar, expropiar y transferir bienes extranjeros siempre y cuando exista indemnización. La gran diferencia entre la Resolución 1803 y la 3281, es que m</w:t>
      </w:r>
      <w:r w:rsidR="00175E28">
        <w:rPr>
          <w:rFonts w:ascii="Times New Roman" w:hAnsi="Times New Roman" w:cs="Times New Roman"/>
          <w:sz w:val="24"/>
          <w:szCs w:val="24"/>
        </w:rPr>
        <w:t>ientras  que  la primera considera a</w:t>
      </w:r>
      <w:r w:rsidRPr="00C046F5">
        <w:rPr>
          <w:rFonts w:ascii="Times New Roman" w:hAnsi="Times New Roman" w:cs="Times New Roman"/>
          <w:sz w:val="24"/>
          <w:szCs w:val="24"/>
        </w:rPr>
        <w:t xml:space="preserve"> los tribunales internacionales </w:t>
      </w:r>
      <w:r w:rsidR="00175E28">
        <w:rPr>
          <w:rFonts w:ascii="Times New Roman" w:hAnsi="Times New Roman" w:cs="Times New Roman"/>
          <w:sz w:val="24"/>
          <w:szCs w:val="24"/>
        </w:rPr>
        <w:t>como</w:t>
      </w:r>
      <w:r w:rsidRPr="00C046F5">
        <w:rPr>
          <w:rFonts w:ascii="Times New Roman" w:hAnsi="Times New Roman" w:cs="Times New Roman"/>
          <w:sz w:val="24"/>
          <w:szCs w:val="24"/>
        </w:rPr>
        <w:t xml:space="preserve"> una </w:t>
      </w:r>
      <w:r w:rsidR="00175E28">
        <w:rPr>
          <w:rFonts w:ascii="Times New Roman" w:hAnsi="Times New Roman" w:cs="Times New Roman"/>
          <w:sz w:val="24"/>
          <w:szCs w:val="24"/>
        </w:rPr>
        <w:t>opción para llegar a un acuerdo, la segunda</w:t>
      </w:r>
      <w:r w:rsidRPr="00C046F5">
        <w:rPr>
          <w:rFonts w:ascii="Times New Roman" w:hAnsi="Times New Roman" w:cs="Times New Roman"/>
          <w:sz w:val="24"/>
          <w:szCs w:val="24"/>
        </w:rPr>
        <w:t xml:space="preserve"> </w:t>
      </w:r>
      <w:r w:rsidR="00175E28">
        <w:rPr>
          <w:rFonts w:ascii="Times New Roman" w:hAnsi="Times New Roman" w:cs="Times New Roman"/>
          <w:sz w:val="24"/>
          <w:szCs w:val="24"/>
        </w:rPr>
        <w:t xml:space="preserve">solo </w:t>
      </w:r>
      <w:r w:rsidRPr="00C046F5">
        <w:rPr>
          <w:rFonts w:ascii="Times New Roman" w:hAnsi="Times New Roman" w:cs="Times New Roman"/>
          <w:sz w:val="24"/>
          <w:szCs w:val="24"/>
        </w:rPr>
        <w:t xml:space="preserve">nombra a los tribunales nacionales como opción para resolver el conflicto, aunque no niega la posibilidad de que exista una segunda vía por la cual llegar a un acuerdo, la cual es “…recurrir a otros medios pacíficos sobre la base de la igualdad soberana de los Estados…”.  </w:t>
      </w:r>
    </w:p>
    <w:p w:rsidR="00CC44BF" w:rsidRPr="00C046F5" w:rsidRDefault="00CC44BF" w:rsidP="00C046F5">
      <w:pPr>
        <w:spacing w:after="0"/>
        <w:jc w:val="both"/>
        <w:rPr>
          <w:rFonts w:ascii="Times New Roman" w:hAnsi="Times New Roman" w:cs="Times New Roman"/>
          <w:sz w:val="24"/>
          <w:szCs w:val="24"/>
        </w:rPr>
      </w:pPr>
    </w:p>
    <w:p w:rsidR="00AA50CC" w:rsidRDefault="008A0273" w:rsidP="00C046F5">
      <w:pPr>
        <w:pStyle w:val="Ttulo1"/>
        <w:rPr>
          <w:rFonts w:ascii="Times New Roman" w:hAnsi="Times New Roman" w:cs="Times New Roman"/>
          <w:color w:val="auto"/>
          <w:sz w:val="24"/>
          <w:szCs w:val="24"/>
        </w:rPr>
      </w:pPr>
      <w:r>
        <w:rPr>
          <w:rFonts w:ascii="Times New Roman" w:hAnsi="Times New Roman" w:cs="Times New Roman"/>
          <w:color w:val="auto"/>
          <w:sz w:val="24"/>
          <w:szCs w:val="24"/>
        </w:rPr>
        <w:t xml:space="preserve">8. </w:t>
      </w:r>
      <w:r w:rsidR="009405FB">
        <w:rPr>
          <w:rFonts w:ascii="Times New Roman" w:hAnsi="Times New Roman" w:cs="Times New Roman"/>
          <w:color w:val="auto"/>
          <w:sz w:val="24"/>
          <w:szCs w:val="24"/>
        </w:rPr>
        <w:t>Búsqueda de financiación para explotar Vaca Muerta</w:t>
      </w:r>
    </w:p>
    <w:p w:rsidR="00CC44BF" w:rsidRPr="00CC44BF" w:rsidRDefault="00CC44BF" w:rsidP="00CC44BF">
      <w:pPr>
        <w:spacing w:after="0"/>
      </w:pPr>
    </w:p>
    <w:p w:rsidR="00AA50CC" w:rsidRPr="00C046F5" w:rsidRDefault="00AA50CC" w:rsidP="00CC44BF">
      <w:pPr>
        <w:spacing w:after="0"/>
        <w:jc w:val="both"/>
        <w:rPr>
          <w:rFonts w:ascii="Times New Roman" w:hAnsi="Times New Roman" w:cs="Times New Roman"/>
          <w:sz w:val="24"/>
          <w:szCs w:val="24"/>
        </w:rPr>
      </w:pPr>
      <w:r w:rsidRPr="00C046F5">
        <w:rPr>
          <w:rFonts w:ascii="Times New Roman" w:hAnsi="Times New Roman" w:cs="Times New Roman"/>
          <w:sz w:val="24"/>
          <w:szCs w:val="24"/>
        </w:rPr>
        <w:t>En el plan estratégico de YPF, presentando en agosto de 2012, se recogía la ambiciosa propuesta de sacar el mayor rendimiento al yacimiento de Vaca</w:t>
      </w:r>
      <w:r w:rsidR="00A83AB7">
        <w:rPr>
          <w:rFonts w:ascii="Times New Roman" w:hAnsi="Times New Roman" w:cs="Times New Roman"/>
          <w:sz w:val="24"/>
          <w:szCs w:val="24"/>
        </w:rPr>
        <w:t xml:space="preserve"> M</w:t>
      </w:r>
      <w:r w:rsidRPr="00C046F5">
        <w:rPr>
          <w:rFonts w:ascii="Times New Roman" w:hAnsi="Times New Roman" w:cs="Times New Roman"/>
          <w:sz w:val="24"/>
          <w:szCs w:val="24"/>
        </w:rPr>
        <w:t>uerta, en cinco años, a través de una inversión estimada de 37.200 millones de dólares. Esta se dividiría de la siguiente forma: YPF financiaría la mayor parte, el 70%, El 18% se lograría a través de emisión de deuda y el restante 12% correspondería a la aportación de un inversor o inversores extranjeros. Con ello se pretende lograr la autosuficiencia energética para Argentina</w:t>
      </w:r>
      <w:r w:rsidR="00D23EEE">
        <w:rPr>
          <w:rFonts w:ascii="Times New Roman" w:hAnsi="Times New Roman" w:cs="Times New Roman"/>
          <w:sz w:val="24"/>
          <w:szCs w:val="24"/>
        </w:rPr>
        <w:t>.</w:t>
      </w:r>
    </w:p>
    <w:p w:rsidR="00CF086B"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Para lograr llevar a cabo este plan</w:t>
      </w:r>
      <w:r w:rsidR="000479CE">
        <w:rPr>
          <w:rFonts w:ascii="Times New Roman" w:hAnsi="Times New Roman" w:cs="Times New Roman"/>
          <w:sz w:val="24"/>
          <w:szCs w:val="24"/>
        </w:rPr>
        <w:t>,</w:t>
      </w:r>
      <w:r w:rsidRPr="00C046F5">
        <w:rPr>
          <w:rFonts w:ascii="Times New Roman" w:hAnsi="Times New Roman" w:cs="Times New Roman"/>
          <w:sz w:val="24"/>
          <w:szCs w:val="24"/>
        </w:rPr>
        <w:t xml:space="preserve"> la alia</w:t>
      </w:r>
      <w:r w:rsidR="000479CE">
        <w:rPr>
          <w:rFonts w:ascii="Times New Roman" w:hAnsi="Times New Roman" w:cs="Times New Roman"/>
          <w:sz w:val="24"/>
          <w:szCs w:val="24"/>
        </w:rPr>
        <w:t>nza con nuevos socios era</w:t>
      </w:r>
      <w:r w:rsidRPr="00C046F5">
        <w:rPr>
          <w:rFonts w:ascii="Times New Roman" w:hAnsi="Times New Roman" w:cs="Times New Roman"/>
          <w:sz w:val="24"/>
          <w:szCs w:val="24"/>
        </w:rPr>
        <w:t xml:space="preserve"> imprescindible. Fue Julio de Vido, ministro argentino de Planificación e interventor de YPF quien inició contactos con otras multinacionales como Petrobras (Brasil), Exxon (EE.UU.) y Talismán (Canadá). </w:t>
      </w:r>
      <w:r w:rsidR="000479CE">
        <w:rPr>
          <w:rFonts w:ascii="Times New Roman" w:hAnsi="Times New Roman" w:cs="Times New Roman"/>
          <w:sz w:val="24"/>
          <w:szCs w:val="24"/>
        </w:rPr>
        <w:t xml:space="preserve">Existieron varios intentos de acuerdo con Bridas – CNOOC, Dow y Petróleos de Venezuela, pero el que ha fructificado definitivamente es el acuerdo alcanzado </w:t>
      </w:r>
      <w:r w:rsidR="00CF086B">
        <w:rPr>
          <w:rFonts w:ascii="Times New Roman" w:hAnsi="Times New Roman" w:cs="Times New Roman"/>
          <w:sz w:val="24"/>
          <w:szCs w:val="24"/>
        </w:rPr>
        <w:t xml:space="preserve">con Chevron. </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 xml:space="preserve">En diciembre de 2012 YPF firmó con Chevron un preacuerdo por el cual la compañía americana invertiría 1.500 millones de dólares en Vaca Muerta. En un principio, el pacto definitivo debía  concretarse en cuatro meses como fecha máxima. Sin embargo, este se vio temporalmente amenazado ante los litigios que Chevron tenía a causa de los supuestos daños ecológicos de la compañía en Ecuador. Esto es así, ya que en </w:t>
      </w:r>
      <w:r w:rsidRPr="00C046F5">
        <w:rPr>
          <w:rFonts w:ascii="Times New Roman" w:hAnsi="Times New Roman" w:cs="Times New Roman"/>
          <w:sz w:val="24"/>
          <w:szCs w:val="24"/>
        </w:rPr>
        <w:lastRenderedPageBreak/>
        <w:t>noviembre de 2012 un juez argentino se declaró competente para atender el requerimiento de la justicia ecuatoriana, el cual hacía referencia al embargo de 14.000 millones de euros</w:t>
      </w:r>
      <w:r w:rsidR="00B54373">
        <w:rPr>
          <w:rFonts w:ascii="Times New Roman" w:hAnsi="Times New Roman" w:cs="Times New Roman"/>
          <w:sz w:val="24"/>
          <w:szCs w:val="24"/>
        </w:rPr>
        <w:t>,</w:t>
      </w:r>
      <w:r w:rsidRPr="00C046F5">
        <w:rPr>
          <w:rFonts w:ascii="Times New Roman" w:hAnsi="Times New Roman" w:cs="Times New Roman"/>
          <w:sz w:val="24"/>
          <w:szCs w:val="24"/>
        </w:rPr>
        <w:t xml:space="preserve"> ya que Chevron se había negado a pagar  esta multa por un vertido en el sistema amazónico. Sin embargo, posteriormente, la Corte Suprema argentina anu</w:t>
      </w:r>
      <w:r w:rsidR="00B54373">
        <w:rPr>
          <w:rFonts w:ascii="Times New Roman" w:hAnsi="Times New Roman" w:cs="Times New Roman"/>
          <w:sz w:val="24"/>
          <w:szCs w:val="24"/>
        </w:rPr>
        <w:t>ló el embargo sobre la compañía</w:t>
      </w:r>
      <w:r w:rsidRPr="00C046F5">
        <w:rPr>
          <w:rFonts w:ascii="Times New Roman" w:hAnsi="Times New Roman" w:cs="Times New Roman"/>
          <w:sz w:val="24"/>
          <w:szCs w:val="24"/>
        </w:rPr>
        <w:t xml:space="preserve">.  </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 xml:space="preserve">Sin ninguna traba jurídica, el 16 de julio de 2013 Chevron e YPF acuerdan una inversión definitiva de 1.240 millones de dólares (cantidad menor de los esperados 1.500 millones de dólares). Con ellos se espera perforar más de una centena de pozos de petróleo en una zona de veinte quilómetros cuadrados. </w:t>
      </w:r>
      <w:r w:rsidR="00B54373">
        <w:rPr>
          <w:rFonts w:ascii="Times New Roman" w:hAnsi="Times New Roman" w:cs="Times New Roman"/>
          <w:sz w:val="24"/>
          <w:szCs w:val="24"/>
        </w:rPr>
        <w:t>U</w:t>
      </w:r>
      <w:r w:rsidRPr="00C046F5">
        <w:rPr>
          <w:rFonts w:ascii="Times New Roman" w:hAnsi="Times New Roman" w:cs="Times New Roman"/>
          <w:sz w:val="24"/>
          <w:szCs w:val="24"/>
        </w:rPr>
        <w:t>n día antes, el 15 de julio, se publicó un decreto que favorece la inversión de Chevron, puesto</w:t>
      </w:r>
      <w:r w:rsidR="00B54373">
        <w:rPr>
          <w:rFonts w:ascii="Times New Roman" w:hAnsi="Times New Roman" w:cs="Times New Roman"/>
          <w:sz w:val="24"/>
          <w:szCs w:val="24"/>
        </w:rPr>
        <w:t xml:space="preserve"> que autoriza a las petroleras </w:t>
      </w:r>
      <w:r w:rsidRPr="00C046F5">
        <w:rPr>
          <w:rFonts w:ascii="Times New Roman" w:hAnsi="Times New Roman" w:cs="Times New Roman"/>
          <w:sz w:val="24"/>
          <w:szCs w:val="24"/>
        </w:rPr>
        <w:t xml:space="preserve">que inviertan más de 1.000 millones, la exportación del 20% de su producción sin pagar retenciones a partir del quinto año, siempre que la demanda interna este cubierta, en caso contrario, el gobierno argentino pagará a precio de mercado ese porcentaje para satisfacer la demanda nacional.  También declara la libre disposición de las divisas provenientes de la exportación de hidrocarburos. </w:t>
      </w:r>
    </w:p>
    <w:p w:rsidR="00532D72" w:rsidRDefault="00532D72" w:rsidP="00532D72">
      <w:pPr>
        <w:spacing w:after="0" w:line="240" w:lineRule="auto"/>
        <w:jc w:val="both"/>
        <w:rPr>
          <w:rFonts w:ascii="Times New Roman" w:hAnsi="Times New Roman" w:cs="Times New Roman"/>
          <w:sz w:val="24"/>
          <w:szCs w:val="24"/>
        </w:rPr>
      </w:pPr>
    </w:p>
    <w:p w:rsidR="00532D72" w:rsidRPr="00C046F5" w:rsidRDefault="00532D72" w:rsidP="00532D72">
      <w:pPr>
        <w:spacing w:after="0" w:line="240" w:lineRule="auto"/>
        <w:jc w:val="both"/>
        <w:rPr>
          <w:rFonts w:ascii="Times New Roman" w:hAnsi="Times New Roman" w:cs="Times New Roman"/>
          <w:sz w:val="24"/>
          <w:szCs w:val="24"/>
        </w:rPr>
      </w:pPr>
    </w:p>
    <w:p w:rsidR="00AA50CC" w:rsidRDefault="008A0273" w:rsidP="00532D72">
      <w:pPr>
        <w:pStyle w:val="Ttulo1"/>
        <w:spacing w:before="0"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9.  Procedimientos jurídicos </w:t>
      </w:r>
    </w:p>
    <w:p w:rsidR="00CC44BF" w:rsidRPr="00CC44BF" w:rsidRDefault="00CC44BF" w:rsidP="00532D72">
      <w:pPr>
        <w:spacing w:after="0"/>
      </w:pPr>
    </w:p>
    <w:p w:rsidR="00AA50CC" w:rsidRPr="00C046F5" w:rsidRDefault="00AA50CC" w:rsidP="00532D72">
      <w:pPr>
        <w:spacing w:after="0"/>
        <w:jc w:val="both"/>
        <w:rPr>
          <w:rFonts w:ascii="Times New Roman" w:hAnsi="Times New Roman" w:cs="Times New Roman"/>
          <w:sz w:val="24"/>
          <w:szCs w:val="24"/>
        </w:rPr>
      </w:pPr>
      <w:r w:rsidRPr="00C046F5">
        <w:rPr>
          <w:rFonts w:ascii="Times New Roman" w:hAnsi="Times New Roman" w:cs="Times New Roman"/>
          <w:sz w:val="24"/>
          <w:szCs w:val="24"/>
        </w:rPr>
        <w:t xml:space="preserve">Tan pronto se tuvo noticia de la expropiación del 51% de las acciones de YPF por parte del gobierno argentino, las reacciones de la diplomacia española no se hicieron esperar. </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Repsol</w:t>
      </w:r>
      <w:r w:rsidR="00B54373">
        <w:rPr>
          <w:rFonts w:ascii="Times New Roman" w:hAnsi="Times New Roman" w:cs="Times New Roman"/>
          <w:sz w:val="24"/>
          <w:szCs w:val="24"/>
        </w:rPr>
        <w:t xml:space="preserve">, </w:t>
      </w:r>
      <w:r w:rsidRPr="00C046F5">
        <w:rPr>
          <w:rFonts w:ascii="Times New Roman" w:hAnsi="Times New Roman" w:cs="Times New Roman"/>
          <w:sz w:val="24"/>
          <w:szCs w:val="24"/>
        </w:rPr>
        <w:t>buscaba tener una compensació</w:t>
      </w:r>
      <w:r w:rsidR="00B54373">
        <w:rPr>
          <w:rFonts w:ascii="Times New Roman" w:hAnsi="Times New Roman" w:cs="Times New Roman"/>
          <w:sz w:val="24"/>
          <w:szCs w:val="24"/>
        </w:rPr>
        <w:t xml:space="preserve">n económica por la expropiación. </w:t>
      </w:r>
      <w:r w:rsidRPr="00C046F5">
        <w:rPr>
          <w:rFonts w:ascii="Times New Roman" w:hAnsi="Times New Roman" w:cs="Times New Roman"/>
          <w:sz w:val="24"/>
          <w:szCs w:val="24"/>
        </w:rPr>
        <w:t xml:space="preserve">Antonio Bufrau, presidente de Repsol, declaró que tal hecho era “irracional, arbitrario e ilegítimo” y comunicó que Repsol solicitaría una compensación de 8.000 millones de euros (10.500 millones de dólares). Esta valoración estaba realizada bajo la estimación de que el precio de cada acción sería de 46,55 dólares. </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 xml:space="preserve"> Aunque, la resolución del problema parecía estar lejos de producirse. </w:t>
      </w:r>
      <w:r w:rsidR="00740301">
        <w:rPr>
          <w:rFonts w:ascii="Times New Roman" w:hAnsi="Times New Roman" w:cs="Times New Roman"/>
          <w:sz w:val="24"/>
          <w:szCs w:val="24"/>
        </w:rPr>
        <w:t>P</w:t>
      </w:r>
      <w:r w:rsidRPr="00C046F5">
        <w:rPr>
          <w:rFonts w:ascii="Times New Roman" w:hAnsi="Times New Roman" w:cs="Times New Roman"/>
          <w:sz w:val="24"/>
          <w:szCs w:val="24"/>
        </w:rPr>
        <w:t>or ello, Repsol</w:t>
      </w:r>
      <w:r w:rsidR="00740301">
        <w:rPr>
          <w:rFonts w:ascii="Times New Roman" w:hAnsi="Times New Roman" w:cs="Times New Roman"/>
          <w:sz w:val="24"/>
          <w:szCs w:val="24"/>
        </w:rPr>
        <w:t>,</w:t>
      </w:r>
      <w:r w:rsidRPr="00C046F5">
        <w:rPr>
          <w:rFonts w:ascii="Times New Roman" w:hAnsi="Times New Roman" w:cs="Times New Roman"/>
          <w:sz w:val="24"/>
          <w:szCs w:val="24"/>
        </w:rPr>
        <w:t xml:space="preserve"> apoyada por el alto funcionariado español</w:t>
      </w:r>
      <w:r w:rsidR="00740301">
        <w:rPr>
          <w:rFonts w:ascii="Times New Roman" w:hAnsi="Times New Roman" w:cs="Times New Roman"/>
          <w:sz w:val="24"/>
          <w:szCs w:val="24"/>
        </w:rPr>
        <w:t>,</w:t>
      </w:r>
      <w:r w:rsidRPr="00C046F5">
        <w:rPr>
          <w:rFonts w:ascii="Times New Roman" w:hAnsi="Times New Roman" w:cs="Times New Roman"/>
          <w:sz w:val="24"/>
          <w:szCs w:val="24"/>
        </w:rPr>
        <w:t xml:space="preserve"> puso en marcha varios frentes judiciales  e institucionales para presionar al gobierno de Kirchner, ya en la propia Argentina, donde Repsol presentó un recurso de inconstitucionalidad. </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El primero de ellos se produjo cuando el Ministerio de Industria, Energía y Turismo español, una semana después de producirse la expropiación, anunciaba que asignaba cuotas a la producción de biodiesel nacional, con el fin de proteger la producción europea. Sin embargo, el trasfondo de esta medida residía en que los mayores importadores de biodiesel eran Indonesia y, sobre todo, Argentina, país de procedencia de casi la mitad de la producción consumida (719.473 toneladas de los 1,6 millones de toneladas totales).</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El gobierno tenía seis meses para publicar la asignación de cuotas a los productores comunitarios, para hacer afectiva la entrada en funcionamiento de esta media. No obst</w:t>
      </w:r>
      <w:r w:rsidR="00740301">
        <w:rPr>
          <w:rFonts w:ascii="Times New Roman" w:hAnsi="Times New Roman" w:cs="Times New Roman"/>
          <w:sz w:val="24"/>
          <w:szCs w:val="24"/>
        </w:rPr>
        <w:t xml:space="preserve">ante, esta no se produjo, pues </w:t>
      </w:r>
      <w:r w:rsidRPr="00C046F5">
        <w:rPr>
          <w:rFonts w:ascii="Times New Roman" w:hAnsi="Times New Roman" w:cs="Times New Roman"/>
          <w:sz w:val="24"/>
          <w:szCs w:val="24"/>
        </w:rPr>
        <w:t>seis días antes de la co</w:t>
      </w:r>
      <w:r w:rsidR="00740301">
        <w:rPr>
          <w:rFonts w:ascii="Times New Roman" w:hAnsi="Times New Roman" w:cs="Times New Roman"/>
          <w:sz w:val="24"/>
          <w:szCs w:val="24"/>
        </w:rPr>
        <w:t>ncluyera el plazo de seis meses,</w:t>
      </w:r>
      <w:r w:rsidRPr="00C046F5">
        <w:rPr>
          <w:rFonts w:ascii="Times New Roman" w:hAnsi="Times New Roman" w:cs="Times New Roman"/>
          <w:sz w:val="24"/>
          <w:szCs w:val="24"/>
        </w:rPr>
        <w:t xml:space="preserve"> se </w:t>
      </w:r>
      <w:r w:rsidR="00740301">
        <w:rPr>
          <w:rFonts w:ascii="Times New Roman" w:hAnsi="Times New Roman" w:cs="Times New Roman"/>
          <w:sz w:val="24"/>
          <w:szCs w:val="24"/>
        </w:rPr>
        <w:t>revocaron las cuotas</w:t>
      </w:r>
      <w:r w:rsidRPr="00C046F5">
        <w:rPr>
          <w:rFonts w:ascii="Times New Roman" w:hAnsi="Times New Roman" w:cs="Times New Roman"/>
          <w:sz w:val="24"/>
          <w:szCs w:val="24"/>
        </w:rPr>
        <w:t xml:space="preserve">. </w:t>
      </w:r>
    </w:p>
    <w:p w:rsidR="00D62202"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lastRenderedPageBreak/>
        <w:t xml:space="preserve">Existieron intentos, de la burocracia española, de implicar a la Unión Europea. Se pretendía que la UE cambiara las negociaciones con Mercosur, del cual Argentina es miembro, por acuerdos bilaterales. No obstante, aunque los ministros de exteriores de la UE mostraron su completo rechazo a la forma en la que se estaba sucediendo la expropiación, las negociaciones para llegar a un acuerdo de asociación se siguen produciendo. En su lugar, la medida de presión que se adoptó fue la de presentar una queja ante la Organización Mundial del Comercio (OMC) por el comportamiento de Argentina ante las restricciones a las importaciones, las cuales se habían visto afectadas por las nuevas políticas de licencias. </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El 15 de mayo, Repsol notificó a la presidencia argentina la declaración de existencia de controversia, bajo el Tratado de Promoción y Protección de Inversiones. Esta declaración, la cual notificaba la violación del Acuerdo para la Promoción y Protección Recíproca de Inversiones firmado por Argentina y España en 1991,  fue entregada al Centro Internacional de Arreglo de Diferencias Relativas a Inversiones (CIADI), organismo del Banco Mundial. Repsol reclamaba una compensación de 10.500 millones de dólares-8.800 millones de euros-por la expropiación del 51% de YPF. Las partes tuvieron 6 meses para llegar a un acuerdo, pero esto no fue posible. Así pues, el 3 de diciembre de 2012, Repsol presenta una solicitud de arbitraje, la cual fue admitida el 21 de diciembre de 2012. El procedimiento que implica la aceptación del arbitraje,  es el de la formación de un tribunal, el cual se compondrá de tres jueces, uno nombrado por Repsol, otro que representa a Argentina y un tercer propuesto de común acuerdo (o en su defecto por el CIADI).  Este proceso puede p</w:t>
      </w:r>
      <w:r w:rsidR="005B204C">
        <w:rPr>
          <w:rFonts w:ascii="Times New Roman" w:hAnsi="Times New Roman" w:cs="Times New Roman"/>
          <w:sz w:val="24"/>
          <w:szCs w:val="24"/>
        </w:rPr>
        <w:t>rolongarse de tres a seis años.</w:t>
      </w:r>
    </w:p>
    <w:p w:rsidR="00513183"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Otro de los frentes abiertos se inició cuando, el 25 de mayo de 2012,</w:t>
      </w:r>
      <w:r w:rsidR="00513183">
        <w:rPr>
          <w:rFonts w:ascii="Times New Roman" w:hAnsi="Times New Roman" w:cs="Times New Roman"/>
          <w:sz w:val="24"/>
          <w:szCs w:val="24"/>
        </w:rPr>
        <w:t xml:space="preserve"> </w:t>
      </w:r>
      <w:r w:rsidRPr="00C046F5">
        <w:rPr>
          <w:rFonts w:ascii="Times New Roman" w:hAnsi="Times New Roman" w:cs="Times New Roman"/>
          <w:sz w:val="24"/>
          <w:szCs w:val="24"/>
        </w:rPr>
        <w:t>la Unión Europea</w:t>
      </w:r>
      <w:r w:rsidR="00513183">
        <w:rPr>
          <w:rFonts w:ascii="Times New Roman" w:hAnsi="Times New Roman" w:cs="Times New Roman"/>
          <w:sz w:val="24"/>
          <w:szCs w:val="24"/>
        </w:rPr>
        <w:t xml:space="preserve"> presentó una queja formal ante</w:t>
      </w:r>
      <w:r w:rsidRPr="00C046F5">
        <w:rPr>
          <w:rFonts w:ascii="Times New Roman" w:hAnsi="Times New Roman" w:cs="Times New Roman"/>
          <w:sz w:val="24"/>
          <w:szCs w:val="24"/>
        </w:rPr>
        <w:t xml:space="preserve"> la Organización Mundial del Comercio (OMC), en contra de las restricciones argentinas a las importaciones de la comunidad, ya que Argentina impone un régimen de licencias de importación, cuya consecución no es transparente, en la que a cambio se han de importar productos argentinos hacia Europa. Si bien es cierto  que esta queja ya se había planificado con anterioridad al caso Repsol-YPF, este acució su puesta en marcha. </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 xml:space="preserve">Este caso tendría un largo proceso en la OMC. Primero, se han de convocar a las dos partes para negociar en un plazo de 30 días. A continuación, se inicia un proceso de arbitraje de 60 días, en el cual, si no se llega a un acuerdo, la OMC designará a un grupo de jueces para que dictaminen sobre el asunto. La resolución será de vital importancia, pues el volumen de exportaciones argentinas sobrepasa los 11.000 millones de euros, mientras que las importaciones europeas alcanzan los 12.800 millones de euros. De hecho, las restricciones a las importaciones ya han tenido un impacto de 500 millones de euros para las empresas europeas en 2011, cuando la norma solo afectaba a un grupo reducido de productos, por lo que se espera que el impacto de esta medida sea aún mayor este año. </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 xml:space="preserve">Para llevar su reivindicación más allá de las fronteras europeas, Repsol registró una demanda el 5 de Julio de  2012 en el Tribunal de Distrito Sur de Nueva York, ante el </w:t>
      </w:r>
      <w:r w:rsidRPr="00C046F5">
        <w:rPr>
          <w:rFonts w:ascii="Times New Roman" w:hAnsi="Times New Roman" w:cs="Times New Roman"/>
          <w:sz w:val="24"/>
          <w:szCs w:val="24"/>
        </w:rPr>
        <w:lastRenderedPageBreak/>
        <w:t xml:space="preserve">supervisor del mercado estadounidense (SEC), por la cual denunciaba a YPF en el incumplimiento de los requisitos de información a los que está obligado por cotizar en la bolsa de Nueva York. Denunciaba la violación de la sección 13D de la SEC, ya que Argentina no había presentado la documentación en la que se especificaban los planes de futuro de la compañía y la política de dividendos de YPF. </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 xml:space="preserve">El 3 de octubre de 2012, Repsol presentaba en el Juzgado Mercantil número 1 de Madrid, una demanda contra YPF por competencia desleal por haber ofrecido derechos de explotación a terceros sobre las reservas de Vaca Muerta. Este yacimiento, descubierto cuando YPF aún era filial de Repsol es uno de los mayores yacimientos de reservas no convencionales del mundo. Por ello, Repsol declara que la adjudicación de estos derechos de explotación agravaría el impacto de la expropiación de YPF, puesto que conferirían a un competidor una posición privilegiada en el sector de los hidrocarburos. Además, fundamenta la demanda en que la Ley de Competencia Desleal no permite a los competidores aprovecharse de ventajas adquiridas a raíz de una infracción ilegal y alegan que la negociación se está llevando a cabo con el dueño ilegítimo de YPF. Por este motivo, Repsol ha demandado a Chevron en EEUU y a Bridas en España. Existen dudas de que siga el mismo procedimiento con Petróleos de Venezuela, pues esta compañía y Repsol tienen negocios conjuntos en Venezuela. </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 xml:space="preserve">En Julio de 2013 el juzgado de lo Mercantil número 1 de Madrid se declaró competente para tramitar la demanda que Repsol interpuso a YPF por competencia desleal al negociar con terceros la explotación de Vaca Muerta. En el mismo juzgado se pretende acumular las demandas interpuestas a Bridas y Chevron por la firma de preacuerdos con YPF. </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 xml:space="preserve">Sin embargo, Repsol no fue el único agente que emprendió acciones legales. YPF contraatacó y el 31  de mayo del 2013, en la asamblea de accionistas de YPF, </w:t>
      </w:r>
      <w:r w:rsidR="00513183">
        <w:rPr>
          <w:rFonts w:ascii="Times New Roman" w:hAnsi="Times New Roman" w:cs="Times New Roman"/>
          <w:sz w:val="24"/>
          <w:szCs w:val="24"/>
        </w:rPr>
        <w:t xml:space="preserve">se </w:t>
      </w:r>
      <w:r w:rsidRPr="00C046F5">
        <w:rPr>
          <w:rFonts w:ascii="Times New Roman" w:hAnsi="Times New Roman" w:cs="Times New Roman"/>
          <w:sz w:val="24"/>
          <w:szCs w:val="24"/>
        </w:rPr>
        <w:t xml:space="preserve">acordó emprender acciones legales para presentar una demanda civil contra Antonio Bufrau, ex presiente de YPF, y aquellas personas que permitieron pagos a los integrantes del consejo de administración. La falta susceptible reside en que supuestamente no se  habían seguido todos los procedimientos formales para la remuneración del equipo directivo de la compañía entre los años 2003 y 2011, periodo en el cual Repsol era el accionista mayoritario. </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 xml:space="preserve">Ante la búsqueda de acuerdo, el gobierno argentino convocó el 25 de febrero de 2012 a Caixabank por medio de su presidente Isidro Fainé. Caixabank es el accionista mayoritario de Repsol poseedor del 12,5% de las acciones. Aunque la propuesta de acuerdo no se hizo pública, se especulaba que el gobierno argentino proponía una participación en el yacimiento de Vaca Muerta por un valor aproximado de 6.000 millones de dólares. </w:t>
      </w:r>
    </w:p>
    <w:p w:rsidR="00AA50CC" w:rsidRPr="00C046F5" w:rsidRDefault="00AA50CC" w:rsidP="00C046F5">
      <w:pPr>
        <w:jc w:val="both"/>
        <w:rPr>
          <w:rFonts w:ascii="Times New Roman" w:hAnsi="Times New Roman" w:cs="Times New Roman"/>
          <w:sz w:val="24"/>
          <w:szCs w:val="24"/>
        </w:rPr>
      </w:pPr>
      <w:r w:rsidRPr="00C046F5">
        <w:rPr>
          <w:rFonts w:ascii="Times New Roman" w:hAnsi="Times New Roman" w:cs="Times New Roman"/>
          <w:sz w:val="24"/>
          <w:szCs w:val="24"/>
        </w:rPr>
        <w:t xml:space="preserve">Ya en Junio de 2013, la propuesta de acuerdo fue transmitida por Pemex, tercer accionista de Repsol (9,3% de las acciones), en concepto de mediación la empresa seria beneficiada con el 2% de la oferta. La oferta consistía en que se ofrecía a Repsol la entrada en una sociedad que reunía entorno al 6,4% de Vaca Muerta. La participación </w:t>
      </w:r>
      <w:r w:rsidRPr="00C046F5">
        <w:rPr>
          <w:rFonts w:ascii="Times New Roman" w:hAnsi="Times New Roman" w:cs="Times New Roman"/>
          <w:sz w:val="24"/>
          <w:szCs w:val="24"/>
        </w:rPr>
        <w:lastRenderedPageBreak/>
        <w:t xml:space="preserve">en la compañía se repartiría entre Repsol (47%), Pemex (2%) e YPF (51%). YPF valoró la propuesta en 5.000 millones de dólares repartidos en 3.500 millones de dólares de participaciones en Vaca Muerta y 1.500 millones de dólares de capital que se deben reinvertir en la zona. Tal proposición fue analizada el 26 de Junio de 2013, por el consejo de Repsol, el cual la rechazó de pleno “…por considerar que no responde en su cuantía a la pérdida sufrida por Repsol, que está construida sobre activos sobrevalorados, alejados de valores de mercado según transacciones similares en Argentina y Estados Unidos y que tiene una estructura que dista mucho de representar los intereses declarados de Repsol para un acuerdo (carece de compensación monetaria disponible o realizable, no cuenta con las mínimas garantías jurídicas y económicas necesarias, y requiere de obligadas y cuantiosas inversiones)…” </w:t>
      </w:r>
    </w:p>
    <w:p w:rsidR="00AA50CC" w:rsidRDefault="00AA50CC" w:rsidP="00AA50CC">
      <w:pPr>
        <w:jc w:val="both"/>
        <w:rPr>
          <w:rFonts w:ascii="Times New Roman" w:hAnsi="Times New Roman" w:cs="Times New Roman"/>
          <w:sz w:val="24"/>
          <w:szCs w:val="24"/>
        </w:rPr>
      </w:pPr>
    </w:p>
    <w:p w:rsidR="00765480" w:rsidRPr="00C550F7" w:rsidRDefault="00532D72" w:rsidP="00AA50CC">
      <w:pPr>
        <w:jc w:val="both"/>
        <w:rPr>
          <w:rFonts w:ascii="Times New Roman" w:hAnsi="Times New Roman" w:cs="Times New Roman"/>
          <w:b/>
          <w:sz w:val="24"/>
          <w:szCs w:val="24"/>
        </w:rPr>
      </w:pPr>
      <w:r>
        <w:rPr>
          <w:rFonts w:ascii="Times New Roman" w:hAnsi="Times New Roman" w:cs="Times New Roman"/>
          <w:b/>
          <w:sz w:val="24"/>
          <w:szCs w:val="24"/>
        </w:rPr>
        <w:t xml:space="preserve">10. Efectos Económicos </w:t>
      </w:r>
    </w:p>
    <w:p w:rsidR="00765480" w:rsidRDefault="00C550F7" w:rsidP="00AA50CC">
      <w:pPr>
        <w:jc w:val="both"/>
        <w:rPr>
          <w:rFonts w:ascii="Times New Roman" w:hAnsi="Times New Roman" w:cs="Times New Roman"/>
          <w:sz w:val="24"/>
          <w:szCs w:val="24"/>
        </w:rPr>
      </w:pPr>
      <w:r>
        <w:rPr>
          <w:rFonts w:ascii="Times New Roman" w:hAnsi="Times New Roman" w:cs="Times New Roman"/>
          <w:sz w:val="24"/>
          <w:szCs w:val="24"/>
        </w:rPr>
        <w:t>La forma en la que se ha realizado la nacionalización de YPF, que aunque en principio legítima no es válida al no efectuarse la indemnización correspondiente, ha hecho que se le augurase un difícil camino a la hora de encontrar nuevos socios</w:t>
      </w:r>
      <w:r w:rsidR="007E2CD9">
        <w:rPr>
          <w:rFonts w:ascii="Times New Roman" w:hAnsi="Times New Roman" w:cs="Times New Roman"/>
          <w:sz w:val="24"/>
          <w:szCs w:val="24"/>
        </w:rPr>
        <w:t>, aliados necesarios</w:t>
      </w:r>
      <w:r>
        <w:rPr>
          <w:rFonts w:ascii="Times New Roman" w:hAnsi="Times New Roman" w:cs="Times New Roman"/>
          <w:sz w:val="24"/>
          <w:szCs w:val="24"/>
        </w:rPr>
        <w:t xml:space="preserve"> para llevar a cabo la gran inversión que hace falta para </w:t>
      </w:r>
      <w:r w:rsidR="007E2CD9">
        <w:rPr>
          <w:rFonts w:ascii="Times New Roman" w:hAnsi="Times New Roman" w:cs="Times New Roman"/>
          <w:sz w:val="24"/>
          <w:szCs w:val="24"/>
        </w:rPr>
        <w:t>realizar</w:t>
      </w:r>
      <w:r>
        <w:rPr>
          <w:rFonts w:ascii="Times New Roman" w:hAnsi="Times New Roman" w:cs="Times New Roman"/>
          <w:sz w:val="24"/>
          <w:szCs w:val="24"/>
        </w:rPr>
        <w:t xml:space="preserve"> el proyecto de Vaca Muerta. </w:t>
      </w:r>
      <w:r w:rsidR="008A51FB">
        <w:rPr>
          <w:rFonts w:ascii="Times New Roman" w:hAnsi="Times New Roman" w:cs="Times New Roman"/>
          <w:sz w:val="24"/>
          <w:szCs w:val="24"/>
        </w:rPr>
        <w:t>Los analistas han tenido razón, no ha sido fácil para YPF encontrar empresas que definitivamente quisieran involucrarse en los planes de explotación. Entre los posibles candidatos que finalmente se han descartado han estado: Exxon, Talismán, Down, Statoil…</w:t>
      </w:r>
      <w:r w:rsidR="001B6580">
        <w:rPr>
          <w:rFonts w:ascii="Times New Roman" w:hAnsi="Times New Roman" w:cs="Times New Roman"/>
          <w:sz w:val="24"/>
          <w:szCs w:val="24"/>
        </w:rPr>
        <w:t xml:space="preserve"> Aunque finalmente Chevron ha sido quien ha propuesto una inversión definitiva, menor de lo esperado, de  1.240 millones de dólares.</w:t>
      </w:r>
    </w:p>
    <w:p w:rsidR="00AB7670" w:rsidRDefault="001B6580" w:rsidP="00AA50CC">
      <w:pPr>
        <w:jc w:val="both"/>
        <w:rPr>
          <w:rFonts w:ascii="Times New Roman" w:hAnsi="Times New Roman" w:cs="Times New Roman"/>
          <w:iCs/>
          <w:sz w:val="24"/>
          <w:szCs w:val="24"/>
        </w:rPr>
      </w:pPr>
      <w:r>
        <w:rPr>
          <w:rFonts w:ascii="Times New Roman" w:hAnsi="Times New Roman" w:cs="Times New Roman"/>
          <w:sz w:val="24"/>
          <w:szCs w:val="24"/>
        </w:rPr>
        <w:t>La dificultad de encontrar socio se puede explicar, entre otros aspectos, por la reputación del Estado Argentino, el cual ha mostrado a lo largo del tiempo un comportamiento errático en cuanto al cumplimiento de las reglas de juego tanto económicas, políticas y sociales. “El</w:t>
      </w:r>
      <w:r w:rsidRPr="001B6580">
        <w:rPr>
          <w:rFonts w:ascii="Times New Roman" w:hAnsi="Times New Roman" w:cs="Times New Roman"/>
          <w:sz w:val="24"/>
          <w:szCs w:val="24"/>
        </w:rPr>
        <w:t xml:space="preserve"> tiempo es clave en la credibilidad: porque crea reputación y aprendizaje en los actores que interactúan </w:t>
      </w:r>
      <w:r>
        <w:rPr>
          <w:rFonts w:ascii="Times New Roman" w:hAnsi="Times New Roman" w:cs="Times New Roman"/>
          <w:sz w:val="24"/>
          <w:szCs w:val="24"/>
        </w:rPr>
        <w:t>“</w:t>
      </w:r>
      <w:r w:rsidRPr="001B6580">
        <w:rPr>
          <w:rFonts w:ascii="Times New Roman" w:hAnsi="Times New Roman" w:cs="Times New Roman"/>
          <w:sz w:val="24"/>
          <w:szCs w:val="24"/>
        </w:rPr>
        <w:t>(North, 1994)</w:t>
      </w:r>
      <w:r w:rsidR="002C35E0">
        <w:rPr>
          <w:rFonts w:ascii="Times New Roman" w:hAnsi="Times New Roman" w:cs="Times New Roman"/>
          <w:sz w:val="24"/>
          <w:szCs w:val="24"/>
        </w:rPr>
        <w:t>.</w:t>
      </w:r>
      <w:r w:rsidR="00AB7670" w:rsidRPr="00AB7670">
        <w:rPr>
          <w:rFonts w:ascii="Times New Roman" w:hAnsi="Times New Roman" w:cs="Times New Roman"/>
          <w:iCs/>
          <w:sz w:val="24"/>
          <w:szCs w:val="24"/>
        </w:rPr>
        <w:t xml:space="preserve"> </w:t>
      </w:r>
    </w:p>
    <w:p w:rsidR="001B6580" w:rsidRDefault="00AB7670" w:rsidP="00AA50CC">
      <w:pPr>
        <w:jc w:val="both"/>
        <w:rPr>
          <w:rFonts w:ascii="Times New Roman" w:hAnsi="Times New Roman" w:cs="Times New Roman"/>
          <w:sz w:val="24"/>
          <w:szCs w:val="24"/>
        </w:rPr>
      </w:pPr>
      <w:r>
        <w:rPr>
          <w:rFonts w:ascii="Times New Roman" w:hAnsi="Times New Roman" w:cs="Times New Roman"/>
          <w:iCs/>
          <w:sz w:val="24"/>
          <w:szCs w:val="24"/>
        </w:rPr>
        <w:t xml:space="preserve">Existen varios indicadores que pueden esclarecer cual es la percepción que los inversores tienen de Argentina. En cuanto a la facilidad de hacer negocios en este país, facilitada por el estudio </w:t>
      </w:r>
      <w:r w:rsidRPr="00AB7670">
        <w:rPr>
          <w:rFonts w:ascii="Times New Roman" w:hAnsi="Times New Roman" w:cs="Times New Roman"/>
          <w:i/>
          <w:iCs/>
          <w:sz w:val="24"/>
          <w:szCs w:val="24"/>
        </w:rPr>
        <w:t>Doing business</w:t>
      </w:r>
      <w:r>
        <w:rPr>
          <w:rFonts w:ascii="Times New Roman" w:hAnsi="Times New Roman" w:cs="Times New Roman"/>
          <w:iCs/>
          <w:sz w:val="24"/>
          <w:szCs w:val="24"/>
        </w:rPr>
        <w:t xml:space="preserve"> del Banco Mundial, Argentina baja posiciones en la lista, su posición pasa a ser la número 124 en 2013 cuando en 2012 ocupaba la posición número 113. Este descenso en el rankin se debe en parte a que su clasificación en la lista de protección a los inversores y cumplimiento de contratos ha disminuido tres y dos puestos respectivamente</w:t>
      </w:r>
    </w:p>
    <w:p w:rsidR="002C35E0" w:rsidRDefault="002C35E0" w:rsidP="00AA50CC">
      <w:pPr>
        <w:jc w:val="both"/>
        <w:rPr>
          <w:rFonts w:ascii="Times New Roman" w:hAnsi="Times New Roman" w:cs="Times New Roman"/>
          <w:sz w:val="24"/>
          <w:szCs w:val="24"/>
        </w:rPr>
      </w:pPr>
      <w:r>
        <w:rPr>
          <w:rFonts w:ascii="Times New Roman" w:hAnsi="Times New Roman" w:cs="Times New Roman"/>
          <w:sz w:val="24"/>
          <w:szCs w:val="24"/>
        </w:rPr>
        <w:t xml:space="preserve">El último informe de la Comisión Económica para América Latina y el Caribe (CEPAL) arrojaba una cifra de 12.551 millones de Euros para la inversión extranjera directa en 2012 en Argentina. Este dato supone un aumento del 27% respecto del año anterior (2011). Pero, ¿realmente es un dato tan bueno? </w:t>
      </w:r>
    </w:p>
    <w:p w:rsidR="00C21D5E" w:rsidRDefault="00F0107F" w:rsidP="00AA50CC">
      <w:pPr>
        <w:jc w:val="both"/>
        <w:rPr>
          <w:rFonts w:ascii="Times New Roman" w:hAnsi="Times New Roman" w:cs="Times New Roman"/>
          <w:sz w:val="24"/>
          <w:szCs w:val="24"/>
        </w:rPr>
      </w:pPr>
      <w:r w:rsidRPr="00304839">
        <w:rPr>
          <w:rFonts w:ascii="Times New Roman" w:hAnsi="Times New Roman" w:cs="Times New Roman"/>
          <w:sz w:val="24"/>
          <w:szCs w:val="24"/>
        </w:rPr>
        <w:lastRenderedPageBreak/>
        <w:drawing>
          <wp:inline distT="0" distB="0" distL="0" distR="0">
            <wp:extent cx="5448300" cy="3295650"/>
            <wp:effectExtent l="19050" t="0" r="19050" b="0"/>
            <wp:docPr id="5"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5528B" w:rsidRDefault="0095528B" w:rsidP="00AA50CC">
      <w:pPr>
        <w:jc w:val="both"/>
        <w:rPr>
          <w:rFonts w:ascii="Times New Roman" w:hAnsi="Times New Roman" w:cs="Times New Roman"/>
          <w:iCs/>
          <w:sz w:val="24"/>
          <w:szCs w:val="24"/>
        </w:rPr>
      </w:pPr>
      <w:r>
        <w:rPr>
          <w:rFonts w:ascii="Times New Roman" w:hAnsi="Times New Roman" w:cs="Times New Roman"/>
          <w:sz w:val="24"/>
          <w:szCs w:val="24"/>
        </w:rPr>
        <w:t xml:space="preserve">Como se puede apreciar en el gráfico, tanto los aportes de capital como los préstamos entre compañías disminuyeron del año 2011 al 2012. </w:t>
      </w:r>
      <w:r w:rsidR="00B87D09">
        <w:rPr>
          <w:rFonts w:ascii="Times New Roman" w:hAnsi="Times New Roman" w:cs="Times New Roman"/>
          <w:sz w:val="24"/>
          <w:szCs w:val="24"/>
        </w:rPr>
        <w:t xml:space="preserve">La única partida que crece y que hace aumentar considerablemente </w:t>
      </w:r>
      <w:r w:rsidR="00304839">
        <w:rPr>
          <w:rFonts w:ascii="Times New Roman" w:hAnsi="Times New Roman" w:cs="Times New Roman"/>
          <w:sz w:val="24"/>
          <w:szCs w:val="24"/>
        </w:rPr>
        <w:t xml:space="preserve">la inversión extranjera directa es la reinversión de capitales. Esto se debe a que </w:t>
      </w:r>
      <w:r w:rsidR="00C77560">
        <w:rPr>
          <w:rFonts w:ascii="Times New Roman" w:hAnsi="Times New Roman" w:cs="Times New Roman"/>
          <w:sz w:val="24"/>
          <w:szCs w:val="24"/>
        </w:rPr>
        <w:t xml:space="preserve">el </w:t>
      </w:r>
      <w:r w:rsidR="00C77560" w:rsidRPr="00C77560">
        <w:rPr>
          <w:rFonts w:ascii="Times New Roman" w:hAnsi="Times New Roman" w:cs="Times New Roman"/>
          <w:sz w:val="24"/>
          <w:szCs w:val="24"/>
        </w:rPr>
        <w:t xml:space="preserve">gobierno de </w:t>
      </w:r>
      <w:r w:rsidR="00C77560" w:rsidRPr="00C77560">
        <w:rPr>
          <w:rFonts w:ascii="Times New Roman" w:hAnsi="Times New Roman" w:cs="Times New Roman"/>
          <w:iCs/>
          <w:sz w:val="24"/>
          <w:szCs w:val="24"/>
        </w:rPr>
        <w:t>Kirchner</w:t>
      </w:r>
      <w:r w:rsidR="00C77560">
        <w:rPr>
          <w:rFonts w:ascii="Times New Roman" w:hAnsi="Times New Roman" w:cs="Times New Roman"/>
          <w:iCs/>
          <w:sz w:val="24"/>
          <w:szCs w:val="24"/>
        </w:rPr>
        <w:t xml:space="preserve"> ha limitado la repatriación de capitales de las empresas extranjeras. Ciertamente, la falta de inversión en Argentina, fue uno de  las acusaciones contra Repsol para poder efectuar la expropiación de YPF. </w:t>
      </w:r>
    </w:p>
    <w:p w:rsidR="006E7592" w:rsidRDefault="006E7592" w:rsidP="00AA50CC">
      <w:pPr>
        <w:jc w:val="both"/>
        <w:rPr>
          <w:rFonts w:ascii="Times New Roman" w:hAnsi="Times New Roman" w:cs="Times New Roman"/>
          <w:iCs/>
          <w:sz w:val="24"/>
          <w:szCs w:val="24"/>
        </w:rPr>
      </w:pPr>
    </w:p>
    <w:p w:rsidR="006E7592" w:rsidRPr="005271B4" w:rsidRDefault="00532D72" w:rsidP="00AA50CC">
      <w:pPr>
        <w:jc w:val="both"/>
        <w:rPr>
          <w:rFonts w:ascii="Times New Roman" w:hAnsi="Times New Roman" w:cs="Times New Roman"/>
          <w:b/>
          <w:iCs/>
          <w:sz w:val="24"/>
          <w:szCs w:val="24"/>
        </w:rPr>
      </w:pPr>
      <w:r>
        <w:rPr>
          <w:rFonts w:ascii="Times New Roman" w:hAnsi="Times New Roman" w:cs="Times New Roman"/>
          <w:b/>
          <w:iCs/>
          <w:sz w:val="24"/>
          <w:szCs w:val="24"/>
        </w:rPr>
        <w:t>11.</w:t>
      </w:r>
      <w:r w:rsidR="006E7592" w:rsidRPr="005271B4">
        <w:rPr>
          <w:rFonts w:ascii="Times New Roman" w:hAnsi="Times New Roman" w:cs="Times New Roman"/>
          <w:b/>
          <w:iCs/>
          <w:sz w:val="24"/>
          <w:szCs w:val="24"/>
        </w:rPr>
        <w:t>Conclusiones</w:t>
      </w:r>
    </w:p>
    <w:p w:rsidR="004526BF" w:rsidRDefault="004526BF" w:rsidP="00AA50CC">
      <w:pPr>
        <w:jc w:val="both"/>
        <w:rPr>
          <w:rFonts w:ascii="Times New Roman" w:hAnsi="Times New Roman" w:cs="Times New Roman"/>
          <w:iCs/>
          <w:sz w:val="24"/>
          <w:szCs w:val="24"/>
        </w:rPr>
      </w:pPr>
      <w:r>
        <w:rPr>
          <w:rFonts w:ascii="Times New Roman" w:hAnsi="Times New Roman" w:cs="Times New Roman"/>
          <w:iCs/>
          <w:sz w:val="24"/>
          <w:szCs w:val="24"/>
        </w:rPr>
        <w:t>Argentina ha sido y es una de las potencias productoras de petróleo y gas natural</w:t>
      </w:r>
      <w:r w:rsidR="002D7A30">
        <w:rPr>
          <w:rFonts w:ascii="Times New Roman" w:hAnsi="Times New Roman" w:cs="Times New Roman"/>
          <w:iCs/>
          <w:sz w:val="24"/>
          <w:szCs w:val="24"/>
        </w:rPr>
        <w:t xml:space="preserve">. Su potencial hidrocarburífero es indiscutible y por ello también fue uno de los primeros países latinoamericanos en fundar  su propia compañía petrolífera. YPF se convertiría en la mayor industria del país en la década de los ochenta, pero la mala gestión y el endeudamiento al que se vio sometida desembocaron en la privatización </w:t>
      </w:r>
      <w:r w:rsidR="005772BF">
        <w:rPr>
          <w:rFonts w:ascii="Times New Roman" w:hAnsi="Times New Roman" w:cs="Times New Roman"/>
          <w:iCs/>
          <w:sz w:val="24"/>
          <w:szCs w:val="24"/>
        </w:rPr>
        <w:t>de la compañía a principios de los años noventa. Fue en 1999 cuando Repsol se hizo con la titularidad de la empresa</w:t>
      </w:r>
      <w:r w:rsidR="004715ED">
        <w:rPr>
          <w:rFonts w:ascii="Times New Roman" w:hAnsi="Times New Roman" w:cs="Times New Roman"/>
          <w:iCs/>
          <w:sz w:val="24"/>
          <w:szCs w:val="24"/>
        </w:rPr>
        <w:t xml:space="preserve">, la cual mantenía una relación cordial con el Estado argentino hasta pocos meses antes de su nacionalización en abril de 2012. </w:t>
      </w:r>
    </w:p>
    <w:p w:rsidR="00B63E12" w:rsidRDefault="005271B4" w:rsidP="00AA50CC">
      <w:pPr>
        <w:jc w:val="both"/>
        <w:rPr>
          <w:rFonts w:ascii="Times New Roman" w:hAnsi="Times New Roman" w:cs="Times New Roman"/>
          <w:iCs/>
          <w:sz w:val="24"/>
          <w:szCs w:val="24"/>
        </w:rPr>
      </w:pPr>
      <w:r>
        <w:rPr>
          <w:rFonts w:ascii="Times New Roman" w:hAnsi="Times New Roman" w:cs="Times New Roman"/>
          <w:iCs/>
          <w:sz w:val="24"/>
          <w:szCs w:val="24"/>
        </w:rPr>
        <w:t xml:space="preserve">El caso de la expropiación de YPF por el Estado Argentino ha puesto de relieve el frágil entramado institucional del país. </w:t>
      </w:r>
      <w:r w:rsidR="008A3013">
        <w:rPr>
          <w:rFonts w:ascii="Times New Roman" w:hAnsi="Times New Roman" w:cs="Times New Roman"/>
          <w:iCs/>
          <w:sz w:val="24"/>
          <w:szCs w:val="24"/>
        </w:rPr>
        <w:t>La estrategia por recuperar la autonomía sobre los recursos hidrocarburos y, a la vez, afianzar el poder del ejecutivo Kirchner</w:t>
      </w:r>
      <w:r w:rsidR="00A55E7A">
        <w:rPr>
          <w:rFonts w:ascii="Times New Roman" w:hAnsi="Times New Roman" w:cs="Times New Roman"/>
          <w:iCs/>
          <w:sz w:val="24"/>
          <w:szCs w:val="24"/>
        </w:rPr>
        <w:t xml:space="preserve"> ha llevado a menoscabar </w:t>
      </w:r>
      <w:r w:rsidR="00CB0835">
        <w:rPr>
          <w:rFonts w:ascii="Times New Roman" w:hAnsi="Times New Roman" w:cs="Times New Roman"/>
          <w:iCs/>
          <w:sz w:val="24"/>
          <w:szCs w:val="24"/>
        </w:rPr>
        <w:t>la reputación internacional de la nación</w:t>
      </w:r>
      <w:r w:rsidR="00834EB4">
        <w:rPr>
          <w:rFonts w:ascii="Times New Roman" w:hAnsi="Times New Roman" w:cs="Times New Roman"/>
          <w:iCs/>
          <w:sz w:val="24"/>
          <w:szCs w:val="24"/>
        </w:rPr>
        <w:t xml:space="preserve">.  Ni el </w:t>
      </w:r>
      <w:r w:rsidR="00B23629">
        <w:rPr>
          <w:rFonts w:ascii="Times New Roman" w:hAnsi="Times New Roman" w:cs="Times New Roman"/>
          <w:iCs/>
          <w:sz w:val="24"/>
          <w:szCs w:val="24"/>
        </w:rPr>
        <w:t xml:space="preserve">proceso </w:t>
      </w:r>
      <w:r w:rsidR="00834EB4">
        <w:rPr>
          <w:rFonts w:ascii="Times New Roman" w:hAnsi="Times New Roman" w:cs="Times New Roman"/>
          <w:iCs/>
          <w:sz w:val="24"/>
          <w:szCs w:val="24"/>
        </w:rPr>
        <w:t xml:space="preserve">estipulado por el tratado bilateral entre ambas naciones, ni cualquier otro </w:t>
      </w:r>
      <w:r w:rsidR="00B23629">
        <w:rPr>
          <w:rFonts w:ascii="Times New Roman" w:hAnsi="Times New Roman" w:cs="Times New Roman"/>
          <w:iCs/>
          <w:sz w:val="24"/>
          <w:szCs w:val="24"/>
        </w:rPr>
        <w:t>procedimiento internacional, han hecho que se resuelva la controversia entre los dos países</w:t>
      </w:r>
      <w:r w:rsidR="00A55E7A">
        <w:rPr>
          <w:rFonts w:ascii="Times New Roman" w:hAnsi="Times New Roman" w:cs="Times New Roman"/>
          <w:iCs/>
          <w:sz w:val="24"/>
          <w:szCs w:val="24"/>
        </w:rPr>
        <w:t>.</w:t>
      </w:r>
      <w:r w:rsidR="00B23629">
        <w:rPr>
          <w:rFonts w:ascii="Times New Roman" w:hAnsi="Times New Roman" w:cs="Times New Roman"/>
          <w:iCs/>
          <w:sz w:val="24"/>
          <w:szCs w:val="24"/>
        </w:rPr>
        <w:t xml:space="preserve"> </w:t>
      </w:r>
    </w:p>
    <w:p w:rsidR="001D19D1" w:rsidRDefault="001D19D1" w:rsidP="00AA50CC">
      <w:pPr>
        <w:jc w:val="both"/>
        <w:rPr>
          <w:rFonts w:ascii="Times New Roman" w:hAnsi="Times New Roman" w:cs="Times New Roman"/>
          <w:iCs/>
          <w:sz w:val="24"/>
          <w:szCs w:val="24"/>
        </w:rPr>
      </w:pPr>
      <w:r>
        <w:rPr>
          <w:rFonts w:ascii="Times New Roman" w:hAnsi="Times New Roman" w:cs="Times New Roman"/>
          <w:iCs/>
          <w:sz w:val="24"/>
          <w:szCs w:val="24"/>
        </w:rPr>
        <w:lastRenderedPageBreak/>
        <w:t xml:space="preserve">La pérdida de credibilidad del país, se ha hecho patente en la ardua tarea de encontrar inversores para Vaca Muerta, a pesar de que las ventajosas condiciones que proponía Argentina, y en la disminución de inversión extranjera directa, si no tenemos en cuenta el gran aumento obligado de la partida de reinversión de utilidades. </w:t>
      </w:r>
      <w:r w:rsidR="007C65D5">
        <w:rPr>
          <w:rFonts w:ascii="Times New Roman" w:hAnsi="Times New Roman" w:cs="Times New Roman"/>
          <w:iCs/>
          <w:sz w:val="24"/>
          <w:szCs w:val="24"/>
        </w:rPr>
        <w:t xml:space="preserve">Argentina, no parece haber aprendido de sus experiencias históricas pasadas, siguiendo en una dinámica de continua inestabilidad. Esto es así, en parte debido a que las instituciones argentinas no instauraron mecanismos de credibilidad de sus compromisos. </w:t>
      </w:r>
      <w:r w:rsidR="00493E91">
        <w:rPr>
          <w:rFonts w:ascii="Times New Roman" w:hAnsi="Times New Roman" w:cs="Times New Roman"/>
          <w:iCs/>
          <w:sz w:val="24"/>
          <w:szCs w:val="24"/>
        </w:rPr>
        <w:t xml:space="preserve">Todas estas características propician un desequilibrio institucional, el cual no es el apropiado para el desarrollo de los mercados tanto políticos como económicos. </w:t>
      </w:r>
      <w:r w:rsidR="00B63E12">
        <w:rPr>
          <w:rFonts w:ascii="Times New Roman" w:hAnsi="Times New Roman" w:cs="Times New Roman"/>
          <w:iCs/>
          <w:sz w:val="24"/>
          <w:szCs w:val="24"/>
        </w:rPr>
        <w:t>El cambio de esta trayectoria institucional hacia un</w:t>
      </w:r>
      <w:r w:rsidR="00493E91">
        <w:rPr>
          <w:rFonts w:ascii="Times New Roman" w:hAnsi="Times New Roman" w:cs="Times New Roman"/>
          <w:iCs/>
          <w:sz w:val="24"/>
          <w:szCs w:val="24"/>
        </w:rPr>
        <w:t xml:space="preserve"> desempeño institucional correcto</w:t>
      </w:r>
      <w:r w:rsidR="00B63E12">
        <w:rPr>
          <w:rFonts w:ascii="Times New Roman" w:hAnsi="Times New Roman" w:cs="Times New Roman"/>
          <w:iCs/>
          <w:sz w:val="24"/>
          <w:szCs w:val="24"/>
        </w:rPr>
        <w:t xml:space="preserve"> es una tarea ardua y lenta, y constituye un reto pendiente del Estado Argentino.</w:t>
      </w:r>
    </w:p>
    <w:p w:rsidR="00493E91" w:rsidRDefault="00493E91" w:rsidP="00E02314">
      <w:pPr>
        <w:spacing w:after="0"/>
        <w:jc w:val="both"/>
        <w:rPr>
          <w:rFonts w:ascii="Times New Roman" w:hAnsi="Times New Roman" w:cs="Times New Roman"/>
          <w:b/>
          <w:sz w:val="24"/>
          <w:szCs w:val="24"/>
        </w:rPr>
      </w:pPr>
    </w:p>
    <w:p w:rsidR="00493E91" w:rsidRDefault="00493E91" w:rsidP="00E02314">
      <w:pPr>
        <w:spacing w:after="0"/>
        <w:jc w:val="both"/>
        <w:rPr>
          <w:rFonts w:ascii="Times New Roman" w:hAnsi="Times New Roman" w:cs="Times New Roman"/>
          <w:b/>
          <w:sz w:val="24"/>
          <w:szCs w:val="24"/>
        </w:rPr>
      </w:pPr>
    </w:p>
    <w:p w:rsidR="00B7290A" w:rsidRPr="00CC44BF" w:rsidRDefault="00B7290A" w:rsidP="00E02314">
      <w:pPr>
        <w:spacing w:after="0"/>
        <w:jc w:val="both"/>
        <w:rPr>
          <w:rFonts w:ascii="Times New Roman" w:hAnsi="Times New Roman" w:cs="Times New Roman"/>
          <w:b/>
          <w:sz w:val="24"/>
          <w:szCs w:val="24"/>
        </w:rPr>
      </w:pPr>
      <w:r w:rsidRPr="00CC44BF">
        <w:rPr>
          <w:rFonts w:ascii="Times New Roman" w:hAnsi="Times New Roman" w:cs="Times New Roman"/>
          <w:b/>
          <w:sz w:val="24"/>
          <w:szCs w:val="24"/>
        </w:rPr>
        <w:t>Referencias</w:t>
      </w:r>
    </w:p>
    <w:p w:rsidR="00AA50CC" w:rsidRPr="00C046F5" w:rsidRDefault="00AA50CC" w:rsidP="00E02314">
      <w:pPr>
        <w:spacing w:after="0"/>
        <w:jc w:val="both"/>
        <w:rPr>
          <w:rFonts w:ascii="Times New Roman" w:hAnsi="Times New Roman" w:cs="Times New Roman"/>
          <w:sz w:val="24"/>
          <w:szCs w:val="24"/>
        </w:rPr>
      </w:pPr>
      <w:r w:rsidRPr="00C046F5">
        <w:rPr>
          <w:rFonts w:ascii="Times New Roman" w:hAnsi="Times New Roman" w:cs="Times New Roman"/>
          <w:sz w:val="24"/>
          <w:szCs w:val="24"/>
        </w:rPr>
        <w:tab/>
      </w:r>
    </w:p>
    <w:p w:rsidR="00B7290A" w:rsidRDefault="00483AEA" w:rsidP="00E02314">
      <w:pPr>
        <w:autoSpaceDE w:val="0"/>
        <w:autoSpaceDN w:val="0"/>
        <w:adjustRightInd w:val="0"/>
        <w:spacing w:after="0" w:line="240" w:lineRule="auto"/>
        <w:jc w:val="both"/>
        <w:rPr>
          <w:rFonts w:ascii="Times New Roman" w:hAnsi="Times New Roman" w:cs="Times New Roman"/>
          <w:sz w:val="24"/>
          <w:szCs w:val="24"/>
        </w:rPr>
      </w:pPr>
      <w:r w:rsidRPr="00E02314">
        <w:rPr>
          <w:rFonts w:ascii="Times New Roman" w:hAnsi="Times New Roman" w:cs="Times New Roman"/>
          <w:sz w:val="24"/>
          <w:szCs w:val="24"/>
        </w:rPr>
        <w:t xml:space="preserve">Arias, X. C. y Caballero, G. </w:t>
      </w:r>
      <w:r w:rsidR="00B7290A" w:rsidRPr="00E02314">
        <w:rPr>
          <w:rFonts w:ascii="Times New Roman" w:hAnsi="Times New Roman" w:cs="Times New Roman"/>
          <w:sz w:val="24"/>
          <w:szCs w:val="24"/>
        </w:rPr>
        <w:t>2003: “Instituciones, Costes de Transacción y Políticas Públicas: un panorama”,  R</w:t>
      </w:r>
      <w:r w:rsidR="00B7290A" w:rsidRPr="00E02314">
        <w:rPr>
          <w:rFonts w:ascii="Times New Roman" w:hAnsi="Times New Roman" w:cs="Times New Roman"/>
          <w:i/>
          <w:iCs/>
          <w:sz w:val="24"/>
          <w:szCs w:val="24"/>
        </w:rPr>
        <w:t>evista de Economía Institucional</w:t>
      </w:r>
      <w:r w:rsidR="00B7290A" w:rsidRPr="00E02314">
        <w:rPr>
          <w:rFonts w:ascii="Times New Roman" w:hAnsi="Times New Roman" w:cs="Times New Roman"/>
          <w:sz w:val="24"/>
          <w:szCs w:val="24"/>
        </w:rPr>
        <w:t>, 8, 117-146.</w:t>
      </w:r>
    </w:p>
    <w:p w:rsidR="006813EC" w:rsidRDefault="006813EC" w:rsidP="00E02314">
      <w:pPr>
        <w:autoSpaceDE w:val="0"/>
        <w:autoSpaceDN w:val="0"/>
        <w:adjustRightInd w:val="0"/>
        <w:spacing w:after="0" w:line="240" w:lineRule="auto"/>
        <w:jc w:val="both"/>
        <w:rPr>
          <w:rFonts w:ascii="Times New Roman" w:hAnsi="Times New Roman" w:cs="Times New Roman"/>
          <w:sz w:val="24"/>
          <w:szCs w:val="24"/>
        </w:rPr>
      </w:pPr>
    </w:p>
    <w:p w:rsidR="006813EC" w:rsidRDefault="006813EC" w:rsidP="00E0231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Banco Mundial. 2012: Doing Business. </w:t>
      </w:r>
      <w:r w:rsidRPr="006813EC">
        <w:rPr>
          <w:rFonts w:ascii="Times New Roman" w:hAnsi="Times New Roman" w:cs="Times New Roman"/>
          <w:i/>
          <w:sz w:val="24"/>
          <w:szCs w:val="24"/>
        </w:rPr>
        <w:t>Banco Internacional de Reconstrucción y Fomento</w:t>
      </w:r>
      <w:r>
        <w:rPr>
          <w:rFonts w:ascii="Times New Roman" w:hAnsi="Times New Roman" w:cs="Times New Roman"/>
          <w:sz w:val="24"/>
          <w:szCs w:val="24"/>
        </w:rPr>
        <w:t>.</w:t>
      </w:r>
      <w:r w:rsidRPr="006813EC">
        <w:rPr>
          <w:rFonts w:ascii="Times New Roman" w:hAnsi="Times New Roman" w:cs="Times New Roman"/>
          <w:sz w:val="24"/>
          <w:szCs w:val="24"/>
        </w:rPr>
        <w:t xml:space="preserve"> Banco Mundial</w:t>
      </w:r>
    </w:p>
    <w:p w:rsidR="006813EC" w:rsidRDefault="006813EC" w:rsidP="00E02314">
      <w:pPr>
        <w:autoSpaceDE w:val="0"/>
        <w:autoSpaceDN w:val="0"/>
        <w:adjustRightInd w:val="0"/>
        <w:spacing w:after="0" w:line="240" w:lineRule="auto"/>
        <w:jc w:val="both"/>
        <w:rPr>
          <w:rFonts w:ascii="Times New Roman" w:hAnsi="Times New Roman" w:cs="Times New Roman"/>
          <w:sz w:val="24"/>
          <w:szCs w:val="24"/>
        </w:rPr>
      </w:pPr>
    </w:p>
    <w:p w:rsidR="006813EC" w:rsidRDefault="006813EC" w:rsidP="006813E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Banco Mundial. 2013: Doing Business. </w:t>
      </w:r>
      <w:r w:rsidRPr="006813EC">
        <w:rPr>
          <w:rFonts w:ascii="Times New Roman" w:hAnsi="Times New Roman" w:cs="Times New Roman"/>
          <w:i/>
          <w:sz w:val="24"/>
          <w:szCs w:val="24"/>
        </w:rPr>
        <w:t>Banco Internacional de Reconstrucción y Fomento</w:t>
      </w:r>
      <w:r>
        <w:rPr>
          <w:rFonts w:ascii="Times New Roman" w:hAnsi="Times New Roman" w:cs="Times New Roman"/>
          <w:sz w:val="24"/>
          <w:szCs w:val="24"/>
        </w:rPr>
        <w:t>.</w:t>
      </w:r>
      <w:r w:rsidRPr="006813EC">
        <w:rPr>
          <w:rFonts w:ascii="Times New Roman" w:hAnsi="Times New Roman" w:cs="Times New Roman"/>
          <w:sz w:val="24"/>
          <w:szCs w:val="24"/>
        </w:rPr>
        <w:t xml:space="preserve"> Banco Mundial</w:t>
      </w:r>
    </w:p>
    <w:p w:rsidR="00B7290A" w:rsidRPr="00E02314" w:rsidRDefault="00B7290A" w:rsidP="00E02314">
      <w:pPr>
        <w:autoSpaceDE w:val="0"/>
        <w:autoSpaceDN w:val="0"/>
        <w:adjustRightInd w:val="0"/>
        <w:spacing w:after="0" w:line="240" w:lineRule="auto"/>
        <w:jc w:val="both"/>
        <w:rPr>
          <w:rFonts w:ascii="Times New Roman" w:hAnsi="Times New Roman" w:cs="Times New Roman"/>
          <w:sz w:val="24"/>
          <w:szCs w:val="24"/>
        </w:rPr>
      </w:pPr>
    </w:p>
    <w:p w:rsidR="001A6542" w:rsidRDefault="001A6542" w:rsidP="001A654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Barrera, M. A. </w:t>
      </w:r>
      <w:r w:rsidRPr="001A6542">
        <w:rPr>
          <w:rFonts w:ascii="Times New Roman" w:hAnsi="Times New Roman" w:cs="Times New Roman"/>
          <w:sz w:val="24"/>
          <w:szCs w:val="24"/>
        </w:rPr>
        <w:t>2011</w:t>
      </w:r>
      <w:r>
        <w:rPr>
          <w:rFonts w:ascii="Times New Roman" w:hAnsi="Times New Roman" w:cs="Times New Roman"/>
          <w:sz w:val="24"/>
          <w:szCs w:val="24"/>
        </w:rPr>
        <w:t>:</w:t>
      </w:r>
      <w:r w:rsidRPr="001A6542">
        <w:rPr>
          <w:rFonts w:ascii="Times New Roman" w:hAnsi="Times New Roman" w:cs="Times New Roman"/>
          <w:sz w:val="24"/>
          <w:szCs w:val="24"/>
        </w:rPr>
        <w:t xml:space="preserve"> Análisis del proceso de fragmentación y privatización de YPF: un estudio de su transformación en el marco de la desregulación del mercado primario de hidrocarburos (1989-1999), </w:t>
      </w:r>
      <w:r w:rsidRPr="001A6542">
        <w:rPr>
          <w:rFonts w:ascii="Times New Roman" w:hAnsi="Times New Roman" w:cs="Times New Roman"/>
          <w:i/>
          <w:sz w:val="24"/>
          <w:szCs w:val="24"/>
        </w:rPr>
        <w:t>Tesis de maestría</w:t>
      </w:r>
      <w:r w:rsidRPr="001A6542">
        <w:rPr>
          <w:rFonts w:ascii="Times New Roman" w:hAnsi="Times New Roman" w:cs="Times New Roman"/>
          <w:sz w:val="24"/>
          <w:szCs w:val="24"/>
        </w:rPr>
        <w:t>, MIMEO, Buenos Aires.</w:t>
      </w:r>
    </w:p>
    <w:p w:rsidR="001A6542" w:rsidRPr="001A6542" w:rsidRDefault="001A6542" w:rsidP="001A6542">
      <w:pPr>
        <w:autoSpaceDE w:val="0"/>
        <w:autoSpaceDN w:val="0"/>
        <w:adjustRightInd w:val="0"/>
        <w:spacing w:after="0" w:line="240" w:lineRule="auto"/>
        <w:jc w:val="both"/>
        <w:rPr>
          <w:rFonts w:ascii="Times New Roman" w:hAnsi="Times New Roman" w:cs="Times New Roman"/>
          <w:sz w:val="24"/>
          <w:szCs w:val="24"/>
        </w:rPr>
      </w:pPr>
    </w:p>
    <w:p w:rsidR="00413077" w:rsidRPr="009D7B2D" w:rsidRDefault="002F36EE" w:rsidP="00E02314">
      <w:pPr>
        <w:autoSpaceDE w:val="0"/>
        <w:autoSpaceDN w:val="0"/>
        <w:adjustRightInd w:val="0"/>
        <w:spacing w:after="0" w:line="240" w:lineRule="auto"/>
        <w:jc w:val="both"/>
        <w:rPr>
          <w:rFonts w:ascii="Times New Roman" w:hAnsi="Times New Roman" w:cs="Times New Roman"/>
          <w:sz w:val="24"/>
          <w:szCs w:val="24"/>
        </w:rPr>
      </w:pPr>
      <w:hyperlink r:id="rId12" w:history="1">
        <w:r w:rsidR="00413077" w:rsidRPr="00413077">
          <w:rPr>
            <w:rStyle w:val="Hipervnculo"/>
            <w:rFonts w:ascii="Times New Roman" w:hAnsi="Times New Roman" w:cs="Times New Roman"/>
            <w:color w:val="auto"/>
            <w:sz w:val="24"/>
            <w:szCs w:val="24"/>
            <w:u w:val="none"/>
          </w:rPr>
          <w:t>Bermejo García</w:t>
        </w:r>
      </w:hyperlink>
      <w:r w:rsidR="00413077" w:rsidRPr="00413077">
        <w:rPr>
          <w:rFonts w:ascii="Times New Roman" w:hAnsi="Times New Roman" w:cs="Times New Roman"/>
          <w:sz w:val="24"/>
          <w:szCs w:val="24"/>
        </w:rPr>
        <w:t xml:space="preserve">, R. y </w:t>
      </w:r>
      <w:hyperlink r:id="rId13" w:history="1">
        <w:r w:rsidR="00413077" w:rsidRPr="00413077">
          <w:rPr>
            <w:rStyle w:val="Hipervnculo"/>
            <w:rFonts w:ascii="Times New Roman" w:hAnsi="Times New Roman" w:cs="Times New Roman"/>
            <w:color w:val="auto"/>
            <w:sz w:val="24"/>
            <w:szCs w:val="24"/>
            <w:u w:val="none"/>
          </w:rPr>
          <w:t>Garciandía Garmendia</w:t>
        </w:r>
      </w:hyperlink>
      <w:r w:rsidR="00413077" w:rsidRPr="00413077">
        <w:rPr>
          <w:rFonts w:ascii="Times New Roman" w:hAnsi="Times New Roman" w:cs="Times New Roman"/>
          <w:sz w:val="24"/>
          <w:szCs w:val="24"/>
        </w:rPr>
        <w:t xml:space="preserve">, R. 2009: </w:t>
      </w:r>
      <w:r w:rsidR="009D7B2D">
        <w:rPr>
          <w:rFonts w:ascii="Times New Roman" w:hAnsi="Times New Roman" w:cs="Times New Roman"/>
          <w:sz w:val="24"/>
          <w:szCs w:val="24"/>
        </w:rPr>
        <w:t>“La expropiación de YPF (Repsol) a la luz del derecho internacional”,</w:t>
      </w:r>
      <w:r w:rsidR="009D7B2D" w:rsidRPr="009D7B2D">
        <w:rPr>
          <w:rFonts w:ascii="Times New Roman" w:hAnsi="Times New Roman" w:cs="Times New Roman"/>
          <w:i/>
          <w:sz w:val="24"/>
          <w:szCs w:val="24"/>
        </w:rPr>
        <w:t xml:space="preserve"> </w:t>
      </w:r>
      <w:hyperlink r:id="rId14" w:history="1">
        <w:r w:rsidR="009D7B2D" w:rsidRPr="009D7B2D">
          <w:rPr>
            <w:rStyle w:val="Hipervnculo"/>
            <w:rFonts w:ascii="Times New Roman" w:hAnsi="Times New Roman" w:cs="Times New Roman"/>
            <w:i/>
            <w:color w:val="auto"/>
            <w:sz w:val="24"/>
            <w:szCs w:val="24"/>
            <w:u w:val="none"/>
          </w:rPr>
          <w:t>Revista electrónica de estudios internacionales</w:t>
        </w:r>
      </w:hyperlink>
      <w:r w:rsidR="009D7B2D">
        <w:rPr>
          <w:rFonts w:ascii="Times New Roman" w:hAnsi="Times New Roman" w:cs="Times New Roman"/>
          <w:sz w:val="24"/>
          <w:szCs w:val="24"/>
        </w:rPr>
        <w:t xml:space="preserve">, </w:t>
      </w:r>
      <w:hyperlink r:id="rId15" w:history="1">
        <w:r w:rsidR="009D7B2D" w:rsidRPr="009D7B2D">
          <w:rPr>
            <w:rFonts w:ascii="Times New Roman" w:hAnsi="Times New Roman" w:cs="Times New Roman"/>
            <w:sz w:val="24"/>
            <w:szCs w:val="24"/>
          </w:rPr>
          <w:t>24</w:t>
        </w:r>
      </w:hyperlink>
      <w:r w:rsidR="009D7B2D">
        <w:rPr>
          <w:rFonts w:ascii="Times New Roman" w:hAnsi="Times New Roman" w:cs="Times New Roman"/>
          <w:sz w:val="24"/>
          <w:szCs w:val="24"/>
        </w:rPr>
        <w:t>, 2012.</w:t>
      </w:r>
    </w:p>
    <w:p w:rsidR="00B7290A" w:rsidRPr="00413077" w:rsidRDefault="00B7290A" w:rsidP="00E02314">
      <w:pPr>
        <w:autoSpaceDE w:val="0"/>
        <w:autoSpaceDN w:val="0"/>
        <w:adjustRightInd w:val="0"/>
        <w:spacing w:after="0" w:line="240" w:lineRule="auto"/>
        <w:jc w:val="both"/>
        <w:rPr>
          <w:rFonts w:ascii="Times New Roman" w:hAnsi="Times New Roman" w:cs="Times New Roman"/>
          <w:sz w:val="24"/>
          <w:szCs w:val="24"/>
        </w:rPr>
      </w:pPr>
    </w:p>
    <w:p w:rsidR="00483AEA" w:rsidRPr="00E02314" w:rsidRDefault="00483AEA" w:rsidP="00E02314">
      <w:pPr>
        <w:autoSpaceDE w:val="0"/>
        <w:autoSpaceDN w:val="0"/>
        <w:adjustRightInd w:val="0"/>
        <w:spacing w:after="0" w:line="240" w:lineRule="auto"/>
        <w:jc w:val="both"/>
        <w:rPr>
          <w:rFonts w:ascii="Times New Roman" w:hAnsi="Times New Roman" w:cs="Times New Roman"/>
          <w:sz w:val="24"/>
          <w:szCs w:val="24"/>
        </w:rPr>
      </w:pPr>
      <w:r w:rsidRPr="00E02314">
        <w:rPr>
          <w:rFonts w:ascii="Times New Roman" w:hAnsi="Times New Roman" w:cs="Times New Roman"/>
          <w:sz w:val="24"/>
          <w:szCs w:val="24"/>
        </w:rPr>
        <w:t xml:space="preserve">Caballero, G. </w:t>
      </w:r>
      <w:r w:rsidR="00B7290A" w:rsidRPr="00E02314">
        <w:rPr>
          <w:rFonts w:ascii="Times New Roman" w:hAnsi="Times New Roman" w:cs="Times New Roman"/>
          <w:sz w:val="24"/>
          <w:szCs w:val="24"/>
        </w:rPr>
        <w:t xml:space="preserve">2001: “La Nueva Economía Institucional”, </w:t>
      </w:r>
      <w:r w:rsidR="00B7290A" w:rsidRPr="00E02314">
        <w:rPr>
          <w:rFonts w:ascii="Times New Roman" w:hAnsi="Times New Roman" w:cs="Times New Roman"/>
          <w:i/>
          <w:iCs/>
          <w:sz w:val="24"/>
          <w:szCs w:val="24"/>
        </w:rPr>
        <w:t>Sistema</w:t>
      </w:r>
      <w:r w:rsidR="00B7290A" w:rsidRPr="00E02314">
        <w:rPr>
          <w:rFonts w:ascii="Times New Roman" w:hAnsi="Times New Roman" w:cs="Times New Roman"/>
          <w:sz w:val="24"/>
          <w:szCs w:val="24"/>
        </w:rPr>
        <w:t xml:space="preserve">, 156, 59-86. </w:t>
      </w:r>
    </w:p>
    <w:p w:rsidR="00483AEA" w:rsidRPr="00E02314" w:rsidRDefault="00483AEA" w:rsidP="00E02314">
      <w:pPr>
        <w:autoSpaceDE w:val="0"/>
        <w:autoSpaceDN w:val="0"/>
        <w:adjustRightInd w:val="0"/>
        <w:spacing w:after="0" w:line="240" w:lineRule="auto"/>
        <w:jc w:val="both"/>
        <w:rPr>
          <w:rFonts w:ascii="Times New Roman" w:hAnsi="Times New Roman" w:cs="Times New Roman"/>
          <w:sz w:val="24"/>
          <w:szCs w:val="24"/>
        </w:rPr>
      </w:pPr>
    </w:p>
    <w:p w:rsidR="00B7290A" w:rsidRDefault="00483AEA" w:rsidP="00E02314">
      <w:pPr>
        <w:autoSpaceDE w:val="0"/>
        <w:autoSpaceDN w:val="0"/>
        <w:adjustRightInd w:val="0"/>
        <w:spacing w:after="0" w:line="240" w:lineRule="auto"/>
        <w:jc w:val="both"/>
        <w:rPr>
          <w:rFonts w:ascii="Times New Roman" w:hAnsi="Times New Roman" w:cs="Times New Roman"/>
          <w:sz w:val="24"/>
          <w:szCs w:val="24"/>
        </w:rPr>
      </w:pPr>
      <w:r w:rsidRPr="00E02314">
        <w:rPr>
          <w:rFonts w:ascii="Times New Roman" w:hAnsi="Times New Roman" w:cs="Times New Roman"/>
          <w:sz w:val="24"/>
          <w:szCs w:val="24"/>
        </w:rPr>
        <w:t xml:space="preserve">Caballero, G. </w:t>
      </w:r>
      <w:r w:rsidR="00B7290A" w:rsidRPr="00E02314">
        <w:rPr>
          <w:rFonts w:ascii="Times New Roman" w:hAnsi="Times New Roman" w:cs="Times New Roman"/>
          <w:sz w:val="24"/>
          <w:szCs w:val="24"/>
        </w:rPr>
        <w:t xml:space="preserve">2002: “El programa de la Nueva Economía Institucional: lo macro, lo micro y lo político”, </w:t>
      </w:r>
      <w:r w:rsidR="00B7290A" w:rsidRPr="00E02314">
        <w:rPr>
          <w:rFonts w:ascii="Times New Roman" w:hAnsi="Times New Roman" w:cs="Times New Roman"/>
          <w:i/>
          <w:iCs/>
          <w:sz w:val="24"/>
          <w:szCs w:val="24"/>
        </w:rPr>
        <w:t>Ekonomiaz</w:t>
      </w:r>
      <w:r w:rsidR="00B7290A" w:rsidRPr="00E02314">
        <w:rPr>
          <w:rFonts w:ascii="Times New Roman" w:hAnsi="Times New Roman" w:cs="Times New Roman"/>
          <w:sz w:val="24"/>
          <w:szCs w:val="24"/>
        </w:rPr>
        <w:t>, 50, 230-261.</w:t>
      </w:r>
    </w:p>
    <w:p w:rsidR="008930FF" w:rsidRDefault="008930FF" w:rsidP="00E02314">
      <w:pPr>
        <w:autoSpaceDE w:val="0"/>
        <w:autoSpaceDN w:val="0"/>
        <w:adjustRightInd w:val="0"/>
        <w:spacing w:after="0" w:line="240" w:lineRule="auto"/>
        <w:jc w:val="both"/>
        <w:rPr>
          <w:rFonts w:ascii="Times New Roman" w:hAnsi="Times New Roman" w:cs="Times New Roman"/>
          <w:sz w:val="24"/>
          <w:szCs w:val="24"/>
        </w:rPr>
      </w:pPr>
    </w:p>
    <w:p w:rsidR="008930FF" w:rsidRPr="008930FF" w:rsidRDefault="008930FF" w:rsidP="00E0231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CEPAL. 2012. </w:t>
      </w:r>
      <w:r w:rsidRPr="008930FF">
        <w:rPr>
          <w:rFonts w:ascii="Times New Roman" w:hAnsi="Times New Roman" w:cs="Times New Roman"/>
          <w:sz w:val="24"/>
          <w:szCs w:val="24"/>
        </w:rPr>
        <w:t xml:space="preserve">La Inversión Extranjera Directa en América Latina y el Caribe. </w:t>
      </w:r>
      <w:r w:rsidRPr="008930FF">
        <w:rPr>
          <w:rFonts w:ascii="Times New Roman" w:hAnsi="Times New Roman" w:cs="Times New Roman"/>
          <w:i/>
          <w:sz w:val="24"/>
          <w:szCs w:val="24"/>
        </w:rPr>
        <w:t>Naciones Unidas</w:t>
      </w:r>
      <w:r>
        <w:rPr>
          <w:rFonts w:ascii="Times New Roman" w:hAnsi="Times New Roman" w:cs="Times New Roman"/>
          <w:sz w:val="24"/>
          <w:szCs w:val="24"/>
        </w:rPr>
        <w:t>. CEPAL</w:t>
      </w:r>
    </w:p>
    <w:p w:rsidR="00B7290A" w:rsidRPr="00E02314" w:rsidRDefault="00B7290A" w:rsidP="00E02314">
      <w:pPr>
        <w:autoSpaceDE w:val="0"/>
        <w:autoSpaceDN w:val="0"/>
        <w:adjustRightInd w:val="0"/>
        <w:spacing w:after="0" w:line="240" w:lineRule="auto"/>
        <w:jc w:val="both"/>
        <w:rPr>
          <w:rFonts w:ascii="Times New Roman" w:hAnsi="Times New Roman" w:cs="Times New Roman"/>
          <w:sz w:val="24"/>
          <w:szCs w:val="24"/>
        </w:rPr>
      </w:pPr>
    </w:p>
    <w:p w:rsidR="004D102F" w:rsidRDefault="00483AEA" w:rsidP="00E02314">
      <w:pPr>
        <w:autoSpaceDE w:val="0"/>
        <w:autoSpaceDN w:val="0"/>
        <w:adjustRightInd w:val="0"/>
        <w:spacing w:after="0" w:line="240" w:lineRule="auto"/>
        <w:jc w:val="both"/>
        <w:rPr>
          <w:rFonts w:ascii="Times New Roman" w:hAnsi="Times New Roman" w:cs="Times New Roman"/>
          <w:sz w:val="24"/>
          <w:szCs w:val="24"/>
          <w:lang w:val="en-US"/>
        </w:rPr>
      </w:pPr>
      <w:r w:rsidRPr="008930FF">
        <w:rPr>
          <w:rFonts w:ascii="Times New Roman" w:hAnsi="Times New Roman" w:cs="Times New Roman"/>
          <w:sz w:val="24"/>
          <w:szCs w:val="24"/>
        </w:rPr>
        <w:t>Coase, R.H. 1984</w:t>
      </w:r>
      <w:r w:rsidR="004D102F" w:rsidRPr="008930FF">
        <w:rPr>
          <w:rFonts w:ascii="Times New Roman" w:hAnsi="Times New Roman" w:cs="Times New Roman"/>
          <w:sz w:val="24"/>
          <w:szCs w:val="24"/>
        </w:rPr>
        <w:t xml:space="preserve">. </w:t>
      </w:r>
      <w:r w:rsidR="004D102F" w:rsidRPr="00E02314">
        <w:rPr>
          <w:rFonts w:ascii="Times New Roman" w:hAnsi="Times New Roman" w:cs="Times New Roman"/>
          <w:sz w:val="24"/>
          <w:szCs w:val="24"/>
          <w:lang w:val="en-US"/>
        </w:rPr>
        <w:t xml:space="preserve">“The New Institutional Economics”. </w:t>
      </w:r>
      <w:r w:rsidR="004D102F" w:rsidRPr="00E02314">
        <w:rPr>
          <w:rFonts w:ascii="Times New Roman" w:hAnsi="Times New Roman" w:cs="Times New Roman"/>
          <w:i/>
          <w:iCs/>
          <w:sz w:val="24"/>
          <w:szCs w:val="24"/>
          <w:lang w:val="en-US"/>
        </w:rPr>
        <w:t xml:space="preserve">Journal of Theoretical and InstitutionalEconomics, </w:t>
      </w:r>
      <w:r w:rsidR="004D102F" w:rsidRPr="00E02314">
        <w:rPr>
          <w:rFonts w:ascii="Times New Roman" w:hAnsi="Times New Roman" w:cs="Times New Roman"/>
          <w:sz w:val="24"/>
          <w:szCs w:val="24"/>
          <w:lang w:val="en-US"/>
        </w:rPr>
        <w:t>140(1):229-231.</w:t>
      </w:r>
    </w:p>
    <w:p w:rsidR="00E02314" w:rsidRPr="00E02314" w:rsidRDefault="00E02314" w:rsidP="00E02314">
      <w:pPr>
        <w:autoSpaceDE w:val="0"/>
        <w:autoSpaceDN w:val="0"/>
        <w:adjustRightInd w:val="0"/>
        <w:spacing w:after="0" w:line="240" w:lineRule="auto"/>
        <w:jc w:val="both"/>
        <w:rPr>
          <w:rFonts w:ascii="Times New Roman" w:hAnsi="Times New Roman" w:cs="Times New Roman"/>
          <w:sz w:val="24"/>
          <w:szCs w:val="24"/>
          <w:lang w:val="en-US"/>
        </w:rPr>
      </w:pPr>
    </w:p>
    <w:p w:rsidR="004D102F" w:rsidRPr="002D49A9" w:rsidRDefault="00483AEA" w:rsidP="00E02314">
      <w:pPr>
        <w:autoSpaceDE w:val="0"/>
        <w:autoSpaceDN w:val="0"/>
        <w:adjustRightInd w:val="0"/>
        <w:spacing w:after="0" w:line="240" w:lineRule="auto"/>
        <w:ind w:left="284" w:hanging="284"/>
        <w:jc w:val="both"/>
        <w:rPr>
          <w:rFonts w:ascii="Times New Roman" w:hAnsi="Times New Roman" w:cs="Times New Roman"/>
          <w:sz w:val="24"/>
          <w:szCs w:val="24"/>
        </w:rPr>
      </w:pPr>
      <w:r w:rsidRPr="00E02314">
        <w:rPr>
          <w:rFonts w:ascii="Times New Roman" w:hAnsi="Times New Roman" w:cs="Times New Roman"/>
          <w:sz w:val="24"/>
          <w:szCs w:val="24"/>
          <w:lang w:val="en-US"/>
        </w:rPr>
        <w:t xml:space="preserve">Coase R. H. </w:t>
      </w:r>
      <w:r w:rsidR="004D102F" w:rsidRPr="00E02314">
        <w:rPr>
          <w:rFonts w:ascii="Times New Roman" w:hAnsi="Times New Roman" w:cs="Times New Roman"/>
          <w:sz w:val="24"/>
          <w:szCs w:val="24"/>
          <w:lang w:val="en-US"/>
        </w:rPr>
        <w:t xml:space="preserve">1998. "The New Institutional Economics". </w:t>
      </w:r>
      <w:r w:rsidR="004D102F" w:rsidRPr="002D49A9">
        <w:rPr>
          <w:rFonts w:ascii="Times New Roman" w:hAnsi="Times New Roman" w:cs="Times New Roman"/>
          <w:i/>
          <w:iCs/>
          <w:sz w:val="24"/>
          <w:szCs w:val="24"/>
        </w:rPr>
        <w:t>American Economic Review</w:t>
      </w:r>
      <w:r w:rsidR="004D102F" w:rsidRPr="002D49A9">
        <w:rPr>
          <w:rFonts w:ascii="Times New Roman" w:hAnsi="Times New Roman" w:cs="Times New Roman"/>
          <w:sz w:val="24"/>
          <w:szCs w:val="24"/>
        </w:rPr>
        <w:t>, 88 (2):</w:t>
      </w:r>
      <w:hyperlink r:id="rId16" w:history="1">
        <w:r w:rsidR="004D102F" w:rsidRPr="002D49A9">
          <w:rPr>
            <w:rStyle w:val="Hipervnculo"/>
            <w:rFonts w:ascii="Times New Roman" w:hAnsi="Times New Roman" w:cs="Times New Roman"/>
            <w:color w:val="auto"/>
            <w:sz w:val="24"/>
            <w:szCs w:val="24"/>
            <w:u w:val="none"/>
          </w:rPr>
          <w:t xml:space="preserve"> 72</w:t>
        </w:r>
      </w:hyperlink>
      <w:r w:rsidR="004D102F" w:rsidRPr="002D49A9">
        <w:rPr>
          <w:rFonts w:ascii="Times New Roman" w:hAnsi="Times New Roman" w:cs="Times New Roman"/>
          <w:sz w:val="24"/>
          <w:szCs w:val="24"/>
        </w:rPr>
        <w:t>-74.</w:t>
      </w:r>
    </w:p>
    <w:p w:rsidR="00E02314" w:rsidRPr="002D49A9" w:rsidRDefault="00E02314" w:rsidP="00E02314">
      <w:pPr>
        <w:autoSpaceDE w:val="0"/>
        <w:autoSpaceDN w:val="0"/>
        <w:adjustRightInd w:val="0"/>
        <w:spacing w:after="0" w:line="240" w:lineRule="auto"/>
        <w:ind w:left="284" w:hanging="284"/>
        <w:jc w:val="both"/>
        <w:rPr>
          <w:rFonts w:ascii="Times New Roman" w:hAnsi="Times New Roman" w:cs="Times New Roman"/>
          <w:sz w:val="24"/>
          <w:szCs w:val="24"/>
        </w:rPr>
      </w:pPr>
    </w:p>
    <w:p w:rsidR="00B7290A" w:rsidRPr="00E02314" w:rsidRDefault="00483AEA" w:rsidP="00E02314">
      <w:pPr>
        <w:autoSpaceDE w:val="0"/>
        <w:autoSpaceDN w:val="0"/>
        <w:adjustRightInd w:val="0"/>
        <w:spacing w:after="0" w:line="240" w:lineRule="auto"/>
        <w:jc w:val="both"/>
        <w:rPr>
          <w:rFonts w:ascii="Times New Roman" w:hAnsi="Times New Roman" w:cs="Times New Roman"/>
          <w:sz w:val="24"/>
          <w:szCs w:val="24"/>
          <w:lang w:val="en-US"/>
        </w:rPr>
      </w:pPr>
      <w:r w:rsidRPr="00E02314">
        <w:rPr>
          <w:rFonts w:ascii="Times New Roman" w:hAnsi="Times New Roman" w:cs="Times New Roman"/>
          <w:sz w:val="24"/>
          <w:szCs w:val="24"/>
          <w:lang w:val="en-US"/>
        </w:rPr>
        <w:lastRenderedPageBreak/>
        <w:t xml:space="preserve">North, D. C. </w:t>
      </w:r>
      <w:r w:rsidR="002D49A9">
        <w:rPr>
          <w:rFonts w:ascii="Times New Roman" w:hAnsi="Times New Roman" w:cs="Times New Roman"/>
          <w:sz w:val="24"/>
          <w:szCs w:val="24"/>
          <w:lang w:val="en-US"/>
        </w:rPr>
        <w:t>1990</w:t>
      </w:r>
      <w:r w:rsidR="00B7290A" w:rsidRPr="00E02314">
        <w:rPr>
          <w:rFonts w:ascii="Times New Roman" w:hAnsi="Times New Roman" w:cs="Times New Roman"/>
          <w:sz w:val="24"/>
          <w:szCs w:val="24"/>
          <w:lang w:val="en-US"/>
        </w:rPr>
        <w:t xml:space="preserve">: </w:t>
      </w:r>
      <w:r w:rsidR="00B7290A" w:rsidRPr="00E02314">
        <w:rPr>
          <w:rFonts w:ascii="Times New Roman" w:hAnsi="Times New Roman" w:cs="Times New Roman"/>
          <w:i/>
          <w:iCs/>
          <w:sz w:val="24"/>
          <w:szCs w:val="24"/>
          <w:lang w:val="en-US"/>
        </w:rPr>
        <w:t>Institutions, Institutional Change and Economic</w:t>
      </w:r>
      <w:r w:rsidR="006A39C8" w:rsidRPr="00E02314">
        <w:rPr>
          <w:rFonts w:ascii="Times New Roman" w:hAnsi="Times New Roman" w:cs="Times New Roman"/>
          <w:i/>
          <w:iCs/>
          <w:sz w:val="24"/>
          <w:szCs w:val="24"/>
          <w:lang w:val="en-US"/>
        </w:rPr>
        <w:t xml:space="preserve"> </w:t>
      </w:r>
      <w:r w:rsidR="00B7290A" w:rsidRPr="00E02314">
        <w:rPr>
          <w:rFonts w:ascii="Times New Roman" w:hAnsi="Times New Roman" w:cs="Times New Roman"/>
          <w:i/>
          <w:iCs/>
          <w:sz w:val="24"/>
          <w:szCs w:val="24"/>
          <w:lang w:val="en-US"/>
        </w:rPr>
        <w:t xml:space="preserve">Performance, </w:t>
      </w:r>
      <w:r w:rsidR="00B7290A" w:rsidRPr="00E02314">
        <w:rPr>
          <w:rFonts w:ascii="Times New Roman" w:hAnsi="Times New Roman" w:cs="Times New Roman"/>
          <w:sz w:val="24"/>
          <w:szCs w:val="24"/>
          <w:lang w:val="en-US"/>
        </w:rPr>
        <w:t>Cambridge University Press.</w:t>
      </w:r>
    </w:p>
    <w:p w:rsidR="006A39C8" w:rsidRPr="00E02314" w:rsidRDefault="006A39C8" w:rsidP="00E02314">
      <w:pPr>
        <w:autoSpaceDE w:val="0"/>
        <w:autoSpaceDN w:val="0"/>
        <w:adjustRightInd w:val="0"/>
        <w:spacing w:after="0" w:line="240" w:lineRule="auto"/>
        <w:jc w:val="both"/>
        <w:rPr>
          <w:rFonts w:ascii="Times New Roman" w:hAnsi="Times New Roman" w:cs="Times New Roman"/>
          <w:sz w:val="24"/>
          <w:szCs w:val="24"/>
          <w:lang w:val="en-US"/>
        </w:rPr>
      </w:pPr>
    </w:p>
    <w:p w:rsidR="006A39C8" w:rsidRPr="00E02314" w:rsidRDefault="00483AEA" w:rsidP="00E02314">
      <w:pPr>
        <w:autoSpaceDE w:val="0"/>
        <w:autoSpaceDN w:val="0"/>
        <w:adjustRightInd w:val="0"/>
        <w:spacing w:after="0" w:line="240" w:lineRule="auto"/>
        <w:jc w:val="both"/>
        <w:rPr>
          <w:rFonts w:ascii="Times New Roman" w:hAnsi="Times New Roman" w:cs="Times New Roman"/>
          <w:sz w:val="24"/>
          <w:szCs w:val="24"/>
          <w:lang w:val="en-US"/>
        </w:rPr>
      </w:pPr>
      <w:r w:rsidRPr="00E02314">
        <w:rPr>
          <w:rFonts w:ascii="Times New Roman" w:hAnsi="Times New Roman" w:cs="Times New Roman"/>
          <w:sz w:val="24"/>
          <w:szCs w:val="24"/>
          <w:lang w:val="en-US"/>
        </w:rPr>
        <w:t xml:space="preserve">North, D. C. </w:t>
      </w:r>
      <w:r w:rsidR="006A39C8" w:rsidRPr="00E02314">
        <w:rPr>
          <w:rFonts w:ascii="Times New Roman" w:hAnsi="Times New Roman" w:cs="Times New Roman"/>
          <w:sz w:val="24"/>
          <w:szCs w:val="24"/>
          <w:lang w:val="en-US"/>
        </w:rPr>
        <w:t>1993: “Institutions and Credible Commitment</w:t>
      </w:r>
      <w:r w:rsidR="006A39C8" w:rsidRPr="00E02314">
        <w:rPr>
          <w:rFonts w:ascii="Times New Roman" w:hAnsi="Times New Roman" w:cs="Times New Roman"/>
          <w:i/>
          <w:iCs/>
          <w:sz w:val="24"/>
          <w:szCs w:val="24"/>
          <w:lang w:val="en-US"/>
        </w:rPr>
        <w:t>”</w:t>
      </w:r>
      <w:r w:rsidR="006A39C8" w:rsidRPr="00E02314">
        <w:rPr>
          <w:rFonts w:ascii="Times New Roman" w:hAnsi="Times New Roman" w:cs="Times New Roman"/>
          <w:sz w:val="24"/>
          <w:szCs w:val="24"/>
          <w:lang w:val="en-US"/>
        </w:rPr>
        <w:t xml:space="preserve">, </w:t>
      </w:r>
      <w:r w:rsidR="006A39C8" w:rsidRPr="00E02314">
        <w:rPr>
          <w:rFonts w:ascii="Times New Roman" w:hAnsi="Times New Roman" w:cs="Times New Roman"/>
          <w:i/>
          <w:iCs/>
          <w:sz w:val="24"/>
          <w:szCs w:val="24"/>
          <w:lang w:val="en-US"/>
        </w:rPr>
        <w:t xml:space="preserve">Journal of Institutional and Theoretical Economics, </w:t>
      </w:r>
      <w:r w:rsidR="006A39C8" w:rsidRPr="00E02314">
        <w:rPr>
          <w:rFonts w:ascii="Times New Roman" w:hAnsi="Times New Roman" w:cs="Times New Roman"/>
          <w:sz w:val="24"/>
          <w:szCs w:val="24"/>
          <w:lang w:val="en-US"/>
        </w:rPr>
        <w:t>149/1, 11-23.</w:t>
      </w:r>
    </w:p>
    <w:p w:rsidR="006A39C8" w:rsidRPr="00E02314" w:rsidRDefault="006A39C8" w:rsidP="00E02314">
      <w:pPr>
        <w:autoSpaceDE w:val="0"/>
        <w:autoSpaceDN w:val="0"/>
        <w:adjustRightInd w:val="0"/>
        <w:spacing w:after="0" w:line="240" w:lineRule="auto"/>
        <w:jc w:val="both"/>
        <w:rPr>
          <w:rFonts w:ascii="Times New Roman" w:hAnsi="Times New Roman" w:cs="Times New Roman"/>
          <w:sz w:val="24"/>
          <w:szCs w:val="24"/>
          <w:lang w:val="en-US"/>
        </w:rPr>
      </w:pPr>
    </w:p>
    <w:p w:rsidR="00663BFC" w:rsidRPr="00663BFC" w:rsidRDefault="00663BFC" w:rsidP="00663BFC">
      <w:pPr>
        <w:spacing w:after="0" w:line="240" w:lineRule="auto"/>
        <w:jc w:val="both"/>
        <w:rPr>
          <w:rFonts w:ascii="Times New Roman" w:eastAsia="Times New Roman" w:hAnsi="Times New Roman" w:cs="Times New Roman"/>
          <w:sz w:val="24"/>
          <w:szCs w:val="24"/>
          <w:lang w:val="en-US" w:eastAsia="es-ES"/>
        </w:rPr>
      </w:pPr>
      <w:r w:rsidRPr="00663BFC">
        <w:rPr>
          <w:rFonts w:ascii="Times New Roman" w:eastAsia="Times New Roman" w:hAnsi="Times New Roman" w:cs="Times New Roman"/>
          <w:sz w:val="24"/>
          <w:szCs w:val="24"/>
          <w:lang w:val="en-US" w:eastAsia="es-ES"/>
        </w:rPr>
        <w:t>North, D. C.y B. R. Weingast</w:t>
      </w:r>
      <w:r>
        <w:rPr>
          <w:rFonts w:ascii="Times New Roman" w:eastAsia="Times New Roman" w:hAnsi="Times New Roman" w:cs="Times New Roman"/>
          <w:sz w:val="24"/>
          <w:szCs w:val="24"/>
          <w:lang w:val="en-US" w:eastAsia="es-ES"/>
        </w:rPr>
        <w:t xml:space="preserve"> </w:t>
      </w:r>
      <w:r w:rsidRPr="00663BFC">
        <w:rPr>
          <w:rFonts w:ascii="Times New Roman" w:eastAsia="Times New Roman" w:hAnsi="Times New Roman" w:cs="Times New Roman"/>
          <w:sz w:val="24"/>
          <w:szCs w:val="24"/>
          <w:lang w:val="en-US" w:eastAsia="es-ES"/>
        </w:rPr>
        <w:t xml:space="preserve">1989: “Constitutions and commitment: the evolution of </w:t>
      </w:r>
      <w:r>
        <w:rPr>
          <w:rFonts w:ascii="Times New Roman" w:eastAsia="Times New Roman" w:hAnsi="Times New Roman" w:cs="Times New Roman"/>
          <w:sz w:val="24"/>
          <w:szCs w:val="24"/>
          <w:lang w:val="en-US" w:eastAsia="es-ES"/>
        </w:rPr>
        <w:t xml:space="preserve"> </w:t>
      </w:r>
      <w:r w:rsidRPr="00663BFC">
        <w:rPr>
          <w:rFonts w:ascii="Times New Roman" w:eastAsia="Times New Roman" w:hAnsi="Times New Roman" w:cs="Times New Roman"/>
          <w:sz w:val="24"/>
          <w:szCs w:val="24"/>
          <w:lang w:val="en-US" w:eastAsia="es-ES"/>
        </w:rPr>
        <w:t xml:space="preserve">institutions governing public choice in seventeenth-century England”, </w:t>
      </w:r>
      <w:r w:rsidRPr="00663BFC">
        <w:rPr>
          <w:rFonts w:ascii="Times New Roman" w:eastAsia="Times New Roman" w:hAnsi="Times New Roman" w:cs="Times New Roman"/>
          <w:i/>
          <w:sz w:val="24"/>
          <w:szCs w:val="24"/>
          <w:lang w:val="en-US" w:eastAsia="es-ES"/>
        </w:rPr>
        <w:t>The Journal of  Economic History</w:t>
      </w:r>
      <w:r w:rsidRPr="00663BFC">
        <w:rPr>
          <w:rFonts w:ascii="Times New Roman" w:eastAsia="Times New Roman" w:hAnsi="Times New Roman" w:cs="Times New Roman"/>
          <w:sz w:val="24"/>
          <w:szCs w:val="24"/>
          <w:lang w:val="en-US" w:eastAsia="es-ES"/>
        </w:rPr>
        <w:t xml:space="preserve"> , Vol. 49, N. 4, pp. 803-832. </w:t>
      </w:r>
    </w:p>
    <w:p w:rsidR="00663BFC" w:rsidRPr="00663BFC" w:rsidRDefault="00663BFC" w:rsidP="00E02314">
      <w:pPr>
        <w:autoSpaceDE w:val="0"/>
        <w:autoSpaceDN w:val="0"/>
        <w:adjustRightInd w:val="0"/>
        <w:spacing w:after="0" w:line="240" w:lineRule="auto"/>
        <w:jc w:val="both"/>
        <w:rPr>
          <w:rFonts w:ascii="Times New Roman" w:hAnsi="Times New Roman" w:cs="Times New Roman"/>
          <w:sz w:val="24"/>
          <w:szCs w:val="24"/>
          <w:lang w:val="en-US"/>
        </w:rPr>
      </w:pPr>
    </w:p>
    <w:p w:rsidR="006A39C8" w:rsidRPr="00E02314" w:rsidRDefault="00391BCB" w:rsidP="00E02314">
      <w:pPr>
        <w:autoSpaceDE w:val="0"/>
        <w:autoSpaceDN w:val="0"/>
        <w:adjustRightInd w:val="0"/>
        <w:spacing w:after="0" w:line="240" w:lineRule="auto"/>
        <w:jc w:val="both"/>
        <w:rPr>
          <w:rFonts w:ascii="Times New Roman" w:hAnsi="Times New Roman" w:cs="Times New Roman"/>
          <w:sz w:val="24"/>
          <w:szCs w:val="24"/>
        </w:rPr>
      </w:pPr>
      <w:r w:rsidRPr="00E02314">
        <w:rPr>
          <w:rFonts w:ascii="Times New Roman" w:hAnsi="Times New Roman" w:cs="Times New Roman"/>
          <w:sz w:val="24"/>
          <w:szCs w:val="24"/>
        </w:rPr>
        <w:t xml:space="preserve">Spiller, P., y Tommasi, M. </w:t>
      </w:r>
      <w:r w:rsidR="006A39C8" w:rsidRPr="00E02314">
        <w:rPr>
          <w:rFonts w:ascii="Times New Roman" w:hAnsi="Times New Roman" w:cs="Times New Roman"/>
          <w:sz w:val="24"/>
          <w:szCs w:val="24"/>
        </w:rPr>
        <w:t>2000: “Los Determinantes Institucionales del Desarrollo Argentino: Una Aproximación desde la Economía Institucional</w:t>
      </w:r>
      <w:r w:rsidR="006A39C8" w:rsidRPr="00E02314">
        <w:rPr>
          <w:rFonts w:ascii="Times New Roman" w:hAnsi="Times New Roman" w:cs="Times New Roman"/>
          <w:iCs/>
          <w:sz w:val="24"/>
          <w:szCs w:val="24"/>
        </w:rPr>
        <w:t xml:space="preserve">”, </w:t>
      </w:r>
      <w:r w:rsidR="006A39C8" w:rsidRPr="00E02314">
        <w:rPr>
          <w:rFonts w:ascii="Times New Roman" w:hAnsi="Times New Roman" w:cs="Times New Roman"/>
          <w:i/>
          <w:iCs/>
          <w:sz w:val="24"/>
          <w:szCs w:val="24"/>
        </w:rPr>
        <w:t>Desarrollo Económico</w:t>
      </w:r>
      <w:r w:rsidR="006A39C8" w:rsidRPr="00E02314">
        <w:rPr>
          <w:rFonts w:ascii="Times New Roman" w:hAnsi="Times New Roman" w:cs="Times New Roman"/>
          <w:sz w:val="24"/>
          <w:szCs w:val="24"/>
        </w:rPr>
        <w:t>, 159, 40.</w:t>
      </w:r>
    </w:p>
    <w:p w:rsidR="006A39C8" w:rsidRPr="00E02314" w:rsidRDefault="006A39C8" w:rsidP="00E02314">
      <w:pPr>
        <w:autoSpaceDE w:val="0"/>
        <w:autoSpaceDN w:val="0"/>
        <w:adjustRightInd w:val="0"/>
        <w:spacing w:after="0" w:line="240" w:lineRule="auto"/>
        <w:jc w:val="both"/>
        <w:rPr>
          <w:rFonts w:ascii="Times New Roman" w:hAnsi="Times New Roman" w:cs="Times New Roman"/>
          <w:sz w:val="24"/>
          <w:szCs w:val="24"/>
        </w:rPr>
      </w:pPr>
    </w:p>
    <w:p w:rsidR="006A39C8" w:rsidRPr="00E02314" w:rsidRDefault="00391BCB" w:rsidP="00E02314">
      <w:pPr>
        <w:autoSpaceDE w:val="0"/>
        <w:autoSpaceDN w:val="0"/>
        <w:adjustRightInd w:val="0"/>
        <w:spacing w:after="0" w:line="240" w:lineRule="auto"/>
        <w:jc w:val="both"/>
        <w:rPr>
          <w:rFonts w:ascii="Times New Roman" w:hAnsi="Times New Roman" w:cs="Times New Roman"/>
          <w:sz w:val="24"/>
          <w:szCs w:val="24"/>
          <w:lang w:val="en-US"/>
        </w:rPr>
      </w:pPr>
      <w:r w:rsidRPr="00E02314">
        <w:rPr>
          <w:rFonts w:ascii="Times New Roman" w:hAnsi="Times New Roman" w:cs="Times New Roman"/>
          <w:sz w:val="24"/>
          <w:szCs w:val="24"/>
          <w:lang w:val="en-US"/>
        </w:rPr>
        <w:t>Spiller, P., y Tommasi, M. 2009</w:t>
      </w:r>
      <w:r w:rsidR="006A39C8" w:rsidRPr="00E02314">
        <w:rPr>
          <w:rFonts w:ascii="Times New Roman" w:hAnsi="Times New Roman" w:cs="Times New Roman"/>
          <w:sz w:val="24"/>
          <w:szCs w:val="24"/>
          <w:lang w:val="en-US"/>
        </w:rPr>
        <w:t xml:space="preserve">: “The institutional foundations of public policy in Argentina”, </w:t>
      </w:r>
      <w:r w:rsidR="006A39C8" w:rsidRPr="00E02314">
        <w:rPr>
          <w:rFonts w:ascii="Times New Roman" w:hAnsi="Times New Roman" w:cs="Times New Roman"/>
          <w:i/>
          <w:sz w:val="24"/>
          <w:szCs w:val="24"/>
          <w:lang w:val="en-US"/>
        </w:rPr>
        <w:t>Cambridge University Press</w:t>
      </w:r>
      <w:r w:rsidR="006A39C8" w:rsidRPr="00E02314">
        <w:rPr>
          <w:rFonts w:ascii="Times New Roman" w:hAnsi="Times New Roman" w:cs="Times New Roman"/>
          <w:sz w:val="24"/>
          <w:szCs w:val="24"/>
          <w:lang w:val="en-US"/>
        </w:rPr>
        <w:t>. 2009</w:t>
      </w:r>
    </w:p>
    <w:p w:rsidR="006A39C8" w:rsidRPr="00E02314" w:rsidRDefault="006A39C8" w:rsidP="00E02314">
      <w:pPr>
        <w:autoSpaceDE w:val="0"/>
        <w:autoSpaceDN w:val="0"/>
        <w:adjustRightInd w:val="0"/>
        <w:spacing w:after="0" w:line="240" w:lineRule="auto"/>
        <w:jc w:val="both"/>
        <w:rPr>
          <w:rFonts w:ascii="Times New Roman" w:hAnsi="Times New Roman" w:cs="Times New Roman"/>
          <w:sz w:val="24"/>
          <w:szCs w:val="24"/>
          <w:lang w:val="en-US"/>
        </w:rPr>
      </w:pPr>
    </w:p>
    <w:p w:rsidR="006A39C8" w:rsidRPr="00E02314" w:rsidRDefault="006A39C8" w:rsidP="00E02314">
      <w:pPr>
        <w:autoSpaceDE w:val="0"/>
        <w:autoSpaceDN w:val="0"/>
        <w:adjustRightInd w:val="0"/>
        <w:spacing w:after="0" w:line="240" w:lineRule="auto"/>
        <w:jc w:val="both"/>
        <w:rPr>
          <w:rFonts w:ascii="Times New Roman" w:hAnsi="Times New Roman" w:cs="Times New Roman"/>
          <w:sz w:val="24"/>
          <w:szCs w:val="24"/>
          <w:lang w:val="en-US"/>
        </w:rPr>
      </w:pPr>
      <w:r w:rsidRPr="00E02314">
        <w:rPr>
          <w:rFonts w:ascii="Times New Roman" w:hAnsi="Times New Roman" w:cs="Times New Roman"/>
          <w:sz w:val="24"/>
          <w:szCs w:val="24"/>
          <w:lang w:val="en-US"/>
        </w:rPr>
        <w:t>Ve</w:t>
      </w:r>
      <w:r w:rsidR="00391BCB" w:rsidRPr="00E02314">
        <w:rPr>
          <w:rFonts w:ascii="Times New Roman" w:hAnsi="Times New Roman" w:cs="Times New Roman"/>
          <w:sz w:val="24"/>
          <w:szCs w:val="24"/>
          <w:lang w:val="en-US"/>
        </w:rPr>
        <w:t xml:space="preserve">nganzones, M. A. y C. Winograd </w:t>
      </w:r>
      <w:r w:rsidRPr="00E02314">
        <w:rPr>
          <w:rFonts w:ascii="Times New Roman" w:hAnsi="Times New Roman" w:cs="Times New Roman"/>
          <w:sz w:val="24"/>
          <w:szCs w:val="24"/>
          <w:lang w:val="en-US"/>
        </w:rPr>
        <w:t xml:space="preserve">1997: “Argentina in the 20th Century. An Account of Long-Awaited Growth”, </w:t>
      </w:r>
      <w:r w:rsidRPr="00E02314">
        <w:rPr>
          <w:rFonts w:ascii="Times New Roman" w:hAnsi="Times New Roman" w:cs="Times New Roman"/>
          <w:i/>
          <w:iCs/>
          <w:sz w:val="24"/>
          <w:szCs w:val="24"/>
          <w:lang w:val="en-US"/>
        </w:rPr>
        <w:t>Development Centre of the Organisation for Economic and Development</w:t>
      </w:r>
      <w:r w:rsidRPr="00E02314">
        <w:rPr>
          <w:rFonts w:ascii="Times New Roman" w:hAnsi="Times New Roman" w:cs="Times New Roman"/>
          <w:sz w:val="24"/>
          <w:szCs w:val="24"/>
          <w:lang w:val="en-US"/>
        </w:rPr>
        <w:t>, París.</w:t>
      </w:r>
    </w:p>
    <w:p w:rsidR="006A39C8" w:rsidRPr="00E02314" w:rsidRDefault="006A39C8" w:rsidP="00E02314">
      <w:pPr>
        <w:autoSpaceDE w:val="0"/>
        <w:autoSpaceDN w:val="0"/>
        <w:adjustRightInd w:val="0"/>
        <w:spacing w:after="0" w:line="240" w:lineRule="auto"/>
        <w:jc w:val="both"/>
        <w:rPr>
          <w:rFonts w:ascii="Times New Roman" w:hAnsi="Times New Roman" w:cs="Times New Roman"/>
          <w:sz w:val="24"/>
          <w:szCs w:val="24"/>
          <w:lang w:val="en-US"/>
        </w:rPr>
      </w:pPr>
    </w:p>
    <w:sectPr w:rsidR="006A39C8" w:rsidRPr="00E02314" w:rsidSect="00EA054D">
      <w:headerReference w:type="default" r:id="rId17"/>
      <w:footerReference w:type="default" r:id="rId18"/>
      <w:pgSz w:w="11906" w:h="16838"/>
      <w:pgMar w:top="1417" w:right="1701" w:bottom="1417" w:left="1701" w:header="708" w:footer="42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2AD9" w:rsidRDefault="004C2AD9" w:rsidP="00AA50CC">
      <w:pPr>
        <w:spacing w:after="0" w:line="240" w:lineRule="auto"/>
      </w:pPr>
      <w:r>
        <w:separator/>
      </w:r>
    </w:p>
  </w:endnote>
  <w:endnote w:type="continuationSeparator" w:id="0">
    <w:p w:rsidR="004C2AD9" w:rsidRDefault="004C2AD9" w:rsidP="00AA50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0197449"/>
      <w:docPartObj>
        <w:docPartGallery w:val="Page Numbers (Bottom of Page)"/>
        <w:docPartUnique/>
      </w:docPartObj>
    </w:sdtPr>
    <w:sdtContent>
      <w:p w:rsidR="001E2B25" w:rsidRDefault="001E2B25">
        <w:pPr>
          <w:pStyle w:val="Piedepgina"/>
          <w:jc w:val="right"/>
        </w:pPr>
        <w:fldSimple w:instr="PAGE   \* MERGEFORMAT">
          <w:r w:rsidR="00D76C1B">
            <w:rPr>
              <w:noProof/>
            </w:rPr>
            <w:t>3</w:t>
          </w:r>
        </w:fldSimple>
      </w:p>
    </w:sdtContent>
  </w:sdt>
  <w:p w:rsidR="001E2B25" w:rsidRDefault="001E2B2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2AD9" w:rsidRDefault="004C2AD9" w:rsidP="00AA50CC">
      <w:pPr>
        <w:spacing w:after="0" w:line="240" w:lineRule="auto"/>
      </w:pPr>
      <w:r>
        <w:separator/>
      </w:r>
    </w:p>
  </w:footnote>
  <w:footnote w:type="continuationSeparator" w:id="0">
    <w:p w:rsidR="004C2AD9" w:rsidRDefault="004C2AD9" w:rsidP="00AA50CC">
      <w:pPr>
        <w:spacing w:after="0" w:line="240" w:lineRule="auto"/>
      </w:pPr>
      <w:r>
        <w:continuationSeparator/>
      </w:r>
    </w:p>
  </w:footnote>
  <w:footnote w:id="1">
    <w:p w:rsidR="001E2B25" w:rsidRDefault="001E2B25" w:rsidP="00AA50CC">
      <w:pPr>
        <w:pStyle w:val="Textonotapie"/>
        <w:jc w:val="both"/>
      </w:pPr>
      <w:r>
        <w:rPr>
          <w:rStyle w:val="Refdenotaalpie"/>
        </w:rPr>
        <w:footnoteRef/>
      </w:r>
      <w:r>
        <w:t xml:space="preserve"> Nota de prensa de Repsol S.A.: </w:t>
      </w:r>
      <w:r w:rsidRPr="000E14F8">
        <w:t>http://www.repsol.es/es_es/corporacion/prensa/notas-de-prensa/ultimas-notas/08012012-repsol-eleva-prevision-recursos-vaca-muerta.aspx</w:t>
      </w:r>
      <w:r>
        <w:t>., 8 de frebrero de 2012.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2B25" w:rsidRPr="00EA054D" w:rsidRDefault="001E2B25">
    <w:pPr>
      <w:pStyle w:val="Encabezado"/>
      <w:rPr>
        <w:rFonts w:ascii="Times New Roman" w:hAnsi="Times New Roman" w:cs="Times New Roman"/>
        <w:sz w:val="18"/>
        <w:szCs w:val="18"/>
      </w:rPr>
    </w:pPr>
    <w:r w:rsidRPr="00EA054D">
      <w:rPr>
        <w:rFonts w:ascii="Times New Roman" w:hAnsi="Times New Roman" w:cs="Times New Roman"/>
        <w:sz w:val="18"/>
        <w:szCs w:val="18"/>
      </w:rPr>
      <w:t>Instituciones, derechos de propiedad y credibilidad del compromiso: El caso de YPF-Repsol en Argentina</w:t>
    </w:r>
  </w:p>
  <w:p w:rsidR="001E2B25" w:rsidRDefault="001E2B25">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E0A0E"/>
    <w:multiLevelType w:val="hybridMultilevel"/>
    <w:tmpl w:val="E81643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2B9A6832"/>
    <w:multiLevelType w:val="hybridMultilevel"/>
    <w:tmpl w:val="0D583B9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3B6F56F3"/>
    <w:multiLevelType w:val="hybridMultilevel"/>
    <w:tmpl w:val="DA72D2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AA50CC"/>
    <w:rsid w:val="000109DF"/>
    <w:rsid w:val="00030410"/>
    <w:rsid w:val="000423B1"/>
    <w:rsid w:val="000479CE"/>
    <w:rsid w:val="000922D9"/>
    <w:rsid w:val="000B163F"/>
    <w:rsid w:val="000D0D12"/>
    <w:rsid w:val="000E7F34"/>
    <w:rsid w:val="001029EE"/>
    <w:rsid w:val="00120590"/>
    <w:rsid w:val="00141DA7"/>
    <w:rsid w:val="00157172"/>
    <w:rsid w:val="00175E28"/>
    <w:rsid w:val="00181451"/>
    <w:rsid w:val="0019791F"/>
    <w:rsid w:val="001A6542"/>
    <w:rsid w:val="001B0536"/>
    <w:rsid w:val="001B6580"/>
    <w:rsid w:val="001B6820"/>
    <w:rsid w:val="001C0A37"/>
    <w:rsid w:val="001D19D0"/>
    <w:rsid w:val="001D19D1"/>
    <w:rsid w:val="001E2B25"/>
    <w:rsid w:val="001E7FD0"/>
    <w:rsid w:val="00225061"/>
    <w:rsid w:val="00283182"/>
    <w:rsid w:val="002A6D38"/>
    <w:rsid w:val="002B2B04"/>
    <w:rsid w:val="002C35E0"/>
    <w:rsid w:val="002D49A9"/>
    <w:rsid w:val="002D7A30"/>
    <w:rsid w:val="002E2311"/>
    <w:rsid w:val="002F36EE"/>
    <w:rsid w:val="00304839"/>
    <w:rsid w:val="00320681"/>
    <w:rsid w:val="003208CD"/>
    <w:rsid w:val="003429A4"/>
    <w:rsid w:val="00346A72"/>
    <w:rsid w:val="00391BCB"/>
    <w:rsid w:val="0039253B"/>
    <w:rsid w:val="003A6079"/>
    <w:rsid w:val="003C4CF5"/>
    <w:rsid w:val="003D1830"/>
    <w:rsid w:val="004118D5"/>
    <w:rsid w:val="00413077"/>
    <w:rsid w:val="004526BF"/>
    <w:rsid w:val="004715ED"/>
    <w:rsid w:val="00483AEA"/>
    <w:rsid w:val="00493E91"/>
    <w:rsid w:val="004A4F7A"/>
    <w:rsid w:val="004B0C1F"/>
    <w:rsid w:val="004C2AD9"/>
    <w:rsid w:val="004D102F"/>
    <w:rsid w:val="00500AE6"/>
    <w:rsid w:val="00513183"/>
    <w:rsid w:val="005271B4"/>
    <w:rsid w:val="00531BBD"/>
    <w:rsid w:val="00532D72"/>
    <w:rsid w:val="00543765"/>
    <w:rsid w:val="005772BF"/>
    <w:rsid w:val="00583CA3"/>
    <w:rsid w:val="005849BC"/>
    <w:rsid w:val="005B204C"/>
    <w:rsid w:val="005C0D97"/>
    <w:rsid w:val="005D7D3A"/>
    <w:rsid w:val="0062157C"/>
    <w:rsid w:val="00662935"/>
    <w:rsid w:val="00663BFC"/>
    <w:rsid w:val="00663E98"/>
    <w:rsid w:val="00664179"/>
    <w:rsid w:val="006813EC"/>
    <w:rsid w:val="006A2914"/>
    <w:rsid w:val="006A39C8"/>
    <w:rsid w:val="006B36FD"/>
    <w:rsid w:val="006C718D"/>
    <w:rsid w:val="006E7592"/>
    <w:rsid w:val="006F1FDD"/>
    <w:rsid w:val="006F399A"/>
    <w:rsid w:val="007244A4"/>
    <w:rsid w:val="00740301"/>
    <w:rsid w:val="00765480"/>
    <w:rsid w:val="00775422"/>
    <w:rsid w:val="0078528E"/>
    <w:rsid w:val="007914A5"/>
    <w:rsid w:val="00792EE9"/>
    <w:rsid w:val="007A1C6D"/>
    <w:rsid w:val="007B73AE"/>
    <w:rsid w:val="007C65D5"/>
    <w:rsid w:val="007E2CD9"/>
    <w:rsid w:val="007E7FBB"/>
    <w:rsid w:val="007F7F2A"/>
    <w:rsid w:val="008006C4"/>
    <w:rsid w:val="00814AD5"/>
    <w:rsid w:val="00821176"/>
    <w:rsid w:val="00834EB4"/>
    <w:rsid w:val="00841DB1"/>
    <w:rsid w:val="0088374B"/>
    <w:rsid w:val="008930FF"/>
    <w:rsid w:val="008A0273"/>
    <w:rsid w:val="008A3013"/>
    <w:rsid w:val="008A51FB"/>
    <w:rsid w:val="008D49D9"/>
    <w:rsid w:val="008E300D"/>
    <w:rsid w:val="008F193C"/>
    <w:rsid w:val="008F1B76"/>
    <w:rsid w:val="008F381A"/>
    <w:rsid w:val="008F3DC6"/>
    <w:rsid w:val="009405FB"/>
    <w:rsid w:val="0095528B"/>
    <w:rsid w:val="00957F8C"/>
    <w:rsid w:val="0096366B"/>
    <w:rsid w:val="009D7B2D"/>
    <w:rsid w:val="009E2E99"/>
    <w:rsid w:val="009E656F"/>
    <w:rsid w:val="009F4B11"/>
    <w:rsid w:val="009F54C7"/>
    <w:rsid w:val="00A040B0"/>
    <w:rsid w:val="00A14513"/>
    <w:rsid w:val="00A22AE8"/>
    <w:rsid w:val="00A24DB3"/>
    <w:rsid w:val="00A27148"/>
    <w:rsid w:val="00A470B5"/>
    <w:rsid w:val="00A55E7A"/>
    <w:rsid w:val="00A613DD"/>
    <w:rsid w:val="00A63751"/>
    <w:rsid w:val="00A65EDD"/>
    <w:rsid w:val="00A6754B"/>
    <w:rsid w:val="00A83A1A"/>
    <w:rsid w:val="00A83AB7"/>
    <w:rsid w:val="00AA50CC"/>
    <w:rsid w:val="00AB03A1"/>
    <w:rsid w:val="00AB7670"/>
    <w:rsid w:val="00AC577F"/>
    <w:rsid w:val="00AE20DB"/>
    <w:rsid w:val="00B072BB"/>
    <w:rsid w:val="00B204B3"/>
    <w:rsid w:val="00B20A7F"/>
    <w:rsid w:val="00B23629"/>
    <w:rsid w:val="00B3098E"/>
    <w:rsid w:val="00B53EF2"/>
    <w:rsid w:val="00B54373"/>
    <w:rsid w:val="00B5442C"/>
    <w:rsid w:val="00B63E12"/>
    <w:rsid w:val="00B7290A"/>
    <w:rsid w:val="00B76287"/>
    <w:rsid w:val="00B86037"/>
    <w:rsid w:val="00B86802"/>
    <w:rsid w:val="00B87D09"/>
    <w:rsid w:val="00BB15FE"/>
    <w:rsid w:val="00BB5FB4"/>
    <w:rsid w:val="00BF3085"/>
    <w:rsid w:val="00C046F5"/>
    <w:rsid w:val="00C21D5E"/>
    <w:rsid w:val="00C550F7"/>
    <w:rsid w:val="00C64C0D"/>
    <w:rsid w:val="00C65E68"/>
    <w:rsid w:val="00C7169B"/>
    <w:rsid w:val="00C77560"/>
    <w:rsid w:val="00CB0835"/>
    <w:rsid w:val="00CB22F5"/>
    <w:rsid w:val="00CC44BF"/>
    <w:rsid w:val="00CD1027"/>
    <w:rsid w:val="00CD17E0"/>
    <w:rsid w:val="00CF086B"/>
    <w:rsid w:val="00CF304A"/>
    <w:rsid w:val="00D021E6"/>
    <w:rsid w:val="00D0742A"/>
    <w:rsid w:val="00D10AB7"/>
    <w:rsid w:val="00D23EEE"/>
    <w:rsid w:val="00D23FE0"/>
    <w:rsid w:val="00D62202"/>
    <w:rsid w:val="00D76C1B"/>
    <w:rsid w:val="00DE4BF7"/>
    <w:rsid w:val="00E02314"/>
    <w:rsid w:val="00E052CE"/>
    <w:rsid w:val="00E26343"/>
    <w:rsid w:val="00E41FED"/>
    <w:rsid w:val="00E45831"/>
    <w:rsid w:val="00E63D2F"/>
    <w:rsid w:val="00E65B75"/>
    <w:rsid w:val="00E903D3"/>
    <w:rsid w:val="00E931A2"/>
    <w:rsid w:val="00E94060"/>
    <w:rsid w:val="00EA054D"/>
    <w:rsid w:val="00EB7136"/>
    <w:rsid w:val="00EC568B"/>
    <w:rsid w:val="00EE3345"/>
    <w:rsid w:val="00EE3EC0"/>
    <w:rsid w:val="00EF28F5"/>
    <w:rsid w:val="00F0107F"/>
    <w:rsid w:val="00F37A64"/>
    <w:rsid w:val="00F512A7"/>
    <w:rsid w:val="00F575C5"/>
    <w:rsid w:val="00F74A9A"/>
    <w:rsid w:val="00F7620A"/>
    <w:rsid w:val="00F82AD1"/>
    <w:rsid w:val="00F97375"/>
    <w:rsid w:val="00FA6AFF"/>
    <w:rsid w:val="00FB0129"/>
    <w:rsid w:val="00FC3F8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1027"/>
  </w:style>
  <w:style w:type="paragraph" w:styleId="Ttulo1">
    <w:name w:val="heading 1"/>
    <w:basedOn w:val="Normal"/>
    <w:next w:val="Normal"/>
    <w:link w:val="Ttulo1Car"/>
    <w:uiPriority w:val="9"/>
    <w:qFormat/>
    <w:rsid w:val="00AA50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AA50C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A50CC"/>
    <w:pPr>
      <w:ind w:left="720"/>
      <w:contextualSpacing/>
    </w:pPr>
    <w:rPr>
      <w:rFonts w:eastAsiaTheme="minorEastAsia"/>
      <w:lang w:eastAsia="es-ES"/>
    </w:rPr>
  </w:style>
  <w:style w:type="character" w:styleId="Hipervnculo">
    <w:name w:val="Hyperlink"/>
    <w:basedOn w:val="Fuentedeprrafopredeter"/>
    <w:uiPriority w:val="99"/>
    <w:unhideWhenUsed/>
    <w:rsid w:val="00AA50CC"/>
    <w:rPr>
      <w:color w:val="0000FF"/>
      <w:u w:val="single"/>
    </w:rPr>
  </w:style>
  <w:style w:type="paragraph" w:styleId="Textonotapie">
    <w:name w:val="footnote text"/>
    <w:basedOn w:val="Normal"/>
    <w:link w:val="TextonotapieCar"/>
    <w:uiPriority w:val="99"/>
    <w:semiHidden/>
    <w:unhideWhenUsed/>
    <w:rsid w:val="00AA50CC"/>
    <w:pPr>
      <w:spacing w:after="0" w:line="240" w:lineRule="auto"/>
    </w:pPr>
    <w:rPr>
      <w:rFonts w:eastAsiaTheme="minorEastAsia"/>
      <w:sz w:val="20"/>
      <w:szCs w:val="20"/>
      <w:lang w:eastAsia="es-ES"/>
    </w:rPr>
  </w:style>
  <w:style w:type="character" w:customStyle="1" w:styleId="TextonotapieCar">
    <w:name w:val="Texto nota pie Car"/>
    <w:basedOn w:val="Fuentedeprrafopredeter"/>
    <w:link w:val="Textonotapie"/>
    <w:uiPriority w:val="99"/>
    <w:semiHidden/>
    <w:rsid w:val="00AA50CC"/>
    <w:rPr>
      <w:rFonts w:eastAsiaTheme="minorEastAsia"/>
      <w:sz w:val="20"/>
      <w:szCs w:val="20"/>
      <w:lang w:eastAsia="es-ES"/>
    </w:rPr>
  </w:style>
  <w:style w:type="character" w:styleId="Refdenotaalpie">
    <w:name w:val="footnote reference"/>
    <w:basedOn w:val="Fuentedeprrafopredeter"/>
    <w:uiPriority w:val="99"/>
    <w:semiHidden/>
    <w:unhideWhenUsed/>
    <w:rsid w:val="00AA50CC"/>
    <w:rPr>
      <w:vertAlign w:val="superscript"/>
    </w:rPr>
  </w:style>
  <w:style w:type="paragraph" w:styleId="Ttulo">
    <w:name w:val="Title"/>
    <w:basedOn w:val="Normal"/>
    <w:next w:val="Normal"/>
    <w:link w:val="TtuloCar"/>
    <w:uiPriority w:val="10"/>
    <w:qFormat/>
    <w:rsid w:val="00AA50C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
    <w:name w:val="Título Car"/>
    <w:basedOn w:val="Fuentedeprrafopredeter"/>
    <w:link w:val="Ttulo"/>
    <w:uiPriority w:val="10"/>
    <w:rsid w:val="00AA50CC"/>
    <w:rPr>
      <w:rFonts w:asciiTheme="majorHAnsi" w:eastAsiaTheme="majorEastAsia" w:hAnsiTheme="majorHAnsi" w:cstheme="majorBidi"/>
      <w:color w:val="17365D" w:themeColor="text2" w:themeShade="BF"/>
      <w:spacing w:val="5"/>
      <w:kern w:val="28"/>
      <w:sz w:val="52"/>
      <w:szCs w:val="52"/>
      <w:lang w:eastAsia="es-ES"/>
    </w:rPr>
  </w:style>
  <w:style w:type="paragraph" w:styleId="Textodeglobo">
    <w:name w:val="Balloon Text"/>
    <w:basedOn w:val="Normal"/>
    <w:link w:val="TextodegloboCar"/>
    <w:uiPriority w:val="99"/>
    <w:semiHidden/>
    <w:unhideWhenUsed/>
    <w:rsid w:val="00AA50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A50CC"/>
    <w:rPr>
      <w:rFonts w:ascii="Tahoma" w:hAnsi="Tahoma" w:cs="Tahoma"/>
      <w:sz w:val="16"/>
      <w:szCs w:val="16"/>
    </w:rPr>
  </w:style>
  <w:style w:type="paragraph" w:styleId="Encabezado">
    <w:name w:val="header"/>
    <w:basedOn w:val="Normal"/>
    <w:link w:val="EncabezadoCar"/>
    <w:uiPriority w:val="99"/>
    <w:unhideWhenUsed/>
    <w:rsid w:val="00AA50C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A50CC"/>
  </w:style>
  <w:style w:type="paragraph" w:styleId="Piedepgina">
    <w:name w:val="footer"/>
    <w:basedOn w:val="Normal"/>
    <w:link w:val="PiedepginaCar"/>
    <w:uiPriority w:val="99"/>
    <w:unhideWhenUsed/>
    <w:rsid w:val="00AA50C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A50CC"/>
  </w:style>
  <w:style w:type="character" w:customStyle="1" w:styleId="Ttulo1Car">
    <w:name w:val="Título 1 Car"/>
    <w:basedOn w:val="Fuentedeprrafopredeter"/>
    <w:link w:val="Ttulo1"/>
    <w:uiPriority w:val="9"/>
    <w:rsid w:val="00AA50CC"/>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AA50CC"/>
    <w:rPr>
      <w:rFonts w:asciiTheme="majorHAnsi" w:eastAsiaTheme="majorEastAsia" w:hAnsiTheme="majorHAnsi" w:cstheme="majorBidi"/>
      <w:b/>
      <w:bCs/>
      <w:color w:val="4F81BD" w:themeColor="accent1"/>
      <w:sz w:val="26"/>
      <w:szCs w:val="26"/>
    </w:rPr>
  </w:style>
  <w:style w:type="character" w:customStyle="1" w:styleId="texto">
    <w:name w:val="texto"/>
    <w:rsid w:val="00543765"/>
  </w:style>
  <w:style w:type="character" w:customStyle="1" w:styleId="hps">
    <w:name w:val="hps"/>
    <w:basedOn w:val="Fuentedeprrafopredeter"/>
    <w:rsid w:val="00957F8C"/>
  </w:style>
  <w:style w:type="character" w:styleId="nfasis">
    <w:name w:val="Emphasis"/>
    <w:basedOn w:val="Fuentedeprrafopredeter"/>
    <w:uiPriority w:val="20"/>
    <w:qFormat/>
    <w:rsid w:val="00C7756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AA50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AA50C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A50CC"/>
    <w:pPr>
      <w:ind w:left="720"/>
      <w:contextualSpacing/>
    </w:pPr>
    <w:rPr>
      <w:rFonts w:eastAsiaTheme="minorEastAsia"/>
      <w:lang w:eastAsia="es-ES"/>
    </w:rPr>
  </w:style>
  <w:style w:type="character" w:styleId="Hipervnculo">
    <w:name w:val="Hyperlink"/>
    <w:basedOn w:val="Fuentedeprrafopredeter"/>
    <w:uiPriority w:val="99"/>
    <w:unhideWhenUsed/>
    <w:rsid w:val="00AA50CC"/>
    <w:rPr>
      <w:color w:val="0000FF"/>
      <w:u w:val="single"/>
    </w:rPr>
  </w:style>
  <w:style w:type="paragraph" w:styleId="Textonotapie">
    <w:name w:val="footnote text"/>
    <w:basedOn w:val="Normal"/>
    <w:link w:val="TextonotapieCar"/>
    <w:uiPriority w:val="99"/>
    <w:semiHidden/>
    <w:unhideWhenUsed/>
    <w:rsid w:val="00AA50CC"/>
    <w:pPr>
      <w:spacing w:after="0" w:line="240" w:lineRule="auto"/>
    </w:pPr>
    <w:rPr>
      <w:rFonts w:eastAsiaTheme="minorEastAsia"/>
      <w:sz w:val="20"/>
      <w:szCs w:val="20"/>
      <w:lang w:eastAsia="es-ES"/>
    </w:rPr>
  </w:style>
  <w:style w:type="character" w:customStyle="1" w:styleId="TextonotapieCar">
    <w:name w:val="Texto nota pie Car"/>
    <w:basedOn w:val="Fuentedeprrafopredeter"/>
    <w:link w:val="Textonotapie"/>
    <w:uiPriority w:val="99"/>
    <w:semiHidden/>
    <w:rsid w:val="00AA50CC"/>
    <w:rPr>
      <w:rFonts w:eastAsiaTheme="minorEastAsia"/>
      <w:sz w:val="20"/>
      <w:szCs w:val="20"/>
      <w:lang w:eastAsia="es-ES"/>
    </w:rPr>
  </w:style>
  <w:style w:type="character" w:styleId="Refdenotaalpie">
    <w:name w:val="footnote reference"/>
    <w:basedOn w:val="Fuentedeprrafopredeter"/>
    <w:uiPriority w:val="99"/>
    <w:semiHidden/>
    <w:unhideWhenUsed/>
    <w:rsid w:val="00AA50CC"/>
    <w:rPr>
      <w:vertAlign w:val="superscript"/>
    </w:rPr>
  </w:style>
  <w:style w:type="paragraph" w:styleId="Ttulo">
    <w:name w:val="Title"/>
    <w:basedOn w:val="Normal"/>
    <w:next w:val="Normal"/>
    <w:link w:val="TtuloCar"/>
    <w:uiPriority w:val="10"/>
    <w:qFormat/>
    <w:rsid w:val="00AA50C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
    <w:name w:val="Título Car"/>
    <w:basedOn w:val="Fuentedeprrafopredeter"/>
    <w:link w:val="Ttulo"/>
    <w:uiPriority w:val="10"/>
    <w:rsid w:val="00AA50CC"/>
    <w:rPr>
      <w:rFonts w:asciiTheme="majorHAnsi" w:eastAsiaTheme="majorEastAsia" w:hAnsiTheme="majorHAnsi" w:cstheme="majorBidi"/>
      <w:color w:val="17365D" w:themeColor="text2" w:themeShade="BF"/>
      <w:spacing w:val="5"/>
      <w:kern w:val="28"/>
      <w:sz w:val="52"/>
      <w:szCs w:val="52"/>
      <w:lang w:eastAsia="es-ES"/>
    </w:rPr>
  </w:style>
  <w:style w:type="paragraph" w:styleId="Textodeglobo">
    <w:name w:val="Balloon Text"/>
    <w:basedOn w:val="Normal"/>
    <w:link w:val="TextodegloboCar"/>
    <w:uiPriority w:val="99"/>
    <w:semiHidden/>
    <w:unhideWhenUsed/>
    <w:rsid w:val="00AA50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A50CC"/>
    <w:rPr>
      <w:rFonts w:ascii="Tahoma" w:hAnsi="Tahoma" w:cs="Tahoma"/>
      <w:sz w:val="16"/>
      <w:szCs w:val="16"/>
    </w:rPr>
  </w:style>
  <w:style w:type="paragraph" w:styleId="Encabezado">
    <w:name w:val="header"/>
    <w:basedOn w:val="Normal"/>
    <w:link w:val="EncabezadoCar"/>
    <w:uiPriority w:val="99"/>
    <w:unhideWhenUsed/>
    <w:rsid w:val="00AA50C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A50CC"/>
  </w:style>
  <w:style w:type="paragraph" w:styleId="Piedepgina">
    <w:name w:val="footer"/>
    <w:basedOn w:val="Normal"/>
    <w:link w:val="PiedepginaCar"/>
    <w:uiPriority w:val="99"/>
    <w:unhideWhenUsed/>
    <w:rsid w:val="00AA50C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A50CC"/>
  </w:style>
  <w:style w:type="character" w:customStyle="1" w:styleId="Ttulo1Car">
    <w:name w:val="Título 1 Car"/>
    <w:basedOn w:val="Fuentedeprrafopredeter"/>
    <w:link w:val="Ttulo1"/>
    <w:uiPriority w:val="9"/>
    <w:rsid w:val="00AA50CC"/>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AA50CC"/>
    <w:rPr>
      <w:rFonts w:asciiTheme="majorHAnsi" w:eastAsiaTheme="majorEastAsia" w:hAnsiTheme="majorHAnsi" w:cstheme="majorBidi"/>
      <w:b/>
      <w:bCs/>
      <w:color w:val="4F81BD" w:themeColor="accent1"/>
      <w:sz w:val="26"/>
      <w:szCs w:val="26"/>
    </w:rPr>
  </w:style>
  <w:style w:type="character" w:customStyle="1" w:styleId="texto">
    <w:name w:val="texto"/>
    <w:rsid w:val="00543765"/>
  </w:style>
</w:styles>
</file>

<file path=word/webSettings.xml><?xml version="1.0" encoding="utf-8"?>
<w:webSettings xmlns:r="http://schemas.openxmlformats.org/officeDocument/2006/relationships" xmlns:w="http://schemas.openxmlformats.org/wordprocessingml/2006/main">
  <w:divs>
    <w:div w:id="616373238">
      <w:bodyDiv w:val="1"/>
      <w:marLeft w:val="0"/>
      <w:marRight w:val="0"/>
      <w:marTop w:val="0"/>
      <w:marBottom w:val="0"/>
      <w:divBdr>
        <w:top w:val="none" w:sz="0" w:space="0" w:color="auto"/>
        <w:left w:val="none" w:sz="0" w:space="0" w:color="auto"/>
        <w:bottom w:val="none" w:sz="0" w:space="0" w:color="auto"/>
        <w:right w:val="none" w:sz="0" w:space="0" w:color="auto"/>
      </w:divBdr>
    </w:div>
    <w:div w:id="630482431">
      <w:bodyDiv w:val="1"/>
      <w:marLeft w:val="0"/>
      <w:marRight w:val="0"/>
      <w:marTop w:val="0"/>
      <w:marBottom w:val="0"/>
      <w:divBdr>
        <w:top w:val="none" w:sz="0" w:space="0" w:color="auto"/>
        <w:left w:val="none" w:sz="0" w:space="0" w:color="auto"/>
        <w:bottom w:val="none" w:sz="0" w:space="0" w:color="auto"/>
        <w:right w:val="none" w:sz="0" w:space="0" w:color="auto"/>
      </w:divBdr>
      <w:divsChild>
        <w:div w:id="993609936">
          <w:marLeft w:val="0"/>
          <w:marRight w:val="0"/>
          <w:marTop w:val="0"/>
          <w:marBottom w:val="0"/>
          <w:divBdr>
            <w:top w:val="none" w:sz="0" w:space="0" w:color="auto"/>
            <w:left w:val="none" w:sz="0" w:space="0" w:color="auto"/>
            <w:bottom w:val="none" w:sz="0" w:space="0" w:color="auto"/>
            <w:right w:val="none" w:sz="0" w:space="0" w:color="auto"/>
          </w:divBdr>
        </w:div>
        <w:div w:id="2137792963">
          <w:marLeft w:val="0"/>
          <w:marRight w:val="0"/>
          <w:marTop w:val="0"/>
          <w:marBottom w:val="0"/>
          <w:divBdr>
            <w:top w:val="none" w:sz="0" w:space="0" w:color="auto"/>
            <w:left w:val="none" w:sz="0" w:space="0" w:color="auto"/>
            <w:bottom w:val="none" w:sz="0" w:space="0" w:color="auto"/>
            <w:right w:val="none" w:sz="0" w:space="0" w:color="auto"/>
          </w:divBdr>
        </w:div>
        <w:div w:id="1063679794">
          <w:marLeft w:val="0"/>
          <w:marRight w:val="0"/>
          <w:marTop w:val="0"/>
          <w:marBottom w:val="0"/>
          <w:divBdr>
            <w:top w:val="none" w:sz="0" w:space="0" w:color="auto"/>
            <w:left w:val="none" w:sz="0" w:space="0" w:color="auto"/>
            <w:bottom w:val="none" w:sz="0" w:space="0" w:color="auto"/>
            <w:right w:val="none" w:sz="0" w:space="0" w:color="auto"/>
          </w:divBdr>
        </w:div>
        <w:div w:id="1706447931">
          <w:marLeft w:val="0"/>
          <w:marRight w:val="0"/>
          <w:marTop w:val="0"/>
          <w:marBottom w:val="0"/>
          <w:divBdr>
            <w:top w:val="none" w:sz="0" w:space="0" w:color="auto"/>
            <w:left w:val="none" w:sz="0" w:space="0" w:color="auto"/>
            <w:bottom w:val="none" w:sz="0" w:space="0" w:color="auto"/>
            <w:right w:val="none" w:sz="0" w:space="0" w:color="auto"/>
          </w:divBdr>
        </w:div>
        <w:div w:id="263732107">
          <w:marLeft w:val="0"/>
          <w:marRight w:val="0"/>
          <w:marTop w:val="0"/>
          <w:marBottom w:val="0"/>
          <w:divBdr>
            <w:top w:val="none" w:sz="0" w:space="0" w:color="auto"/>
            <w:left w:val="none" w:sz="0" w:space="0" w:color="auto"/>
            <w:bottom w:val="none" w:sz="0" w:space="0" w:color="auto"/>
            <w:right w:val="none" w:sz="0" w:space="0" w:color="auto"/>
          </w:divBdr>
        </w:div>
        <w:div w:id="1817333992">
          <w:marLeft w:val="0"/>
          <w:marRight w:val="0"/>
          <w:marTop w:val="0"/>
          <w:marBottom w:val="0"/>
          <w:divBdr>
            <w:top w:val="none" w:sz="0" w:space="0" w:color="auto"/>
            <w:left w:val="none" w:sz="0" w:space="0" w:color="auto"/>
            <w:bottom w:val="none" w:sz="0" w:space="0" w:color="auto"/>
            <w:right w:val="none" w:sz="0" w:space="0" w:color="auto"/>
          </w:divBdr>
        </w:div>
        <w:div w:id="2006666865">
          <w:marLeft w:val="0"/>
          <w:marRight w:val="0"/>
          <w:marTop w:val="0"/>
          <w:marBottom w:val="0"/>
          <w:divBdr>
            <w:top w:val="none" w:sz="0" w:space="0" w:color="auto"/>
            <w:left w:val="none" w:sz="0" w:space="0" w:color="auto"/>
            <w:bottom w:val="none" w:sz="0" w:space="0" w:color="auto"/>
            <w:right w:val="none" w:sz="0" w:space="0" w:color="auto"/>
          </w:divBdr>
        </w:div>
        <w:div w:id="1877159260">
          <w:marLeft w:val="0"/>
          <w:marRight w:val="0"/>
          <w:marTop w:val="0"/>
          <w:marBottom w:val="0"/>
          <w:divBdr>
            <w:top w:val="none" w:sz="0" w:space="0" w:color="auto"/>
            <w:left w:val="none" w:sz="0" w:space="0" w:color="auto"/>
            <w:bottom w:val="none" w:sz="0" w:space="0" w:color="auto"/>
            <w:right w:val="none" w:sz="0" w:space="0" w:color="auto"/>
          </w:divBdr>
        </w:div>
        <w:div w:id="1171800792">
          <w:marLeft w:val="0"/>
          <w:marRight w:val="0"/>
          <w:marTop w:val="0"/>
          <w:marBottom w:val="0"/>
          <w:divBdr>
            <w:top w:val="none" w:sz="0" w:space="0" w:color="auto"/>
            <w:left w:val="none" w:sz="0" w:space="0" w:color="auto"/>
            <w:bottom w:val="none" w:sz="0" w:space="0" w:color="auto"/>
            <w:right w:val="none" w:sz="0" w:space="0" w:color="auto"/>
          </w:divBdr>
        </w:div>
        <w:div w:id="1790583616">
          <w:marLeft w:val="0"/>
          <w:marRight w:val="0"/>
          <w:marTop w:val="0"/>
          <w:marBottom w:val="0"/>
          <w:divBdr>
            <w:top w:val="none" w:sz="0" w:space="0" w:color="auto"/>
            <w:left w:val="none" w:sz="0" w:space="0" w:color="auto"/>
            <w:bottom w:val="none" w:sz="0" w:space="0" w:color="auto"/>
            <w:right w:val="none" w:sz="0" w:space="0" w:color="auto"/>
          </w:divBdr>
        </w:div>
        <w:div w:id="1342125304">
          <w:marLeft w:val="0"/>
          <w:marRight w:val="0"/>
          <w:marTop w:val="0"/>
          <w:marBottom w:val="0"/>
          <w:divBdr>
            <w:top w:val="none" w:sz="0" w:space="0" w:color="auto"/>
            <w:left w:val="none" w:sz="0" w:space="0" w:color="auto"/>
            <w:bottom w:val="none" w:sz="0" w:space="0" w:color="auto"/>
            <w:right w:val="none" w:sz="0" w:space="0" w:color="auto"/>
          </w:divBdr>
        </w:div>
        <w:div w:id="328798811">
          <w:marLeft w:val="0"/>
          <w:marRight w:val="0"/>
          <w:marTop w:val="0"/>
          <w:marBottom w:val="0"/>
          <w:divBdr>
            <w:top w:val="none" w:sz="0" w:space="0" w:color="auto"/>
            <w:left w:val="none" w:sz="0" w:space="0" w:color="auto"/>
            <w:bottom w:val="none" w:sz="0" w:space="0" w:color="auto"/>
            <w:right w:val="none" w:sz="0" w:space="0" w:color="auto"/>
          </w:divBdr>
        </w:div>
        <w:div w:id="817765799">
          <w:marLeft w:val="0"/>
          <w:marRight w:val="0"/>
          <w:marTop w:val="0"/>
          <w:marBottom w:val="0"/>
          <w:divBdr>
            <w:top w:val="none" w:sz="0" w:space="0" w:color="auto"/>
            <w:left w:val="none" w:sz="0" w:space="0" w:color="auto"/>
            <w:bottom w:val="none" w:sz="0" w:space="0" w:color="auto"/>
            <w:right w:val="none" w:sz="0" w:space="0" w:color="auto"/>
          </w:divBdr>
        </w:div>
      </w:divsChild>
    </w:div>
    <w:div w:id="1685742784">
      <w:bodyDiv w:val="1"/>
      <w:marLeft w:val="0"/>
      <w:marRight w:val="0"/>
      <w:marTop w:val="0"/>
      <w:marBottom w:val="0"/>
      <w:divBdr>
        <w:top w:val="none" w:sz="0" w:space="0" w:color="auto"/>
        <w:left w:val="none" w:sz="0" w:space="0" w:color="auto"/>
        <w:bottom w:val="none" w:sz="0" w:space="0" w:color="auto"/>
        <w:right w:val="none" w:sz="0" w:space="0" w:color="auto"/>
      </w:divBdr>
      <w:divsChild>
        <w:div w:id="189028464">
          <w:marLeft w:val="0"/>
          <w:marRight w:val="0"/>
          <w:marTop w:val="0"/>
          <w:marBottom w:val="0"/>
          <w:divBdr>
            <w:top w:val="none" w:sz="0" w:space="0" w:color="auto"/>
            <w:left w:val="none" w:sz="0" w:space="0" w:color="auto"/>
            <w:bottom w:val="none" w:sz="0" w:space="0" w:color="auto"/>
            <w:right w:val="none" w:sz="0" w:space="0" w:color="auto"/>
          </w:divBdr>
          <w:divsChild>
            <w:div w:id="2115050685">
              <w:marLeft w:val="0"/>
              <w:marRight w:val="0"/>
              <w:marTop w:val="0"/>
              <w:marBottom w:val="0"/>
              <w:divBdr>
                <w:top w:val="none" w:sz="0" w:space="0" w:color="auto"/>
                <w:left w:val="none" w:sz="0" w:space="0" w:color="auto"/>
                <w:bottom w:val="none" w:sz="0" w:space="0" w:color="auto"/>
                <w:right w:val="none" w:sz="0" w:space="0" w:color="auto"/>
              </w:divBdr>
              <w:divsChild>
                <w:div w:id="1364096006">
                  <w:marLeft w:val="0"/>
                  <w:marRight w:val="0"/>
                  <w:marTop w:val="0"/>
                  <w:marBottom w:val="0"/>
                  <w:divBdr>
                    <w:top w:val="none" w:sz="0" w:space="0" w:color="auto"/>
                    <w:left w:val="none" w:sz="0" w:space="0" w:color="auto"/>
                    <w:bottom w:val="none" w:sz="0" w:space="0" w:color="auto"/>
                    <w:right w:val="none" w:sz="0" w:space="0" w:color="auto"/>
                  </w:divBdr>
                  <w:divsChild>
                    <w:div w:id="1758936581">
                      <w:marLeft w:val="0"/>
                      <w:marRight w:val="0"/>
                      <w:marTop w:val="0"/>
                      <w:marBottom w:val="0"/>
                      <w:divBdr>
                        <w:top w:val="none" w:sz="0" w:space="0" w:color="auto"/>
                        <w:left w:val="none" w:sz="0" w:space="0" w:color="auto"/>
                        <w:bottom w:val="none" w:sz="0" w:space="0" w:color="auto"/>
                        <w:right w:val="none" w:sz="0" w:space="0" w:color="auto"/>
                      </w:divBdr>
                      <w:divsChild>
                        <w:div w:id="1931499645">
                          <w:marLeft w:val="0"/>
                          <w:marRight w:val="0"/>
                          <w:marTop w:val="0"/>
                          <w:marBottom w:val="0"/>
                          <w:divBdr>
                            <w:top w:val="none" w:sz="0" w:space="0" w:color="auto"/>
                            <w:left w:val="none" w:sz="0" w:space="0" w:color="auto"/>
                            <w:bottom w:val="none" w:sz="0" w:space="0" w:color="auto"/>
                            <w:right w:val="none" w:sz="0" w:space="0" w:color="auto"/>
                          </w:divBdr>
                          <w:divsChild>
                            <w:div w:id="189732205">
                              <w:marLeft w:val="450"/>
                              <w:marRight w:val="0"/>
                              <w:marTop w:val="0"/>
                              <w:marBottom w:val="0"/>
                              <w:divBdr>
                                <w:top w:val="none" w:sz="0" w:space="0" w:color="auto"/>
                                <w:left w:val="none" w:sz="0" w:space="0" w:color="auto"/>
                                <w:bottom w:val="none" w:sz="0" w:space="0" w:color="auto"/>
                                <w:right w:val="none" w:sz="0" w:space="0" w:color="auto"/>
                              </w:divBdr>
                            </w:div>
                          </w:divsChild>
                        </w:div>
                        <w:div w:id="1798907918">
                          <w:marLeft w:val="0"/>
                          <w:marRight w:val="0"/>
                          <w:marTop w:val="0"/>
                          <w:marBottom w:val="0"/>
                          <w:divBdr>
                            <w:top w:val="none" w:sz="0" w:space="0" w:color="auto"/>
                            <w:left w:val="none" w:sz="0" w:space="0" w:color="auto"/>
                            <w:bottom w:val="none" w:sz="0" w:space="0" w:color="auto"/>
                            <w:right w:val="none" w:sz="0" w:space="0" w:color="auto"/>
                          </w:divBdr>
                        </w:div>
                        <w:div w:id="119645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1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dialnet.unirioja.es/servlet/autor?codigo=2420107"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hart" Target="charts/chart1.xml"/><Relationship Id="rId12" Type="http://schemas.openxmlformats.org/officeDocument/2006/relationships/hyperlink" Target="http://dialnet.unirioja.es/servlet/autor?codigo=101628"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jstor.org/pss/116895" TargetMode="External"/><Relationship Id="rId20"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hyperlink" Target="http://dialnet.unirioja.es/servlet/revista?codigo=2177" TargetMode="External"/><Relationship Id="rId10" Type="http://schemas.openxmlformats.org/officeDocument/2006/relationships/hyperlink" Target="http://dialnet.unirioja.es/servlet/autor?codigo=2420107"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dialnet.unirioja.es/servlet/autor?codigo=101628" TargetMode="External"/><Relationship Id="rId14" Type="http://schemas.openxmlformats.org/officeDocument/2006/relationships/hyperlink" Target="http://dialnet.unirioja.es/servlet/revista?codigo=2177" TargetMode="External"/><Relationship Id="rId22" Type="http://schemas.microsoft.com/office/2007/relationships/stylesWithEffects" Target="stylesWithEffects.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Documents%20and%20Settings\Jose%20Antonio\Escritorio\produccion%20petroleo%20america%20central%20y%20del%20sur%20(Thousand_Barrels_Per_Day).xls"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Raquel\Desktop\Argentina%20_%20Gas%20Naturales-%20EIA.xls"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Libro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ES"/>
  <c:style val="9"/>
  <c:chart>
    <c:title>
      <c:tx>
        <c:rich>
          <a:bodyPr/>
          <a:lstStyle/>
          <a:p>
            <a:pPr>
              <a:defRPr sz="1200"/>
            </a:pPr>
            <a:r>
              <a:rPr lang="es-ES" sz="1200"/>
              <a:t>Principales productores de petróleo </a:t>
            </a:r>
          </a:p>
          <a:p>
            <a:pPr>
              <a:defRPr sz="1200"/>
            </a:pPr>
            <a:r>
              <a:rPr lang="es-ES" sz="1200"/>
              <a:t>de América latina y centroamérica. 2010</a:t>
            </a:r>
          </a:p>
        </c:rich>
      </c:tx>
    </c:title>
    <c:plotArea>
      <c:layout>
        <c:manualLayout>
          <c:layoutTarget val="inner"/>
          <c:xMode val="edge"/>
          <c:yMode val="edge"/>
          <c:x val="0.30565055912141048"/>
          <c:y val="0.25810593909235735"/>
          <c:w val="0.39544424312619347"/>
          <c:h val="0.60908678894589352"/>
        </c:manualLayout>
      </c:layout>
      <c:pieChart>
        <c:varyColors val="1"/>
        <c:ser>
          <c:idx val="0"/>
          <c:order val="0"/>
          <c:dLbls>
            <c:dLbl>
              <c:idx val="0"/>
              <c:layout>
                <c:manualLayout>
                  <c:x val="-1.6329439908390603E-2"/>
                  <c:y val="-1.1101336578017781E-2"/>
                </c:manualLayout>
              </c:layout>
              <c:showCatName val="1"/>
              <c:showPercent val="1"/>
            </c:dLbl>
            <c:dLbl>
              <c:idx val="1"/>
              <c:layout>
                <c:manualLayout>
                  <c:x val="0.13252698847426694"/>
                  <c:y val="-3.6563213103517012E-2"/>
                </c:manualLayout>
              </c:layout>
              <c:showCatName val="1"/>
              <c:showPercent val="1"/>
            </c:dLbl>
            <c:dLbl>
              <c:idx val="2"/>
              <c:layout>
                <c:manualLayout>
                  <c:x val="1.3581369064037948E-2"/>
                  <c:y val="-1.3711170719044877E-2"/>
                </c:manualLayout>
              </c:layout>
              <c:showCatName val="1"/>
              <c:showPercent val="1"/>
            </c:dLbl>
            <c:dLbl>
              <c:idx val="3"/>
              <c:layout>
                <c:manualLayout>
                  <c:x val="-1.9211001631279927E-3"/>
                  <c:y val="5.8694419229767897E-2"/>
                </c:manualLayout>
              </c:layout>
              <c:showCatName val="1"/>
              <c:showPercent val="1"/>
            </c:dLbl>
            <c:dLbl>
              <c:idx val="5"/>
              <c:layout>
                <c:manualLayout>
                  <c:x val="2.4791770163407802E-2"/>
                  <c:y val="1.9970292175016585E-2"/>
                </c:manualLayout>
              </c:layout>
              <c:showCatName val="1"/>
              <c:showPercent val="1"/>
            </c:dLbl>
            <c:txPr>
              <a:bodyPr/>
              <a:lstStyle/>
              <a:p>
                <a:pPr>
                  <a:defRPr sz="800"/>
                </a:pPr>
                <a:endParaRPr lang="es-ES"/>
              </a:p>
            </c:txPr>
            <c:showCatName val="1"/>
            <c:showPercent val="1"/>
            <c:showLeaderLines val="1"/>
          </c:dLbls>
          <c:cat>
            <c:strRef>
              <c:f>Hoja1!$J$9:$J$14</c:f>
              <c:strCache>
                <c:ptCount val="6"/>
                <c:pt idx="0">
                  <c:v>Brasil</c:v>
                </c:pt>
                <c:pt idx="1">
                  <c:v>Venezuela</c:v>
                </c:pt>
                <c:pt idx="2">
                  <c:v>Colombia</c:v>
                </c:pt>
                <c:pt idx="3">
                  <c:v>Argentina</c:v>
                </c:pt>
                <c:pt idx="4">
                  <c:v>Ecuador</c:v>
                </c:pt>
                <c:pt idx="5">
                  <c:v>Otros</c:v>
                </c:pt>
              </c:strCache>
            </c:strRef>
          </c:cat>
          <c:val>
            <c:numRef>
              <c:f>Hoja1!$K$9:$K$14</c:f>
              <c:numCache>
                <c:formatCode>General</c:formatCode>
                <c:ptCount val="6"/>
                <c:pt idx="0">
                  <c:v>2718.8037400000012</c:v>
                </c:pt>
                <c:pt idx="1">
                  <c:v>2374.9543300000187</c:v>
                </c:pt>
                <c:pt idx="2">
                  <c:v>800.41481999999996</c:v>
                </c:pt>
                <c:pt idx="3">
                  <c:v>759.62081999999998</c:v>
                </c:pt>
                <c:pt idx="4">
                  <c:v>485.59319999999684</c:v>
                </c:pt>
                <c:pt idx="5">
                  <c:v>470.23986000000002</c:v>
                </c:pt>
              </c:numCache>
            </c:numRef>
          </c:val>
        </c:ser>
        <c:dLbls>
          <c:showCatName val="1"/>
          <c:showPercent val="1"/>
        </c:dLbls>
        <c:firstSliceAng val="0"/>
      </c:pieChart>
    </c:plotArea>
    <c:plotVisOnly val="1"/>
    <c:dispBlanksAs val="zero"/>
  </c:chart>
  <c:externalData r:id="rId1"/>
  <c:userShapes r:id="rId2"/>
</c:chartSpace>
</file>

<file path=word/charts/chart2.xml><?xml version="1.0" encoding="utf-8"?>
<c:chartSpace xmlns:c="http://schemas.openxmlformats.org/drawingml/2006/chart" xmlns:a="http://schemas.openxmlformats.org/drawingml/2006/main" xmlns:r="http://schemas.openxmlformats.org/officeDocument/2006/relationships">
  <c:lang val="es-ES"/>
  <c:style val="9"/>
  <c:chart>
    <c:plotArea>
      <c:layout>
        <c:manualLayout>
          <c:layoutTarget val="inner"/>
          <c:xMode val="edge"/>
          <c:yMode val="edge"/>
          <c:x val="8.1909886264216997E-2"/>
          <c:y val="0.1532524059492564"/>
          <c:w val="0.88337270341207352"/>
          <c:h val="0.64280475357247935"/>
        </c:manualLayout>
      </c:layout>
      <c:lineChart>
        <c:grouping val="standard"/>
        <c:ser>
          <c:idx val="0"/>
          <c:order val="0"/>
          <c:marker>
            <c:symbol val="none"/>
          </c:marker>
          <c:cat>
            <c:numRef>
              <c:f>Importaciones!$M$3:$AG$3</c:f>
              <c:numCache>
                <c:formatCode>General</c:formatCode>
                <c:ptCount val="21"/>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numCache>
            </c:numRef>
          </c:cat>
          <c:val>
            <c:numRef>
              <c:f>Importaciones!$M$4:$AG$4</c:f>
              <c:numCache>
                <c:formatCode>General</c:formatCode>
                <c:ptCount val="21"/>
                <c:pt idx="0">
                  <c:v>86.52</c:v>
                </c:pt>
                <c:pt idx="1">
                  <c:v>76.989999999999995</c:v>
                </c:pt>
                <c:pt idx="2">
                  <c:v>77.69</c:v>
                </c:pt>
                <c:pt idx="3">
                  <c:v>73.10199999999999</c:v>
                </c:pt>
                <c:pt idx="4">
                  <c:v>69.92</c:v>
                </c:pt>
                <c:pt idx="5">
                  <c:v>69.92</c:v>
                </c:pt>
                <c:pt idx="6">
                  <c:v>72.042599999999993</c:v>
                </c:pt>
                <c:pt idx="7">
                  <c:v>64.626449999999949</c:v>
                </c:pt>
                <c:pt idx="8">
                  <c:v>76.2804</c:v>
                </c:pt>
                <c:pt idx="9">
                  <c:v>42.378</c:v>
                </c:pt>
                <c:pt idx="10">
                  <c:v>44.047609388157738</c:v>
                </c:pt>
                <c:pt idx="11">
                  <c:v>43.249878802460522</c:v>
                </c:pt>
                <c:pt idx="12">
                  <c:v>37.578418216523168</c:v>
                </c:pt>
                <c:pt idx="13">
                  <c:v>34.687940596203035</c:v>
                </c:pt>
                <c:pt idx="14">
                  <c:v>28.251999999999999</c:v>
                </c:pt>
                <c:pt idx="15">
                  <c:v>61.448100000000011</c:v>
                </c:pt>
                <c:pt idx="16">
                  <c:v>63.567</c:v>
                </c:pt>
                <c:pt idx="17">
                  <c:v>59.3292</c:v>
                </c:pt>
                <c:pt idx="18">
                  <c:v>45.909500000000001</c:v>
                </c:pt>
                <c:pt idx="19">
                  <c:v>93.937900000000027</c:v>
                </c:pt>
                <c:pt idx="20">
                  <c:v>127.48715000000053</c:v>
                </c:pt>
              </c:numCache>
            </c:numRef>
          </c:val>
        </c:ser>
        <c:marker val="1"/>
        <c:axId val="135387392"/>
        <c:axId val="135422720"/>
      </c:lineChart>
      <c:catAx>
        <c:axId val="135387392"/>
        <c:scaling>
          <c:orientation val="minMax"/>
        </c:scaling>
        <c:axPos val="b"/>
        <c:numFmt formatCode="General" sourceLinked="1"/>
        <c:tickLblPos val="nextTo"/>
        <c:crossAx val="135422720"/>
        <c:crosses val="autoZero"/>
        <c:auto val="1"/>
        <c:lblAlgn val="ctr"/>
        <c:lblOffset val="100"/>
        <c:tickLblSkip val="1"/>
        <c:tickMarkSkip val="1990"/>
      </c:catAx>
      <c:valAx>
        <c:axId val="135422720"/>
        <c:scaling>
          <c:orientation val="minMax"/>
          <c:max val="130"/>
          <c:min val="20"/>
        </c:scaling>
        <c:axPos val="l"/>
        <c:majorGridlines/>
        <c:numFmt formatCode="General" sourceLinked="1"/>
        <c:tickLblPos val="nextTo"/>
        <c:crossAx val="135387392"/>
        <c:crosses val="autoZero"/>
        <c:crossBetween val="between"/>
      </c:valAx>
    </c:plotArea>
    <c:plotVisOnly val="1"/>
    <c:dispBlanksAs val="gap"/>
  </c:chart>
  <c:externalData r:id="rId1"/>
  <c:userShapes r:id="rId2"/>
</c:chartSpace>
</file>

<file path=word/charts/chart3.xml><?xml version="1.0" encoding="utf-8"?>
<c:chartSpace xmlns:c="http://schemas.openxmlformats.org/drawingml/2006/chart" xmlns:a="http://schemas.openxmlformats.org/drawingml/2006/main" xmlns:r="http://schemas.openxmlformats.org/officeDocument/2006/relationships">
  <c:lang val="es-ES"/>
  <c:style val="1"/>
  <c:chart>
    <c:plotArea>
      <c:layout>
        <c:manualLayout>
          <c:layoutTarget val="inner"/>
          <c:xMode val="edge"/>
          <c:yMode val="edge"/>
          <c:x val="9.0013582218306631E-2"/>
          <c:y val="0.15605686513160621"/>
          <c:w val="0.64472367527485663"/>
          <c:h val="0.70732540135953104"/>
        </c:manualLayout>
      </c:layout>
      <c:lineChart>
        <c:grouping val="standard"/>
        <c:ser>
          <c:idx val="0"/>
          <c:order val="0"/>
          <c:tx>
            <c:strRef>
              <c:f>Hoja1!$B$11</c:f>
              <c:strCache>
                <c:ptCount val="1"/>
                <c:pt idx="0">
                  <c:v>Aportes de capital</c:v>
                </c:pt>
              </c:strCache>
            </c:strRef>
          </c:tx>
          <c:spPr>
            <a:ln>
              <a:prstDash val="lgDash"/>
            </a:ln>
          </c:spPr>
          <c:marker>
            <c:symbol val="none"/>
          </c:marker>
          <c:cat>
            <c:numRef>
              <c:f>Hoja1!$C$10:$J$10</c:f>
              <c:numCache>
                <c:formatCode>General</c:formatCode>
                <c:ptCount val="8"/>
                <c:pt idx="0">
                  <c:v>2005</c:v>
                </c:pt>
                <c:pt idx="1">
                  <c:v>2006</c:v>
                </c:pt>
                <c:pt idx="2">
                  <c:v>2007</c:v>
                </c:pt>
                <c:pt idx="3">
                  <c:v>2008</c:v>
                </c:pt>
                <c:pt idx="4">
                  <c:v>2009</c:v>
                </c:pt>
                <c:pt idx="5">
                  <c:v>2010</c:v>
                </c:pt>
                <c:pt idx="6">
                  <c:v>2011</c:v>
                </c:pt>
                <c:pt idx="7">
                  <c:v>2012</c:v>
                </c:pt>
              </c:numCache>
            </c:numRef>
          </c:cat>
          <c:val>
            <c:numRef>
              <c:f>Hoja1!$C$11:$J$11</c:f>
              <c:numCache>
                <c:formatCode>General</c:formatCode>
                <c:ptCount val="8"/>
                <c:pt idx="0">
                  <c:v>4590</c:v>
                </c:pt>
                <c:pt idx="1">
                  <c:v>2166</c:v>
                </c:pt>
                <c:pt idx="2">
                  <c:v>2578</c:v>
                </c:pt>
                <c:pt idx="3">
                  <c:v>4552</c:v>
                </c:pt>
                <c:pt idx="4">
                  <c:v>2133</c:v>
                </c:pt>
                <c:pt idx="5">
                  <c:v>2176</c:v>
                </c:pt>
                <c:pt idx="6">
                  <c:v>4223</c:v>
                </c:pt>
                <c:pt idx="7">
                  <c:v>3354</c:v>
                </c:pt>
              </c:numCache>
            </c:numRef>
          </c:val>
        </c:ser>
        <c:ser>
          <c:idx val="1"/>
          <c:order val="1"/>
          <c:tx>
            <c:strRef>
              <c:f>Hoja1!$B$12</c:f>
              <c:strCache>
                <c:ptCount val="1"/>
                <c:pt idx="0">
                  <c:v>Préstamos entre compañías</c:v>
                </c:pt>
              </c:strCache>
            </c:strRef>
          </c:tx>
          <c:spPr>
            <a:ln>
              <a:prstDash val="sysDash"/>
            </a:ln>
          </c:spPr>
          <c:marker>
            <c:symbol val="none"/>
          </c:marker>
          <c:cat>
            <c:numRef>
              <c:f>Hoja1!$C$10:$J$10</c:f>
              <c:numCache>
                <c:formatCode>General</c:formatCode>
                <c:ptCount val="8"/>
                <c:pt idx="0">
                  <c:v>2005</c:v>
                </c:pt>
                <c:pt idx="1">
                  <c:v>2006</c:v>
                </c:pt>
                <c:pt idx="2">
                  <c:v>2007</c:v>
                </c:pt>
                <c:pt idx="3">
                  <c:v>2008</c:v>
                </c:pt>
                <c:pt idx="4">
                  <c:v>2009</c:v>
                </c:pt>
                <c:pt idx="5">
                  <c:v>2010</c:v>
                </c:pt>
                <c:pt idx="6">
                  <c:v>2011</c:v>
                </c:pt>
                <c:pt idx="7">
                  <c:v>2012</c:v>
                </c:pt>
              </c:numCache>
            </c:numRef>
          </c:cat>
          <c:val>
            <c:numRef>
              <c:f>Hoja1!$C$12:$J$12</c:f>
              <c:numCache>
                <c:formatCode>General</c:formatCode>
                <c:ptCount val="8"/>
                <c:pt idx="0">
                  <c:v>-481</c:v>
                </c:pt>
                <c:pt idx="1">
                  <c:v>263</c:v>
                </c:pt>
                <c:pt idx="2">
                  <c:v>1846</c:v>
                </c:pt>
                <c:pt idx="3">
                  <c:v>4777</c:v>
                </c:pt>
                <c:pt idx="4">
                  <c:v>-1010</c:v>
                </c:pt>
                <c:pt idx="5">
                  <c:v>2607</c:v>
                </c:pt>
                <c:pt idx="6">
                  <c:v>2600</c:v>
                </c:pt>
                <c:pt idx="7">
                  <c:v>1214</c:v>
                </c:pt>
              </c:numCache>
            </c:numRef>
          </c:val>
        </c:ser>
        <c:ser>
          <c:idx val="2"/>
          <c:order val="2"/>
          <c:tx>
            <c:strRef>
              <c:f>Hoja1!$B$13</c:f>
              <c:strCache>
                <c:ptCount val="1"/>
                <c:pt idx="0">
                  <c:v>Reinversión de utilidades</c:v>
                </c:pt>
              </c:strCache>
            </c:strRef>
          </c:tx>
          <c:marker>
            <c:symbol val="none"/>
          </c:marker>
          <c:cat>
            <c:numRef>
              <c:f>Hoja1!$C$10:$J$10</c:f>
              <c:numCache>
                <c:formatCode>General</c:formatCode>
                <c:ptCount val="8"/>
                <c:pt idx="0">
                  <c:v>2005</c:v>
                </c:pt>
                <c:pt idx="1">
                  <c:v>2006</c:v>
                </c:pt>
                <c:pt idx="2">
                  <c:v>2007</c:v>
                </c:pt>
                <c:pt idx="3">
                  <c:v>2008</c:v>
                </c:pt>
                <c:pt idx="4">
                  <c:v>2009</c:v>
                </c:pt>
                <c:pt idx="5">
                  <c:v>2010</c:v>
                </c:pt>
                <c:pt idx="6">
                  <c:v>2011</c:v>
                </c:pt>
                <c:pt idx="7">
                  <c:v>2012</c:v>
                </c:pt>
              </c:numCache>
            </c:numRef>
          </c:cat>
          <c:val>
            <c:numRef>
              <c:f>Hoja1!$C$13:$J$13</c:f>
              <c:numCache>
                <c:formatCode>General</c:formatCode>
                <c:ptCount val="8"/>
                <c:pt idx="0">
                  <c:v>1156</c:v>
                </c:pt>
                <c:pt idx="1">
                  <c:v>3108</c:v>
                </c:pt>
                <c:pt idx="2">
                  <c:v>2050</c:v>
                </c:pt>
                <c:pt idx="3">
                  <c:v>396</c:v>
                </c:pt>
                <c:pt idx="4">
                  <c:v>2894</c:v>
                </c:pt>
                <c:pt idx="5">
                  <c:v>2273</c:v>
                </c:pt>
                <c:pt idx="6">
                  <c:v>3059</c:v>
                </c:pt>
                <c:pt idx="7">
                  <c:v>7984</c:v>
                </c:pt>
              </c:numCache>
            </c:numRef>
          </c:val>
        </c:ser>
        <c:marker val="1"/>
        <c:axId val="136304896"/>
        <c:axId val="136335744"/>
      </c:lineChart>
      <c:catAx>
        <c:axId val="136304896"/>
        <c:scaling>
          <c:orientation val="minMax"/>
        </c:scaling>
        <c:axPos val="b"/>
        <c:numFmt formatCode="General" sourceLinked="1"/>
        <c:tickLblPos val="low"/>
        <c:crossAx val="136335744"/>
        <c:crosses val="autoZero"/>
        <c:auto val="1"/>
        <c:lblAlgn val="ctr"/>
        <c:lblOffset val="100"/>
      </c:catAx>
      <c:valAx>
        <c:axId val="136335744"/>
        <c:scaling>
          <c:orientation val="minMax"/>
          <c:max val="8000"/>
          <c:min val="-1100"/>
        </c:scaling>
        <c:axPos val="l"/>
        <c:majorGridlines/>
        <c:numFmt formatCode="General" sourceLinked="1"/>
        <c:tickLblPos val="nextTo"/>
        <c:crossAx val="136304896"/>
        <c:crosses val="autoZero"/>
        <c:crossBetween val="between"/>
        <c:majorUnit val="1000"/>
        <c:minorUnit val="200"/>
      </c:valAx>
    </c:plotArea>
    <c:legend>
      <c:legendPos val="r"/>
      <c:layout>
        <c:manualLayout>
          <c:xMode val="edge"/>
          <c:yMode val="edge"/>
          <c:x val="0.769258667841345"/>
          <c:y val="0.30729002624671914"/>
          <c:w val="0.21407466549198834"/>
          <c:h val="0.50116068824730198"/>
        </c:manualLayout>
      </c:layout>
    </c:legend>
    <c:plotVisOnly val="1"/>
  </c:chart>
  <c:externalData r:id="rId1"/>
  <c:userShapes r:id="rId2"/>
</c:chartSpace>
</file>

<file path=word/drawings/drawing1.xml><?xml version="1.0" encoding="utf-8"?>
<c:userShapes xmlns:c="http://schemas.openxmlformats.org/drawingml/2006/chart">
  <cdr:relSizeAnchor xmlns:cdr="http://schemas.openxmlformats.org/drawingml/2006/chartDrawing">
    <cdr:from>
      <cdr:x>0</cdr:x>
      <cdr:y>0.91814</cdr:y>
    </cdr:from>
    <cdr:to>
      <cdr:x>0.93592</cdr:x>
      <cdr:y>0.97712</cdr:y>
    </cdr:to>
    <cdr:sp macro="" textlink="">
      <cdr:nvSpPr>
        <cdr:cNvPr id="2" name="1 CuadroTexto"/>
        <cdr:cNvSpPr txBox="1"/>
      </cdr:nvSpPr>
      <cdr:spPr>
        <a:xfrm xmlns:a="http://schemas.openxmlformats.org/drawingml/2006/main">
          <a:off x="0" y="2676068"/>
          <a:ext cx="4100733" cy="17190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s-ES" sz="800"/>
            <a:t>Fuente:  Energy Information Administration (EIA) (2012)</a:t>
          </a:r>
        </a:p>
      </cdr:txBody>
    </cdr:sp>
  </cdr:relSizeAnchor>
</c:userShapes>
</file>

<file path=word/drawings/drawing2.xml><?xml version="1.0" encoding="utf-8"?>
<c:userShapes xmlns:c="http://schemas.openxmlformats.org/drawingml/2006/chart">
  <cdr:relSizeAnchor xmlns:cdr="http://schemas.openxmlformats.org/drawingml/2006/chartDrawing">
    <cdr:from>
      <cdr:x>0.0375</cdr:x>
      <cdr:y>0.0434</cdr:y>
    </cdr:from>
    <cdr:to>
      <cdr:x>0.99167</cdr:x>
      <cdr:y>0.17188</cdr:y>
    </cdr:to>
    <cdr:sp macro="" textlink="">
      <cdr:nvSpPr>
        <cdr:cNvPr id="2" name="1 CuadroTexto"/>
        <cdr:cNvSpPr txBox="1"/>
      </cdr:nvSpPr>
      <cdr:spPr>
        <a:xfrm xmlns:a="http://schemas.openxmlformats.org/drawingml/2006/main">
          <a:off x="171450" y="119063"/>
          <a:ext cx="4362449" cy="3524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s-ES" sz="1100"/>
            <a:t>Importaciones de petróleo</a:t>
          </a:r>
          <a:r>
            <a:rPr lang="es-ES" sz="1100" baseline="0"/>
            <a:t>. Argentina 1990-2010. </a:t>
          </a:r>
          <a:r>
            <a:rPr lang="es-ES" sz="1000" baseline="0"/>
            <a:t>Billones de pies cúbicos </a:t>
          </a:r>
          <a:endParaRPr lang="es-ES" sz="1000"/>
        </a:p>
      </cdr:txBody>
    </cdr:sp>
  </cdr:relSizeAnchor>
  <cdr:relSizeAnchor xmlns:cdr="http://schemas.openxmlformats.org/drawingml/2006/chartDrawing">
    <cdr:from>
      <cdr:x>0.01111</cdr:x>
      <cdr:y>0.93733</cdr:y>
    </cdr:from>
    <cdr:to>
      <cdr:x>0.90803</cdr:x>
      <cdr:y>1</cdr:y>
    </cdr:to>
    <cdr:sp macro="" textlink="">
      <cdr:nvSpPr>
        <cdr:cNvPr id="3" name="1 CuadroTexto"/>
        <cdr:cNvSpPr txBox="1"/>
      </cdr:nvSpPr>
      <cdr:spPr>
        <a:xfrm xmlns:a="http://schemas.openxmlformats.org/drawingml/2006/main">
          <a:off x="50800" y="2726857"/>
          <a:ext cx="4100733" cy="171906"/>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s-ES" sz="800"/>
            <a:t>Fuente:  Energy Information Administration (EIA) (2012)</a:t>
          </a:r>
        </a:p>
      </cdr:txBody>
    </cdr:sp>
  </cdr:relSizeAnchor>
</c:userShapes>
</file>

<file path=word/drawings/drawing3.xml><?xml version="1.0" encoding="utf-8"?>
<c:userShapes xmlns:c="http://schemas.openxmlformats.org/drawingml/2006/chart">
  <cdr:relSizeAnchor xmlns:cdr="http://schemas.openxmlformats.org/drawingml/2006/chartDrawing">
    <cdr:from>
      <cdr:x>0.075</cdr:x>
      <cdr:y>0.02597</cdr:y>
    </cdr:from>
    <cdr:to>
      <cdr:x>0.98125</cdr:x>
      <cdr:y>0.19156</cdr:y>
    </cdr:to>
    <cdr:sp macro="" textlink="">
      <cdr:nvSpPr>
        <cdr:cNvPr id="2" name="1 CuadroTexto"/>
        <cdr:cNvSpPr txBox="1"/>
      </cdr:nvSpPr>
      <cdr:spPr>
        <a:xfrm xmlns:a="http://schemas.openxmlformats.org/drawingml/2006/main">
          <a:off x="342901" y="76200"/>
          <a:ext cx="4143374" cy="4857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s-ES" sz="1200" b="1"/>
            <a:t>Argentina. Invesión extranjera</a:t>
          </a:r>
          <a:r>
            <a:rPr lang="es-ES" sz="1200" b="1" baseline="0"/>
            <a:t> directa por componentes. 2005-2012</a:t>
          </a:r>
        </a:p>
        <a:p xmlns:a="http://schemas.openxmlformats.org/drawingml/2006/main">
          <a:pPr algn="ctr"/>
          <a:r>
            <a:rPr lang="es-ES" sz="1000" b="1" baseline="0"/>
            <a:t>(Millones de dólares)</a:t>
          </a:r>
        </a:p>
      </cdr:txBody>
    </cdr:sp>
  </cdr:relSizeAnchor>
  <cdr:relSizeAnchor xmlns:cdr="http://schemas.openxmlformats.org/drawingml/2006/chartDrawing">
    <cdr:from>
      <cdr:x>0</cdr:x>
      <cdr:y>0.94805</cdr:y>
    </cdr:from>
    <cdr:to>
      <cdr:x>0.725</cdr:x>
      <cdr:y>1</cdr:y>
    </cdr:to>
    <cdr:sp macro="" textlink="">
      <cdr:nvSpPr>
        <cdr:cNvPr id="3" name="2 CuadroTexto"/>
        <cdr:cNvSpPr txBox="1"/>
      </cdr:nvSpPr>
      <cdr:spPr>
        <a:xfrm xmlns:a="http://schemas.openxmlformats.org/drawingml/2006/main">
          <a:off x="0" y="3476625"/>
          <a:ext cx="3314700" cy="1905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s-ES" sz="900"/>
            <a:t>Fuente: CEPAL,</a:t>
          </a:r>
          <a:r>
            <a:rPr lang="es-ES" sz="900" baseline="0"/>
            <a:t> elaboración propia</a:t>
          </a:r>
          <a:endParaRPr lang="es-ES" sz="900"/>
        </a:p>
      </cdr:txBody>
    </cdr:sp>
  </cdr:relSizeAnchor>
</c:userShape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861112"/>
    <w:rsid w:val="008611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3E16516D7E274795A6FDC55F9EA3418B">
    <w:name w:val="3E16516D7E274795A6FDC55F9EA3418B"/>
    <w:rsid w:val="0086111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7716</Words>
  <Characters>42441</Characters>
  <Application>Microsoft Office Word</Application>
  <DocSecurity>0</DocSecurity>
  <Lines>353</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dc:creator>
  <cp:lastModifiedBy>VERONICA</cp:lastModifiedBy>
  <cp:revision>2</cp:revision>
  <cp:lastPrinted>2013-09-10T16:02:00Z</cp:lastPrinted>
  <dcterms:created xsi:type="dcterms:W3CDTF">2013-09-10T19:27:00Z</dcterms:created>
  <dcterms:modified xsi:type="dcterms:W3CDTF">2013-09-10T19:27:00Z</dcterms:modified>
</cp:coreProperties>
</file>