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685B" w:rsidRDefault="0078685B" w:rsidP="0078685B">
      <w:pPr>
        <w:spacing w:line="240" w:lineRule="auto"/>
        <w:ind w:firstLine="0"/>
        <w:jc w:val="left"/>
        <w:rPr>
          <w:rFonts w:ascii="Calibri" w:hAnsi="Calibri" w:cs="Arial"/>
          <w:b/>
          <w:bCs/>
          <w:color w:val="000000"/>
        </w:rPr>
      </w:pPr>
      <w:r>
        <w:rPr>
          <w:b/>
        </w:rPr>
        <w:t xml:space="preserve">XI Congreso </w:t>
      </w:r>
      <w:r w:rsidRPr="000D3517">
        <w:rPr>
          <w:rFonts w:ascii="Calibri" w:hAnsi="Calibri" w:cs="Arial"/>
          <w:b/>
          <w:bCs/>
          <w:color w:val="000000"/>
        </w:rPr>
        <w:t xml:space="preserve">de AECPA. </w:t>
      </w:r>
      <w:r>
        <w:rPr>
          <w:rFonts w:ascii="Calibri" w:hAnsi="Calibri" w:cs="Arial"/>
          <w:b/>
          <w:bCs/>
          <w:color w:val="000000"/>
        </w:rPr>
        <w:t xml:space="preserve">Sevilla, 18-20 </w:t>
      </w:r>
      <w:r w:rsidRPr="000D3517">
        <w:rPr>
          <w:rFonts w:ascii="Calibri" w:hAnsi="Calibri" w:cs="Arial"/>
          <w:b/>
          <w:bCs/>
          <w:color w:val="000000"/>
        </w:rPr>
        <w:t xml:space="preserve"> de septiembre de 201</w:t>
      </w:r>
      <w:r>
        <w:rPr>
          <w:rFonts w:ascii="Calibri" w:hAnsi="Calibri" w:cs="Arial"/>
          <w:b/>
          <w:bCs/>
          <w:color w:val="000000"/>
        </w:rPr>
        <w:t>3</w:t>
      </w:r>
    </w:p>
    <w:p w:rsidR="0078685B" w:rsidRDefault="0078685B" w:rsidP="0078685B">
      <w:pPr>
        <w:spacing w:line="240" w:lineRule="auto"/>
        <w:ind w:firstLine="0"/>
        <w:jc w:val="left"/>
        <w:rPr>
          <w:b/>
        </w:rPr>
      </w:pPr>
      <w:r w:rsidRPr="00C36EAF">
        <w:rPr>
          <w:b/>
        </w:rPr>
        <w:t>Área</w:t>
      </w:r>
      <w:r>
        <w:rPr>
          <w:b/>
        </w:rPr>
        <w:t xml:space="preserve"> V</w:t>
      </w:r>
      <w:r w:rsidRPr="00C36EAF">
        <w:rPr>
          <w:b/>
        </w:rPr>
        <w:t>: Gestión y políticas</w:t>
      </w:r>
      <w:r>
        <w:rPr>
          <w:b/>
        </w:rPr>
        <w:t xml:space="preserve"> p</w:t>
      </w:r>
      <w:r w:rsidRPr="00C36EAF">
        <w:rPr>
          <w:b/>
        </w:rPr>
        <w:t>úblicas:</w:t>
      </w:r>
    </w:p>
    <w:p w:rsidR="0078685B" w:rsidRDefault="0078685B" w:rsidP="0078685B">
      <w:pPr>
        <w:spacing w:line="240" w:lineRule="auto"/>
        <w:ind w:firstLine="0"/>
        <w:jc w:val="left"/>
        <w:rPr>
          <w:b/>
          <w:bCs/>
        </w:rPr>
      </w:pPr>
      <w:r w:rsidRPr="007B18F9">
        <w:rPr>
          <w:b/>
          <w:bCs/>
        </w:rPr>
        <w:t>GT 5.2 Los límites de la participación: por qué se hace, cómo se desarrolla y qué impacto tiene sobre el sistema polític</w:t>
      </w:r>
      <w:r>
        <w:rPr>
          <w:b/>
          <w:bCs/>
        </w:rPr>
        <w:t>o</w:t>
      </w:r>
    </w:p>
    <w:p w:rsidR="0078685B" w:rsidRDefault="0078685B" w:rsidP="0078685B">
      <w:pPr>
        <w:spacing w:line="240" w:lineRule="auto"/>
        <w:ind w:firstLine="0"/>
        <w:jc w:val="left"/>
        <w:rPr>
          <w:b/>
          <w:bCs/>
        </w:rPr>
      </w:pPr>
    </w:p>
    <w:p w:rsidR="0078685B" w:rsidRDefault="0078685B" w:rsidP="0078685B">
      <w:pPr>
        <w:spacing w:line="240" w:lineRule="auto"/>
        <w:ind w:firstLine="0"/>
        <w:jc w:val="left"/>
        <w:rPr>
          <w:b/>
          <w:bCs/>
        </w:rPr>
      </w:pPr>
    </w:p>
    <w:p w:rsidR="0078685B" w:rsidRDefault="0078685B" w:rsidP="0078685B">
      <w:pPr>
        <w:spacing w:line="240" w:lineRule="auto"/>
        <w:ind w:firstLine="0"/>
        <w:jc w:val="left"/>
        <w:rPr>
          <w:b/>
          <w:bCs/>
        </w:rPr>
      </w:pPr>
    </w:p>
    <w:p w:rsidR="0078685B" w:rsidRDefault="0078685B" w:rsidP="0078685B">
      <w:pPr>
        <w:spacing w:line="240" w:lineRule="auto"/>
        <w:ind w:firstLine="0"/>
        <w:jc w:val="left"/>
        <w:rPr>
          <w:b/>
          <w:bCs/>
        </w:rPr>
      </w:pPr>
    </w:p>
    <w:p w:rsidR="0078685B" w:rsidRPr="004E1F5D" w:rsidRDefault="0078685B" w:rsidP="0078685B">
      <w:pPr>
        <w:rPr>
          <w:rFonts w:cs="Times New Roman"/>
          <w:b/>
        </w:rPr>
      </w:pPr>
      <w:r w:rsidRPr="004E1F5D">
        <w:rPr>
          <w:b/>
        </w:rPr>
        <w:t>La política de participación ciudadana ¿lógica de partido o  pragmatismo político?</w:t>
      </w:r>
    </w:p>
    <w:p w:rsidR="0078685B" w:rsidRDefault="0078685B" w:rsidP="0078685B">
      <w:pPr>
        <w:jc w:val="right"/>
      </w:pPr>
    </w:p>
    <w:p w:rsidR="0078685B" w:rsidRDefault="0078685B" w:rsidP="0078685B">
      <w:pPr>
        <w:jc w:val="right"/>
        <w:rPr>
          <w:b/>
        </w:rPr>
      </w:pPr>
      <w:r w:rsidRPr="005852EA">
        <w:t> </w:t>
      </w:r>
      <w:r>
        <w:rPr>
          <w:b/>
        </w:rPr>
        <w:t>María Florencia Misino (UAM)</w:t>
      </w:r>
      <w:r>
        <w:rPr>
          <w:rStyle w:val="Refdenotaalpie"/>
          <w:b/>
        </w:rPr>
        <w:footnoteReference w:id="2"/>
      </w:r>
    </w:p>
    <w:p w:rsidR="0078685B" w:rsidRDefault="0078685B" w:rsidP="0078685B">
      <w:pPr>
        <w:jc w:val="right"/>
        <w:rPr>
          <w:b/>
        </w:rPr>
      </w:pPr>
    </w:p>
    <w:p w:rsidR="0078685B" w:rsidRPr="00C31CA4" w:rsidRDefault="0078685B" w:rsidP="0078685B">
      <w:pPr>
        <w:ind w:firstLine="0"/>
        <w:rPr>
          <w:rFonts w:cs="Times New Roman"/>
          <w:b/>
          <w:sz w:val="20"/>
          <w:szCs w:val="20"/>
        </w:rPr>
      </w:pPr>
      <w:r w:rsidRPr="00C31CA4">
        <w:rPr>
          <w:rFonts w:cs="Times New Roman"/>
          <w:b/>
          <w:sz w:val="20"/>
          <w:szCs w:val="20"/>
        </w:rPr>
        <w:t xml:space="preserve">Resumen: </w:t>
      </w:r>
    </w:p>
    <w:p w:rsidR="0078685B" w:rsidRPr="00494BB3" w:rsidRDefault="0078685B" w:rsidP="0078685B">
      <w:pPr>
        <w:rPr>
          <w:rFonts w:cs="Times New Roman"/>
        </w:rPr>
      </w:pPr>
      <w:r w:rsidRPr="00494BB3">
        <w:t>El análisis de la política pública de participación ciudadana en distintos municipios</w:t>
      </w:r>
      <w:r>
        <w:t xml:space="preserve"> españoles</w:t>
      </w:r>
      <w:r w:rsidRPr="00494BB3">
        <w:t xml:space="preserve"> ha </w:t>
      </w:r>
      <w:r>
        <w:t>puesto de manifiesto</w:t>
      </w:r>
      <w:r w:rsidRPr="00494BB3">
        <w:t xml:space="preserve"> la relevancia de varios factores que  favorecen o limitan </w:t>
      </w:r>
      <w:r w:rsidRPr="00494BB3">
        <w:rPr>
          <w:color w:val="FF0000"/>
        </w:rPr>
        <w:t xml:space="preserve"> </w:t>
      </w:r>
      <w:r w:rsidRPr="00494BB3">
        <w:t xml:space="preserve">la </w:t>
      </w:r>
      <w:r>
        <w:t>potenciación</w:t>
      </w:r>
      <w:r w:rsidRPr="00494BB3">
        <w:t xml:space="preserve"> de esta política en la agenda de gobierno: entre ellos, </w:t>
      </w:r>
      <w:r>
        <w:t xml:space="preserve">rasgos de </w:t>
      </w:r>
      <w:r w:rsidRPr="00494BB3">
        <w:t>las élites políticas locales, el color político de gobierno, los actores sociales, el escenario local. En España al interior de sus Comunidades Autónomas podemos encontrar que hay ciudades que han puesto en marcha la política con más ímpetu que otras.</w:t>
      </w:r>
      <w:r>
        <w:t xml:space="preserve"> Por tanto, se</w:t>
      </w:r>
      <w:r w:rsidRPr="00C45E9D">
        <w:t xml:space="preserve"> </w:t>
      </w:r>
      <w:r w:rsidRPr="00494BB3">
        <w:t xml:space="preserve"> efectuará un análisis comparado entre  dos Ayuntamientos de la Comunidad de Madrid, gobernados por el mismo partido durante las legislaturas 2003-2007 y 2007-2011.</w:t>
      </w:r>
      <w:r>
        <w:t xml:space="preserve"> Se propone analizar la política situando el foco en los actores políticos. </w:t>
      </w:r>
    </w:p>
    <w:p w:rsidR="0078685B" w:rsidRDefault="0078685B" w:rsidP="0078685B">
      <w:pPr>
        <w:ind w:firstLine="0"/>
      </w:pPr>
      <w:r w:rsidRPr="00B54B43">
        <w:rPr>
          <w:b/>
        </w:rPr>
        <w:t>Palabras claves</w:t>
      </w:r>
      <w:r>
        <w:t>: participación ciudadana, gobiernos locales, elites políticas locales, alcaldes.</w:t>
      </w:r>
    </w:p>
    <w:p w:rsidR="0078685B" w:rsidRDefault="0078685B" w:rsidP="0078685B"/>
    <w:p w:rsidR="0078685B" w:rsidRDefault="0078685B" w:rsidP="0078685B"/>
    <w:p w:rsidR="0078685B" w:rsidRDefault="0078685B" w:rsidP="0078685B"/>
    <w:p w:rsidR="0078685B" w:rsidRDefault="0078685B" w:rsidP="0078685B"/>
    <w:p w:rsidR="0078685B" w:rsidRPr="00A14686" w:rsidRDefault="0078685B" w:rsidP="0078685B">
      <w:pPr>
        <w:pStyle w:val="Prrafodelista"/>
        <w:numPr>
          <w:ilvl w:val="0"/>
          <w:numId w:val="2"/>
        </w:numPr>
        <w:rPr>
          <w:b/>
        </w:rPr>
      </w:pPr>
      <w:r w:rsidRPr="00A14686">
        <w:rPr>
          <w:b/>
        </w:rPr>
        <w:lastRenderedPageBreak/>
        <w:t xml:space="preserve">Introducción: </w:t>
      </w:r>
    </w:p>
    <w:p w:rsidR="0078685B" w:rsidRDefault="0078685B" w:rsidP="0078685B">
      <w:r w:rsidRPr="00CD2127">
        <w:t>La política pública de participación ciudadana</w:t>
      </w:r>
      <w:r>
        <w:t>- en adelante PPC-</w:t>
      </w:r>
      <w:r w:rsidRPr="00CD2127">
        <w:t xml:space="preserve"> en el </w:t>
      </w:r>
      <w:r>
        <w:t>nivel</w:t>
      </w:r>
      <w:r w:rsidRPr="00CD2127">
        <w:t xml:space="preserve"> local </w:t>
      </w:r>
      <w:r>
        <w:t>español ha formado parte de la génesis desde la transición hasta la actualidad. Este marco, en principio, informal fue transformándose normativamente con el correr del tiempo.</w:t>
      </w:r>
      <w:r w:rsidRPr="00AA0E43">
        <w:t xml:space="preserve"> </w:t>
      </w:r>
      <w:r>
        <w:t>(Fundación Encuentro, 2000) En las ciudades de mayor población</w:t>
      </w:r>
      <w:r>
        <w:rPr>
          <w:rStyle w:val="Refdenotaalpie"/>
        </w:rPr>
        <w:footnoteReference w:id="3"/>
      </w:r>
      <w:r>
        <w:t>, la Ley 57/2003 se convierte en un punto de inflexión, cuando se la impulsa junto a otras medidas para reformar la administración local. Esta ley le otorga más atribuciones al alcalde y promueve la desconcentración de la administración con la creación de Juntas de Distritos. Por tanto, se toma este factor externo como un momento de reordenación institucional, en este grupo de Ayuntamientos a través del cual se puede observar que tipo de impacto ha tenido en  los rendimientos de la PPC.</w:t>
      </w:r>
    </w:p>
    <w:p w:rsidR="0078685B" w:rsidRDefault="0078685B" w:rsidP="0078685B">
      <w:r>
        <w:t>La participación ciudadana,</w:t>
      </w:r>
      <w:r w:rsidRPr="00FE4B4B">
        <w:t xml:space="preserve"> </w:t>
      </w:r>
      <w:r>
        <w:t>desde la ciencia política, ha sido abordada como un fenómeno multidimensional, que en el marco de una gran desafección política resulta una vía para acercar la ciudadanía a lo político,</w:t>
      </w:r>
      <w:r w:rsidRPr="003E50AC">
        <w:t xml:space="preserve"> </w:t>
      </w:r>
      <w:r>
        <w:t>(Norris, 1999) y también como un modo de perfeccionar la gestión, hacerla más transparente y mejorar la rendición de cuentas. (Ganuza y Gómez Fuertes, 2008) De la investigación empírica surgieron los aspectos que facilitan u obstaculizan su puesta en marcha,</w:t>
      </w:r>
      <w:r w:rsidRPr="003E50AC">
        <w:t xml:space="preserve"> </w:t>
      </w:r>
      <w:r>
        <w:t>(Colino y Del Pino, 2005)  como también las consecuencias que tienen para los actores que forman parte de ella. (</w:t>
      </w:r>
      <w:r w:rsidRPr="0072141B">
        <w:rPr>
          <w:rFonts w:ascii="Calibri" w:hAnsi="Calibri" w:cs="Calibri"/>
          <w:sz w:val="23"/>
          <w:szCs w:val="23"/>
        </w:rPr>
        <w:t xml:space="preserve"> </w:t>
      </w:r>
      <w:r>
        <w:rPr>
          <w:rFonts w:ascii="Calibri" w:hAnsi="Calibri" w:cs="Calibri"/>
          <w:sz w:val="23"/>
          <w:szCs w:val="23"/>
        </w:rPr>
        <w:t>Warren, 2001</w:t>
      </w:r>
      <w:r>
        <w:t>)   De ellos se destacan; el tejido social, los rasgos de la elite política, el color político de gobierno, el escenario local, etc. (Font y Otros, 2011). El punto que subyace en ellos  es la voluntad política de su impulso. Con lo cual, resulta relevante poner atención en los actores políticos y su relación con el escenario local para buscar elementos que permitan inferir respuestas</w:t>
      </w:r>
      <w:r w:rsidRPr="00F2322A">
        <w:t xml:space="preserve">. </w:t>
      </w:r>
      <w:r>
        <w:t>En el caso español, s</w:t>
      </w:r>
      <w:r w:rsidRPr="00F2322A">
        <w:t xml:space="preserve">e sigue la línea de análisis de Navarro (Navarro, 1999, 2002) (Walliser, 2003) y por Font (Font y Blanco, 2005) donde el énfasis </w:t>
      </w:r>
      <w:r>
        <w:t>está en las razones de</w:t>
      </w:r>
      <w:r w:rsidRPr="00F2322A">
        <w:t xml:space="preserve"> los actores políticos </w:t>
      </w:r>
      <w:r>
        <w:t>para impulsar</w:t>
      </w:r>
      <w:r w:rsidRPr="00F2322A">
        <w:t xml:space="preserve"> estos marcos </w:t>
      </w:r>
      <w:r>
        <w:t>para gobernar</w:t>
      </w:r>
      <w:r w:rsidRPr="00F2322A">
        <w:t>. (</w:t>
      </w:r>
      <w:r w:rsidRPr="0072141B">
        <w:t>Sesma,</w:t>
      </w:r>
      <w:r>
        <w:t xml:space="preserve"> </w:t>
      </w:r>
      <w:r w:rsidRPr="0072141B">
        <w:t>Alarcón y</w:t>
      </w:r>
      <w:r w:rsidRPr="00F2322A">
        <w:t xml:space="preserve"> </w:t>
      </w:r>
      <w:r>
        <w:t>Font</w:t>
      </w:r>
      <w:r w:rsidRPr="00F2322A">
        <w:t>, 2011)</w:t>
      </w:r>
      <w:r>
        <w:t xml:space="preserve"> (Font Y otros, 2011).</w:t>
      </w:r>
    </w:p>
    <w:p w:rsidR="0078685B" w:rsidRDefault="0078685B" w:rsidP="0078685B">
      <w:r>
        <w:t xml:space="preserve">Por todo lo anterior, la exploración, está centrada en la elite política local,  más específicamente en el alcalde, que es quien asume la dirección política de la ciudad. Esto se debe a que el diseño del sistema político local español tiene rasgos fuertemente presidenciales, denominado sistema de alcalde fuerte  (Mouritzen, Svara, 2002). Por tanto, se presume que la ejecución de las políticas públicas tendrá la orientación que el alcalde y su equipo asuman como prioritaria. En lo concerniente a la participación ciudadana,  esto se </w:t>
      </w:r>
      <w:r>
        <w:lastRenderedPageBreak/>
        <w:t xml:space="preserve">potencia dado que, la misma goza de cierta autonomía más allá de que factores externos como la legislación nacional, o la europea impulsen su desarrollo. </w:t>
      </w:r>
    </w:p>
    <w:p w:rsidR="0078685B" w:rsidRDefault="0078685B" w:rsidP="0078685B">
      <w:pPr>
        <w:rPr>
          <w:rFonts w:ascii="Calibri" w:hAnsi="Calibri" w:cs="Arial"/>
          <w:lang w:val="es-ES_tradnl"/>
        </w:rPr>
      </w:pPr>
      <w:r>
        <w:t>Se han elegido dos ciudades, siguiendo el método comparativo (</w:t>
      </w:r>
      <w:r w:rsidRPr="004E3606">
        <w:rPr>
          <w:i/>
        </w:rPr>
        <w:t>most simillar case</w:t>
      </w:r>
      <w:r>
        <w:t>) Alcalá de Henares y Móstoles que han tenido que reformular su diseño institucional en el mismo período, la legislatura 2003-7, cuando la Asamblea de Madrid les reconoce el estatus de gran población</w:t>
      </w:r>
      <w:r>
        <w:rPr>
          <w:rStyle w:val="Refdenotaalpie"/>
        </w:rPr>
        <w:footnoteReference w:id="4"/>
      </w:r>
      <w:r>
        <w:t xml:space="preserve">. Se describe la política pública haciendo hincapié en  indicadores que den cuenta de la diferente voluntad política. Se hará una aproximación sobre cuáles han sido las motivaciones de los actores para implementar de distinto modo la política. </w:t>
      </w:r>
      <w:r>
        <w:rPr>
          <w:rFonts w:ascii="Calibri" w:hAnsi="Calibri" w:cs="Arial"/>
          <w:lang w:val="es-ES_tradnl"/>
        </w:rPr>
        <w:t xml:space="preserve">El período de análisis es 2003 a 2011, donde en Alcalá de Henares gobierna Bartolomé González, mientras que Móstoles está liderada por Esteban Parro, pertenecientes al Partido Popular. </w:t>
      </w:r>
    </w:p>
    <w:p w:rsidR="0078685B" w:rsidRDefault="0078685B" w:rsidP="0078685B">
      <w:pPr>
        <w:ind w:firstLine="0"/>
        <w:rPr>
          <w:rFonts w:ascii="Calibri" w:hAnsi="Calibri" w:cs="Arial"/>
          <w:lang w:val="es-ES_tradnl"/>
        </w:rPr>
      </w:pPr>
      <w:r>
        <w:rPr>
          <w:rFonts w:ascii="Calibri" w:hAnsi="Calibri" w:cs="Arial"/>
          <w:lang w:val="es-ES_tradnl"/>
        </w:rPr>
        <w:t>El objetivo del paper será responder a estas preguntas:</w:t>
      </w:r>
    </w:p>
    <w:p w:rsidR="0078685B" w:rsidRDefault="0078685B" w:rsidP="0078685B">
      <w:pPr>
        <w:ind w:firstLine="0"/>
        <w:rPr>
          <w:rFonts w:ascii="Calibri" w:hAnsi="Calibri" w:cs="Arial"/>
          <w:lang w:val="es-ES_tradnl"/>
        </w:rPr>
      </w:pPr>
      <w:r>
        <w:rPr>
          <w:rFonts w:ascii="Calibri" w:hAnsi="Calibri" w:cs="Arial"/>
          <w:lang w:val="es-ES_tradnl"/>
        </w:rPr>
        <w:t>¿Cuál es el papel del alcalde y cómo influye su situación en el escenario local sobre  los rendimientos de la PPC?</w:t>
      </w:r>
    </w:p>
    <w:p w:rsidR="0078685B" w:rsidRDefault="0078685B" w:rsidP="0078685B">
      <w:pPr>
        <w:ind w:firstLine="0"/>
        <w:rPr>
          <w:rFonts w:ascii="Calibri" w:hAnsi="Calibri" w:cs="Arial"/>
          <w:lang w:val="es-ES_tradnl"/>
        </w:rPr>
      </w:pPr>
      <w:r>
        <w:rPr>
          <w:rFonts w:ascii="Calibri" w:hAnsi="Calibri" w:cs="Arial"/>
          <w:lang w:val="es-ES_tradnl"/>
        </w:rPr>
        <w:t xml:space="preserve"> ¿La implementación obedece a cuestiones ideológicas o forma parte del pragmatismo de los líderes cuando gobiernan?</w:t>
      </w:r>
    </w:p>
    <w:p w:rsidR="0078685B" w:rsidRDefault="0078685B" w:rsidP="0078685B">
      <w:pPr>
        <w:rPr>
          <w:lang w:val="es-ES_tradnl"/>
        </w:rPr>
      </w:pPr>
      <w:r>
        <w:rPr>
          <w:lang w:val="es-ES_tradnl"/>
        </w:rPr>
        <w:t xml:space="preserve"> El trabajo se divide en tres partes: en primer lugar, se presenta el marco teórico,  en la segunda parte, se describen los casos con sus rasgos comunes y como ha sido la política en cada ciudad y en la última parte, se explora sobre las motivaciones y percepciones de los actores políticos y su relación con el escenario local. </w:t>
      </w:r>
    </w:p>
    <w:p w:rsidR="0078685B" w:rsidRDefault="0078685B" w:rsidP="0078685B">
      <w:pPr>
        <w:rPr>
          <w:lang w:val="es-ES_tradnl"/>
        </w:rPr>
      </w:pPr>
    </w:p>
    <w:p w:rsidR="0078685B" w:rsidRPr="00494BB3" w:rsidRDefault="0078685B" w:rsidP="0078685B">
      <w:pPr>
        <w:ind w:firstLine="0"/>
      </w:pPr>
      <w:r w:rsidRPr="009B75C1">
        <w:rPr>
          <w:b/>
        </w:rPr>
        <w:t>2. El liderazgo político local y su entorno</w:t>
      </w:r>
      <w:r>
        <w:t>:</w:t>
      </w:r>
    </w:p>
    <w:p w:rsidR="0078685B" w:rsidRPr="009247AA" w:rsidRDefault="0078685B" w:rsidP="0078685B">
      <w:pPr>
        <w:rPr>
          <w:lang w:val="es-ES_tradnl"/>
        </w:rPr>
      </w:pPr>
      <w:r>
        <w:t xml:space="preserve">Gobernar una ciudad no es tarea fácil y en ello se ha acentuado la literatura sobre líderes locales, lo cierto es que son gobernantes donde la  cercanía entre los asuntos a tratar y los ciudadanos hace que cada cuestión sea vivida con mucha intensidad y provee un marco complejo para su gestión, en este caso para el líder político. Según John, </w:t>
      </w:r>
      <w:r>
        <w:rPr>
          <w:rFonts w:cs="Tahoma"/>
        </w:rPr>
        <w:t>los líderes locales</w:t>
      </w:r>
      <w:r w:rsidRPr="00A77CC3">
        <w:rPr>
          <w:rFonts w:cs="Tahoma"/>
        </w:rPr>
        <w:t xml:space="preserve"> han de afrontar tres funciones fundamentales: Son los jefes</w:t>
      </w:r>
      <w:r>
        <w:rPr>
          <w:rFonts w:cs="Tahoma"/>
        </w:rPr>
        <w:t xml:space="preserve"> de  los </w:t>
      </w:r>
      <w:r w:rsidRPr="00A77CC3">
        <w:rPr>
          <w:rFonts w:cs="Tahoma"/>
        </w:rPr>
        <w:t xml:space="preserve"> ejecutivos locales, como tales son los responsables de la toma de decisiones ejecutivas, pero como se trata de decidir a favor o en contra de los intereses locales, a menudo son impopulares. Son los representantes </w:t>
      </w:r>
      <w:r w:rsidRPr="00A77CC3">
        <w:rPr>
          <w:rFonts w:cs="Tahoma"/>
        </w:rPr>
        <w:lastRenderedPageBreak/>
        <w:t>públicos, los líderes tienen el deber de expresar la unidad del espacio urbano, y también reflejar su diversidad. Por último, en su papel de jefes de</w:t>
      </w:r>
      <w:r>
        <w:rPr>
          <w:rFonts w:cs="Tahoma"/>
        </w:rPr>
        <w:t>l</w:t>
      </w:r>
      <w:r w:rsidRPr="00A77CC3">
        <w:rPr>
          <w:rFonts w:cs="Tahoma"/>
        </w:rPr>
        <w:t xml:space="preserve"> partido, los líderes tienen que </w:t>
      </w:r>
      <w:r>
        <w:rPr>
          <w:rFonts w:cs="Tahoma"/>
        </w:rPr>
        <w:t xml:space="preserve">guiar a </w:t>
      </w:r>
      <w:r w:rsidRPr="00A77CC3">
        <w:rPr>
          <w:rFonts w:cs="Tahoma"/>
        </w:rPr>
        <w:t xml:space="preserve"> sus seguidores en sus partidos p</w:t>
      </w:r>
      <w:r>
        <w:rPr>
          <w:rFonts w:cs="Tahoma"/>
        </w:rPr>
        <w:t xml:space="preserve">olíticos, y tratar de desarmar </w:t>
      </w:r>
      <w:r w:rsidRPr="00A77CC3">
        <w:rPr>
          <w:rFonts w:cs="Tahoma"/>
        </w:rPr>
        <w:t xml:space="preserve"> los desafíos internos</w:t>
      </w:r>
      <w:r>
        <w:rPr>
          <w:rFonts w:cs="Tahoma"/>
        </w:rPr>
        <w:t xml:space="preserve"> que puedan surgir</w:t>
      </w:r>
      <w:r w:rsidRPr="00A77CC3">
        <w:rPr>
          <w:rFonts w:cs="Tahoma"/>
        </w:rPr>
        <w:t xml:space="preserve"> de dicha organización para tener el apoyo necesario en su gestión.</w:t>
      </w:r>
      <w:r w:rsidRPr="00EF7D30">
        <w:t xml:space="preserve"> </w:t>
      </w:r>
      <w:r>
        <w:t xml:space="preserve">(John y Cole, 1999) </w:t>
      </w:r>
      <w:r w:rsidRPr="00A77CC3">
        <w:rPr>
          <w:rFonts w:cs="Tahoma"/>
        </w:rPr>
        <w:t xml:space="preserve"> </w:t>
      </w:r>
      <w:r>
        <w:rPr>
          <w:rFonts w:cs="Tahoma"/>
        </w:rPr>
        <w:t>En este juego de esferas diferenciadas analíticamente pero que en lo fáctico se entrecruzan, la acción de gobierno está fuertemente ligada a los apoyos sociales que tenga el mandatario en su gestión. Otros autores, destacan que para analizar a un líder político local no sólo valen sus gestos, sino</w:t>
      </w:r>
      <w:r>
        <w:rPr>
          <w:lang w:val="es-ES_tradnl"/>
        </w:rPr>
        <w:t xml:space="preserve"> </w:t>
      </w:r>
      <w:r w:rsidRPr="00C10A82">
        <w:rPr>
          <w:lang w:val="es-ES_tradnl"/>
        </w:rPr>
        <w:t>sus pautas de interacción con la sociedad civil, sus preferencias, la cultura política local, el rol que juega para ellos el partido como organización ideológica (Navarro y Clarke, 2010) y de ese modo cobra relevancia el escenario local en el cual los actores políticos interactúan con el resto de los actores. Así también se recalca la influencia de lo contextual en las decisiones de</w:t>
      </w:r>
      <w:r>
        <w:rPr>
          <w:lang w:val="es-ES_tradnl"/>
        </w:rPr>
        <w:t xml:space="preserve"> </w:t>
      </w:r>
      <w:r w:rsidRPr="00C10A82">
        <w:rPr>
          <w:lang w:val="es-ES_tradnl"/>
        </w:rPr>
        <w:t>los líderes y por tanto en la</w:t>
      </w:r>
      <w:r>
        <w:rPr>
          <w:lang w:val="es-ES_tradnl"/>
        </w:rPr>
        <w:t xml:space="preserve"> </w:t>
      </w:r>
      <w:r w:rsidRPr="009247AA">
        <w:rPr>
          <w:lang w:val="es-ES_tradnl"/>
        </w:rPr>
        <w:t>búsqueda de apoyos internos a la gestión</w:t>
      </w:r>
      <w:r>
        <w:rPr>
          <w:lang w:val="es-ES_tradnl"/>
        </w:rPr>
        <w:t xml:space="preserve"> </w:t>
      </w:r>
      <w:r w:rsidRPr="00C10A82">
        <w:rPr>
          <w:lang w:val="es-ES_tradnl"/>
        </w:rPr>
        <w:t>(Natera, 2006)</w:t>
      </w:r>
      <w:r w:rsidRPr="009247AA">
        <w:rPr>
          <w:lang w:val="es-ES_tradnl"/>
        </w:rPr>
        <w:t xml:space="preserve">. Si bien en España los Alcaldes de una </w:t>
      </w:r>
      <w:r>
        <w:rPr>
          <w:lang w:val="es-ES_tradnl"/>
        </w:rPr>
        <w:t>ciudad de gran población</w:t>
      </w:r>
      <w:r>
        <w:rPr>
          <w:rStyle w:val="Refdenotaalpie"/>
          <w:rFonts w:ascii="Calibri" w:hAnsi="Calibri"/>
          <w:lang w:val="es-ES_tradnl"/>
        </w:rPr>
        <w:footnoteReference w:id="5"/>
      </w:r>
      <w:r w:rsidRPr="009247AA">
        <w:rPr>
          <w:lang w:val="es-ES_tradnl"/>
        </w:rPr>
        <w:t xml:space="preserve"> disponen de amplios poderes</w:t>
      </w:r>
      <w:r>
        <w:rPr>
          <w:lang w:val="es-ES_tradnl"/>
        </w:rPr>
        <w:t>,</w:t>
      </w:r>
      <w:r w:rsidRPr="009247AA">
        <w:rPr>
          <w:lang w:val="es-ES_tradnl"/>
        </w:rPr>
        <w:t xml:space="preserve"> esta situación se potencia cuando el alcalde obtiene mayoría absoluta. Entonces</w:t>
      </w:r>
      <w:r>
        <w:rPr>
          <w:lang w:val="es-ES_tradnl"/>
        </w:rPr>
        <w:t>,</w:t>
      </w:r>
      <w:r w:rsidRPr="009247AA">
        <w:rPr>
          <w:lang w:val="es-ES_tradnl"/>
        </w:rPr>
        <w:t xml:space="preserve"> en la práctica se da una dinámica muy ejecutiva dentro del esquema parlamentario y es donde</w:t>
      </w:r>
      <w:r>
        <w:rPr>
          <w:lang w:val="es-ES_tradnl"/>
        </w:rPr>
        <w:t xml:space="preserve"> se puede</w:t>
      </w:r>
      <w:r w:rsidRPr="009247AA">
        <w:rPr>
          <w:lang w:val="es-ES_tradnl"/>
        </w:rPr>
        <w:t xml:space="preserve"> observar que tipo de asuntos intervienen en la decisión de los alcaldes</w:t>
      </w:r>
      <w:r>
        <w:rPr>
          <w:lang w:val="es-ES_tradnl"/>
        </w:rPr>
        <w:t>,</w:t>
      </w:r>
      <w:r w:rsidRPr="009247AA">
        <w:rPr>
          <w:lang w:val="es-ES_tradnl"/>
        </w:rPr>
        <w:t xml:space="preserve"> para </w:t>
      </w:r>
      <w:r>
        <w:rPr>
          <w:lang w:val="es-ES_tradnl"/>
        </w:rPr>
        <w:t>impulsar</w:t>
      </w:r>
      <w:r w:rsidRPr="009247AA">
        <w:rPr>
          <w:lang w:val="es-ES_tradnl"/>
        </w:rPr>
        <w:t xml:space="preserve"> o no determinada política pública.  </w:t>
      </w:r>
    </w:p>
    <w:p w:rsidR="0078685B" w:rsidRPr="00322CFA" w:rsidRDefault="0078685B" w:rsidP="0078685B">
      <w:r w:rsidRPr="00322CFA">
        <w:t>El líder político local para la governance urbana, es un mediador de redes de actores a los cuales atrae y convence para efectuar políticas públicas, en un marco de negociación permanente entre los afectados por las políticas, la administración y l</w:t>
      </w:r>
      <w:r>
        <w:t>os grupos políticos que culminan en la toma de decisiones</w:t>
      </w:r>
      <w:r w:rsidRPr="00322CFA">
        <w:t>.</w:t>
      </w:r>
      <w:r>
        <w:t xml:space="preserve"> (Borraz y John, 2004)</w:t>
      </w:r>
      <w:r w:rsidRPr="00322CFA">
        <w:t xml:space="preserve"> Este modo de gestionar otorga más legitimidad y un mejor ajuste entre los deseos de la población objeto y los resultados de la política pública.</w:t>
      </w:r>
      <w:r>
        <w:t xml:space="preserve"> </w:t>
      </w:r>
      <w:r w:rsidRPr="00322CFA">
        <w:t>Donde antes intervenían sólo los técnicos</w:t>
      </w:r>
      <w:r>
        <w:t>,</w:t>
      </w:r>
      <w:r w:rsidRPr="00322CFA">
        <w:t xml:space="preserve"> ahora los afectados</w:t>
      </w:r>
      <w:r>
        <w:t>,</w:t>
      </w:r>
      <w:r w:rsidRPr="00322CFA">
        <w:t xml:space="preserve"> son parte de ese proceso y dan su punto de vista. Por tanto las políticas resultan de una construcción colectiva que promueve una apertura de la administración, mayor transparencia y rendición de cuentas permanente con los ciudadanos.</w:t>
      </w:r>
      <w:r w:rsidRPr="00CC19EA">
        <w:t xml:space="preserve"> </w:t>
      </w:r>
      <w:r>
        <w:t>(John, 2001)</w:t>
      </w:r>
    </w:p>
    <w:p w:rsidR="0078685B" w:rsidRDefault="0078685B" w:rsidP="0078685B">
      <w:r w:rsidRPr="00322CFA">
        <w:t>Y en este marco la política pública de participación ciudadana, se transforma en un espacio relevante en el cual el líder político local juega parte de su gestión, puesto que se visualiza la esfera de relaciones institucionales de influencia que los actores sociales pueden generar para intervenir en la gestión local. Por lo tanto, la relevancia o no que le dan los políticos y como la implementen puede dar cuent</w:t>
      </w:r>
      <w:r>
        <w:t xml:space="preserve">a no sólo de su concepción del </w:t>
      </w:r>
      <w:r w:rsidRPr="00CC19EA">
        <w:rPr>
          <w:i/>
        </w:rPr>
        <w:t>issue</w:t>
      </w:r>
      <w:r w:rsidRPr="00322CFA">
        <w:t xml:space="preserve">, sino de cómo miden las esferas sociales en el campo político local. Puesto que se juegan apoyos </w:t>
      </w:r>
      <w:r w:rsidRPr="00322CFA">
        <w:lastRenderedPageBreak/>
        <w:t>sociales que son claves en la gestión y en el devenir electoral</w:t>
      </w:r>
      <w:r>
        <w:t>,</w:t>
      </w:r>
      <w:r w:rsidRPr="00322CFA">
        <w:rPr>
          <w:rStyle w:val="Refdenotaalpie"/>
          <w:rFonts w:cs="Arial"/>
        </w:rPr>
        <w:footnoteReference w:id="6"/>
      </w:r>
      <w:r w:rsidRPr="00322CFA">
        <w:t xml:space="preserve"> así como en la legitimación de las políticas impulsadas por el gobierno. Pero también la ejecución da cuenta de cuáles son los valores que impulsan y desde que prisma </w:t>
      </w:r>
      <w:r>
        <w:t>gobiernan</w:t>
      </w:r>
      <w:r w:rsidRPr="00322CFA">
        <w:t xml:space="preserve">  los líderes locales. </w:t>
      </w:r>
      <w:r>
        <w:t xml:space="preserve"> Estos</w:t>
      </w:r>
      <w:r w:rsidRPr="00322CFA">
        <w:t xml:space="preserve"> poseen una determinada cosmovisión del mundo</w:t>
      </w:r>
      <w:r>
        <w:t>,</w:t>
      </w:r>
      <w:r w:rsidRPr="00322CFA">
        <w:t xml:space="preserve"> lo que implica que sus elecciones estarán guiadas en mayor o menor medida por esos valores y por tanto la implementación seguirá los  parámetros esbozados por su partido.</w:t>
      </w:r>
      <w:r>
        <w:t xml:space="preserve"> (Vergé, 2007) Aun cuando desde el centro derecho se auspicie la política, parece ser que los modos a utilizar no serán iguales a los que potencia la centro izquierda. (Colino y Del Pino, 2005) (Ganuza, 2011)</w:t>
      </w:r>
      <w:r w:rsidRPr="00322CFA">
        <w:t xml:space="preserve">  </w:t>
      </w:r>
    </w:p>
    <w:p w:rsidR="0078685B" w:rsidRDefault="0078685B" w:rsidP="0078685B">
      <w:r>
        <w:t>En este trabajo, se sigue la sistematización de esta política pública realizada por Navarro (Navarro, 2002) que delimita tres estrategias aplicadas en los Ayuntamientos  en sus inicios:</w:t>
      </w:r>
    </w:p>
    <w:p w:rsidR="0078685B" w:rsidRPr="000F5540" w:rsidRDefault="0078685B" w:rsidP="0078685B">
      <w:pPr>
        <w:pStyle w:val="Prrafodelista"/>
        <w:numPr>
          <w:ilvl w:val="0"/>
          <w:numId w:val="1"/>
        </w:numPr>
      </w:pPr>
      <w:r w:rsidRPr="000F5540">
        <w:t>Estrategia organizativa: la conformación de un área del gobierno destinada a la participación ciudadana, con un concejal como líder político.</w:t>
      </w:r>
    </w:p>
    <w:p w:rsidR="0078685B" w:rsidRPr="000D3517" w:rsidRDefault="0078685B" w:rsidP="0078685B">
      <w:pPr>
        <w:pStyle w:val="Prrafodelista"/>
        <w:numPr>
          <w:ilvl w:val="0"/>
          <w:numId w:val="1"/>
        </w:numPr>
      </w:pPr>
      <w:r w:rsidRPr="000D3517">
        <w:t>Estrategia Normativa: adopción de un conjunto de reglas formales donde se establecen las formas y los modos de la participación ciudadana (reglamento de participación- en adelante RPC)</w:t>
      </w:r>
    </w:p>
    <w:p w:rsidR="0078685B" w:rsidRDefault="0078685B" w:rsidP="0078685B">
      <w:pPr>
        <w:pStyle w:val="Prrafodelista"/>
        <w:numPr>
          <w:ilvl w:val="0"/>
          <w:numId w:val="1"/>
        </w:numPr>
      </w:pPr>
      <w:r w:rsidRPr="000D3517">
        <w:t>Estrategia Relacional: intensificación de contactos entre actores políticos y sociales: contactos formales e informales, otorgamiento de subvenciones y locales a asociaciones para fomentar su labor.</w:t>
      </w:r>
    </w:p>
    <w:p w:rsidR="0078685B" w:rsidRDefault="0078685B" w:rsidP="0078685B">
      <w:pPr>
        <w:rPr>
          <w:lang w:val="es-ES_tradnl"/>
        </w:rPr>
      </w:pPr>
      <w:r>
        <w:rPr>
          <w:lang w:val="es-ES_tradnl"/>
        </w:rPr>
        <w:t>Este documento</w:t>
      </w:r>
      <w:r w:rsidRPr="000D3517">
        <w:rPr>
          <w:lang w:val="es-ES_tradnl"/>
        </w:rPr>
        <w:t xml:space="preserve"> forma parte de </w:t>
      </w:r>
      <w:r>
        <w:rPr>
          <w:lang w:val="es-ES_tradnl"/>
        </w:rPr>
        <w:t xml:space="preserve">mi trabajo de </w:t>
      </w:r>
      <w:r w:rsidRPr="000D3517">
        <w:rPr>
          <w:lang w:val="es-ES_tradnl"/>
        </w:rPr>
        <w:t xml:space="preserve">tesis doctoral. Para recabar la información  se han empleado el uso de Técnicas Cualitativas, entrevistas semi estructuradas en profundidad, análisis de documentación institucional de los órganos políticos como de las organizaciones sociales y artículos de prensa escrita. Se ha entrevistado </w:t>
      </w:r>
      <w:r>
        <w:rPr>
          <w:lang w:val="es-ES_tradnl"/>
        </w:rPr>
        <w:t>a los alcaldes,</w:t>
      </w:r>
      <w:r w:rsidRPr="000D3517">
        <w:rPr>
          <w:lang w:val="es-ES_tradnl"/>
        </w:rPr>
        <w:t xml:space="preserve"> a </w:t>
      </w:r>
      <w:r>
        <w:rPr>
          <w:lang w:val="es-ES_tradnl"/>
        </w:rPr>
        <w:t xml:space="preserve">Concejales </w:t>
      </w:r>
      <w:r w:rsidRPr="000D3517">
        <w:rPr>
          <w:lang w:val="es-ES_tradnl"/>
        </w:rPr>
        <w:t>que estuvieron a cargo de Consejos Territoriales</w:t>
      </w:r>
      <w:r>
        <w:rPr>
          <w:lang w:val="es-ES_tradnl"/>
        </w:rPr>
        <w:t xml:space="preserve">, </w:t>
      </w:r>
      <w:r w:rsidRPr="000D3517">
        <w:rPr>
          <w:lang w:val="es-ES_tradnl"/>
        </w:rPr>
        <w:t>Sectoriales</w:t>
      </w:r>
      <w:r>
        <w:rPr>
          <w:lang w:val="es-ES_tradnl"/>
        </w:rPr>
        <w:t xml:space="preserve">, </w:t>
      </w:r>
      <w:r w:rsidRPr="000D3517">
        <w:rPr>
          <w:lang w:val="es-ES_tradnl"/>
        </w:rPr>
        <w:t>y a líderes de la oposición. En el ámbito de las asociaciones locales, se recurrió a líderes de las AAVV y de la Federación Comarcal de AAVV de Alcalá de Henares</w:t>
      </w:r>
      <w:r>
        <w:rPr>
          <w:lang w:val="es-ES_tradnl"/>
        </w:rPr>
        <w:t>, Coordinadas en Móstoles y FAVEM</w:t>
      </w:r>
      <w:r w:rsidRPr="000D3517">
        <w:rPr>
          <w:lang w:val="es-ES_tradnl"/>
        </w:rPr>
        <w:t xml:space="preserve">. </w:t>
      </w:r>
      <w:r>
        <w:rPr>
          <w:lang w:val="es-ES_tradnl"/>
        </w:rPr>
        <w:t xml:space="preserve">Como miembros de los consejos sectoriales, se escogió a las FAPAS de ambas ciudades. </w:t>
      </w:r>
      <w:r w:rsidRPr="000D3517">
        <w:rPr>
          <w:lang w:val="es-ES_tradnl"/>
        </w:rPr>
        <w:t>Además se realizaron entrevistas con periodistas locales</w:t>
      </w:r>
      <w:r>
        <w:rPr>
          <w:lang w:val="es-ES_tradnl"/>
        </w:rPr>
        <w:t xml:space="preserve"> en cada una de las ciudades</w:t>
      </w:r>
      <w:r w:rsidRPr="000D3517">
        <w:rPr>
          <w:lang w:val="es-ES_tradnl"/>
        </w:rPr>
        <w:t>. El trabajo de campo se ha efectuado entre los meses de Marzo a Mayo de</w:t>
      </w:r>
      <w:r>
        <w:rPr>
          <w:lang w:val="es-ES_tradnl"/>
        </w:rPr>
        <w:t xml:space="preserve"> 2008, en Marzo a Mayo de 2011 y entre Septiembre de 2011 a Noviembre de 2012.</w:t>
      </w:r>
    </w:p>
    <w:p w:rsidR="0078685B" w:rsidRDefault="0078685B" w:rsidP="0078685B">
      <w:pPr>
        <w:rPr>
          <w:b/>
        </w:rPr>
      </w:pPr>
      <w:r w:rsidRPr="00A57270">
        <w:rPr>
          <w:b/>
        </w:rPr>
        <w:lastRenderedPageBreak/>
        <w:t xml:space="preserve">3. Móstoles y Alcalá de Henares: </w:t>
      </w:r>
    </w:p>
    <w:p w:rsidR="0078685B" w:rsidRPr="00A57270" w:rsidRDefault="0078685B" w:rsidP="0078685B">
      <w:pPr>
        <w:rPr>
          <w:b/>
        </w:rPr>
      </w:pPr>
      <w:r>
        <w:rPr>
          <w:b/>
        </w:rPr>
        <w:t xml:space="preserve">3.1. Aspectos Comunes:  </w:t>
      </w:r>
    </w:p>
    <w:p w:rsidR="0078685B" w:rsidRPr="00E20122" w:rsidRDefault="0078685B" w:rsidP="0078685B">
      <w:r w:rsidRPr="00E20122">
        <w:t>Estas ciudades comparten muchos rasgos, durante la décadas de 60 y 70 crecieron exponencialmente como ciudades dormitorio recibiendo inmigrantes de otras regiones españolas y más recientemente en la primera década del presente siglo</w:t>
      </w:r>
      <w:r>
        <w:t>,</w:t>
      </w:r>
      <w:r w:rsidRPr="00E20122">
        <w:t xml:space="preserve"> inmigrantes de otras partes del mundo. Por tanto, a pesar que su historia data de muchos siglos, se las puede considerar como ciudades nuevas, donde el conglomerado urbano se afianza en la década del 80. Su población tiene un carácter de obrero industrial, que ha elevado su nivel social con la evolución económica española. Desde </w:t>
      </w:r>
      <w:r>
        <w:t>los primeros ayuntamientos democráticos</w:t>
      </w:r>
      <w:r w:rsidRPr="00E20122">
        <w:t xml:space="preserve">, en 1979, eran ciudades consideradas bastiones de la izquierda dada la fuerte identificación de su población con esta vertiente política. No obstante, la propia evolución de la democracia local, situó en estas </w:t>
      </w:r>
      <w:r>
        <w:t>localidades</w:t>
      </w:r>
      <w:r w:rsidRPr="00E20122">
        <w:t xml:space="preserve"> una fuerte competitividad política, que difiere de otras ciudades de la región, como por ejemplo, Fuenlabrada o Getafe. </w:t>
      </w:r>
    </w:p>
    <w:p w:rsidR="0078685B" w:rsidRPr="00E20122" w:rsidRDefault="0078685B" w:rsidP="0078685B">
      <w:r w:rsidRPr="00E20122">
        <w:t>A nivel geog</w:t>
      </w:r>
      <w:r>
        <w:t>ráfico, Alcalá se encuentra al E</w:t>
      </w:r>
      <w:r w:rsidRPr="00E20122">
        <w:t>ste, siendo el polo de atracción del corredor del Henares, la ciudad más importante, tiene su propia universidad, recuperada con la restauración de la democracia, recibe contingente de población de Guadalajara y de pequeñas poblaciones c</w:t>
      </w:r>
      <w:r>
        <w:t>ercanas. Móstoles es parte del S</w:t>
      </w:r>
      <w:r w:rsidRPr="00E20122">
        <w:t>ur, tiene su propia universidad comparti</w:t>
      </w:r>
      <w:r>
        <w:t>da con otras ciudades del Sur</w:t>
      </w:r>
      <w:r w:rsidRPr="00E20122">
        <w:t>, en esta zona de la región es donde se concentra la mayor cantidad de polígonos industriales. A nivel electoral, otorgan a los partidos nacionales gran cantidad de sufragios, puesto que</w:t>
      </w:r>
      <w:r w:rsidRPr="00453856">
        <w:t xml:space="preserve"> </w:t>
      </w:r>
      <w:r w:rsidRPr="00E20122">
        <w:t>en tamaño de población Móstoles es</w:t>
      </w:r>
      <w:r>
        <w:t xml:space="preserve"> la segunda y Alcalá la tercera después de Madrid, dentro de la región.</w:t>
      </w:r>
    </w:p>
    <w:p w:rsidR="0078685B" w:rsidRDefault="0078685B" w:rsidP="0078685B">
      <w:r w:rsidRPr="00E20122">
        <w:t>La evolución política fue similar,  luego de las tres primeras legislaturas el crecimiento del PP como fuerza de centro derecha genera una gran competencia política cuyo punto de inflexión son las elecciones locales de 1991. Las elecciones de 1995, son claves, en ambas el PP  gana en votos, pero en Móstoles la izquierda consigue pactar</w:t>
      </w:r>
      <w:r>
        <w:t>,</w:t>
      </w:r>
      <w:r w:rsidRPr="00E20122">
        <w:t xml:space="preserve"> mientras en Alcalá las diferencias entre la izquierda conceden al PP un gobierno minoritario, siendo éste un escaparate para su propio líder. Para la 5 legislatura continua la configuración de un sistema bipartidario altamente competitivo donde el PP consigue la mayoría de sufragios pero no gobierna. Será entonces en 2003 que las dos ciudades son ganadas por el PP con mayorías absolutas y tendrán por tanto un gobierno del centro derecho. Si bien en Alcalá se logra gobernar antes</w:t>
      </w:r>
      <w:r>
        <w:t>,</w:t>
      </w:r>
      <w:r w:rsidRPr="00E20122">
        <w:t xml:space="preserve"> las fuerzas de centro izquierda han sido más aglutinantes que en Móstoles. </w:t>
      </w:r>
    </w:p>
    <w:p w:rsidR="0078685B" w:rsidRPr="00AC1947" w:rsidRDefault="0078685B" w:rsidP="0078685B">
      <w:r w:rsidRPr="00AC1947">
        <w:lastRenderedPageBreak/>
        <w:t>Los niveles de abstención electoral son similares, rondan el 35 % aunque dentro de la serie de elecciones locales desde 1979 hay dos convocatorias que reúnen un mayor nivel en toda la región son las de 1991 y 1999. Para la convocatoria de 1991 en Alcalá son del 47, 55%  mientras que en Móstoles alcanza el 49, 61%. Las elecciones locales de 1999 se registra en Alcalá una abstención del 43.16% y en Móstoles  de 39.33%.</w:t>
      </w:r>
    </w:p>
    <w:p w:rsidR="0078685B" w:rsidRDefault="0078685B" w:rsidP="0078685B">
      <w:pPr>
        <w:rPr>
          <w:rFonts w:ascii="Calibri" w:eastAsia="Calibri" w:hAnsi="Calibri" w:cs="Arial"/>
          <w:color w:val="000000"/>
        </w:rPr>
      </w:pPr>
      <w:r>
        <w:rPr>
          <w:rFonts w:ascii="Calibri" w:eastAsia="Calibri" w:hAnsi="Calibri" w:cs="Arial"/>
          <w:color w:val="000000"/>
        </w:rPr>
        <w:t>E</w:t>
      </w:r>
      <w:r w:rsidRPr="0089591E">
        <w:rPr>
          <w:rFonts w:ascii="Calibri" w:eastAsia="Calibri" w:hAnsi="Calibri" w:cs="Arial"/>
          <w:color w:val="000000"/>
        </w:rPr>
        <w:t>l tejido social</w:t>
      </w:r>
      <w:r>
        <w:rPr>
          <w:rFonts w:ascii="Calibri" w:eastAsia="Calibri" w:hAnsi="Calibri" w:cs="Arial"/>
          <w:color w:val="000000"/>
        </w:rPr>
        <w:t xml:space="preserve"> se distribuye de modo similar en las dos ciudades, aunque en términos cuantitativos en Alcalá figuran más asociaciones que en Móstoles.</w:t>
      </w:r>
    </w:p>
    <w:p w:rsidR="0078685B" w:rsidRDefault="0078685B" w:rsidP="0078685B">
      <w:r>
        <w:rPr>
          <w:rFonts w:ascii="Calibri" w:eastAsia="Calibri" w:hAnsi="Calibri" w:cs="Arial"/>
          <w:color w:val="000000"/>
        </w:rPr>
        <w:t xml:space="preserve">  E</w:t>
      </w:r>
      <w:r>
        <w:rPr>
          <w:rFonts w:ascii="Calibri" w:hAnsi="Calibri" w:cs="Arial"/>
          <w:lang w:val="es-ES_tradnl"/>
        </w:rPr>
        <w:t xml:space="preserve">n Alcalá de Henares, </w:t>
      </w:r>
      <w:r>
        <w:t xml:space="preserve">según el Registro de Asociaciones del Ayuntamiento,  hay un total de 348, del cual se distribuyen de la siguiente manera: en primer lugar las culturales con un 26, 72%, le siguen las AMPAS 19,83%, en tercer lugar, las sociales, con un 15,23%, las juveniles, 8.33% y las Peñas un 4.6%. En séptimo lugar, estarían las AAVV, luego Mujer y Tercera Edad. </w:t>
      </w:r>
    </w:p>
    <w:p w:rsidR="0078685B" w:rsidRDefault="0078685B" w:rsidP="0078685B">
      <w:r>
        <w:t>Las AAVV están organizadas en torno a la Federación Comarcal de AAVV, todas las activas están representadas en ella, aunque dentro de este colectivo hay algunas que son más afines que otras al alcalde,  lo cual ha podido generar fricciones internas pero no una división como en el caso de Móstoles. Igualmente la capacidad de influencia de este colectivo en la ciudad, ha obrado como poder de veto, pero no ha tenido relevancia en términos de influencia dentro de la gestión</w:t>
      </w:r>
      <w:r>
        <w:rPr>
          <w:rStyle w:val="Refdenotaalpie"/>
        </w:rPr>
        <w:footnoteReference w:id="7"/>
      </w:r>
      <w:r>
        <w:t xml:space="preserve">. En esta ciudad, como en otras, podemos distinguir, entre asociaciones reivindicativas y lúdicas/temáticas. En las primeras, estarían las AAVV y  las AMPAS así como a la Plataforma de Salud que tiene raigambre en la ciudad de hace más de 20 años.  Entre las lúdico/ temáticas, podemos encontrar a las sociales sobre enfermedades, jubilados, deportivas, regionales, juveniles, etc. </w:t>
      </w:r>
    </w:p>
    <w:p w:rsidR="0078685B" w:rsidRDefault="0078685B" w:rsidP="0078685B">
      <w:r>
        <w:t>El tejido social de la ciudad de Móstoles tiene un total 299, asociaciones registradas, si bien las más numerosas como en otras ciudades son las deportivas y las AMPAS, aquí llama la atención la cantidad de AAVV que hay, ocupando el tercer lugar. Habla de un cierto minifundismo asociativo en este sector (Alberich y Espada, 2009) fundadas mayoritariamente a partir de los años 90, luego de la creación de las Asociación Coordinadas de Móstoles en el año 1993. Es fruto también de la escisión de algunas en los barrios que ante las discrepancias entre los líderes crean otra asociación.</w:t>
      </w:r>
    </w:p>
    <w:p w:rsidR="0078685B" w:rsidRDefault="0078685B" w:rsidP="0078685B">
      <w:r>
        <w:lastRenderedPageBreak/>
        <w:t>En esta ciudad se puede ver también la división entre asociaciones más reivindicativas y las lúdicos/temáticas. En general casi todos los rubros están federados por impulso del gobierno.  Ahora centrándonos en las AAVV, están divididas en dos grandes grupos:</w:t>
      </w:r>
    </w:p>
    <w:p w:rsidR="0078685B" w:rsidRDefault="0078685B" w:rsidP="0078685B">
      <w:r>
        <w:t>Las aglutinadas en torno a las Coordinadas de Móstoles, son alrededor de 15 asociaciones, cuya junta directiva está presidida desde su formación por la misma persona. Se puede decir, que estas asociaciones son las que mejor relación tienen con el Ayuntamiento. Esta organización fue creada en 1993 y hasta 2007 reunía a casi todas las asociaciones vecinales activas. Esta coordinadora firma un Convenio de Colaboración con el ayuntamiento que le otorga su presencia en todos los Consejos Sectoriales, las Reuniones Trimestrales con el alcalde y su intervención en el “Debate de estado del Municipio”. Este convenio ha sido revalidado en el inicio de cada legislatura durante la gestión de Parro.</w:t>
      </w:r>
    </w:p>
    <w:p w:rsidR="0078685B" w:rsidRDefault="0078685B" w:rsidP="0078685B">
      <w:r>
        <w:t xml:space="preserve">A partir de la mitad del segundo mandato del ex alcalde Parro, nace la Federación de Asociaciones de Vecinos (FAVEM) en virtud de desavenencias con la Coordinadora, por el tipo de relación que se tiene con el Ayuntamiento, ya que éstas reclamaban una acción más crítica con el gobierno. Son siete asociaciones que tienen una visión más de izquierdas, y sus acciones giran en torno a la reivindicación y movilización. Esa formación no ha firmado ningún convenio con el Consistorio, por tanto, no participa como ente en los distintos órganos que sí lo hace la Coordinadas. </w:t>
      </w:r>
    </w:p>
    <w:p w:rsidR="0078685B" w:rsidRPr="00D35051" w:rsidRDefault="0078685B" w:rsidP="0078685B">
      <w:r w:rsidRPr="00D35051">
        <w:t>En ambas ciudades, la participación ciudadana ha sido parte de la génesis de cada ayuntamiento desde 1979, los modos de intervención de los colectivos locales eran  habituales, primero de un modo informal y luego a partir de la creación de</w:t>
      </w:r>
      <w:r>
        <w:t xml:space="preserve"> los</w:t>
      </w:r>
      <w:r w:rsidRPr="00D35051">
        <w:t xml:space="preserve"> RPC del que se fueron dotando a finales de los 80 y principio de los 90. Fueron impulsados por los gobiernos de izquierda entendiendo el rol clave que jugaban los vecinos organizados para construir la ciudad. Con el paso del tiempo</w:t>
      </w:r>
      <w:r>
        <w:t xml:space="preserve">, </w:t>
      </w:r>
      <w:r w:rsidRPr="00D35051">
        <w:t xml:space="preserve"> los propios actores políticos y sociales advierten la necesidad de revitalizar esta esfera que tenía muchos puntos débiles, entre ellos, la  relevancia residual de las concejalía delegada de PC y un fuerte énfasis en las relaciones directas entre concejales y organizaciones, </w:t>
      </w:r>
      <w:r>
        <w:t xml:space="preserve">con una política pública de </w:t>
      </w:r>
      <w:r w:rsidRPr="00D35051">
        <w:t>un carácter marcadamente informal.</w:t>
      </w:r>
      <w:r>
        <w:t>(Ganuza, 2011)</w:t>
      </w:r>
      <w:r w:rsidRPr="00D35051">
        <w:t xml:space="preserve"> </w:t>
      </w:r>
    </w:p>
    <w:p w:rsidR="0078685B" w:rsidRDefault="0078685B" w:rsidP="0078685B">
      <w:r w:rsidRPr="00D35051">
        <w:t xml:space="preserve">A partir de la entrada en el régimen de “gran población” </w:t>
      </w:r>
      <w:r>
        <w:t xml:space="preserve">en 2004 </w:t>
      </w:r>
      <w:r w:rsidRPr="00D35051">
        <w:t>se le da a la política participativa una lógica más formal, por tanto, los reglamentos se tornan más extensos y se potencia la junta de distrito como elemento clave de la política pública</w:t>
      </w:r>
      <w:r>
        <w:rPr>
          <w:rStyle w:val="Refdenotaalpie"/>
          <w:rFonts w:ascii="Calibri" w:eastAsia="Calibri" w:hAnsi="Calibri" w:cs="Arial"/>
          <w:color w:val="000000"/>
        </w:rPr>
        <w:footnoteReference w:id="8"/>
      </w:r>
      <w:r w:rsidRPr="00D35051">
        <w:t xml:space="preserve">. </w:t>
      </w:r>
      <w:r>
        <w:t xml:space="preserve">En las dos ciudades </w:t>
      </w:r>
      <w:r>
        <w:lastRenderedPageBreak/>
        <w:t>hay una distribución territorial similar, con la creación de 5 distritos. En Móstoles, este proceso se inicia en la legislatura de 1995 con 4 Distritos y luego del ROM se crea uno nuevo. En Alcalá que contaba con 9 Delegaciones Distritales, se hace el ajuste a partir de la incorporación en el régimen de gran población.</w:t>
      </w:r>
    </w:p>
    <w:p w:rsidR="0078685B" w:rsidRPr="00B147CB" w:rsidRDefault="0078685B" w:rsidP="0078685B">
      <w:pPr>
        <w:rPr>
          <w:b/>
        </w:rPr>
      </w:pPr>
      <w:r>
        <w:rPr>
          <w:b/>
        </w:rPr>
        <w:t>3.2</w:t>
      </w:r>
      <w:r w:rsidRPr="00B147CB">
        <w:rPr>
          <w:b/>
        </w:rPr>
        <w:t>. La Política Pública de Participación Ciudadana:</w:t>
      </w:r>
    </w:p>
    <w:p w:rsidR="0078685B" w:rsidRDefault="0078685B" w:rsidP="0078685B">
      <w:r>
        <w:t xml:space="preserve">Para analizar la política participativa se sigue las categorías elaboradas por Navarro en función de mantener unos estándares básicos de comparación que muestren el marco general de la política pública. Para ello se describirán  los rasgos diferenciales de cada estrategia en función de advertir indicadores de  voluntad política y de qué modo se la integra dentro de la gestión. </w:t>
      </w:r>
    </w:p>
    <w:p w:rsidR="0078685B" w:rsidRDefault="0078685B" w:rsidP="0078685B">
      <w:r w:rsidRPr="004C1C31">
        <w:rPr>
          <w:i/>
        </w:rPr>
        <w:t>La  estrategia normativa:</w:t>
      </w:r>
      <w:r>
        <w:t xml:space="preserve"> define quien y como participa en esta red, por tanto delimita las reglas del juego que establece la relación entre actores políticos, sociales y ciudadanos. Habitualmente se materializa en un Reglamento de Participación Ciudadana (RPC). Puede ser más laxa o más estricta. Desde la ley 57/2003 estos reglamentos han sido más restrictivos y formales que los anteriores. Uno de los indicadores que suelen utilizar los investigadores es, como ha sido su proceso de elaboración: Si se ha consultado o no a las organizaciones sociales. En ambos casos, se ha circunscripto a un proceso de debate y negociación entre grupos políticos. Las diferencias, están en el </w:t>
      </w:r>
      <w:r w:rsidRPr="004F397E">
        <w:rPr>
          <w:i/>
        </w:rPr>
        <w:t>timing</w:t>
      </w:r>
      <w:r>
        <w:t xml:space="preserve"> de aprobación del marco normativo y en los sesgos sobre la participación.</w:t>
      </w:r>
    </w:p>
    <w:p w:rsidR="0078685B" w:rsidRDefault="0078685B" w:rsidP="0078685B">
      <w:r>
        <w:t>En Alcalá de Henares una vez aprobado el nuevo reglamento del municipio (ROM). La aprobación del RPC se demoró 3 años más, fue parte de la lucha entre gobierno y oposición durante una legislatura, lo cual permitió cerrar los anteriores consejos territoriales y no convocarlos hasta la aprobación del nuevo en 2009. Los Consejos Territoriales en las juntas de distrito fueron inaugurados en enero de 2010. Este era restrictivo en ejercicio y en participación  para las asociaciones locales</w:t>
      </w:r>
      <w:r>
        <w:rPr>
          <w:rStyle w:val="Refdenotaalpie"/>
        </w:rPr>
        <w:footnoteReference w:id="9"/>
      </w:r>
      <w:r>
        <w:rPr>
          <w:sz w:val="18"/>
          <w:szCs w:val="18"/>
        </w:rPr>
        <w:t xml:space="preserve"> </w:t>
      </w:r>
      <w:r>
        <w:t xml:space="preserve">limitando su capacidad de influencia al máximo. El marco general establece Consejos Territoriales en las juntas, mediante la participación en el </w:t>
      </w:r>
      <w:r>
        <w:lastRenderedPageBreak/>
        <w:t xml:space="preserve">Pleno con representantes de las asociaciones locales, se habla de Consejos Sectoriales dentro de las juntas pero no a nivel ciudad, se crea la figura del Defensor del Vecino, el Consejo Social de Ciudad y mecanismos de democracia directa. </w:t>
      </w:r>
    </w:p>
    <w:p w:rsidR="0078685B" w:rsidRDefault="0078685B" w:rsidP="0078685B">
      <w:pPr>
        <w:rPr>
          <w:lang w:val="es-ES_tradnl"/>
        </w:rPr>
      </w:pPr>
      <w:r>
        <w:t xml:space="preserve"> </w:t>
      </w:r>
      <w:r>
        <w:rPr>
          <w:lang w:val="es-ES_tradnl"/>
        </w:rPr>
        <w:t>En Móstoles,  no se hace un RPC</w:t>
      </w:r>
      <w:r>
        <w:rPr>
          <w:rStyle w:val="Refdenotaalpie"/>
          <w:rFonts w:ascii="Calibri" w:hAnsi="Calibri" w:cs="Arial"/>
          <w:lang w:val="es-ES_tradnl"/>
        </w:rPr>
        <w:footnoteReference w:id="10"/>
      </w:r>
      <w:r>
        <w:rPr>
          <w:lang w:val="es-ES_tradnl"/>
        </w:rPr>
        <w:t>, sino que se introduce en el ROM, todos los aspectos de funcionamiento de las Juntas de Distrito y lo relativo a los derechos y deberes de los ciudadanos y asociaciones,  ello da una agilidad a la puesta en marcha de los Consejos Territoriales y al proceso de funcionamiento de las juntas</w:t>
      </w:r>
      <w:r>
        <w:rPr>
          <w:rStyle w:val="Refdenotaalpie"/>
          <w:rFonts w:ascii="Calibri" w:hAnsi="Calibri" w:cs="Arial"/>
          <w:lang w:val="es-ES_tradnl"/>
        </w:rPr>
        <w:footnoteReference w:id="11"/>
      </w:r>
      <w:r>
        <w:rPr>
          <w:lang w:val="es-ES_tradnl"/>
        </w:rPr>
        <w:t>.  En el ROM se establece la realización de un Pleno extraordinario por año, “Debate de estado del Municipio” similar al que tiene lugar en las Cortes Generales, donde no solo intervienen los grupos políticos sino un representante de las AAVV.  Un año después en 2006, se promulga el Reglamento de Consejos Sectoriales, que tendrá  vigencia  plena en la segunda legislatura, creándose 13 consejos</w:t>
      </w:r>
      <w:r>
        <w:rPr>
          <w:rStyle w:val="Refdenotaalpie"/>
          <w:rFonts w:ascii="Calibri" w:hAnsi="Calibri" w:cs="Arial"/>
          <w:lang w:val="es-ES_tradnl"/>
        </w:rPr>
        <w:footnoteReference w:id="12"/>
      </w:r>
      <w:r>
        <w:rPr>
          <w:lang w:val="es-ES_tradnl"/>
        </w:rPr>
        <w:t>. El consejo territorial  se ha formalizado mediante un Consejo de Distrito y un Pleno.</w:t>
      </w:r>
    </w:p>
    <w:p w:rsidR="0078685B" w:rsidRDefault="0078685B" w:rsidP="0078685B">
      <w:pPr>
        <w:rPr>
          <w:lang w:val="es-ES_tradnl"/>
        </w:rPr>
      </w:pPr>
      <w:r>
        <w:rPr>
          <w:lang w:val="es-ES_tradnl"/>
        </w:rPr>
        <w:t xml:space="preserve">Ambos ayuntamientos establecen un marco de relación con los actores sociales mediante órganos de consulta sea a nivel territorial, sectorial y a nivel ciudad. Las diferencias  están en una mayor formalidad para los distritos en Móstoles y la participación exclusiva de las AAVV.  Mientras en Alcalá, en los órganos distritales se permite otras asociaciones como parte de la junta, y a su vez las restricciones están dadas en el funcionamiento de los </w:t>
      </w:r>
      <w:r>
        <w:rPr>
          <w:lang w:val="es-ES_tradnl"/>
        </w:rPr>
        <w:tab/>
        <w:t>Plenos del distrito hacia los actores sociales y en que sólo dos AAVV del distrito podían intervenir por mandato.  Lo cual refleja una relación distinta con los actores sociales de la ciudad, quienes  no son parte de esta elaboración. En principio, este marco refleja sesgos en las reglas del juego, es decir, en la entrada  a la red  de la política en quien y como participan. (Navarro, 1999). A su vez, se garantiza el control político, en la composición del Pleno dado que se mantiene el equilibrio a favor de los políticos de 6 a 4 vocales donde los partidos de gobierno se aseguran, cantidad de votos para ganar en las mociones a aprobar o rechazar</w:t>
      </w:r>
      <w:r>
        <w:rPr>
          <w:rStyle w:val="Refdenotaalpie"/>
          <w:rFonts w:ascii="Calibri" w:hAnsi="Calibri" w:cs="Arial"/>
          <w:lang w:val="es-ES_tradnl"/>
        </w:rPr>
        <w:footnoteReference w:id="13"/>
      </w:r>
      <w:r>
        <w:rPr>
          <w:lang w:val="es-ES_tradnl"/>
        </w:rPr>
        <w:t xml:space="preserve">. </w:t>
      </w:r>
    </w:p>
    <w:p w:rsidR="0078685B" w:rsidRDefault="0078685B" w:rsidP="0078685B">
      <w:r w:rsidRPr="001B5237">
        <w:rPr>
          <w:i/>
          <w:lang w:val="es-ES_tradnl"/>
        </w:rPr>
        <w:lastRenderedPageBreak/>
        <w:t>A nivel  organizativo</w:t>
      </w:r>
      <w:r>
        <w:rPr>
          <w:lang w:val="es-ES_tradnl"/>
        </w:rPr>
        <w:t xml:space="preserve">: Esta estrategia </w:t>
      </w:r>
      <w:r>
        <w:t>ilustra cómo se articula la participación en la administración local, mediante el rol que se le da a la Delegación de Participación Ciudadana. En ambos casos, están integradas a áreas sociales, como en otras ciudades de igual tamaño. Tienen una participación en el presupuesto</w:t>
      </w:r>
      <w:r>
        <w:rPr>
          <w:rStyle w:val="Refdenotaalpie"/>
          <w:rFonts w:ascii="Calibri" w:hAnsi="Calibri" w:cs="Arial"/>
        </w:rPr>
        <w:footnoteReference w:id="14"/>
      </w:r>
      <w:r>
        <w:t xml:space="preserve"> similar, el 1.32% en Alcalá y 1.13% en Móstoles. Por tanto,  sólo su funcionamiento y su organización interna dan cuenta de la importancia política que se le da a la misma. </w:t>
      </w:r>
    </w:p>
    <w:p w:rsidR="0078685B" w:rsidRDefault="0078685B" w:rsidP="0078685B">
      <w:r>
        <w:rPr>
          <w:rFonts w:cs="Arial"/>
        </w:rPr>
        <w:t xml:space="preserve">En Alcalá de Henares,  </w:t>
      </w:r>
      <w:r>
        <w:t>la Delegación de Participación Ciudadana, es un órgano, sin funciones claras y ello se manifiesta en la escasa coordinación de sus actividades con las Juntas de Distrito y la inexistencia de proyectos a efectuar.</w:t>
      </w:r>
      <w:r w:rsidRPr="00BF66D6">
        <w:t xml:space="preserve"> </w:t>
      </w:r>
      <w:r>
        <w:t>Ha estado integrada a Descentralización en el momento en el que se estaba elaborando el ROM y luego se la designó a Educación. Los asuntos que llevaban, eran el Registro de Asociaciones y de Uniones de Hecho, mediante dos funcionarios administrativos. No ha tenido personal técnico, ni tampoco una relación con las juntas de distrito hasta 2011</w:t>
      </w:r>
      <w:r>
        <w:rPr>
          <w:rStyle w:val="Refdenotaalpie"/>
        </w:rPr>
        <w:footnoteReference w:id="15"/>
      </w:r>
      <w:r>
        <w:t>.  Las actuaciones dentro de cada Junta de Distrito, dependían del Concejal Presidente, su relación con las entidades de la zona y el modo en el que éste trasmitiera al resto de las concejalías las prioridades del distrito. Es así que hay variaciones en las valoraciones de los actores sociales, pero lo que es común, es la baja apreciación que se otorga a este ente y a la Concejalía. Dentro de las juntas, una vez que son puestas en marcha, tardan en nombrar a los funcionarios y hacerlas operativas. Pero cuando esto se hace, no hay una dentro de este esquema un responsable de la misma, sólo los funcionarios  administrativos que llevan el registro y el/o la secretaria del Concejal que es a quien hay que contactar para poder resolver algún asunto.  El Concejal delegado, tampoco era un referente para los actores sociales, su imagen y actividades estaban centradas en Educación. Lo cual da cuenta de la baja consideración de  las juntas y de la Concejalía en el esquema de gobierno.</w:t>
      </w:r>
    </w:p>
    <w:p w:rsidR="0078685B" w:rsidRDefault="0078685B" w:rsidP="0078685B">
      <w:r>
        <w:t>En Móstoles  se instaura  una organización política</w:t>
      </w:r>
      <w:r w:rsidRPr="007D75FF">
        <w:t xml:space="preserve"> </w:t>
      </w:r>
      <w:r>
        <w:t xml:space="preserve">vertical que centraliza todo en Participación Ciudadana. La concejalía ha contado con un técnico y una secretaria, que llevaban todos los asuntos, pero además con un coordinador, puesto de libre designación, encargado de gestionar todo lo relativo a las 5 juntas de distrito. En cada junta, además de los dos administrativos, hay un coordinador, que es el encargado político de la junta y reviste al concejal Presidente y al Coordinador de la concejalía. Con lo cual hay un flujo de información sobre los asuntos que se dan cotidianamente en la junta. Este coordinador,  es la cara con la </w:t>
      </w:r>
      <w:r>
        <w:lastRenderedPageBreak/>
        <w:t>que contactan vecinos y actores sociales. Se sigue un esquema similar al del Ayuntamiento de Madrid. (Arenillas, 2011)  En igual sentido, la concejalía al llevar el Registro, también es la encargada de las cesiones de locales y de la tramitación de subvenciones.  Es una organización centralizada que lleva todo lo relacionado con las asociaciones vecinales, el uso del espacio público y la organización de fiestas en los distritos. En otros temas como, la realización del Plan estratégico durante 2010, roza tangencialmente a la concejalía puesto que interviene el concejal del área, pero es un equipo ad hoc el que lo lleva adelante, dependiente del Vicealcalde y un equipo técnico de la Universidad Rey Juan Carlos quien ejecuta el mismo. La concejalía ha sido la responsable de todo lo relativo a los presupuestos participativos,</w:t>
      </w:r>
      <w:r>
        <w:rPr>
          <w:rStyle w:val="Refdenotaalpie"/>
        </w:rPr>
        <w:footnoteReference w:id="16"/>
      </w:r>
      <w:r>
        <w:t xml:space="preserve">  se ha instrumentado a través del Consejo y el Pleno de Distrito, allí se reciben todas las propuestas para el barrio y la ciudad, presentadas en los registro de cada junta mediante impreso. Estas propuestas son priorizadas en el Consejo y votadas en el Pleno, son de un mandato de duración, aunque al segundo año se pueden cambiar las prioridades según la coyuntura lo habilite. En el Consejo de Distrito hay una Comisión de Seguimiento de las propuestas.  Lo central en este caso, es que los Consejos y Plenos del Distrito, los únicos actores sociales habilitados para participar son las asociaciones vecinales, a diferencia de Alcalá u otras ciudades. Claramente se establece un sesgo privilegiando a este colectivo como la “voz” de los consejos territoriales. </w:t>
      </w:r>
    </w:p>
    <w:p w:rsidR="0078685B" w:rsidRDefault="0078685B" w:rsidP="0078685B">
      <w:r w:rsidRPr="00420D42">
        <w:rPr>
          <w:i/>
        </w:rPr>
        <w:t>Estrategia relacional</w:t>
      </w:r>
      <w:r>
        <w:t>: Lo anterior impacta en  las relaciones formales e informales que mantienen los actores sociales y el gobierno. Si bien en ambas rige la norma de Declaración de Utilidad Pública y con ello el otorgamiento de subsidios a las entidades, este modo de fomentar el asociacionismo no</w:t>
      </w:r>
      <w:r w:rsidR="002B162C">
        <w:t xml:space="preserve"> resulta suficiente</w:t>
      </w:r>
      <w:r>
        <w:t>, si no hay  otras acciones  para revitalizar las organizaciones sociales. Se puede afirmar que ello está muy relacionado con la concepción que los líderes tienen del rol de estos actores</w:t>
      </w:r>
      <w:r>
        <w:rPr>
          <w:rStyle w:val="Refdenotaalpie"/>
        </w:rPr>
        <w:footnoteReference w:id="17"/>
      </w:r>
      <w:r>
        <w:t xml:space="preserve">. </w:t>
      </w:r>
    </w:p>
    <w:p w:rsidR="0078685B" w:rsidRDefault="0078685B" w:rsidP="0078685B">
      <w:r>
        <w:lastRenderedPageBreak/>
        <w:t xml:space="preserve"> En Alcalá de Henares, durante los dos mandatos el impulso estuvo en la cesión de locales y subsidios que fueron mermando con el transcurso del tiempo. Las relaciones con los actores sociales reivindicativos fueron tornándose más conflictivas y los asuntos terminaban en el despacho del alcalde, por tanto, no había cauces efectivos entre asociaciones y líderes políticos. Se destaca un mayor trabajo con asociaciones temáticas y lúdicas y en menor medida con las AAVV a quienes se las ha atendido por problemas puntuales, pero  con una  relación distante, entre líderes políticos y este sector. Si hay convenios de colaboración con entidades, sólo se han efectuado con las deportivas, las lúdicas, no consta que se hayan realizado con ninguna AAVV. Se ha potenciado la labor de las Hermandades y Cofradías, así como de otras entidades sociales y el voluntariado juvenil. </w:t>
      </w:r>
    </w:p>
    <w:p w:rsidR="0078685B" w:rsidRDefault="0078685B" w:rsidP="0078685B">
      <w:r>
        <w:t>En Móstoles, el impulso al asociacionismo ha girado en torno a los mismos elementos, sin embargo, ha habido una estrategia de integración de los colectivos en las actuaciones del ayuntamiento. Hay una relación fluida con las asociaciones mediante un contacto permanente de los concejales con diversos líderes sociales. Por ejemplo, en la puesta en marcha de un proyecto o en sacar adelante una ordenanza</w:t>
      </w:r>
      <w:r>
        <w:rPr>
          <w:rStyle w:val="Refdenotaalpie"/>
        </w:rPr>
        <w:footnoteReference w:id="18"/>
      </w:r>
      <w:r>
        <w:t xml:space="preserve">. Esto estuvo impulsado por las reuniones trimestrales del alcalde con las AAVV Coordinadas. En otros ámbitos, el acercamiento y el trabajo con las demás organizaciones de la ciudad han sido continuos. Se estimuló para ello la agrupación de las entidades en federaciones, en función de tener un interlocutor por tema o área, que es con quien más relación tienen los concejales. </w:t>
      </w:r>
    </w:p>
    <w:p w:rsidR="00A36713" w:rsidRDefault="00A36713" w:rsidP="0078685B"/>
    <w:p w:rsidR="00A36713" w:rsidRDefault="00A36713" w:rsidP="00A36713">
      <w:pPr>
        <w:rPr>
          <w:lang w:val="es-ES_tradnl"/>
        </w:rPr>
      </w:pPr>
      <w:r>
        <w:rPr>
          <w:lang w:val="es-ES_tradnl"/>
        </w:rPr>
        <w:t xml:space="preserve">En síntesis, hay sesgos en el marco legal para participar, restricciones a las AAVV en los consejos territoriales en Alcalá y exclusividad en Móstoles y una concejalía de alto perfil y buenas relaciones con los actores sociales. El </w:t>
      </w:r>
      <w:r w:rsidRPr="000E3795">
        <w:rPr>
          <w:i/>
          <w:lang w:val="es-ES_tradnl"/>
        </w:rPr>
        <w:t>timing</w:t>
      </w:r>
      <w:r>
        <w:rPr>
          <w:lang w:val="es-ES_tradnl"/>
        </w:rPr>
        <w:t xml:space="preserve"> de implementación es lento en Alcalá mientras que en Móstoles se ponen en marcha en la misma legislatura. </w:t>
      </w:r>
    </w:p>
    <w:p w:rsidR="002B162C" w:rsidRPr="00A36713" w:rsidRDefault="002B162C" w:rsidP="0078685B">
      <w:pPr>
        <w:rPr>
          <w:lang w:val="es-ES_tradnl"/>
        </w:rPr>
      </w:pPr>
    </w:p>
    <w:p w:rsidR="002B162C" w:rsidRDefault="002B162C" w:rsidP="0078685B"/>
    <w:p w:rsidR="002B162C" w:rsidRDefault="002B162C" w:rsidP="0078685B"/>
    <w:p w:rsidR="0078685B" w:rsidRPr="00570189" w:rsidRDefault="00A36713" w:rsidP="0078685B">
      <w:pPr>
        <w:rPr>
          <w:lang w:val="es-ES_tradnl"/>
        </w:rPr>
      </w:pPr>
      <w:r>
        <w:rPr>
          <w:lang w:val="es-ES_tradnl"/>
        </w:rPr>
        <w:lastRenderedPageBreak/>
        <w:t>L</w:t>
      </w:r>
      <w:r w:rsidR="0078685B" w:rsidRPr="00570189">
        <w:rPr>
          <w:lang w:val="es-ES_tradnl"/>
        </w:rPr>
        <w:t>a</w:t>
      </w:r>
      <w:r w:rsidR="0078685B">
        <w:rPr>
          <w:lang w:val="es-ES_tradnl"/>
        </w:rPr>
        <w:t xml:space="preserve"> PPC</w:t>
      </w:r>
      <w:r w:rsidR="0078685B" w:rsidRPr="00570189">
        <w:rPr>
          <w:lang w:val="es-ES_tradnl"/>
        </w:rPr>
        <w:t xml:space="preserve"> en Alcalá y Móstoles: </w:t>
      </w:r>
    </w:p>
    <w:tbl>
      <w:tblPr>
        <w:tblStyle w:val="Sombreadomedio2-nfasis11"/>
        <w:tblW w:w="0" w:type="auto"/>
        <w:tblLook w:val="04A0"/>
      </w:tblPr>
      <w:tblGrid>
        <w:gridCol w:w="2881"/>
        <w:gridCol w:w="2881"/>
        <w:gridCol w:w="2882"/>
      </w:tblGrid>
      <w:tr w:rsidR="0078685B" w:rsidRPr="00BD00BF" w:rsidTr="00DF60F1">
        <w:trPr>
          <w:cnfStyle w:val="100000000000"/>
        </w:trPr>
        <w:tc>
          <w:tcPr>
            <w:cnfStyle w:val="001000000100"/>
            <w:tcW w:w="2881" w:type="dxa"/>
          </w:tcPr>
          <w:p w:rsidR="0078685B" w:rsidRPr="00BD00BF" w:rsidRDefault="0078685B" w:rsidP="00DF60F1">
            <w:pPr>
              <w:rPr>
                <w:b w:val="0"/>
                <w:lang w:val="es-ES_tradnl"/>
              </w:rPr>
            </w:pPr>
            <w:r w:rsidRPr="00BD00BF">
              <w:rPr>
                <w:lang w:val="es-ES_tradnl"/>
              </w:rPr>
              <w:t>Estrategias</w:t>
            </w:r>
          </w:p>
        </w:tc>
        <w:tc>
          <w:tcPr>
            <w:tcW w:w="2881" w:type="dxa"/>
          </w:tcPr>
          <w:p w:rsidR="0078685B" w:rsidRPr="00BD00BF" w:rsidRDefault="0078685B" w:rsidP="00DF60F1">
            <w:pPr>
              <w:cnfStyle w:val="100000000000"/>
              <w:rPr>
                <w:b w:val="0"/>
                <w:lang w:val="es-ES_tradnl"/>
              </w:rPr>
            </w:pPr>
            <w:r w:rsidRPr="00BD00BF">
              <w:rPr>
                <w:lang w:val="es-ES_tradnl"/>
              </w:rPr>
              <w:t>Alcalá</w:t>
            </w:r>
          </w:p>
        </w:tc>
        <w:tc>
          <w:tcPr>
            <w:tcW w:w="2882" w:type="dxa"/>
          </w:tcPr>
          <w:p w:rsidR="0078685B" w:rsidRPr="00BD00BF" w:rsidRDefault="0078685B" w:rsidP="00DF60F1">
            <w:pPr>
              <w:cnfStyle w:val="100000000000"/>
              <w:rPr>
                <w:b w:val="0"/>
                <w:lang w:val="es-ES_tradnl"/>
              </w:rPr>
            </w:pPr>
            <w:r w:rsidRPr="00BD00BF">
              <w:rPr>
                <w:lang w:val="es-ES_tradnl"/>
              </w:rPr>
              <w:t>Móstoles</w:t>
            </w:r>
          </w:p>
        </w:tc>
      </w:tr>
      <w:tr w:rsidR="0078685B" w:rsidRPr="000A0998" w:rsidTr="00DF60F1">
        <w:trPr>
          <w:cnfStyle w:val="000000100000"/>
        </w:trPr>
        <w:tc>
          <w:tcPr>
            <w:cnfStyle w:val="001000000000"/>
            <w:tcW w:w="2881" w:type="dxa"/>
          </w:tcPr>
          <w:p w:rsidR="0078685B" w:rsidRPr="000A0998" w:rsidRDefault="0078685B" w:rsidP="00DF60F1">
            <w:pPr>
              <w:rPr>
                <w:b w:val="0"/>
                <w:lang w:val="es-ES_tradnl"/>
              </w:rPr>
            </w:pPr>
            <w:r w:rsidRPr="000A0998">
              <w:rPr>
                <w:lang w:val="es-ES_tradnl"/>
              </w:rPr>
              <w:t>Organizativa</w:t>
            </w:r>
          </w:p>
        </w:tc>
        <w:tc>
          <w:tcPr>
            <w:tcW w:w="2881" w:type="dxa"/>
          </w:tcPr>
          <w:p w:rsidR="0078685B" w:rsidRDefault="0078685B" w:rsidP="00DF60F1">
            <w:pPr>
              <w:ind w:firstLine="0"/>
              <w:jc w:val="left"/>
              <w:cnfStyle w:val="000000100000"/>
              <w:rPr>
                <w:sz w:val="20"/>
                <w:szCs w:val="20"/>
                <w:lang w:val="es-ES_tradnl"/>
              </w:rPr>
            </w:pPr>
            <w:r w:rsidRPr="00A57270">
              <w:rPr>
                <w:sz w:val="20"/>
                <w:szCs w:val="20"/>
                <w:lang w:val="es-ES_tradnl"/>
              </w:rPr>
              <w:t>Concejalía integrada no exclusiva, en educación:</w:t>
            </w:r>
          </w:p>
          <w:p w:rsidR="0078685B" w:rsidRPr="00A57270" w:rsidRDefault="0078685B" w:rsidP="00DF60F1">
            <w:pPr>
              <w:ind w:firstLine="0"/>
              <w:jc w:val="left"/>
              <w:cnfStyle w:val="000000100000"/>
              <w:rPr>
                <w:sz w:val="20"/>
                <w:szCs w:val="20"/>
                <w:lang w:val="es-ES_tradnl"/>
              </w:rPr>
            </w:pPr>
            <w:r w:rsidRPr="00A57270">
              <w:rPr>
                <w:sz w:val="20"/>
                <w:szCs w:val="20"/>
                <w:lang w:val="es-ES_tradnl"/>
              </w:rPr>
              <w:t xml:space="preserve"> Bajo Perfil. </w:t>
            </w:r>
          </w:p>
          <w:p w:rsidR="0078685B" w:rsidRPr="00A57270" w:rsidRDefault="0078685B" w:rsidP="00DF60F1">
            <w:pPr>
              <w:ind w:firstLine="0"/>
              <w:jc w:val="left"/>
              <w:cnfStyle w:val="000000100000"/>
              <w:rPr>
                <w:sz w:val="20"/>
                <w:szCs w:val="20"/>
                <w:lang w:val="es-ES_tradnl"/>
              </w:rPr>
            </w:pPr>
            <w:r w:rsidRPr="00A57270">
              <w:rPr>
                <w:sz w:val="20"/>
                <w:szCs w:val="20"/>
                <w:lang w:val="es-ES_tradnl"/>
              </w:rPr>
              <w:t>Presupuesto del área: 1.32%</w:t>
            </w:r>
          </w:p>
        </w:tc>
        <w:tc>
          <w:tcPr>
            <w:tcW w:w="2882" w:type="dxa"/>
          </w:tcPr>
          <w:p w:rsidR="0078685B" w:rsidRPr="00A57270" w:rsidRDefault="0078685B" w:rsidP="00DF60F1">
            <w:pPr>
              <w:ind w:firstLine="0"/>
              <w:jc w:val="left"/>
              <w:cnfStyle w:val="000000100000"/>
              <w:rPr>
                <w:sz w:val="20"/>
                <w:szCs w:val="20"/>
                <w:lang w:val="es-ES_tradnl"/>
              </w:rPr>
            </w:pPr>
            <w:r w:rsidRPr="00A57270">
              <w:rPr>
                <w:sz w:val="20"/>
                <w:szCs w:val="20"/>
                <w:lang w:val="es-ES_tradnl"/>
              </w:rPr>
              <w:t xml:space="preserve">Concejalía integrada no exclusiva, festejos. </w:t>
            </w:r>
          </w:p>
          <w:p w:rsidR="0078685B" w:rsidRPr="00A57270" w:rsidRDefault="0078685B" w:rsidP="00DF60F1">
            <w:pPr>
              <w:ind w:firstLine="0"/>
              <w:jc w:val="left"/>
              <w:cnfStyle w:val="000000100000"/>
              <w:rPr>
                <w:sz w:val="20"/>
                <w:szCs w:val="20"/>
                <w:lang w:val="es-ES_tradnl"/>
              </w:rPr>
            </w:pPr>
            <w:r w:rsidRPr="00A57270">
              <w:rPr>
                <w:sz w:val="20"/>
                <w:szCs w:val="20"/>
                <w:lang w:val="es-ES_tradnl"/>
              </w:rPr>
              <w:t>Alto Perfil.</w:t>
            </w:r>
          </w:p>
          <w:p w:rsidR="0078685B" w:rsidRPr="00A57270" w:rsidRDefault="0078685B" w:rsidP="00DF60F1">
            <w:pPr>
              <w:ind w:firstLine="0"/>
              <w:cnfStyle w:val="000000100000"/>
              <w:rPr>
                <w:sz w:val="20"/>
                <w:szCs w:val="20"/>
                <w:lang w:val="es-ES_tradnl"/>
              </w:rPr>
            </w:pPr>
            <w:r w:rsidRPr="00A57270">
              <w:rPr>
                <w:sz w:val="20"/>
                <w:szCs w:val="20"/>
                <w:lang w:val="es-ES_tradnl"/>
              </w:rPr>
              <w:t>Presupuesto del área: 1.13%</w:t>
            </w:r>
          </w:p>
          <w:p w:rsidR="0078685B" w:rsidRPr="00A57270" w:rsidRDefault="0078685B" w:rsidP="00DF60F1">
            <w:pPr>
              <w:ind w:firstLine="0"/>
              <w:cnfStyle w:val="000000100000"/>
              <w:rPr>
                <w:sz w:val="20"/>
                <w:szCs w:val="20"/>
                <w:lang w:val="es-ES_tradnl"/>
              </w:rPr>
            </w:pPr>
            <w:r w:rsidRPr="00A57270">
              <w:rPr>
                <w:sz w:val="20"/>
                <w:szCs w:val="20"/>
                <w:lang w:val="es-ES_tradnl"/>
              </w:rPr>
              <w:t>Coordinador de distrito</w:t>
            </w:r>
          </w:p>
        </w:tc>
      </w:tr>
      <w:tr w:rsidR="0078685B" w:rsidRPr="000A0998" w:rsidTr="00DF60F1">
        <w:tc>
          <w:tcPr>
            <w:cnfStyle w:val="001000000000"/>
            <w:tcW w:w="2881" w:type="dxa"/>
          </w:tcPr>
          <w:p w:rsidR="0078685B" w:rsidRPr="000A0998" w:rsidRDefault="0078685B" w:rsidP="00DF60F1">
            <w:pPr>
              <w:rPr>
                <w:b w:val="0"/>
                <w:lang w:val="es-ES_tradnl"/>
              </w:rPr>
            </w:pPr>
            <w:r w:rsidRPr="000A0998">
              <w:rPr>
                <w:lang w:val="es-ES_tradnl"/>
              </w:rPr>
              <w:t>Normativa</w:t>
            </w:r>
          </w:p>
        </w:tc>
        <w:tc>
          <w:tcPr>
            <w:tcW w:w="2881" w:type="dxa"/>
          </w:tcPr>
          <w:p w:rsidR="0078685B" w:rsidRPr="00A57270" w:rsidRDefault="0078685B" w:rsidP="00DF60F1">
            <w:pPr>
              <w:ind w:firstLine="0"/>
              <w:cnfStyle w:val="000000000000"/>
              <w:rPr>
                <w:sz w:val="20"/>
                <w:szCs w:val="20"/>
                <w:lang w:val="es-ES_tradnl"/>
              </w:rPr>
            </w:pPr>
            <w:r w:rsidRPr="00A57270">
              <w:rPr>
                <w:sz w:val="20"/>
                <w:szCs w:val="20"/>
                <w:lang w:val="es-ES_tradnl"/>
              </w:rPr>
              <w:t>RPC Restrictivo (2009)*</w:t>
            </w:r>
          </w:p>
        </w:tc>
        <w:tc>
          <w:tcPr>
            <w:tcW w:w="2882" w:type="dxa"/>
          </w:tcPr>
          <w:p w:rsidR="0078685B" w:rsidRPr="00A57270" w:rsidRDefault="0078685B" w:rsidP="00DF60F1">
            <w:pPr>
              <w:ind w:firstLine="0"/>
              <w:cnfStyle w:val="000000000000"/>
              <w:rPr>
                <w:sz w:val="20"/>
                <w:szCs w:val="20"/>
                <w:lang w:val="es-ES_tradnl"/>
              </w:rPr>
            </w:pPr>
            <w:r w:rsidRPr="00A57270">
              <w:rPr>
                <w:sz w:val="20"/>
                <w:szCs w:val="20"/>
                <w:lang w:val="es-ES_tradnl"/>
              </w:rPr>
              <w:t>Reglamento integrado al ROM y Reglamento de Consejos Sectoriales (2005-6)</w:t>
            </w:r>
          </w:p>
        </w:tc>
      </w:tr>
      <w:tr w:rsidR="0078685B" w:rsidRPr="000A0998" w:rsidTr="00DF60F1">
        <w:trPr>
          <w:cnfStyle w:val="000000100000"/>
        </w:trPr>
        <w:tc>
          <w:tcPr>
            <w:cnfStyle w:val="001000000000"/>
            <w:tcW w:w="2881" w:type="dxa"/>
          </w:tcPr>
          <w:p w:rsidR="0078685B" w:rsidRPr="000A0998" w:rsidRDefault="0078685B" w:rsidP="00DF60F1">
            <w:pPr>
              <w:rPr>
                <w:b w:val="0"/>
                <w:lang w:val="es-ES_tradnl"/>
              </w:rPr>
            </w:pPr>
            <w:r w:rsidRPr="000A0998">
              <w:rPr>
                <w:lang w:val="es-ES_tradnl"/>
              </w:rPr>
              <w:t>Relacional</w:t>
            </w:r>
          </w:p>
        </w:tc>
        <w:tc>
          <w:tcPr>
            <w:tcW w:w="2881" w:type="dxa"/>
          </w:tcPr>
          <w:p w:rsidR="0078685B" w:rsidRPr="00A57270" w:rsidRDefault="0078685B" w:rsidP="00DF60F1">
            <w:pPr>
              <w:ind w:firstLine="0"/>
              <w:cnfStyle w:val="000000100000"/>
              <w:rPr>
                <w:sz w:val="20"/>
                <w:szCs w:val="20"/>
                <w:lang w:val="es-ES_tradnl"/>
              </w:rPr>
            </w:pPr>
            <w:r w:rsidRPr="00A57270">
              <w:rPr>
                <w:sz w:val="20"/>
                <w:szCs w:val="20"/>
                <w:lang w:val="es-ES_tradnl"/>
              </w:rPr>
              <w:t>Subsidios (pocos) / cesión de locales, reunión con alcalde luego de estallado el conflicto</w:t>
            </w:r>
          </w:p>
        </w:tc>
        <w:tc>
          <w:tcPr>
            <w:tcW w:w="2882" w:type="dxa"/>
          </w:tcPr>
          <w:p w:rsidR="0078685B" w:rsidRPr="00A57270" w:rsidRDefault="0078685B" w:rsidP="00DF60F1">
            <w:pPr>
              <w:ind w:firstLine="0"/>
              <w:jc w:val="left"/>
              <w:cnfStyle w:val="000000100000"/>
              <w:rPr>
                <w:sz w:val="20"/>
                <w:szCs w:val="20"/>
                <w:lang w:val="es-ES_tradnl"/>
              </w:rPr>
            </w:pPr>
            <w:r w:rsidRPr="00A57270">
              <w:rPr>
                <w:sz w:val="20"/>
                <w:szCs w:val="20"/>
                <w:lang w:val="es-ES_tradnl"/>
              </w:rPr>
              <w:t>Subsidios, / cesión de locales/Reuniones trimestrales: Alcalde AAVV Coordinadas.</w:t>
            </w:r>
          </w:p>
        </w:tc>
      </w:tr>
      <w:tr w:rsidR="0078685B" w:rsidRPr="000A0998" w:rsidTr="00DF60F1">
        <w:tc>
          <w:tcPr>
            <w:cnfStyle w:val="001000000000"/>
            <w:tcW w:w="2881" w:type="dxa"/>
          </w:tcPr>
          <w:p w:rsidR="0078685B" w:rsidRPr="000A0998" w:rsidRDefault="0078685B" w:rsidP="00DF60F1">
            <w:pPr>
              <w:rPr>
                <w:b w:val="0"/>
                <w:lang w:val="es-ES_tradnl"/>
              </w:rPr>
            </w:pPr>
            <w:r>
              <w:rPr>
                <w:lang w:val="es-ES_tradnl"/>
              </w:rPr>
              <w:t>O</w:t>
            </w:r>
            <w:r w:rsidRPr="000A0998">
              <w:rPr>
                <w:lang w:val="es-ES_tradnl"/>
              </w:rPr>
              <w:t>tros</w:t>
            </w:r>
          </w:p>
        </w:tc>
        <w:tc>
          <w:tcPr>
            <w:tcW w:w="2881" w:type="dxa"/>
          </w:tcPr>
          <w:p w:rsidR="0078685B" w:rsidRPr="00A57270" w:rsidRDefault="0078685B" w:rsidP="00DF60F1">
            <w:pPr>
              <w:cnfStyle w:val="000000000000"/>
              <w:rPr>
                <w:sz w:val="20"/>
                <w:szCs w:val="20"/>
                <w:lang w:val="es-ES_tradnl"/>
              </w:rPr>
            </w:pPr>
          </w:p>
        </w:tc>
        <w:tc>
          <w:tcPr>
            <w:tcW w:w="2882" w:type="dxa"/>
          </w:tcPr>
          <w:p w:rsidR="0078685B" w:rsidRPr="00A57270" w:rsidRDefault="0078685B" w:rsidP="00DF60F1">
            <w:pPr>
              <w:ind w:firstLine="0"/>
              <w:cnfStyle w:val="000000000000"/>
              <w:rPr>
                <w:sz w:val="20"/>
                <w:szCs w:val="20"/>
                <w:lang w:val="es-ES_tradnl"/>
              </w:rPr>
            </w:pPr>
            <w:r w:rsidRPr="00A57270">
              <w:rPr>
                <w:sz w:val="20"/>
                <w:szCs w:val="20"/>
                <w:lang w:val="es-ES_tradnl"/>
              </w:rPr>
              <w:t>Presupuesto participativo/ Plan estratégico/ Debate de estado del Municipio</w:t>
            </w:r>
          </w:p>
        </w:tc>
      </w:tr>
    </w:tbl>
    <w:p w:rsidR="0078685B" w:rsidRPr="000A0998" w:rsidRDefault="0078685B" w:rsidP="0078685B">
      <w:pPr>
        <w:ind w:firstLine="0"/>
        <w:rPr>
          <w:lang w:val="es-ES_tradnl"/>
        </w:rPr>
      </w:pPr>
      <w:r w:rsidRPr="00A57270">
        <w:rPr>
          <w:sz w:val="18"/>
          <w:szCs w:val="18"/>
          <w:lang w:val="es-ES_tradnl"/>
        </w:rPr>
        <w:t>Fuente: elaboración propia. * Se señala este reglamento que es el que ha sido empleado durante las legislaturas objeto de estudio, anteriormente  funcionaban con otro aprobado en 1992, que contempla una distribución territorial más dispersa y que a partir del cambio del ROM deja de tener vigencia para el gobierno. Se ha vuelto a reformar durante el año 2011-12 es aprobado en junio de 2012</w:t>
      </w:r>
      <w:r w:rsidRPr="000A0998">
        <w:rPr>
          <w:lang w:val="es-ES_tradnl"/>
        </w:rPr>
        <w:t>.</w:t>
      </w:r>
    </w:p>
    <w:p w:rsidR="00225DCE" w:rsidRPr="00B147CB" w:rsidRDefault="00225DCE" w:rsidP="00225DCE">
      <w:pPr>
        <w:rPr>
          <w:b/>
          <w:lang w:val="es-ES_tradnl"/>
        </w:rPr>
      </w:pPr>
      <w:r>
        <w:rPr>
          <w:b/>
        </w:rPr>
        <w:t xml:space="preserve">3.2.1. </w:t>
      </w:r>
      <w:r w:rsidR="00E6705C">
        <w:rPr>
          <w:b/>
        </w:rPr>
        <w:t>Rendimiento de los órganos e</w:t>
      </w:r>
      <w:r w:rsidRPr="00B147CB">
        <w:rPr>
          <w:b/>
        </w:rPr>
        <w:t xml:space="preserve">stables según los actores: </w:t>
      </w:r>
    </w:p>
    <w:p w:rsidR="00225DCE" w:rsidRDefault="00225DCE" w:rsidP="00225DCE">
      <w:r>
        <w:t xml:space="preserve">El funcionamiento de los consejos territoriales, tiene gran relación con el lugar que se le otorga a la junta de distrito, que tipo de desconcentración que se realiza y como se vertebra  funcionamiento con el resto del entramado organizativo del Ayuntamiento. Y el funcionamiento de los Sectoriales está más vinculado a la noción integradora  de la participación en el equipo de gobierno. </w:t>
      </w:r>
    </w:p>
    <w:p w:rsidR="00225DCE" w:rsidRDefault="00225DCE" w:rsidP="00225DCE">
      <w:r>
        <w:t xml:space="preserve">En Alcalá, en los consejos territoriales,  los temas tratados han sido de alcance medio a bajo, y la capacidad de modificar cuestiones que el Ayuntamiento tenía en carpeta ha sido limitada. Las relaciones con las entidades han estado marcadas por la falta de rendición de cuentas, de explicación a los actores sociales, sobre el rechazo de una propuesta o sobre cómo va un tema aprobado que ha sido cursado a otra área del ayuntamiento para su ejecución. Las respuesta más repetidas han sido: está en estudio, en este momento no hay dinero, o el Ayuntamiento ya lo tiene previsto en sus planes, las juntas no tienen medios económicos para efectuar eso”. Las mesas de trabajo, se constituyeron en 2010, son un reflejo de lo que ocurre </w:t>
      </w:r>
      <w:r>
        <w:lastRenderedPageBreak/>
        <w:t>en los Plenos, donde han primado los temas de urbanismo. El problema que más destacaron los actores sociales era que no había un circuito organizativo por el cual ellos pudieran seguir los asuntos una vez aprobados por el Pleno y debía preguntar y repreguntar a los concejales presidentes.  Las restricciones a la participación de las entidades vecinales en el Pleno y en las mociones a presentar, generó en algunos distritos, una concordancia entre éstas, que se vieron obligadas a cooperar más entre sí, ello potenció un trabajo más transversal de las asociaciones, porque debían turnarse para presentar mociones o porque no participaban durante un mandato, etc. Sin embargo, la valoración que hacen de estos primeros años es muy baja</w:t>
      </w:r>
      <w:r>
        <w:rPr>
          <w:rStyle w:val="Refdenotaalpie"/>
        </w:rPr>
        <w:footnoteReference w:id="19"/>
      </w:r>
      <w:r>
        <w:t xml:space="preserve">. </w:t>
      </w:r>
    </w:p>
    <w:p w:rsidR="00225DCE" w:rsidRDefault="00225DCE" w:rsidP="00225DCE">
      <w:r>
        <w:t>En Móstoles, por el contrario, los actores sociales suelen valorar muy bien su actividad en éstos consejos, los temas que se tratan son de alcance medio bajo, se remiten más a las farolas y bolardos, hay un seguimiento permanente de los temas. En general los temas aprobados han contado con la decisión política del ayuntamiento y no han tenido vuelta atrás. En los temas menores, la junta ha contado con cuadrillas que arreglan los desperfectos urbanos en corto tiempo, lo cual ha dado una sensación de mayor eficacia de las juntas. Estas cuadrillas han sido parte de un Plan de Mejoramiento de las Juntas en la segunda legislatura, donde también se establece la policía de proximidad. Estos últimos son asiduos a los Consejos de Distrito donde informan de los asuntos de seguridad urbana en éste ámbito. Esta vertebración de la seguridad ciudadana en el barrio no es efectuada en Alcalá</w:t>
      </w:r>
      <w:r>
        <w:rPr>
          <w:rStyle w:val="Refdenotaalpie"/>
        </w:rPr>
        <w:footnoteReference w:id="20"/>
      </w:r>
      <w:r>
        <w:t>.</w:t>
      </w:r>
    </w:p>
    <w:p w:rsidR="00225DCE" w:rsidRDefault="00225DCE" w:rsidP="00225DCE">
      <w:r>
        <w:t>Es importante destacar que se ha utilizado esta órbita para la implementación de lo que ellos denominan presupuestos participativos</w:t>
      </w:r>
      <w:r>
        <w:rPr>
          <w:rStyle w:val="Refdenotaalpie"/>
        </w:rPr>
        <w:footnoteReference w:id="21"/>
      </w:r>
      <w:r>
        <w:t xml:space="preserve"> de mandato, aquí las asociaciones vecinales han sido las que han puntuado las propuestas de actuaciones para el barrio y la ciudad durante la legislatura 2007-11. </w:t>
      </w:r>
    </w:p>
    <w:p w:rsidR="00225DCE" w:rsidRDefault="00225DCE" w:rsidP="00225DCE">
      <w:r>
        <w:lastRenderedPageBreak/>
        <w:t>En Móstoles  hay un trabajo organizativo que ha estado destinado a dotar a las juntas de unos requisitos</w:t>
      </w:r>
      <w:r w:rsidRPr="001711CF">
        <w:t xml:space="preserve"> </w:t>
      </w:r>
      <w:r>
        <w:t>mínimos de eficacia que funcionan y que logran una mejor valoración de los actores. Ya que la junta cuenta con un presupuesto mínimo que permite ejecutar estas obras. Y es donde se puede visualizar la voluntad política de su impulso. Ahora bien, este esquema ha generado que haya una distancia mayor entre concejales y actores sociales por separado, dado que el Coordinador de la junta y el Coordinador de la Delegación son filtros para contactar directamente con el político.  No obstante, la vinculación de las juntas dentro del esquema organizativo del ayuntamiento y la preocupación porque esta resuelva los temas menores de los barrios ha estado presente.  En este caso, se observa la alta</w:t>
      </w:r>
      <w:r>
        <w:rPr>
          <w:rStyle w:val="Refdenotaalpie"/>
        </w:rPr>
        <w:footnoteReference w:id="22"/>
      </w:r>
      <w:r>
        <w:t xml:space="preserve"> consideración política que se le da a la concejalía como elemento de coordinación con las organizaciones vecinales y con los vecinos, con un énfasis a recibir las demandas y sugerencias de estos colectivos. Ello se enmarca en la decisión política de reformar y mejorar el funcionamiento de la administración, mediante la implementación de un Plan estratégico interno que se pone en marcha en 2008. Como contracara en Alcalá puede apreciarse que el tema de la participación y sus órganos formales han estado limitados a actuaciones formales requeridas según las normas. Esto implica que las juntas de distrito funcionaron bajo mínimos durante los dos mandatos</w:t>
      </w:r>
      <w:r>
        <w:rPr>
          <w:rStyle w:val="Refdenotaalpie"/>
        </w:rPr>
        <w:footnoteReference w:id="23"/>
      </w:r>
      <w:r>
        <w:t xml:space="preserve"> y sólo la función del registro ha sido la que más se ha desarrollado en este esquema, sin vertebrarlas en el plano organizativo.</w:t>
      </w:r>
    </w:p>
    <w:p w:rsidR="00225DCE" w:rsidRDefault="00225DCE" w:rsidP="00225DCE">
      <w:r>
        <w:t xml:space="preserve"> El Consejo Social de Ciudad; en Alcalá no ha tenido ningún tipo de importancia, es un órgano desconocido por parte de los actores sociales, mientras que en Móstoles se lo reconoce como órgano relevante antes de la presentación del presupuesto anual y en la presentación de grandes proyectos por parte de los actores sociales y de los concejales como por ejemplo, en  la aprobación del Plan estratégico. </w:t>
      </w:r>
    </w:p>
    <w:p w:rsidR="00225DCE" w:rsidRPr="000E3795" w:rsidRDefault="00225DCE" w:rsidP="00225DCE">
      <w:r>
        <w:t xml:space="preserve">Los Consejos Sectoriales, han tenido rendimientos dispares en ambas ciudades según el estímulo que le ha otorgado el Concejal Presidente. Los cuales suelen ser los órganos formales más vulnerables dentro del esquema, por esa dependencia del concejal del área pero también porque en los más activos para los colectivos locales, se tratan asuntos de competencias impropias en los gobiernos locales, como es educación o salud. En Alcalá el más </w:t>
      </w:r>
      <w:r>
        <w:lastRenderedPageBreak/>
        <w:t xml:space="preserve">fuerte ha sido el de salud, potenciado por los actores sociales vinculados a la Plataforma de Sanidad. </w:t>
      </w:r>
    </w:p>
    <w:p w:rsidR="0078685B" w:rsidRPr="00B147CB" w:rsidRDefault="00225DCE" w:rsidP="0078685B">
      <w:pPr>
        <w:rPr>
          <w:b/>
        </w:rPr>
      </w:pPr>
      <w:r>
        <w:rPr>
          <w:b/>
        </w:rPr>
        <w:t>4</w:t>
      </w:r>
      <w:r w:rsidR="0078685B" w:rsidRPr="00B147CB">
        <w:rPr>
          <w:b/>
        </w:rPr>
        <w:t>. La red de actores: el papel de los líderes políticos como impulsores de la red</w:t>
      </w:r>
    </w:p>
    <w:p w:rsidR="0078685B" w:rsidRPr="00B147CB" w:rsidRDefault="0078685B" w:rsidP="0078685B">
      <w:pPr>
        <w:rPr>
          <w:b/>
        </w:rPr>
      </w:pPr>
      <w:r w:rsidRPr="00B147CB">
        <w:rPr>
          <w:b/>
        </w:rPr>
        <w:t>4.1</w:t>
      </w:r>
      <w:r>
        <w:rPr>
          <w:b/>
        </w:rPr>
        <w:t xml:space="preserve">. </w:t>
      </w:r>
      <w:r w:rsidRPr="00B147CB">
        <w:rPr>
          <w:b/>
        </w:rPr>
        <w:t xml:space="preserve">Visiones de la política en el gobierno: </w:t>
      </w:r>
    </w:p>
    <w:p w:rsidR="0078685B" w:rsidRDefault="0078685B" w:rsidP="0078685B">
      <w:r>
        <w:t xml:space="preserve">En Alcalá de Henares, el gobierno a partir de 2003, es un equipo que viene con el alcalde desde 1991 como concejales de oposición.  En 1995 llegan al gobierno en minoría y en el otro turno pasan a la oposición. El alcalde </w:t>
      </w:r>
      <w:r w:rsidR="002B162C">
        <w:t>forma</w:t>
      </w:r>
      <w:r>
        <w:t xml:space="preserve"> su núcleo de confianza que lo acompañará hasta la última legislatura. En ese proceso Bartolomé González asume la jefatura del partido convirtiéndose en líder indiscutido.</w:t>
      </w:r>
    </w:p>
    <w:p w:rsidR="0078685B" w:rsidRDefault="0078685B" w:rsidP="0078685B">
      <w:r>
        <w:t xml:space="preserve">Dentro del </w:t>
      </w:r>
      <w:r w:rsidRPr="00E46FF0">
        <w:t xml:space="preserve"> equipo de gobierno no había una visión de la participación ciudadana positiva que no fuera la organización de actividades lúdicas festivas.  En el ideario de los ediles se rescata el componente representativo más que participativo, esto es que como ellos fueron elegidos en las urnas, son quienes han de decidir sobre los asuntos de la ciudad y por tanto</w:t>
      </w:r>
      <w:r>
        <w:t>,</w:t>
      </w:r>
      <w:r w:rsidRPr="00E46FF0">
        <w:t xml:space="preserve"> las demandas de las organizaciones sólo son tenidas en cuenta si concuerdan con su visión de lo que ha de hacerse.</w:t>
      </w:r>
      <w:r>
        <w:t xml:space="preserve"> El objetivo de la PPC es:  “</w:t>
      </w:r>
      <w:r w:rsidRPr="00263D22">
        <w:t xml:space="preserve">darle la oportunidad </w:t>
      </w:r>
      <w:r>
        <w:t>a</w:t>
      </w:r>
      <w:r w:rsidRPr="00263D22">
        <w:t>l vecino de decirle al alcalde lo que cree que está haciendo mal y como cree que se puede hacer(…)tiene que venir utilizando las nuevas tecnologías</w:t>
      </w:r>
      <w:r>
        <w:t>,</w:t>
      </w:r>
      <w:r w:rsidRPr="00263D22">
        <w:t xml:space="preserve"> sin intermediarios </w:t>
      </w:r>
      <w:r>
        <w:t>están</w:t>
      </w:r>
      <w:r w:rsidRPr="00263D22">
        <w:t xml:space="preserve"> las nuevas redes, el facebook el t</w:t>
      </w:r>
      <w:r>
        <w:t>w</w:t>
      </w:r>
      <w:r w:rsidRPr="00263D22">
        <w:t>iter,  son unos medios, yo soy defensor de esos medios, para hace</w:t>
      </w:r>
      <w:r>
        <w:t>r</w:t>
      </w:r>
      <w:r w:rsidRPr="00263D22">
        <w:t xml:space="preserve"> llegar la crítica y la petición de servicios al alcalde, ¿porque yo  tengo que usar un intermedio si puedo decirle directamente a mi alcalde, que es lo que pienso?.</w:t>
      </w:r>
      <w:r>
        <w:t xml:space="preserve"> Las juntas de distrito es una vía más, yo creo que hay que rentabilizar todas”. (E. ex alcalde)</w:t>
      </w:r>
    </w:p>
    <w:p w:rsidR="0078685B" w:rsidRDefault="0078685B" w:rsidP="0078685B">
      <w:pPr>
        <w:rPr>
          <w:rFonts w:ascii="Calibri" w:hAnsi="Calibri" w:cs="Arial"/>
        </w:rPr>
      </w:pPr>
      <w:r>
        <w:rPr>
          <w:i/>
        </w:rPr>
        <w:t>L</w:t>
      </w:r>
      <w:r w:rsidRPr="008448B0">
        <w:rPr>
          <w:i/>
        </w:rPr>
        <w:t>os actores sociales:</w:t>
      </w:r>
      <w:r>
        <w:t xml:space="preserve"> la visión sobre las asociaciones vecinales es negativa,  y expresa que el movimiento asociativo es artificial  y politizado, son brazos armados de los partidos políticos “</w:t>
      </w:r>
      <w:r w:rsidRPr="0070467D">
        <w:t>el movimiento está muy politizado salvo, ¿cuando surge una asociación de vecinos? cuando hay un problema que reivindicar, cuando hay un servicio deficitario o porque ese servicio no funciona, entonces, cuando surgen las AAVV tienen un carácter de representatividad, y que va buscando un objetivo común, ¿cuando pasa eso? en los barrios nuevos”.(</w:t>
      </w:r>
      <w:r>
        <w:t>E. ex alcalde). El líder no tiene la misma opinión de las otras asociaciones más temáticas vinculadas a enfermedades o al trabajo social. La falta de representatividad de las asociaciones, más el carácter parcial de las aportaciones  de los vecinos, parecen ser las razones esgrimidas por parte de su partido en virtud de restringir el RPC aprobado.</w:t>
      </w:r>
    </w:p>
    <w:p w:rsidR="0078685B" w:rsidRDefault="0078685B" w:rsidP="0078685B">
      <w:r>
        <w:lastRenderedPageBreak/>
        <w:t xml:space="preserve"> Esteban Parro, en Móstoles, hace un recorrido parecido, entra como concejal de la oposición en 1991, es elegido  Diputado Regional en 1995 y va rodeándose de un grupo de concejales que lo acompañaran en sus mandatos. En este tiempo el partido afronta varias crisis que terminan por saldarse en el año 2000 cuando asume su conducción para afrontar la contienda de 2003 que lo refrenda como líder. </w:t>
      </w:r>
    </w:p>
    <w:p w:rsidR="0078685B" w:rsidRDefault="0078685B" w:rsidP="0078685B">
      <w:r>
        <w:t xml:space="preserve">El Líder adopta una visión de la participación positiva que es “estar cerca de los vecinos y de sus problemas”. Los mecanismos participativos, eran una ayuda para la toma de decisiones, es decir,  recibir la opinión de los actores sociales, que adquieren el rol de insumo básico para la gestión. Estas ideas se impregnan en el resto del equipo de gobierno que se presenta a la ciudadanía como una sola persona detrás del alcalde. </w:t>
      </w:r>
    </w:p>
    <w:p w:rsidR="0078685B" w:rsidRDefault="0078685B" w:rsidP="0078685B">
      <w:r>
        <w:rPr>
          <w:i/>
        </w:rPr>
        <w:t>L</w:t>
      </w:r>
      <w:r w:rsidRPr="008448B0">
        <w:rPr>
          <w:i/>
        </w:rPr>
        <w:t>os actores sociales</w:t>
      </w:r>
      <w:r w:rsidRPr="00CD2680">
        <w:t xml:space="preserve">: </w:t>
      </w:r>
      <w:r>
        <w:t>en conjunto deben</w:t>
      </w:r>
      <w:r w:rsidRPr="00CD2680">
        <w:t xml:space="preserve"> ser apolíticos, neutros con cuestiones concretas de la gestión y con un interlocutor para el gobierno. A</w:t>
      </w:r>
      <w:r>
        <w:t>lgo de</w:t>
      </w:r>
      <w:r w:rsidRPr="00CD2680">
        <w:t xml:space="preserve"> lo cual</w:t>
      </w:r>
      <w:r>
        <w:t xml:space="preserve"> el alcalde presume</w:t>
      </w:r>
      <w:r w:rsidRPr="00CD2680">
        <w:t xml:space="preserve"> haber logrado</w:t>
      </w:r>
      <w:r>
        <w:t xml:space="preserve"> </w:t>
      </w:r>
      <w:r w:rsidRPr="00CD2680">
        <w:t>y en ese marco es que analiza su relación con la AAVV Coordinadas de Móstoles. La</w:t>
      </w:r>
      <w:r>
        <w:t>s</w:t>
      </w:r>
      <w:r w:rsidRPr="00CD2680">
        <w:t xml:space="preserve"> decisiones finales </w:t>
      </w:r>
      <w:r>
        <w:t>son del alcalde</w:t>
      </w:r>
      <w:r w:rsidRPr="00CD2680">
        <w:t xml:space="preserve"> y </w:t>
      </w:r>
      <w:r>
        <w:t>el compromiso</w:t>
      </w:r>
      <w:r w:rsidRPr="00CD2680">
        <w:t xml:space="preserve"> de las asociaciones no era </w:t>
      </w:r>
      <w:r>
        <w:t>“</w:t>
      </w:r>
      <w:r w:rsidRPr="00CD2680">
        <w:t>montar broncas</w:t>
      </w:r>
      <w:r>
        <w:t>”</w:t>
      </w:r>
      <w:r w:rsidRPr="00CD2680">
        <w:t xml:space="preserve"> sino llegar a acuerdos. </w:t>
      </w:r>
    </w:p>
    <w:p w:rsidR="0078685B" w:rsidRDefault="0078685B" w:rsidP="0078685B">
      <w:r>
        <w:t xml:space="preserve"> Los dos  líderes concuerdan que es negativo para la ciudad que el movimiento vecinal esté politizado. Se observa</w:t>
      </w:r>
      <w:r w:rsidRPr="00CD2680">
        <w:t>, un deber ser de los actores sociales que comparten, aunque ambos actuaron de distinto modo, por encontrarse en escenarios locales que les dieron distintos márgenes de acción</w:t>
      </w:r>
      <w:r>
        <w:t xml:space="preserve"> y por rasgos personales que establecen el tipo de nexo de los alcaldes con la ciudadanía.</w:t>
      </w:r>
    </w:p>
    <w:p w:rsidR="0078685B" w:rsidRDefault="0078685B" w:rsidP="0078685B">
      <w:r>
        <w:t>En Alcalá se fomenta una visión de la participación sin un sentido útil más allá de lo festivo y de las juntas de distrito como oficinas de trámites, sumado a la escasa representatividad que ostentan algunas asociaciones.</w:t>
      </w:r>
      <w:r w:rsidRPr="00B2206E">
        <w:t xml:space="preserve"> </w:t>
      </w:r>
      <w:r>
        <w:t>Para el gobierno, resulta más útil que los ciudadanos de modo individual efectúen sus demandas con el alcalde directamente mediante las nuevas tecnologías. En Móstoles, desde el mismo ideario, se la potencia como elemento mediante el cual ellos pueden ajustar sus acciones a las demandas ciudadanas y por tanto son la hoja de ruta del gobierno. En este sentido.los dos, reafirman que la relación más importante sea la de demandas sin movilización social, un componente más bien administrativista de la participación.</w:t>
      </w:r>
      <w:r>
        <w:rPr>
          <w:rStyle w:val="Refdenotaalpie"/>
          <w:rFonts w:ascii="Calibri" w:hAnsi="Calibri" w:cs="Arial"/>
        </w:rPr>
        <w:footnoteReference w:id="24"/>
      </w:r>
    </w:p>
    <w:p w:rsidR="0078685B" w:rsidRDefault="0078685B" w:rsidP="0078685B"/>
    <w:p w:rsidR="0078685B" w:rsidRPr="00B147CB" w:rsidRDefault="0078685B" w:rsidP="0078685B">
      <w:pPr>
        <w:rPr>
          <w:b/>
        </w:rPr>
      </w:pPr>
      <w:r w:rsidRPr="00B147CB">
        <w:rPr>
          <w:b/>
        </w:rPr>
        <w:lastRenderedPageBreak/>
        <w:t xml:space="preserve">4.2. Evaluación del escenario local por parte de los líderes políticos: </w:t>
      </w:r>
    </w:p>
    <w:p w:rsidR="0078685B" w:rsidRDefault="0078685B" w:rsidP="0078685B">
      <w:r>
        <w:t xml:space="preserve">Los alcaldes determinan habitualmente que rol tiene cada área, donde se pone el énfasis en cada gestión y para ello también evalúan las alternativas que les ofrece su contexto. En esta apreciación que hacen los líderes políticos del escenario político local, intervienen también consideraciones sobre el papel que ellos ostentan dentro de la ciudad como gobernantes, cuantos apoyos tienen en el partido y en la ciudad, para no verse afectados en la gestión. </w:t>
      </w:r>
    </w:p>
    <w:p w:rsidR="0078685B" w:rsidRDefault="0078685B" w:rsidP="0078685B">
      <w:r w:rsidRPr="000D3517">
        <w:t>El escenario político está compuesto por varios aspectos. En primer término, el nivel de competencia política (diferencia electoral entre el primer partido y el segundo) En segundo término, el balance de poder en el Consistorio, si se gobierna en mayoría o minoría. En tercer lugar, la situación del partido opositor (débil o fuerte) y por último, la cantidad de aliados sociales que tenga</w:t>
      </w:r>
      <w:r>
        <w:rPr>
          <w:rStyle w:val="Refdenotaalpie"/>
          <w:rFonts w:ascii="Calibri" w:eastAsia="Calibri" w:hAnsi="Calibri" w:cs="Arial"/>
        </w:rPr>
        <w:footnoteReference w:id="25"/>
      </w:r>
      <w:r w:rsidRPr="000D3517">
        <w:t>.</w:t>
      </w:r>
    </w:p>
    <w:p w:rsidR="0078685B" w:rsidRDefault="0078685B" w:rsidP="0078685B">
      <w:r>
        <w:t>En las dos ciudades, hay un nivel de competencia política alto y los gobernantes gozan de mayoría absoluta. Las diferencias, en Alcalá de Henares la oposición es más fuerte que en Móstoles y los actores sociales toman distintas posiciones con respecto a los líderes políticos.</w:t>
      </w:r>
    </w:p>
    <w:p w:rsidR="0078685B" w:rsidRDefault="0078685B" w:rsidP="0078685B">
      <w:r>
        <w:t xml:space="preserve">  Lo que se refleja en la implementación de esta política pública para los alcaldes, es la articulación de los apoyos sociales en el ejercicio de gobierno, este es un vector que el líder político ha de tener encausado</w:t>
      </w:r>
      <w:r>
        <w:rPr>
          <w:rStyle w:val="Refdenotaalpie"/>
          <w:rFonts w:ascii="Calibri" w:hAnsi="Calibri" w:cs="Arial"/>
        </w:rPr>
        <w:footnoteReference w:id="26"/>
      </w:r>
      <w:r>
        <w:t xml:space="preserve"> (John y Cole, 1999) y con ello la regulación del conflicto social. (Blanco, 2009) Por tanto, la apertura de espacios donde distintos colectivos pueden influir en la toma de decisiones resulta un asunto que los líderes no suelen dejar al azar, porque, implica que hay que negociar las decisiones con los afectados y porque algunos colectivos pueden ser vistos como instrumentos de creación de conflicto, desde la oposición. Con lo cual, las actuaciones o no en esta materia, son parte de una decisión política de intervenir en el escenario local.</w:t>
      </w:r>
    </w:p>
    <w:p w:rsidR="0078685B" w:rsidRDefault="0078685B" w:rsidP="0078685B">
      <w:r>
        <w:t>Los dos alcaldes  llegan al gobierno en 2003 con mayorías absolutas, que les permiten efectuar políticas sin necesidad de apoyos de otros grupos en el Pleno. Las concepciones que despliegan los actores tienen que ver con un ideario muy asentado en ellos, enfatizan un modelo social y político similar, son dos vertientes del mismo modelo que propone el partido.</w:t>
      </w:r>
    </w:p>
    <w:p w:rsidR="0078685B" w:rsidRDefault="0078685B" w:rsidP="0078685B">
      <w:r w:rsidRPr="00E46FF0">
        <w:lastRenderedPageBreak/>
        <w:t xml:space="preserve">En Alcalá de Henares, </w:t>
      </w:r>
      <w:r>
        <w:t>las AAVV aparecen muy ligada</w:t>
      </w:r>
      <w:r w:rsidRPr="00E46FF0">
        <w:t xml:space="preserve">s a los partidos de </w:t>
      </w:r>
      <w:r>
        <w:t>izquierda y desde el gobierno la</w:t>
      </w:r>
      <w:r w:rsidRPr="00E46FF0">
        <w:t xml:space="preserve">s consideran parte de esa opción política. Así también el alcalde tenía la oportunidad de negociar directamente con algunas </w:t>
      </w:r>
      <w:r>
        <w:t>AAVV</w:t>
      </w:r>
      <w:r w:rsidRPr="00E46FF0">
        <w:t xml:space="preserve"> dispersas</w:t>
      </w:r>
      <w:r>
        <w:t>,</w:t>
      </w:r>
      <w:r w:rsidRPr="00E46FF0">
        <w:t xml:space="preserve"> evacuando </w:t>
      </w:r>
      <w:r>
        <w:t>las</w:t>
      </w:r>
      <w:r w:rsidRPr="00E46FF0">
        <w:t xml:space="preserve"> demandas más candentes y que él consideraba prioritarias. </w:t>
      </w:r>
      <w:r>
        <w:t xml:space="preserve">En Móstoles, ocurre algo similar pero los últimos gobiernos de la izquierda alejan a algunos actores sociales de dichos partidos, entre ellos a la AAVV Coordinadas. </w:t>
      </w:r>
    </w:p>
    <w:p w:rsidR="0078685B" w:rsidRDefault="0078685B" w:rsidP="0078685B">
      <w:r>
        <w:t>Entre estos gobernantes, hay una cuestión que les diferencia, Bartolomé González al llegar a la alcaldía en 2003 es un líder local consolidado, mientras que Parro no. Por ello, en Móstoles, todas las actuaciones estarán encaminadas a lograr apoyos para consolidarse internamente y entre los ciudadanos. En esa necesidad de ganar la confianza y desterrar el miedo de los ciudadanos hacia el PP, se emprende una política de participación ciudadana que sigue los parámetros del ideario del partido</w:t>
      </w:r>
      <w:r>
        <w:rPr>
          <w:rStyle w:val="Refdenotaalpie"/>
          <w:rFonts w:ascii="Calibri" w:hAnsi="Calibri" w:cs="Arial"/>
        </w:rPr>
        <w:footnoteReference w:id="27"/>
      </w:r>
      <w:r>
        <w:t xml:space="preserve">. </w:t>
      </w:r>
    </w:p>
    <w:p w:rsidR="0078685B" w:rsidRDefault="0078685B" w:rsidP="0078685B">
      <w:r>
        <w:t xml:space="preserve">En Alcalá González, hace su labor de afianzamiento en la comunidad  mientras es alcalde en la legislatura 95-99, con la debilidad de gobernar en minoría. Y es significativo que en la propia entrevista él dijera que la primera elección ganó el partido y que cualquiera que hubiera llevado como primero de la lista podría haber salido, mientras que él reconoce que las demás  elecciones las ganó el como líder (elecciones de 1999, 2003, 2007 y 11). Por tanto, es un dato interesante para observar el comportamiento de los líderes en su contexto. Esto resulta concordante con las declaraciones de Parro, sobre como encaró la gestión apenas asumió el cargo, y sus obsesiones fueron demostrar gestión desde el principio y cumplir los acuerdos preelectorales que le permitieran ganarse la confianza de la ciudadanía en general y de los actores sociales en particular. En los 3 primeros meses  de mandato se firman los 27 Convenios de Colaboración a los que se había comprometido como candidato. </w:t>
      </w:r>
    </w:p>
    <w:p w:rsidR="0078685B" w:rsidRDefault="0078685B" w:rsidP="0078685B">
      <w:r>
        <w:t xml:space="preserve">En ese escenario  Parro,  en Móstoles, tiene un PSOE que se desmorona pero al que toma como referente de lo que no hay que hacer. A la vez, que entiende esa necesidad de ganar confianza en un territorio hostil,  da un especial cuidado a su relación con las organizaciones vecinales, que hasta ese tiempo estaban mayoritariamente concentradas en las Coordinadas y donde algunas estaban ligadas a los partidos de la izquierda.  Este modo de conducir las relaciones con los actores sociales le resulta exitoso y ello da pie a que la política se profundice en el segundo mandato. En principio, es un modo de afianzarse en el municipio y </w:t>
      </w:r>
      <w:r>
        <w:lastRenderedPageBreak/>
        <w:t>luego  les  brinda la posibilidad de atajar muchos conflictos sociales que podrían haberse producido y por tanto haber desgastado al propio alcalde. En una primera etapa, el alcalde contó con un Concejal</w:t>
      </w:r>
      <w:r>
        <w:rPr>
          <w:rStyle w:val="Refdenotaalpie"/>
          <w:rFonts w:ascii="Calibri" w:hAnsi="Calibri" w:cs="Arial"/>
        </w:rPr>
        <w:footnoteReference w:id="28"/>
      </w:r>
      <w:r>
        <w:t xml:space="preserve"> que hizo una labor de relacionamiento con todas las asociaciones, un hombre muy receptivo y abierto a las distintas sensibilidades, ello creó una atmósfera de entendimiento  y organizó la concejalía durante el primer mandato. En igual camino fue la instauración de las reuniones trimestrales</w:t>
      </w:r>
      <w:r>
        <w:rPr>
          <w:rStyle w:val="Refdenotaalpie"/>
          <w:rFonts w:ascii="Calibri" w:hAnsi="Calibri" w:cs="Arial"/>
        </w:rPr>
        <w:footnoteReference w:id="29"/>
      </w:r>
      <w:r>
        <w:t xml:space="preserve"> con los representantes de las AAVV Coordinadas, que funcionaba como un espacio </w:t>
      </w:r>
      <w:r w:rsidRPr="00623F83">
        <w:rPr>
          <w:i/>
        </w:rPr>
        <w:t>ad hoc</w:t>
      </w:r>
      <w:r>
        <w:t>, donde los actores sociales efectuaban demandas y visualizaban los puntos débiles de la gestión.  Cabe señalar, que esta legislatura el alcalde, hace un trabajo de calle, presentándose en los barrios mediante el Plan de Rehabilitación que se realiza en cada uno de ellos, recabando en el llano las inquietudes de los vecinos. En la segunda legislatura, a mitad de mandato, no será tan corriente verlo en los barrios, porque ese rol lo asume el vicealcalde</w:t>
      </w:r>
      <w:r>
        <w:rPr>
          <w:rStyle w:val="Refdenotaalpie"/>
          <w:rFonts w:ascii="Calibri" w:hAnsi="Calibri" w:cs="Arial"/>
        </w:rPr>
        <w:footnoteReference w:id="30"/>
      </w:r>
      <w:r>
        <w:t xml:space="preserve"> y él se reserva para cuestiones de mayor envergadura. En este sentido, hay una conducción verticalista  con puntos muy claros para llevar adelante, al que el resto del equipo de gobierno debía responder y se va plasmando en  los 8 años de mandato.</w:t>
      </w:r>
    </w:p>
    <w:p w:rsidR="0078685B" w:rsidRDefault="0078685B" w:rsidP="0078685B">
      <w:r>
        <w:t>Parro se inclina por buscar durante todo su primer mandato una legitimidad de ejercicio que le posicione a él y a su equipo por encima del resto de  grupos políticos, teniendo muy presente el caso de Alcorcón</w:t>
      </w:r>
      <w:r>
        <w:rPr>
          <w:rStyle w:val="Refdenotaalpie"/>
          <w:rFonts w:ascii="Calibri" w:hAnsi="Calibri" w:cs="Arial"/>
        </w:rPr>
        <w:footnoteReference w:id="31"/>
      </w:r>
      <w:r>
        <w:t xml:space="preserve">.  La segunda legislatura con la misma fórmula se  promueve el Plan estratégico, el Plan de Movilidad Urbana, un Plan estratégico de Modernización de la Administración, el Presupuesto Participativo, etc. El estilo del alcalde fue el manejo de los tiempos, plazos cortos, en asuntos que pudieran verse ante la ciudadanía. Estableció reglas formales para la interlocución con el resto de los actores locales, entronizando en la agenda a la participación ciudadana, como eje de la gestión. </w:t>
      </w:r>
    </w:p>
    <w:p w:rsidR="0078685B" w:rsidRDefault="0078685B" w:rsidP="0078685B">
      <w:r>
        <w:t xml:space="preserve">En Alcalá el modo de conducir fue diferente mientras el alcalde conoce bien cómo se articulan  todos los actores sociales  de la ciudad y posee gran carisma para relacionarse con ellos, sabe de antemano, que tiene aliados parciales aun dentro de la federación de AAVV y mantiene muy buenas relaciones con la mayoría de las otras organizaciones sociales de la ciudad. Se priorizó la relación mano a mano con el alcalde sin una intensión de generar en el </w:t>
      </w:r>
      <w:r>
        <w:lastRenderedPageBreak/>
        <w:t xml:space="preserve">Consistorio un esquema de relaciones con las organizaciones sociales, sino que cada área lo maneja  por su cuenta. Lo cual generó un sistema de compartimentos estancos donde los grandes conflictos recaen en su figura y se entiende la participación ciudadana como un asunto de lucha política donde la mejor opción es no promoverla.  Es un estilo de gestión menos vertical, donde los concejales poseen cierto margen de acción, siguiendo los parámetros del líder.  Por otro lado, el mismo alcalde delimita las AAVV, como “brazos armados de la izquierda” situándolos, en la lucha entre gobierno y oposición, con lo cual todas las demandas que provienen de la federación como tal o de algunos barrios en particular, no serán atendidas con igual sensibilidad que con las que considera sus afines. Tampoco hubo intención de otorgar la concejalía a ediles que pudieran establecer una relación de cordialidad y entendimiento con los actores sociales, siendo que en su equipo había políticos con ese perfil. Por tanto, lo que se observa es que en la agenda del gobierno este asunto  era residual, con una visión pesimista de la participación. A la vez que, la relación con la calle y con otros actores sociales afines estaba asegurada mediante el contacto directo con el alcalde. </w:t>
      </w:r>
    </w:p>
    <w:p w:rsidR="0078685B" w:rsidRDefault="0078685B" w:rsidP="0078685B">
      <w:r>
        <w:t xml:space="preserve">En estos contextos se dan dos modos  de potenciar su propia figura y la gobernabilidad y en ello interviene la PPC. Los alcaldes hacen distintas lecturas sobre el mejor modo de incidir en el escenario local. De un lado, Parro tiene una visión de una gestión eficiente que debe estar organizada y coordinada para que funcione y la participación entronca en esa mirada para ajustarse mejor a las demandas y legitimar las políticas impulsadas por su gobierno. Y esta estrategia resulta posible al encontrar un aliado social clave, la AAVV Coordinada de Móstoles. Mientras que en el caso de González, que comparte una perspectiva administrativista de la participación, potencia las relaciones informales y el contacto directo, con algunos actores sociales, desestimando los canales formales para evitar darle influencia a grupos que considera parte de la oposición, por tanto, rescata la participación individual mediante las nuevas tecnologías como un buen modo de acercar las demandas de los ciudadanos a los políticos. </w:t>
      </w:r>
    </w:p>
    <w:p w:rsidR="0078685B" w:rsidRDefault="0078685B" w:rsidP="0078685B">
      <w:r>
        <w:t>Sin embargo, este escenario no está completo sin explicar el peso diferencial que ostenta la oposición en cada ciudad, para entender que los actores sociales, afrontan distintas estructuras de oportunidades políticas. (Tarrow, 1997)</w:t>
      </w:r>
    </w:p>
    <w:p w:rsidR="0078685B" w:rsidRDefault="0078685B" w:rsidP="0078685B">
      <w:r>
        <w:t xml:space="preserve"> En Alcalá  la oposición está en crisis, pero el cambio de equipos en 2007 le dio impulso al PSOE y  a IU  y ello propendió a un nuevo acercamiento con las organizaciones sociales. Con lo cual, eran un apoyo para éstas, al momento de definirse en la reivindicación y la movilización por sus demandas. Por otro lado, en Móstoles, la posición de la izquierda, tanto, PSOE como IU, están desacreditadas para la población en general, por las huellas de los </w:t>
      </w:r>
      <w:r>
        <w:lastRenderedPageBreak/>
        <w:t xml:space="preserve">últimos gobiernos. Aunque es dentro del PSOE donde un proceso de canibalismo interno se traduce en el cierre de su propia agrupación en 2008. Por tanto, el partido de gobierno tiene un escenario privilegiado para lograr apoyos en la gestión y en capitalizar sus actuaciones de gobierno. En este marco las propias organizaciones sociales, más específicamente las AAVV no tienen un apoyo político fiable, se ha perdido la confianza con los partidos de la izquierda y  la opción de trabajar con el PP en asuntos de la ciudad se torna  una alternativa viable, que se ve gratificada con la firma de Convenios de Colaboración e influencia en asuntos de la ciudad. Aún cuando las AAVV se dividen en dos federaciones, la FAVEM desarrolla un estilo de bajo perfil con escasa influencia dentro del escenario local. </w:t>
      </w:r>
    </w:p>
    <w:p w:rsidR="0078685B" w:rsidRDefault="0078685B" w:rsidP="0078685B">
      <w:r>
        <w:t>La intervención de los líderes  se observa en que establecen unos parámetros para las relaciones con los actores sociales y ello se manifiesta en fomentar una influencia, bajo ciertos cauces, que conlleva la desmovilización de las organizaciones.</w:t>
      </w:r>
      <w:r>
        <w:rPr>
          <w:rStyle w:val="Refdenotaalpie"/>
          <w:rFonts w:ascii="Calibri" w:hAnsi="Calibri" w:cs="Arial"/>
        </w:rPr>
        <w:footnoteReference w:id="32"/>
      </w:r>
      <w:r>
        <w:t xml:space="preserve"> Eso se exteriorizó en la casi desaparición de las protestas callejeras al Ayuntamiento durante estos años en Móstoles.</w:t>
      </w:r>
      <w:r>
        <w:rPr>
          <w:rStyle w:val="Refdenotaalpie"/>
          <w:rFonts w:ascii="Calibri" w:hAnsi="Calibri" w:cs="Arial"/>
        </w:rPr>
        <w:footnoteReference w:id="33"/>
      </w:r>
      <w:r w:rsidR="002B162C">
        <w:t xml:space="preserve"> </w:t>
      </w:r>
      <w:r>
        <w:t xml:space="preserve"> </w:t>
      </w:r>
    </w:p>
    <w:p w:rsidR="0078685B" w:rsidRDefault="0078685B" w:rsidP="0078685B">
      <w:r>
        <w:t xml:space="preserve"> Como síntesis, en el caso de Móstoles lo que parece haber motivado al Alcalde es una lectura muy clara que para gobernar debía influir en el escenario local  generando una base de apoyos sociales sólida, que se logra entre otras</w:t>
      </w:r>
      <w:r>
        <w:rPr>
          <w:rStyle w:val="Refdenotaalpie"/>
          <w:rFonts w:ascii="Calibri" w:hAnsi="Calibri" w:cs="Arial"/>
        </w:rPr>
        <w:footnoteReference w:id="34"/>
      </w:r>
      <w:r>
        <w:t xml:space="preserve"> con la alianza estratégica entre el alcalde y la AAVV Coordinadas de Móstoles. Para ello era vital, forjar una imagen diferenciadora  de su partido a nivel local</w:t>
      </w:r>
      <w:r>
        <w:rPr>
          <w:rStyle w:val="Refdenotaalpie"/>
          <w:rFonts w:ascii="Calibri" w:hAnsi="Calibri" w:cs="Arial"/>
        </w:rPr>
        <w:footnoteReference w:id="35"/>
      </w:r>
      <w:r>
        <w:t>, (</w:t>
      </w:r>
      <w:r w:rsidRPr="0072141B">
        <w:t>Sesma, Alarcón y Font</w:t>
      </w:r>
      <w:r>
        <w:t xml:space="preserve">, 2011) con un relato diferente  encaminado a ganar discursivamente sobre todo, en los </w:t>
      </w:r>
      <w:r w:rsidRPr="000D6E15">
        <w:rPr>
          <w:i/>
        </w:rPr>
        <w:t xml:space="preserve">issues </w:t>
      </w:r>
      <w:r>
        <w:t>que tradicionalmente ha defendido la izquierda. Con lo cual, la premisa fue desideologizar</w:t>
      </w:r>
      <w:r>
        <w:rPr>
          <w:rStyle w:val="Refdenotaalpie"/>
          <w:rFonts w:ascii="Calibri" w:hAnsi="Calibri" w:cs="Arial"/>
        </w:rPr>
        <w:footnoteReference w:id="36"/>
      </w:r>
      <w:r>
        <w:t xml:space="preserve"> todo lo relativo a las políticas sociales, igualdad de género, medio ambiente, etc. Su estrategia fue ocupar el centro político para quitar de allí las banderas del principal partido opositor. </w:t>
      </w:r>
    </w:p>
    <w:p w:rsidR="0078685B" w:rsidRDefault="0078685B" w:rsidP="0078685B">
      <w:r>
        <w:t>En Alcalá ha primado la noción de conflicto político puro (</w:t>
      </w:r>
      <w:r w:rsidRPr="0072141B">
        <w:t>Sesma, Alarcón y</w:t>
      </w:r>
      <w:r>
        <w:t xml:space="preserve"> Font, 2011) dentro del marco gobierno-oposición, sin necesidad por parte del alcalde de modificar la </w:t>
      </w:r>
      <w:r>
        <w:lastRenderedPageBreak/>
        <w:t>estructura de relaciones sociales que había en la ciudad, dado que manteniendo ese estatus quo tenía apoyos suficientes para mantenerse en el poder y gestionar los conflictos, de modo bilateral.</w:t>
      </w:r>
    </w:p>
    <w:p w:rsidR="0078685B" w:rsidRDefault="0078685B" w:rsidP="0078685B">
      <w:r>
        <w:t>Estos casos, señalan que el modo de afrontar el escenario local está relacionado también con la construcción de poder personal por parte de los alcaldes, mantener su estatus como jefes del partido, del gobierno y como representantes de la comunidad. Para ello deben cerciorarse que los apoyos sociales sean sólidos, esto asegura también la gobernabilidad, dado que la toma de decisiones en escenarios muy conflictivos sin apoyos puede abrir frentes internos a los líderes, que suelen ser más perjudiciales que los que potencie la oposición política.  Por tanto, la</w:t>
      </w:r>
      <w:r w:rsidRPr="007433F2">
        <w:rPr>
          <w:i/>
        </w:rPr>
        <w:t xml:space="preserve"> seniority</w:t>
      </w:r>
      <w:r>
        <w:rPr>
          <w:rStyle w:val="Refdenotaalpie"/>
          <w:i/>
        </w:rPr>
        <w:footnoteReference w:id="37"/>
      </w:r>
      <w:r>
        <w:t xml:space="preserve"> al parecer da un manejo de las relaciones locales diferente, los alcaldes se aseguran que votan a su lista porque están ellos, lo cual evita interferencias internas, pero además tienen más confianza  y conocimiento de los actores sociales con quien pueden negociar con más libertad de acción.</w:t>
      </w:r>
    </w:p>
    <w:p w:rsidR="0078685B" w:rsidRDefault="0078685B" w:rsidP="0078685B">
      <w:r>
        <w:t xml:space="preserve"> </w:t>
      </w:r>
    </w:p>
    <w:p w:rsidR="0078685B" w:rsidRPr="00B147CB" w:rsidRDefault="0078685B" w:rsidP="0078685B">
      <w:pPr>
        <w:rPr>
          <w:b/>
          <w:lang w:val="es-ES_tradnl"/>
        </w:rPr>
      </w:pPr>
      <w:r w:rsidRPr="00B147CB">
        <w:rPr>
          <w:b/>
          <w:lang w:val="es-ES_tradnl"/>
        </w:rPr>
        <w:t xml:space="preserve">5. Conclusiones: </w:t>
      </w:r>
    </w:p>
    <w:p w:rsidR="0078685B" w:rsidRDefault="0078685B" w:rsidP="0078685B">
      <w:pPr>
        <w:rPr>
          <w:lang w:val="es-ES_tradnl"/>
        </w:rPr>
      </w:pPr>
      <w:r>
        <w:rPr>
          <w:lang w:val="es-ES_tradnl"/>
        </w:rPr>
        <w:t>Luego de la reforma auspiciada por la Ley 57/2003 la política pública de participación ciudadana,  sigue siendo una política con un alto nivel de variación en función de una voluntad  política firme de que este esquema</w:t>
      </w:r>
      <w:r w:rsidRPr="006713A7">
        <w:rPr>
          <w:lang w:val="es-ES_tradnl"/>
        </w:rPr>
        <w:t xml:space="preserve"> </w:t>
      </w:r>
      <w:r>
        <w:rPr>
          <w:lang w:val="es-ES_tradnl"/>
        </w:rPr>
        <w:t xml:space="preserve">funcione. Para ello, resulta vital el modo en que se organiza la concejalía, como interactúa con las demás concejalías y con los actores sociales. La cual, a pesar de tener un mayor perfil en una de las ciudades, sigue siendo una concejalía de escaso poder propio en los gobiernos locales. La ley, en principio, da más formalidad a unas relaciones entre políticos y actores sociales, pero ello no implica que este marco sea más efectivo en virtud de favorecer los objetivos de la política. Tanto el </w:t>
      </w:r>
      <w:r w:rsidRPr="00771E9D">
        <w:rPr>
          <w:i/>
          <w:lang w:val="es-ES_tradnl"/>
        </w:rPr>
        <w:t xml:space="preserve">timing </w:t>
      </w:r>
      <w:r>
        <w:rPr>
          <w:lang w:val="es-ES_tradnl"/>
        </w:rPr>
        <w:t>de implementación como los sesgos en cada ciudad, dan cuenta de unas relaciones de políticos y organizaciones sociales</w:t>
      </w:r>
      <w:r w:rsidRPr="006713A7">
        <w:rPr>
          <w:lang w:val="es-ES_tradnl"/>
        </w:rPr>
        <w:t xml:space="preserve"> </w:t>
      </w:r>
      <w:r>
        <w:rPr>
          <w:lang w:val="es-ES_tradnl"/>
        </w:rPr>
        <w:t xml:space="preserve">distintas. </w:t>
      </w:r>
    </w:p>
    <w:p w:rsidR="0078685B" w:rsidRDefault="0078685B" w:rsidP="0078685B">
      <w:pPr>
        <w:rPr>
          <w:lang w:val="es-ES_tradnl"/>
        </w:rPr>
      </w:pPr>
      <w:r>
        <w:rPr>
          <w:lang w:val="es-ES_tradnl"/>
        </w:rPr>
        <w:t xml:space="preserve">Lo que sale a la luz, es la prioridad por parte de los líderes en dos tipos de motivaciones, en primer lugar, asegurar su propio liderazgo en el partido y en la ciudad con la obtención de apoyos sociales sólidos. En segundo lugar, fortalecer un escenario sin conflictos que mantenga la gobernabilidad y evitar el desgaste. Las diferencias, en estos casos, estarían en la </w:t>
      </w:r>
      <w:r w:rsidRPr="00430AA5">
        <w:rPr>
          <w:i/>
          <w:lang w:val="es-ES_tradnl"/>
        </w:rPr>
        <w:t>seniority</w:t>
      </w:r>
      <w:r>
        <w:rPr>
          <w:lang w:val="es-ES_tradnl"/>
        </w:rPr>
        <w:t xml:space="preserve"> de los alcaldes, uno con lealtades constituidas en un mandato anterior, el otro </w:t>
      </w:r>
      <w:r>
        <w:rPr>
          <w:lang w:val="es-ES_tradnl"/>
        </w:rPr>
        <w:lastRenderedPageBreak/>
        <w:t>fomentando ese anclaje en las relaciones con la comunidad que es vital si un alcalde quiere continuar en el cargo.  Se observa que los rasgos personales dan matices al sello que potencian en su gestión.</w:t>
      </w:r>
    </w:p>
    <w:p w:rsidR="0078685B" w:rsidRDefault="0078685B" w:rsidP="0078685B">
      <w:pPr>
        <w:rPr>
          <w:lang w:val="es-ES_tradnl"/>
        </w:rPr>
      </w:pPr>
      <w:r>
        <w:rPr>
          <w:lang w:val="es-ES_tradnl"/>
        </w:rPr>
        <w:t xml:space="preserve">Se puede afirmar que el pragmatismo, aun cuando sea el arma para conducirse en el escenario político, está teñido de las consideraciones previas de los actores que expresan sus partidos de pertenencia. En ambos casos, la implementación de la PPC tiene un fuerte componente administrativista de la política, muy alejado de las nociones más integradoras que se promueven desde el centro izquierdo. </w:t>
      </w:r>
    </w:p>
    <w:p w:rsidR="0078685B" w:rsidRDefault="0078685B" w:rsidP="0078685B">
      <w:pPr>
        <w:rPr>
          <w:lang w:val="es-ES_tradnl"/>
        </w:rPr>
      </w:pPr>
      <w:r>
        <w:t xml:space="preserve">En síntesis, dentro de una lógica de partido, el pragmatismo político está dado por la capacidad de influir en el escenario local, la cual parece estar determinada, en estos casos,  por la </w:t>
      </w:r>
      <w:r w:rsidRPr="00D74902">
        <w:rPr>
          <w:i/>
        </w:rPr>
        <w:t>seniority</w:t>
      </w:r>
      <w:r>
        <w:t xml:space="preserve"> de los alcaldes que se suman a rasgos personales de los líderes, que en conjunto se materializan en unos modos de relación con los actores sociales y la ciudadanía en general.</w:t>
      </w:r>
    </w:p>
    <w:p w:rsidR="0078685B" w:rsidRDefault="0078685B" w:rsidP="0078685B">
      <w:pPr>
        <w:rPr>
          <w:lang w:val="es-ES_tradnl"/>
        </w:rPr>
      </w:pPr>
    </w:p>
    <w:p w:rsidR="0078685B" w:rsidRDefault="0078685B" w:rsidP="0078685B">
      <w:pPr>
        <w:rPr>
          <w:lang w:val="es-ES_tradnl"/>
        </w:rPr>
      </w:pPr>
    </w:p>
    <w:p w:rsidR="0078685B" w:rsidRDefault="0078685B" w:rsidP="0078685B">
      <w:pPr>
        <w:rPr>
          <w:lang w:val="es-ES_tradnl"/>
        </w:rPr>
      </w:pPr>
    </w:p>
    <w:p w:rsidR="00871EDC" w:rsidRDefault="00871EDC" w:rsidP="0078685B">
      <w:pPr>
        <w:rPr>
          <w:lang w:val="es-ES_tradnl"/>
        </w:rPr>
      </w:pPr>
    </w:p>
    <w:p w:rsidR="00871EDC" w:rsidRDefault="00871EDC" w:rsidP="0078685B">
      <w:pPr>
        <w:rPr>
          <w:lang w:val="es-ES_tradnl"/>
        </w:rPr>
      </w:pPr>
    </w:p>
    <w:p w:rsidR="00871EDC" w:rsidRDefault="00871EDC" w:rsidP="0078685B">
      <w:pPr>
        <w:rPr>
          <w:lang w:val="es-ES_tradnl"/>
        </w:rPr>
      </w:pPr>
    </w:p>
    <w:p w:rsidR="00871EDC" w:rsidRDefault="00871EDC" w:rsidP="0078685B">
      <w:pPr>
        <w:rPr>
          <w:lang w:val="es-ES_tradnl"/>
        </w:rPr>
      </w:pPr>
    </w:p>
    <w:p w:rsidR="00871EDC" w:rsidRDefault="00871EDC" w:rsidP="0078685B">
      <w:pPr>
        <w:rPr>
          <w:lang w:val="es-ES_tradnl"/>
        </w:rPr>
      </w:pPr>
    </w:p>
    <w:p w:rsidR="00871EDC" w:rsidRDefault="00871EDC" w:rsidP="0078685B">
      <w:pPr>
        <w:rPr>
          <w:lang w:val="es-ES_tradnl"/>
        </w:rPr>
      </w:pPr>
    </w:p>
    <w:p w:rsidR="00871EDC" w:rsidRDefault="00871EDC" w:rsidP="0078685B">
      <w:pPr>
        <w:rPr>
          <w:lang w:val="es-ES_tradnl"/>
        </w:rPr>
      </w:pPr>
    </w:p>
    <w:p w:rsidR="00871EDC" w:rsidRDefault="00871EDC" w:rsidP="0078685B">
      <w:pPr>
        <w:rPr>
          <w:lang w:val="es-ES_tradnl"/>
        </w:rPr>
      </w:pPr>
    </w:p>
    <w:p w:rsidR="00871EDC" w:rsidRDefault="00871EDC" w:rsidP="0078685B">
      <w:pPr>
        <w:rPr>
          <w:lang w:val="es-ES_tradnl"/>
        </w:rPr>
      </w:pPr>
    </w:p>
    <w:p w:rsidR="0078685B" w:rsidRDefault="0078685B" w:rsidP="0078685B">
      <w:pPr>
        <w:rPr>
          <w:lang w:val="es-ES_tradnl"/>
        </w:rPr>
      </w:pPr>
    </w:p>
    <w:p w:rsidR="0078685B" w:rsidRPr="004E1F5D" w:rsidRDefault="0078685B" w:rsidP="0078685B">
      <w:pPr>
        <w:rPr>
          <w:lang w:val="es-ES_tradnl"/>
        </w:rPr>
      </w:pPr>
    </w:p>
    <w:p w:rsidR="0078685B" w:rsidRPr="00812CFC" w:rsidRDefault="0078685B" w:rsidP="0078685B">
      <w:pPr>
        <w:rPr>
          <w:b/>
        </w:rPr>
      </w:pPr>
      <w:r w:rsidRPr="00812CFC">
        <w:rPr>
          <w:b/>
        </w:rPr>
        <w:lastRenderedPageBreak/>
        <w:t>Bibliografía:</w:t>
      </w:r>
    </w:p>
    <w:p w:rsidR="0078685B" w:rsidRDefault="0078685B" w:rsidP="0078685B">
      <w:pPr>
        <w:ind w:left="900" w:hanging="900"/>
        <w:rPr>
          <w:rFonts w:ascii="Calibri" w:hAnsi="Calibri" w:cs="Arial"/>
        </w:rPr>
      </w:pPr>
      <w:r w:rsidRPr="000D3517">
        <w:rPr>
          <w:rFonts w:ascii="Calibri" w:hAnsi="Calibri" w:cs="Arial"/>
        </w:rPr>
        <w:t xml:space="preserve">Alba. C. y Vanaclocha. F. 1997. </w:t>
      </w:r>
      <w:r w:rsidRPr="002B162C">
        <w:rPr>
          <w:rFonts w:ascii="Calibri" w:hAnsi="Calibri" w:cs="Arial"/>
          <w:i/>
          <w:iCs/>
        </w:rPr>
        <w:t>El sistema político local:</w:t>
      </w:r>
      <w:r w:rsidRPr="000D3517">
        <w:rPr>
          <w:rFonts w:ascii="Calibri" w:hAnsi="Calibri" w:cs="Arial"/>
          <w:iCs/>
        </w:rPr>
        <w:t xml:space="preserve"> Un nuevo escenario de gobierno</w:t>
      </w:r>
      <w:r w:rsidRPr="000D3517">
        <w:rPr>
          <w:rFonts w:ascii="Calibri" w:hAnsi="Calibri" w:cs="Arial"/>
        </w:rPr>
        <w:t>: Univ. Carlos 3ª de Madrid-BOE. Madrid.</w:t>
      </w:r>
    </w:p>
    <w:p w:rsidR="0078685B" w:rsidRPr="000D3517" w:rsidRDefault="0078685B" w:rsidP="0078685B">
      <w:pPr>
        <w:ind w:left="709" w:hanging="709"/>
        <w:outlineLvl w:val="1"/>
        <w:rPr>
          <w:rFonts w:ascii="Calibri" w:hAnsi="Calibri" w:cs="Arial"/>
        </w:rPr>
      </w:pPr>
      <w:r>
        <w:rPr>
          <w:rFonts w:ascii="Calibri" w:hAnsi="Calibri" w:cs="Arial"/>
        </w:rPr>
        <w:t xml:space="preserve">Alberich Nistal, T y </w:t>
      </w:r>
      <w:r>
        <w:t>Espadas Alcázar, M.A.</w:t>
      </w:r>
      <w:r w:rsidRPr="003F710A">
        <w:rPr>
          <w:b/>
        </w:rPr>
        <w:t xml:space="preserve"> </w:t>
      </w:r>
      <w:r w:rsidRPr="00472C29">
        <w:t>2009.</w:t>
      </w:r>
      <w:r>
        <w:t xml:space="preserve"> </w:t>
      </w:r>
      <w:r w:rsidRPr="00472C29">
        <w:rPr>
          <w:i/>
        </w:rPr>
        <w:t>Ser  Parte y tomar Parte: Análisis y propuestas sobre asociacionismo y participación ciudadana en la ciudad de Jaén</w:t>
      </w:r>
      <w:r>
        <w:t>.</w:t>
      </w:r>
      <w:r w:rsidRPr="00472C29">
        <w:t xml:space="preserve"> </w:t>
      </w:r>
      <w:r>
        <w:t>Universidad de Jaén.</w:t>
      </w:r>
    </w:p>
    <w:p w:rsidR="0078685B" w:rsidRPr="000D3517" w:rsidRDefault="0078685B" w:rsidP="0078685B">
      <w:pPr>
        <w:ind w:left="900" w:hanging="900"/>
        <w:rPr>
          <w:rFonts w:ascii="Calibri" w:hAnsi="Calibri" w:cs="Arial"/>
        </w:rPr>
      </w:pPr>
      <w:r w:rsidRPr="000D3517">
        <w:rPr>
          <w:rFonts w:ascii="Calibri" w:hAnsi="Calibri" w:cs="Arial"/>
        </w:rPr>
        <w:t xml:space="preserve">Alguacil, Julio. 2006. ed. </w:t>
      </w:r>
      <w:r w:rsidRPr="000D3517">
        <w:rPr>
          <w:rFonts w:ascii="Calibri" w:hAnsi="Calibri" w:cs="Arial"/>
          <w:i/>
        </w:rPr>
        <w:t>Poder local y Participación Democrática</w:t>
      </w:r>
      <w:r w:rsidRPr="000D3517">
        <w:rPr>
          <w:rFonts w:ascii="Calibri" w:hAnsi="Calibri" w:cs="Arial"/>
        </w:rPr>
        <w:t>. El viejo Topo, Madrid.</w:t>
      </w:r>
    </w:p>
    <w:p w:rsidR="0078685B" w:rsidRPr="000D3517" w:rsidRDefault="0078685B" w:rsidP="0078685B">
      <w:pPr>
        <w:pStyle w:val="Textonotapie"/>
        <w:spacing w:line="360" w:lineRule="auto"/>
        <w:ind w:left="900" w:hanging="900"/>
        <w:rPr>
          <w:rFonts w:ascii="Calibri" w:hAnsi="Calibri" w:cs="Arial"/>
          <w:b/>
          <w:sz w:val="22"/>
          <w:szCs w:val="22"/>
        </w:rPr>
      </w:pPr>
      <w:r w:rsidRPr="00A551C4">
        <w:rPr>
          <w:rFonts w:ascii="Calibri" w:hAnsi="Calibri" w:cs="Arial"/>
          <w:bCs/>
          <w:sz w:val="22"/>
          <w:szCs w:val="22"/>
        </w:rPr>
        <w:t xml:space="preserve">Arenilla Sáez, Manuel. 2011. Redes de políticas: el caso de la ciudad de Madrid. </w:t>
      </w:r>
      <w:r w:rsidRPr="002B162C">
        <w:rPr>
          <w:rFonts w:ascii="Calibri" w:hAnsi="Calibri" w:cs="Arial"/>
          <w:bCs/>
          <w:i/>
          <w:sz w:val="22"/>
          <w:szCs w:val="22"/>
        </w:rPr>
        <w:t>Revista Española de Ciencia Política,</w:t>
      </w:r>
      <w:r w:rsidRPr="00A551C4">
        <w:rPr>
          <w:rFonts w:ascii="Calibri" w:hAnsi="Calibri" w:cs="Arial"/>
          <w:bCs/>
          <w:sz w:val="22"/>
          <w:szCs w:val="22"/>
        </w:rPr>
        <w:t xml:space="preserve"> Nº 25. pp. 35-56.</w:t>
      </w:r>
    </w:p>
    <w:p w:rsidR="0078685B" w:rsidRPr="000D3517" w:rsidRDefault="0078685B" w:rsidP="0078685B">
      <w:pPr>
        <w:ind w:left="900" w:hanging="900"/>
        <w:rPr>
          <w:rFonts w:ascii="Calibri" w:hAnsi="Calibri" w:cs="Arial"/>
        </w:rPr>
      </w:pPr>
      <w:r w:rsidRPr="000D3517">
        <w:rPr>
          <w:rFonts w:ascii="Calibri" w:hAnsi="Calibri" w:cs="Arial"/>
          <w:bCs/>
        </w:rPr>
        <w:t>Blanco, Ismael y Gomà, Ricard</w:t>
      </w:r>
      <w:r w:rsidRPr="000D3517">
        <w:rPr>
          <w:rFonts w:ascii="Calibri" w:hAnsi="Calibri" w:cs="Arial"/>
        </w:rPr>
        <w:t>.</w:t>
      </w:r>
      <w:r w:rsidRPr="000D3517">
        <w:rPr>
          <w:rFonts w:ascii="Calibri" w:hAnsi="Calibri" w:cs="Arial"/>
          <w:bCs/>
        </w:rPr>
        <w:t xml:space="preserve"> 2002</w:t>
      </w:r>
      <w:r w:rsidRPr="000D3517">
        <w:rPr>
          <w:rFonts w:ascii="Calibri" w:hAnsi="Calibri" w:cs="Arial"/>
        </w:rPr>
        <w:t xml:space="preserve"> </w:t>
      </w:r>
      <w:r w:rsidR="002B162C" w:rsidRPr="000D3517">
        <w:rPr>
          <w:rFonts w:ascii="Calibri" w:hAnsi="Calibri" w:cs="Arial"/>
        </w:rPr>
        <w:t>coord.</w:t>
      </w:r>
      <w:r w:rsidRPr="000D3517">
        <w:rPr>
          <w:rFonts w:ascii="Calibri" w:hAnsi="Calibri" w:cs="Arial"/>
        </w:rPr>
        <w:t xml:space="preserve"> </w:t>
      </w:r>
      <w:r w:rsidRPr="000D3517">
        <w:rPr>
          <w:rFonts w:ascii="Calibri" w:hAnsi="Calibri" w:cs="Arial"/>
          <w:i/>
          <w:iCs/>
        </w:rPr>
        <w:t>Gobiernos Locales y Redes</w:t>
      </w:r>
      <w:r w:rsidRPr="000D3517">
        <w:rPr>
          <w:rFonts w:ascii="Calibri" w:hAnsi="Calibri" w:cs="Arial"/>
          <w:iCs/>
        </w:rPr>
        <w:t xml:space="preserve"> </w:t>
      </w:r>
      <w:r w:rsidRPr="000D3517">
        <w:rPr>
          <w:rFonts w:ascii="Calibri" w:hAnsi="Calibri" w:cs="Arial"/>
          <w:i/>
          <w:iCs/>
        </w:rPr>
        <w:t>Participativas</w:t>
      </w:r>
      <w:r w:rsidRPr="000D3517">
        <w:rPr>
          <w:rFonts w:ascii="Calibri" w:hAnsi="Calibri" w:cs="Arial"/>
        </w:rPr>
        <w:t xml:space="preserve">. Edit. Ariel. Barcelona. </w:t>
      </w:r>
    </w:p>
    <w:p w:rsidR="0078685B" w:rsidRPr="006F0E66" w:rsidRDefault="0078685B" w:rsidP="0078685B">
      <w:pPr>
        <w:autoSpaceDE w:val="0"/>
        <w:autoSpaceDN w:val="0"/>
        <w:adjustRightInd w:val="0"/>
        <w:ind w:left="900" w:hanging="900"/>
        <w:rPr>
          <w:rFonts w:ascii="Calibri" w:hAnsi="Calibri" w:cs="Arial"/>
          <w:lang w:val="en-US"/>
        </w:rPr>
      </w:pPr>
      <w:r w:rsidRPr="000D3517">
        <w:rPr>
          <w:rFonts w:ascii="Calibri" w:hAnsi="Calibri" w:cs="Arial"/>
          <w:u w:val="single"/>
        </w:rPr>
        <w:t xml:space="preserve">                         </w:t>
      </w:r>
      <w:r w:rsidRPr="000D3517">
        <w:rPr>
          <w:rFonts w:ascii="Calibri" w:hAnsi="Calibri" w:cs="Arial"/>
        </w:rPr>
        <w:t xml:space="preserve">. 2009. Gobernanza urbana políticas de regeneración: el caso de Barcelona </w:t>
      </w:r>
      <w:r w:rsidRPr="000D3517">
        <w:rPr>
          <w:rFonts w:ascii="Calibri" w:hAnsi="Calibri" w:cs="Arial"/>
          <w:i/>
        </w:rPr>
        <w:t>Revista Española de Ciencia Política</w:t>
      </w:r>
      <w:r w:rsidRPr="000D3517">
        <w:rPr>
          <w:rFonts w:ascii="Calibri" w:hAnsi="Calibri" w:cs="Arial"/>
        </w:rPr>
        <w:t xml:space="preserve">. </w:t>
      </w:r>
      <w:r w:rsidRPr="00E6705C">
        <w:rPr>
          <w:rFonts w:ascii="Calibri" w:hAnsi="Calibri" w:cs="Arial"/>
        </w:rPr>
        <w:t xml:space="preserve">20.  </w:t>
      </w:r>
      <w:r w:rsidRPr="006F0E66">
        <w:rPr>
          <w:rFonts w:ascii="Calibri" w:hAnsi="Calibri" w:cs="Arial"/>
          <w:lang w:val="en-US"/>
        </w:rPr>
        <w:t>pp. 125-146.</w:t>
      </w:r>
    </w:p>
    <w:p w:rsidR="0078685B" w:rsidRPr="000D3517" w:rsidRDefault="0078685B" w:rsidP="0078685B">
      <w:pPr>
        <w:autoSpaceDE w:val="0"/>
        <w:autoSpaceDN w:val="0"/>
        <w:adjustRightInd w:val="0"/>
        <w:ind w:left="900" w:hanging="900"/>
        <w:rPr>
          <w:rFonts w:ascii="Calibri" w:hAnsi="Calibri" w:cs="Arial"/>
        </w:rPr>
      </w:pPr>
      <w:r w:rsidRPr="00E6705C">
        <w:rPr>
          <w:rFonts w:ascii="Calibri" w:hAnsi="Calibri" w:cs="Arial"/>
        </w:rPr>
        <w:t xml:space="preserve">Borraz, O. y John, Peter. </w:t>
      </w:r>
      <w:r w:rsidRPr="000D3517">
        <w:rPr>
          <w:rFonts w:ascii="Calibri" w:hAnsi="Calibri" w:cs="Arial"/>
          <w:lang w:val="en-GB"/>
        </w:rPr>
        <w:t xml:space="preserve">2004 The transformation of urban political leadership in Western Europe.  </w:t>
      </w:r>
      <w:r w:rsidRPr="002B162C">
        <w:rPr>
          <w:rFonts w:ascii="Calibri" w:hAnsi="Calibri" w:cs="Arial"/>
          <w:i/>
        </w:rPr>
        <w:t>International Journal of Urban and Regional Research</w:t>
      </w:r>
      <w:r w:rsidRPr="000D3517">
        <w:rPr>
          <w:rFonts w:ascii="Calibri" w:hAnsi="Calibri" w:cs="Arial"/>
        </w:rPr>
        <w:t>, 28(1), pp. 107–120.</w:t>
      </w:r>
    </w:p>
    <w:p w:rsidR="0078685B" w:rsidRPr="000D3517" w:rsidRDefault="0078685B" w:rsidP="0078685B">
      <w:pPr>
        <w:ind w:left="900" w:hanging="900"/>
        <w:rPr>
          <w:rFonts w:ascii="Calibri" w:hAnsi="Calibri" w:cs="Arial"/>
        </w:rPr>
      </w:pPr>
      <w:r w:rsidRPr="000D3517">
        <w:rPr>
          <w:rFonts w:ascii="Calibri" w:hAnsi="Calibri" w:cs="Arial"/>
          <w:bCs/>
        </w:rPr>
        <w:t xml:space="preserve">Bruggé, Quim. </w:t>
      </w:r>
      <w:r w:rsidRPr="000D3517">
        <w:rPr>
          <w:rFonts w:ascii="Calibri" w:hAnsi="Calibri" w:cs="Arial"/>
        </w:rPr>
        <w:t xml:space="preserve">2002 “Nuevos Ayuntamientos, Concejales diferentes: Del gobierno de las instituciones al gobierno de redes” </w:t>
      </w:r>
      <w:r w:rsidRPr="000D3517">
        <w:rPr>
          <w:rFonts w:ascii="Calibri" w:hAnsi="Calibri" w:cs="Arial"/>
          <w:i/>
        </w:rPr>
        <w:t>Revista Española de Ciencia Política</w:t>
      </w:r>
      <w:r w:rsidRPr="000D3517">
        <w:rPr>
          <w:rFonts w:ascii="Calibri" w:hAnsi="Calibri" w:cs="Arial"/>
        </w:rPr>
        <w:t>. 7. pp.9-37.</w:t>
      </w:r>
    </w:p>
    <w:p w:rsidR="0078685B" w:rsidRPr="000D3517" w:rsidRDefault="0078685B" w:rsidP="0078685B">
      <w:pPr>
        <w:ind w:left="900" w:hanging="900"/>
        <w:rPr>
          <w:rFonts w:ascii="Calibri" w:hAnsi="Calibri" w:cs="Arial"/>
        </w:rPr>
      </w:pPr>
      <w:r w:rsidRPr="00812CFC">
        <w:rPr>
          <w:rFonts w:ascii="Calibri" w:hAnsi="Calibri" w:cs="Arial"/>
          <w:bCs/>
        </w:rPr>
        <w:t xml:space="preserve">Brugué, Quim, Font, Joan, Gomá, Ricard. </w:t>
      </w:r>
      <w:r w:rsidRPr="000D3517">
        <w:rPr>
          <w:rFonts w:ascii="Calibri" w:hAnsi="Calibri" w:cs="Arial"/>
        </w:rPr>
        <w:t xml:space="preserve">2005 Participación y Democracia: Asociaciones y Poder Local. UAB. </w:t>
      </w:r>
    </w:p>
    <w:p w:rsidR="0078685B" w:rsidRPr="00812CFC" w:rsidRDefault="0078685B" w:rsidP="0078685B">
      <w:pPr>
        <w:ind w:left="900" w:hanging="900"/>
        <w:rPr>
          <w:rFonts w:ascii="Calibri" w:hAnsi="Calibri" w:cs="Arial"/>
        </w:rPr>
      </w:pPr>
      <w:r w:rsidRPr="000D3517">
        <w:rPr>
          <w:rFonts w:ascii="Calibri" w:hAnsi="Calibri" w:cs="Arial"/>
        </w:rPr>
        <w:t xml:space="preserve">Brugué Quim y Gomá, Ricard. 1998 </w:t>
      </w:r>
      <w:r w:rsidRPr="002B162C">
        <w:rPr>
          <w:rFonts w:ascii="Calibri" w:hAnsi="Calibri" w:cs="Arial"/>
          <w:i/>
        </w:rPr>
        <w:t>Gobiernos Locales y políticas Públicas</w:t>
      </w:r>
      <w:r w:rsidRPr="000D3517">
        <w:rPr>
          <w:rFonts w:ascii="Calibri" w:hAnsi="Calibri" w:cs="Arial"/>
        </w:rPr>
        <w:t xml:space="preserve">. </w:t>
      </w:r>
      <w:r w:rsidRPr="00812CFC">
        <w:rPr>
          <w:rFonts w:ascii="Calibri" w:hAnsi="Calibri" w:cs="Arial"/>
        </w:rPr>
        <w:t>Ariel, Barcelona.</w:t>
      </w:r>
    </w:p>
    <w:p w:rsidR="0078685B" w:rsidRPr="00812CFC" w:rsidRDefault="0078685B" w:rsidP="0078685B">
      <w:pPr>
        <w:autoSpaceDE w:val="0"/>
        <w:autoSpaceDN w:val="0"/>
        <w:adjustRightInd w:val="0"/>
        <w:ind w:left="900" w:hanging="900"/>
        <w:rPr>
          <w:rFonts w:ascii="Calibri" w:hAnsi="Calibri" w:cs="Arial"/>
          <w:lang w:val="en-US"/>
        </w:rPr>
      </w:pPr>
      <w:r w:rsidRPr="000D3517">
        <w:rPr>
          <w:rFonts w:ascii="Calibri" w:hAnsi="Calibri" w:cs="Arial"/>
          <w:lang w:val="es-ES_tradnl"/>
        </w:rPr>
        <w:t xml:space="preserve">Colino y Del Pino, Elisa. 2005. Las Nuevas formas de Participación en los Gobiernos Locales. </w:t>
      </w:r>
      <w:r w:rsidRPr="00225DCE">
        <w:rPr>
          <w:rFonts w:ascii="Calibri" w:hAnsi="Calibri" w:cs="Arial"/>
          <w:lang w:val="en-US"/>
        </w:rPr>
        <w:t xml:space="preserve">Fundación Alternativas. </w:t>
      </w:r>
      <w:r w:rsidRPr="00812CFC">
        <w:rPr>
          <w:rFonts w:ascii="Calibri" w:hAnsi="Calibri" w:cs="Arial"/>
          <w:lang w:val="en-US"/>
        </w:rPr>
        <w:t>Madrid</w:t>
      </w:r>
    </w:p>
    <w:p w:rsidR="0078685B" w:rsidRPr="000D3517" w:rsidRDefault="0078685B" w:rsidP="0078685B">
      <w:pPr>
        <w:autoSpaceDE w:val="0"/>
        <w:autoSpaceDN w:val="0"/>
        <w:adjustRightInd w:val="0"/>
        <w:ind w:firstLine="0"/>
        <w:rPr>
          <w:rFonts w:ascii="Calibri" w:hAnsi="Calibri" w:cs="Arial"/>
          <w:lang w:val="en-GB"/>
        </w:rPr>
      </w:pPr>
      <w:r w:rsidRPr="000D3517">
        <w:rPr>
          <w:rFonts w:ascii="Calibri" w:hAnsi="Calibri" w:cs="Arial"/>
          <w:lang w:val="en-GB"/>
        </w:rPr>
        <w:t xml:space="preserve">Clarke, S. 1993. “The New Localism: Local Politcs in the Global Era” En Goetz y Clarke, </w:t>
      </w:r>
      <w:r w:rsidRPr="000D3517">
        <w:rPr>
          <w:rFonts w:ascii="Calibri" w:hAnsi="Calibri" w:cs="Arial"/>
          <w:i/>
          <w:iCs/>
          <w:lang w:val="en-GB"/>
        </w:rPr>
        <w:t>The New Localism. Comparative Urban Politics in a Global Era</w:t>
      </w:r>
      <w:r w:rsidRPr="000D3517">
        <w:rPr>
          <w:rFonts w:ascii="Calibri" w:hAnsi="Calibri" w:cs="Arial"/>
          <w:lang w:val="en-GB"/>
        </w:rPr>
        <w:t>. London. Sage.1-21.</w:t>
      </w:r>
    </w:p>
    <w:p w:rsidR="0078685B" w:rsidRDefault="0078685B" w:rsidP="0078685B">
      <w:pPr>
        <w:pStyle w:val="Textonotapie"/>
        <w:spacing w:line="360" w:lineRule="auto"/>
        <w:ind w:left="900" w:hanging="900"/>
        <w:rPr>
          <w:rFonts w:ascii="Calibri" w:hAnsi="Calibri" w:cs="Arial"/>
          <w:sz w:val="22"/>
          <w:szCs w:val="22"/>
        </w:rPr>
      </w:pPr>
      <w:r w:rsidRPr="0078685B">
        <w:rPr>
          <w:rFonts w:ascii="Calibri" w:hAnsi="Calibri" w:cs="Arial"/>
          <w:bCs/>
          <w:sz w:val="22"/>
          <w:szCs w:val="22"/>
          <w:lang w:val="en-US"/>
        </w:rPr>
        <w:t xml:space="preserve">Font. </w:t>
      </w:r>
      <w:r w:rsidRPr="000D3517">
        <w:rPr>
          <w:rFonts w:ascii="Calibri" w:hAnsi="Calibri" w:cs="Arial"/>
          <w:bCs/>
          <w:sz w:val="22"/>
          <w:szCs w:val="22"/>
        </w:rPr>
        <w:t>Joan.</w:t>
      </w:r>
      <w:r w:rsidRPr="000D3517">
        <w:rPr>
          <w:rFonts w:ascii="Calibri" w:hAnsi="Calibri" w:cs="Arial"/>
          <w:sz w:val="22"/>
          <w:szCs w:val="22"/>
        </w:rPr>
        <w:t xml:space="preserve"> 2001. </w:t>
      </w:r>
      <w:r w:rsidRPr="0078685B">
        <w:rPr>
          <w:rFonts w:ascii="Calibri" w:hAnsi="Calibri" w:cs="Arial"/>
          <w:i/>
          <w:iCs/>
          <w:sz w:val="22"/>
          <w:szCs w:val="22"/>
        </w:rPr>
        <w:t>Ciudadanos y Decisiones Públicas</w:t>
      </w:r>
      <w:r w:rsidRPr="000D3517">
        <w:rPr>
          <w:rFonts w:ascii="Calibri" w:hAnsi="Calibri" w:cs="Arial"/>
          <w:sz w:val="22"/>
          <w:szCs w:val="22"/>
        </w:rPr>
        <w:t>. Coord. Ariel. Barcelona</w:t>
      </w:r>
    </w:p>
    <w:p w:rsidR="0078685B" w:rsidRDefault="0078685B" w:rsidP="0078685B">
      <w:pPr>
        <w:ind w:left="709" w:hanging="709"/>
        <w:outlineLvl w:val="1"/>
      </w:pPr>
      <w:r w:rsidRPr="003F710A">
        <w:t xml:space="preserve">Font, J. y Blanco, I. (2005): “¿Qué hay detrás de la oferta de participación? El rol de los      factores instrumentales e ideológicos en los mecanismos españoles de participación”, </w:t>
      </w:r>
      <w:r w:rsidRPr="003F710A">
        <w:rPr>
          <w:i/>
          <w:iCs/>
        </w:rPr>
        <w:t>Revista del CLAD Reforma y Democracia</w:t>
      </w:r>
      <w:r w:rsidRPr="003F710A">
        <w:t>, (31): 1-17.</w:t>
      </w:r>
    </w:p>
    <w:p w:rsidR="0078685B" w:rsidRPr="000D3517" w:rsidRDefault="0078685B" w:rsidP="0078685B">
      <w:pPr>
        <w:ind w:left="709" w:hanging="709"/>
        <w:outlineLvl w:val="1"/>
        <w:rPr>
          <w:rFonts w:ascii="Calibri" w:hAnsi="Calibri" w:cs="Arial"/>
        </w:rPr>
      </w:pPr>
      <w:r>
        <w:rPr>
          <w:rStyle w:val="itempublicados"/>
        </w:rPr>
        <w:lastRenderedPageBreak/>
        <w:t xml:space="preserve">________ y otros. 2011. Democracia local en Andalucía. Experiencias participativas en los municipios andaluces. Centro de Estudios Andaluces. </w:t>
      </w:r>
    </w:p>
    <w:p w:rsidR="0078685B" w:rsidRPr="000D3517" w:rsidRDefault="0078685B" w:rsidP="0078685B">
      <w:pPr>
        <w:ind w:left="900" w:hanging="900"/>
        <w:rPr>
          <w:rFonts w:ascii="Calibri" w:hAnsi="Calibri" w:cs="Arial"/>
        </w:rPr>
      </w:pPr>
      <w:r w:rsidRPr="000D3517">
        <w:rPr>
          <w:rFonts w:ascii="Calibri" w:hAnsi="Calibri" w:cs="Arial"/>
          <w:lang w:val="es-ES_tradnl"/>
        </w:rPr>
        <w:t>FCAVAH. 2011. Balance 2010 de las Juntas de Distrito en Alcalá de Henares.</w:t>
      </w:r>
    </w:p>
    <w:p w:rsidR="0078685B" w:rsidRPr="006F0E66" w:rsidRDefault="0078685B" w:rsidP="0078685B">
      <w:pPr>
        <w:ind w:left="900" w:hanging="900"/>
        <w:rPr>
          <w:rFonts w:ascii="Calibri" w:hAnsi="Calibri" w:cs="Arial"/>
        </w:rPr>
      </w:pPr>
      <w:r w:rsidRPr="0078685B">
        <w:rPr>
          <w:rFonts w:ascii="Calibri" w:hAnsi="Calibri" w:cs="Arial"/>
        </w:rPr>
        <w:t>Fundación Encuentro.</w:t>
      </w:r>
      <w:r w:rsidRPr="000D3517">
        <w:rPr>
          <w:rFonts w:ascii="Calibri" w:hAnsi="Calibri" w:cs="Arial"/>
        </w:rPr>
        <w:t xml:space="preserve">  2000  “Participación Ciudadana en la política local” </w:t>
      </w:r>
      <w:r w:rsidRPr="000D3517">
        <w:rPr>
          <w:rFonts w:ascii="Calibri" w:hAnsi="Calibri" w:cs="Arial"/>
          <w:i/>
        </w:rPr>
        <w:t>Informe España 2000 Una interpretación de la realidad social</w:t>
      </w:r>
      <w:r w:rsidRPr="000D3517">
        <w:rPr>
          <w:rFonts w:ascii="Calibri" w:hAnsi="Calibri" w:cs="Arial"/>
        </w:rPr>
        <w:t xml:space="preserve">. </w:t>
      </w:r>
      <w:r w:rsidRPr="006F0E66">
        <w:rPr>
          <w:rFonts w:ascii="Calibri" w:hAnsi="Calibri" w:cs="Arial"/>
        </w:rPr>
        <w:t>Madrid. pp. 313-355.</w:t>
      </w:r>
    </w:p>
    <w:p w:rsidR="0078685B" w:rsidRPr="006F0E66" w:rsidRDefault="0078685B" w:rsidP="0078685B">
      <w:pPr>
        <w:ind w:left="900" w:hanging="900"/>
        <w:rPr>
          <w:rFonts w:ascii="Calibri" w:hAnsi="Calibri" w:cs="Arial"/>
        </w:rPr>
      </w:pPr>
      <w:r w:rsidRPr="00A40318">
        <w:rPr>
          <w:rFonts w:ascii="Calibri" w:hAnsi="Calibri" w:cs="Arial"/>
        </w:rPr>
        <w:t>Ganuza</w:t>
      </w:r>
      <w:r>
        <w:rPr>
          <w:rFonts w:ascii="Calibri" w:hAnsi="Calibri" w:cs="Arial"/>
        </w:rPr>
        <w:t>. E</w:t>
      </w:r>
      <w:r w:rsidRPr="00A40318">
        <w:rPr>
          <w:rFonts w:ascii="Calibri" w:hAnsi="Calibri" w:cs="Arial"/>
        </w:rPr>
        <w:t xml:space="preserve"> y</w:t>
      </w:r>
      <w:r>
        <w:rPr>
          <w:rFonts w:ascii="Calibri" w:hAnsi="Calibri" w:cs="Arial"/>
        </w:rPr>
        <w:t xml:space="preserve"> </w:t>
      </w:r>
      <w:r w:rsidRPr="00A40318">
        <w:rPr>
          <w:rFonts w:ascii="Calibri" w:hAnsi="Calibri" w:cs="Arial"/>
        </w:rPr>
        <w:t xml:space="preserve">Gómez </w:t>
      </w:r>
      <w:r>
        <w:rPr>
          <w:rFonts w:ascii="Calibri" w:hAnsi="Calibri" w:cs="Arial"/>
        </w:rPr>
        <w:t xml:space="preserve">B. 2008. Control democrático y presupuestos participativos en España. Estudios del Progreso </w:t>
      </w:r>
      <w:r w:rsidRPr="006F0E66">
        <w:rPr>
          <w:rFonts w:ascii="Calibri" w:hAnsi="Calibri" w:cs="Arial"/>
        </w:rPr>
        <w:t>Nº: EP 38/2008. Fundación Alternativas.</w:t>
      </w:r>
    </w:p>
    <w:p w:rsidR="0078685B" w:rsidRPr="00A40318" w:rsidRDefault="0078685B" w:rsidP="00344EFE">
      <w:pPr>
        <w:ind w:left="709" w:hanging="709"/>
        <w:outlineLvl w:val="1"/>
        <w:rPr>
          <w:rFonts w:ascii="Calibri" w:hAnsi="Calibri" w:cs="Arial"/>
        </w:rPr>
      </w:pPr>
      <w:r>
        <w:rPr>
          <w:rFonts w:ascii="Calibri" w:hAnsi="Calibri" w:cs="Arial"/>
          <w:u w:val="single"/>
        </w:rPr>
        <w:t xml:space="preserve">                       </w:t>
      </w:r>
      <w:r w:rsidRPr="00A40318">
        <w:rPr>
          <w:rFonts w:ascii="Calibri" w:hAnsi="Calibri" w:cs="Arial"/>
        </w:rPr>
        <w:t>2011.</w:t>
      </w:r>
      <w:r>
        <w:rPr>
          <w:rFonts w:ascii="Calibri" w:hAnsi="Calibri" w:cs="Arial"/>
        </w:rPr>
        <w:t xml:space="preserve"> </w:t>
      </w:r>
      <w:r w:rsidRPr="003F710A">
        <w:rPr>
          <w:rFonts w:ascii="Calibri" w:hAnsi="Calibri" w:cs="Arial"/>
        </w:rPr>
        <w:t>¿Porto</w:t>
      </w:r>
      <w:r>
        <w:rPr>
          <w:rFonts w:ascii="Calibri" w:hAnsi="Calibri" w:cs="Arial"/>
        </w:rPr>
        <w:t xml:space="preserve"> A</w:t>
      </w:r>
      <w:r w:rsidRPr="003F710A">
        <w:rPr>
          <w:rFonts w:ascii="Calibri" w:hAnsi="Calibri" w:cs="Arial"/>
        </w:rPr>
        <w:t>legre</w:t>
      </w:r>
      <w:r>
        <w:rPr>
          <w:rFonts w:ascii="Calibri" w:hAnsi="Calibri" w:cs="Arial"/>
        </w:rPr>
        <w:t xml:space="preserve"> </w:t>
      </w:r>
      <w:r w:rsidRPr="003F710A">
        <w:rPr>
          <w:rFonts w:ascii="Calibri" w:hAnsi="Calibri" w:cs="Arial"/>
        </w:rPr>
        <w:t>en</w:t>
      </w:r>
      <w:r>
        <w:rPr>
          <w:rFonts w:ascii="Calibri" w:hAnsi="Calibri" w:cs="Arial"/>
        </w:rPr>
        <w:t xml:space="preserve"> </w:t>
      </w:r>
      <w:r w:rsidRPr="003F710A">
        <w:rPr>
          <w:rFonts w:ascii="Calibri" w:hAnsi="Calibri" w:cs="Arial"/>
        </w:rPr>
        <w:t>Europa? (el</w:t>
      </w:r>
      <w:r>
        <w:rPr>
          <w:rFonts w:ascii="Calibri" w:hAnsi="Calibri" w:cs="Arial"/>
        </w:rPr>
        <w:t xml:space="preserve"> </w:t>
      </w:r>
      <w:r w:rsidRPr="003F710A">
        <w:rPr>
          <w:rFonts w:ascii="Calibri" w:hAnsi="Calibri" w:cs="Arial"/>
        </w:rPr>
        <w:t>Caso</w:t>
      </w:r>
      <w:r>
        <w:rPr>
          <w:rFonts w:ascii="Calibri" w:hAnsi="Calibri" w:cs="Arial"/>
        </w:rPr>
        <w:t xml:space="preserve"> </w:t>
      </w:r>
      <w:r w:rsidRPr="003F710A">
        <w:rPr>
          <w:rFonts w:ascii="Calibri" w:hAnsi="Calibri" w:cs="Arial"/>
        </w:rPr>
        <w:t>español</w:t>
      </w:r>
      <w:r>
        <w:rPr>
          <w:rFonts w:ascii="Calibri" w:hAnsi="Calibri" w:cs="Arial"/>
        </w:rPr>
        <w:t>) en S</w:t>
      </w:r>
      <w:r>
        <w:rPr>
          <w:rStyle w:val="itempublicados"/>
        </w:rPr>
        <w:t xml:space="preserve">intomer Y. y Ganuza, E. 2011 </w:t>
      </w:r>
      <w:r w:rsidRPr="003F710A">
        <w:rPr>
          <w:rStyle w:val="itempublicados"/>
          <w:i/>
        </w:rPr>
        <w:t>Democracia participativa y modernización de los servicios públicos: los presupuestos participativos en Europa</w:t>
      </w:r>
      <w:r>
        <w:rPr>
          <w:rStyle w:val="itempublicados"/>
        </w:rPr>
        <w:t>.pp.56-77.</w:t>
      </w:r>
    </w:p>
    <w:p w:rsidR="0078685B" w:rsidRDefault="0078685B" w:rsidP="0078685B">
      <w:pPr>
        <w:pStyle w:val="IGOPBibliografia"/>
        <w:spacing w:after="100"/>
        <w:rPr>
          <w:rFonts w:ascii="Calibri" w:hAnsi="Calibri"/>
          <w:szCs w:val="24"/>
          <w:lang w:eastAsia="ru-RU"/>
        </w:rPr>
      </w:pPr>
      <w:r w:rsidRPr="000D3517">
        <w:rPr>
          <w:rFonts w:ascii="Calibri" w:hAnsi="Calibri"/>
        </w:rPr>
        <w:t>John, Peter. 2001.</w:t>
      </w:r>
      <w:r w:rsidRPr="000D3517">
        <w:rPr>
          <w:rFonts w:ascii="Calibri" w:hAnsi="Calibri"/>
          <w:lang w:eastAsia="ru-RU"/>
        </w:rPr>
        <w:t xml:space="preserve"> </w:t>
      </w:r>
      <w:r w:rsidRPr="00E754A4">
        <w:rPr>
          <w:rFonts w:ascii="Calibri" w:hAnsi="Calibri"/>
          <w:i/>
          <w:szCs w:val="24"/>
          <w:lang w:eastAsia="ru-RU"/>
        </w:rPr>
        <w:t>Local Governance in Western Europe</w:t>
      </w:r>
      <w:r w:rsidRPr="000D3517">
        <w:rPr>
          <w:rFonts w:ascii="Calibri" w:hAnsi="Calibri"/>
          <w:szCs w:val="24"/>
          <w:lang w:eastAsia="ru-RU"/>
        </w:rPr>
        <w:t>. London: Sage.</w:t>
      </w:r>
    </w:p>
    <w:p w:rsidR="0078685B" w:rsidRPr="00727DDF" w:rsidRDefault="0078685B" w:rsidP="0078685B">
      <w:pPr>
        <w:autoSpaceDE w:val="0"/>
        <w:autoSpaceDN w:val="0"/>
        <w:adjustRightInd w:val="0"/>
        <w:spacing w:after="0"/>
        <w:ind w:left="709" w:hanging="709"/>
        <w:jc w:val="left"/>
        <w:outlineLvl w:val="1"/>
        <w:rPr>
          <w:rFonts w:ascii="Calibri" w:hAnsi="Calibri"/>
          <w:lang w:val="en-US"/>
        </w:rPr>
      </w:pPr>
      <w:r>
        <w:rPr>
          <w:rFonts w:cs="LinLibertine"/>
          <w:u w:val="single"/>
          <w:lang w:val="en-US"/>
        </w:rPr>
        <w:t xml:space="preserve">                    </w:t>
      </w:r>
      <w:r>
        <w:rPr>
          <w:rFonts w:cs="LinLibertine"/>
          <w:lang w:val="en-US"/>
        </w:rPr>
        <w:t xml:space="preserve">  y Cole, Alistair. 1999</w:t>
      </w:r>
      <w:r w:rsidRPr="00727DDF">
        <w:rPr>
          <w:rFonts w:cs="LinLibertine"/>
          <w:lang w:val="en-US"/>
        </w:rPr>
        <w:t xml:space="preserve"> 'Political leadership in the new urban governance: Britain and France compared', Local Government Studies, 25: 4, 98 — 115</w:t>
      </w:r>
      <w:r>
        <w:rPr>
          <w:rFonts w:cs="LinLibertine"/>
          <w:lang w:val="en-US"/>
        </w:rPr>
        <w:t>.</w:t>
      </w:r>
    </w:p>
    <w:p w:rsidR="0078685B" w:rsidRPr="000D3517" w:rsidRDefault="0078685B" w:rsidP="0078685B">
      <w:pPr>
        <w:ind w:left="900" w:hanging="900"/>
        <w:rPr>
          <w:rFonts w:ascii="Calibri" w:hAnsi="Calibri" w:cs="Arial"/>
        </w:rPr>
      </w:pPr>
      <w:r w:rsidRPr="000D3517">
        <w:rPr>
          <w:rFonts w:ascii="Calibri" w:hAnsi="Calibri" w:cs="Arial"/>
          <w:bCs/>
        </w:rPr>
        <w:t xml:space="preserve">Ley Nº 7/1985. </w:t>
      </w:r>
      <w:r w:rsidRPr="000D3517">
        <w:rPr>
          <w:rFonts w:ascii="Calibri" w:hAnsi="Calibri" w:cs="Arial"/>
        </w:rPr>
        <w:t xml:space="preserve"> de Bases para el Régimen Local y sus modificatorias. (actualizada)</w:t>
      </w:r>
    </w:p>
    <w:p w:rsidR="0078685B" w:rsidRPr="000D3517" w:rsidRDefault="0078685B" w:rsidP="0078685B">
      <w:pPr>
        <w:ind w:left="900" w:hanging="900"/>
        <w:rPr>
          <w:rFonts w:ascii="Calibri" w:hAnsi="Calibri" w:cs="Arial"/>
        </w:rPr>
      </w:pPr>
      <w:r w:rsidRPr="000D3517">
        <w:rPr>
          <w:rFonts w:ascii="Calibri" w:hAnsi="Calibri" w:cs="Arial"/>
        </w:rPr>
        <w:t>Ley Nº 57/2003.  de 16 de diciembre de 2003 “Ley de Grandes Ciudades”</w:t>
      </w:r>
    </w:p>
    <w:p w:rsidR="0078685B" w:rsidRPr="000D3517" w:rsidRDefault="0078685B" w:rsidP="0078685B">
      <w:pPr>
        <w:ind w:left="900" w:hanging="900"/>
        <w:rPr>
          <w:rFonts w:ascii="Calibri" w:hAnsi="Calibri" w:cs="Arial"/>
          <w:lang w:val="en-GB"/>
        </w:rPr>
      </w:pPr>
      <w:r w:rsidRPr="000D3517">
        <w:rPr>
          <w:rFonts w:ascii="Calibri" w:hAnsi="Calibri" w:cs="Arial"/>
        </w:rPr>
        <w:t xml:space="preserve">Lowndes, Vivian y Leach, S. 2004. </w:t>
      </w:r>
      <w:r w:rsidRPr="000D3517">
        <w:rPr>
          <w:rFonts w:ascii="Calibri" w:hAnsi="Calibri" w:cs="Arial"/>
          <w:lang w:val="en-GB"/>
        </w:rPr>
        <w:t>Understanding Local Political Leadership:</w:t>
      </w:r>
      <w:r w:rsidRPr="000D3517">
        <w:rPr>
          <w:rFonts w:ascii="Calibri" w:hAnsi="Calibri" w:cs="Arial"/>
          <w:color w:val="231F20"/>
          <w:lang w:val="en-GB"/>
        </w:rPr>
        <w:t xml:space="preserve">                    </w:t>
      </w:r>
      <w:r w:rsidRPr="000D3517">
        <w:rPr>
          <w:rFonts w:ascii="Calibri" w:hAnsi="Calibri" w:cs="Arial"/>
          <w:lang w:val="en-GB"/>
        </w:rPr>
        <w:t xml:space="preserve">Constitutions, Contexts and Capabilities. </w:t>
      </w:r>
      <w:r w:rsidRPr="000D3517">
        <w:rPr>
          <w:rFonts w:ascii="Calibri" w:hAnsi="Calibri" w:cs="Arial"/>
          <w:i/>
          <w:lang w:val="en-GB"/>
        </w:rPr>
        <w:t>local goverment studies</w:t>
      </w:r>
      <w:r w:rsidRPr="000D3517">
        <w:rPr>
          <w:rFonts w:ascii="Calibri" w:hAnsi="Calibri" w:cs="Arial"/>
          <w:lang w:val="en-GB"/>
        </w:rPr>
        <w:t xml:space="preserve">.30.4.pp. 557 – 575. </w:t>
      </w:r>
    </w:p>
    <w:p w:rsidR="0078685B" w:rsidRPr="000D3517" w:rsidRDefault="0078685B" w:rsidP="0078685B">
      <w:pPr>
        <w:autoSpaceDE w:val="0"/>
        <w:autoSpaceDN w:val="0"/>
        <w:adjustRightInd w:val="0"/>
        <w:ind w:left="900" w:hanging="900"/>
        <w:rPr>
          <w:rFonts w:ascii="Calibri" w:hAnsi="Calibri" w:cs="Arial"/>
          <w:lang w:val="en-GB"/>
        </w:rPr>
      </w:pPr>
      <w:r w:rsidRPr="000D3517">
        <w:rPr>
          <w:rFonts w:ascii="Calibri" w:hAnsi="Calibri" w:cs="Arial"/>
          <w:u w:val="single"/>
          <w:lang w:val="en-GB"/>
        </w:rPr>
        <w:t xml:space="preserve">                               </w:t>
      </w:r>
      <w:r w:rsidRPr="000D3517">
        <w:rPr>
          <w:rFonts w:ascii="Calibri" w:hAnsi="Calibri" w:cs="Arial"/>
          <w:lang w:val="en-GB"/>
        </w:rPr>
        <w:t>,Pratchett, L. y Stocker, G.: (2001) “Trends in Public Participation: Part 1 local goverment Perspectives”, Public Administration, 79 (1), pp.205-222.</w:t>
      </w:r>
    </w:p>
    <w:p w:rsidR="0078685B" w:rsidRPr="000D3517" w:rsidRDefault="0078685B" w:rsidP="0078685B">
      <w:pPr>
        <w:ind w:left="900" w:hanging="900"/>
        <w:rPr>
          <w:rFonts w:ascii="Calibri" w:hAnsi="Calibri" w:cs="Arial"/>
        </w:rPr>
      </w:pPr>
      <w:r w:rsidRPr="000D3517">
        <w:rPr>
          <w:rFonts w:ascii="Calibri" w:hAnsi="Calibri" w:cs="Arial"/>
        </w:rPr>
        <w:t>Ministerio del Interior: Base histórica de resultados electorales 1987-2007 página web: www.elecciones.mir.es/MIR/jsp/resultados/index.htm</w:t>
      </w:r>
    </w:p>
    <w:p w:rsidR="0078685B" w:rsidRPr="006F0E66" w:rsidRDefault="0078685B" w:rsidP="0078685B">
      <w:pPr>
        <w:pStyle w:val="Textonotapie"/>
        <w:spacing w:line="360" w:lineRule="auto"/>
        <w:ind w:left="900" w:hanging="900"/>
        <w:rPr>
          <w:rFonts w:ascii="Calibri" w:hAnsi="Calibri" w:cs="Arial"/>
          <w:sz w:val="22"/>
          <w:szCs w:val="22"/>
        </w:rPr>
      </w:pPr>
      <w:r w:rsidRPr="000D3517">
        <w:rPr>
          <w:rFonts w:ascii="Calibri" w:hAnsi="Calibri" w:cs="Arial"/>
          <w:bCs/>
          <w:sz w:val="22"/>
          <w:szCs w:val="22"/>
        </w:rPr>
        <w:t xml:space="preserve">Montero, José R; Font, Joan y Torcal, Mariano. </w:t>
      </w:r>
      <w:r w:rsidRPr="000D3517">
        <w:rPr>
          <w:rFonts w:ascii="Calibri" w:hAnsi="Calibri" w:cs="Arial"/>
          <w:sz w:val="22"/>
          <w:szCs w:val="22"/>
        </w:rPr>
        <w:t>2006</w:t>
      </w:r>
      <w:r w:rsidRPr="000D3517">
        <w:rPr>
          <w:rFonts w:ascii="Calibri" w:hAnsi="Calibri" w:cs="Arial"/>
          <w:bCs/>
          <w:sz w:val="22"/>
          <w:szCs w:val="22"/>
        </w:rPr>
        <w:t xml:space="preserve"> </w:t>
      </w:r>
      <w:r w:rsidRPr="000D3517">
        <w:rPr>
          <w:rFonts w:ascii="Calibri" w:hAnsi="Calibri" w:cs="Arial"/>
          <w:sz w:val="22"/>
          <w:szCs w:val="22"/>
        </w:rPr>
        <w:t xml:space="preserve">eds. </w:t>
      </w:r>
      <w:r w:rsidRPr="000D3517">
        <w:rPr>
          <w:rFonts w:ascii="Calibri" w:hAnsi="Calibri" w:cs="Arial"/>
          <w:i/>
          <w:iCs/>
          <w:sz w:val="22"/>
          <w:szCs w:val="22"/>
        </w:rPr>
        <w:t>Ciudadanos, asociaciones</w:t>
      </w:r>
      <w:r w:rsidRPr="000D3517">
        <w:rPr>
          <w:rFonts w:ascii="Calibri" w:hAnsi="Calibri" w:cs="Arial"/>
          <w:iCs/>
          <w:sz w:val="22"/>
          <w:szCs w:val="22"/>
        </w:rPr>
        <w:t xml:space="preserve"> </w:t>
      </w:r>
      <w:r w:rsidRPr="000D3517">
        <w:rPr>
          <w:rFonts w:ascii="Calibri" w:hAnsi="Calibri" w:cs="Arial"/>
          <w:i/>
          <w:iCs/>
          <w:sz w:val="22"/>
          <w:szCs w:val="22"/>
        </w:rPr>
        <w:t>y Participación en España</w:t>
      </w:r>
      <w:r w:rsidRPr="000D3517">
        <w:rPr>
          <w:rFonts w:ascii="Calibri" w:hAnsi="Calibri" w:cs="Arial"/>
          <w:sz w:val="22"/>
          <w:szCs w:val="22"/>
        </w:rPr>
        <w:t xml:space="preserve">. </w:t>
      </w:r>
      <w:r w:rsidRPr="006F0E66">
        <w:rPr>
          <w:rFonts w:ascii="Calibri" w:hAnsi="Calibri" w:cs="Arial"/>
          <w:sz w:val="22"/>
          <w:szCs w:val="22"/>
        </w:rPr>
        <w:t xml:space="preserve">CIS. </w:t>
      </w:r>
    </w:p>
    <w:p w:rsidR="0078685B" w:rsidRPr="000D3517" w:rsidRDefault="0078685B" w:rsidP="0078685B">
      <w:pPr>
        <w:pStyle w:val="Textonotapie"/>
        <w:spacing w:line="360" w:lineRule="auto"/>
        <w:ind w:left="900" w:hanging="900"/>
        <w:rPr>
          <w:rFonts w:ascii="Calibri" w:hAnsi="Calibri" w:cs="Arial"/>
          <w:sz w:val="22"/>
          <w:szCs w:val="22"/>
        </w:rPr>
      </w:pPr>
      <w:r w:rsidRPr="0078685B">
        <w:rPr>
          <w:rFonts w:ascii="Calibri" w:hAnsi="Calibri" w:cs="Arial"/>
          <w:sz w:val="22"/>
          <w:szCs w:val="22"/>
        </w:rPr>
        <w:t>Morales, L</w:t>
      </w:r>
      <w:r>
        <w:rPr>
          <w:rFonts w:ascii="Calibri" w:hAnsi="Calibri" w:cs="Arial"/>
          <w:sz w:val="22"/>
          <w:szCs w:val="22"/>
        </w:rPr>
        <w:t xml:space="preserve"> </w:t>
      </w:r>
      <w:r w:rsidRPr="0078685B">
        <w:rPr>
          <w:rFonts w:ascii="Calibri" w:hAnsi="Calibri" w:cs="Arial"/>
          <w:sz w:val="22"/>
          <w:szCs w:val="22"/>
        </w:rPr>
        <w:t>.</w:t>
      </w:r>
      <w:r w:rsidRPr="000D3517">
        <w:rPr>
          <w:rFonts w:ascii="Calibri" w:hAnsi="Calibri" w:cs="Arial"/>
          <w:sz w:val="22"/>
          <w:szCs w:val="22"/>
        </w:rPr>
        <w:t xml:space="preserve">2005 “¿Existe una crisis participativa? La evolución de la participación y el asociacionismo en España.” </w:t>
      </w:r>
      <w:r w:rsidRPr="000D3517">
        <w:rPr>
          <w:rFonts w:ascii="Calibri" w:hAnsi="Calibri" w:cs="Arial"/>
          <w:i/>
          <w:sz w:val="22"/>
          <w:szCs w:val="22"/>
        </w:rPr>
        <w:t>Revista Española de Ciencia</w:t>
      </w:r>
      <w:r w:rsidRPr="000D3517">
        <w:rPr>
          <w:rFonts w:ascii="Calibri" w:hAnsi="Calibri" w:cs="Arial"/>
          <w:sz w:val="22"/>
          <w:szCs w:val="22"/>
        </w:rPr>
        <w:t xml:space="preserve"> </w:t>
      </w:r>
      <w:r w:rsidRPr="000D3517">
        <w:rPr>
          <w:rFonts w:ascii="Calibri" w:hAnsi="Calibri" w:cs="Arial"/>
          <w:i/>
          <w:sz w:val="22"/>
          <w:szCs w:val="22"/>
        </w:rPr>
        <w:t>Política</w:t>
      </w:r>
      <w:r w:rsidRPr="000D3517">
        <w:rPr>
          <w:rFonts w:ascii="Calibri" w:hAnsi="Calibri" w:cs="Arial"/>
          <w:sz w:val="22"/>
          <w:szCs w:val="22"/>
        </w:rPr>
        <w:t>. 13. pp. 51-87. Madrid.</w:t>
      </w:r>
    </w:p>
    <w:p w:rsidR="0078685B" w:rsidRPr="00E6705C" w:rsidRDefault="0078685B" w:rsidP="0078685B">
      <w:pPr>
        <w:pStyle w:val="Textonotapie"/>
        <w:spacing w:line="360" w:lineRule="auto"/>
        <w:ind w:left="900" w:hanging="900"/>
        <w:rPr>
          <w:rFonts w:ascii="Calibri" w:hAnsi="Calibri" w:cs="Arial"/>
          <w:sz w:val="22"/>
          <w:szCs w:val="22"/>
        </w:rPr>
      </w:pPr>
      <w:r w:rsidRPr="000D3517">
        <w:rPr>
          <w:rFonts w:ascii="Calibri" w:hAnsi="Calibri" w:cs="Arial"/>
          <w:sz w:val="22"/>
          <w:szCs w:val="22"/>
        </w:rPr>
        <w:t>Mota, Fabiola. 1999. “La realidad asociativa en España”</w:t>
      </w:r>
      <w:r w:rsidRPr="000D3517">
        <w:rPr>
          <w:rFonts w:ascii="Calibri" w:hAnsi="Calibri" w:cs="Arial"/>
          <w:i/>
          <w:sz w:val="22"/>
          <w:szCs w:val="22"/>
        </w:rPr>
        <w:t xml:space="preserve"> en</w:t>
      </w:r>
      <w:r w:rsidRPr="000D3517">
        <w:rPr>
          <w:rFonts w:ascii="Calibri" w:hAnsi="Calibri" w:cs="Arial"/>
          <w:sz w:val="22"/>
          <w:szCs w:val="22"/>
        </w:rPr>
        <w:t xml:space="preserve"> Subirats, J ed. </w:t>
      </w:r>
      <w:r w:rsidRPr="000D3517">
        <w:rPr>
          <w:rFonts w:ascii="Calibri" w:hAnsi="Calibri" w:cs="Arial"/>
          <w:i/>
          <w:sz w:val="22"/>
          <w:szCs w:val="22"/>
        </w:rPr>
        <w:t>Existe sociedad civil en España? Responsabilidades Colectivas y valores Públicos</w:t>
      </w:r>
      <w:r w:rsidRPr="000D3517">
        <w:rPr>
          <w:rFonts w:ascii="Calibri" w:hAnsi="Calibri" w:cs="Arial"/>
          <w:sz w:val="22"/>
          <w:szCs w:val="22"/>
        </w:rPr>
        <w:t xml:space="preserve">. </w:t>
      </w:r>
      <w:r w:rsidRPr="00E6705C">
        <w:rPr>
          <w:rFonts w:ascii="Calibri" w:hAnsi="Calibri" w:cs="Arial"/>
          <w:sz w:val="22"/>
          <w:szCs w:val="22"/>
        </w:rPr>
        <w:t xml:space="preserve">Fundación Encuentro. Madrid. </w:t>
      </w:r>
    </w:p>
    <w:p w:rsidR="0078685B" w:rsidRPr="006F0E66" w:rsidRDefault="0078685B" w:rsidP="0078685B">
      <w:pPr>
        <w:autoSpaceDE w:val="0"/>
        <w:autoSpaceDN w:val="0"/>
        <w:adjustRightInd w:val="0"/>
        <w:spacing w:after="0"/>
        <w:ind w:left="28" w:hanging="737"/>
        <w:outlineLvl w:val="1"/>
        <w:rPr>
          <w:rFonts w:cs="Arial"/>
        </w:rPr>
      </w:pPr>
      <w:r w:rsidRPr="00E6705C">
        <w:rPr>
          <w:rFonts w:cs="Arial"/>
        </w:rPr>
        <w:lastRenderedPageBreak/>
        <w:t xml:space="preserve">               Mouritzen, P. y Svara J. 2002. </w:t>
      </w:r>
      <w:r w:rsidRPr="006F0D47">
        <w:rPr>
          <w:rFonts w:cs="Arial"/>
          <w:i/>
          <w:lang w:val="en-US"/>
        </w:rPr>
        <w:t xml:space="preserve">Leadership at the apex. Policians and Administrators in   Western </w:t>
      </w:r>
      <w:r>
        <w:rPr>
          <w:rFonts w:cs="Arial"/>
          <w:i/>
          <w:lang w:val="en-US"/>
        </w:rPr>
        <w:t xml:space="preserve">         </w:t>
      </w:r>
      <w:r w:rsidRPr="006F0D47">
        <w:rPr>
          <w:rFonts w:cs="Arial"/>
          <w:i/>
          <w:lang w:val="en-US"/>
        </w:rPr>
        <w:t>Local Governments</w:t>
      </w:r>
      <w:r w:rsidRPr="006F0D47">
        <w:rPr>
          <w:rFonts w:cs="Arial"/>
          <w:lang w:val="en-US"/>
        </w:rPr>
        <w:t xml:space="preserve">. </w:t>
      </w:r>
      <w:r w:rsidRPr="006F0E66">
        <w:rPr>
          <w:rFonts w:cs="Arial"/>
        </w:rPr>
        <w:t>University of Pittsburh Press. USA.</w:t>
      </w:r>
    </w:p>
    <w:p w:rsidR="0078685B" w:rsidRPr="006F0D47" w:rsidRDefault="0078685B" w:rsidP="0078685B">
      <w:pPr>
        <w:autoSpaceDE w:val="0"/>
        <w:autoSpaceDN w:val="0"/>
        <w:adjustRightInd w:val="0"/>
        <w:spacing w:after="0" w:line="240" w:lineRule="auto"/>
        <w:ind w:left="709" w:hanging="709"/>
        <w:outlineLvl w:val="1"/>
        <w:rPr>
          <w:rFonts w:cs="Arial"/>
        </w:rPr>
      </w:pPr>
      <w:r w:rsidRPr="006F0E66">
        <w:rPr>
          <w:rFonts w:ascii="Calibri" w:hAnsi="Calibri" w:cs="Arial"/>
          <w:bCs/>
        </w:rPr>
        <w:t>Natera Peral</w:t>
      </w:r>
      <w:r w:rsidRPr="000D3517">
        <w:rPr>
          <w:rFonts w:ascii="Calibri" w:hAnsi="Calibri" w:cs="Arial"/>
          <w:bCs/>
        </w:rPr>
        <w:t>, A</w:t>
      </w:r>
      <w:r w:rsidRPr="000D3517">
        <w:rPr>
          <w:rFonts w:ascii="Calibri" w:hAnsi="Calibri" w:cs="Arial"/>
        </w:rPr>
        <w:t>ntonio</w:t>
      </w:r>
      <w:r>
        <w:rPr>
          <w:rFonts w:ascii="Calibri" w:hAnsi="Calibri" w:cs="Arial"/>
        </w:rPr>
        <w:t xml:space="preserve"> </w:t>
      </w:r>
      <w:r w:rsidRPr="006F0D47">
        <w:rPr>
          <w:rFonts w:cs="Arial"/>
        </w:rPr>
        <w:t xml:space="preserve">2006. </w:t>
      </w:r>
      <w:r w:rsidRPr="008F7443">
        <w:rPr>
          <w:rFonts w:cs="Arial"/>
          <w:iCs/>
        </w:rPr>
        <w:t>“La pluralidad de “imágenes y estilos de liderazgo político”</w:t>
      </w:r>
      <w:r>
        <w:rPr>
          <w:rFonts w:cs="Arial"/>
          <w:i/>
          <w:iCs/>
        </w:rPr>
        <w:t xml:space="preserve"> </w:t>
      </w:r>
      <w:r w:rsidRPr="006F0D47">
        <w:rPr>
          <w:rFonts w:cs="Arial"/>
        </w:rPr>
        <w:t>Ponencia presentada en Seminario: “Liderazgo Político en Andalucía: Desde la</w:t>
      </w:r>
      <w:r>
        <w:rPr>
          <w:rFonts w:cs="Arial"/>
        </w:rPr>
        <w:t xml:space="preserve"> </w:t>
      </w:r>
      <w:r w:rsidRPr="006F0D47">
        <w:rPr>
          <w:rFonts w:cs="Arial"/>
        </w:rPr>
        <w:t>Transición Política hasta Nuestros Días. Retos y Desafíos.” En Factoría de ideas. Centro</w:t>
      </w:r>
      <w:r>
        <w:rPr>
          <w:rFonts w:cs="Arial"/>
        </w:rPr>
        <w:t xml:space="preserve"> </w:t>
      </w:r>
      <w:r w:rsidRPr="006F0D47">
        <w:rPr>
          <w:rFonts w:cs="Arial"/>
        </w:rPr>
        <w:t>de Estudios Andaluces</w:t>
      </w:r>
    </w:p>
    <w:p w:rsidR="0078685B" w:rsidRPr="000D3517" w:rsidRDefault="0078685B" w:rsidP="0078685B">
      <w:pPr>
        <w:pStyle w:val="Textonotapie"/>
        <w:spacing w:line="360" w:lineRule="auto"/>
        <w:ind w:left="900" w:hanging="900"/>
        <w:rPr>
          <w:rFonts w:ascii="Calibri" w:hAnsi="Calibri" w:cs="Arial"/>
          <w:sz w:val="22"/>
          <w:szCs w:val="22"/>
        </w:rPr>
      </w:pPr>
      <w:r w:rsidRPr="000D3517">
        <w:rPr>
          <w:rFonts w:ascii="Calibri" w:hAnsi="Calibri" w:cs="Arial"/>
          <w:bCs/>
          <w:sz w:val="22"/>
          <w:szCs w:val="22"/>
        </w:rPr>
        <w:t>Navarro Yáñez, C</w:t>
      </w:r>
      <w:r w:rsidRPr="000D3517">
        <w:rPr>
          <w:rFonts w:ascii="Calibri" w:hAnsi="Calibri" w:cs="Arial"/>
          <w:sz w:val="22"/>
          <w:szCs w:val="22"/>
        </w:rPr>
        <w:t xml:space="preserve">lemente. 2002. </w:t>
      </w:r>
      <w:r w:rsidRPr="00E754A4">
        <w:rPr>
          <w:rFonts w:ascii="Calibri" w:hAnsi="Calibri" w:cs="Arial"/>
          <w:i/>
          <w:iCs/>
          <w:sz w:val="22"/>
          <w:szCs w:val="22"/>
        </w:rPr>
        <w:t>Democracia Asociativa y Oportunismo Político</w:t>
      </w:r>
      <w:r w:rsidRPr="000D3517">
        <w:rPr>
          <w:rFonts w:ascii="Calibri" w:hAnsi="Calibri" w:cs="Arial"/>
          <w:sz w:val="22"/>
          <w:szCs w:val="22"/>
        </w:rPr>
        <w:t>. Tirant lo Blanch. Valencia.</w:t>
      </w:r>
    </w:p>
    <w:p w:rsidR="0078685B" w:rsidRPr="000D3517" w:rsidRDefault="0078685B" w:rsidP="0078685B">
      <w:pPr>
        <w:pStyle w:val="Textonotapie"/>
        <w:spacing w:line="360" w:lineRule="auto"/>
        <w:ind w:left="900" w:hanging="900"/>
        <w:rPr>
          <w:rFonts w:ascii="Calibri" w:hAnsi="Calibri" w:cs="Arial"/>
          <w:sz w:val="22"/>
          <w:szCs w:val="22"/>
        </w:rPr>
      </w:pPr>
      <w:r w:rsidRPr="000D3517">
        <w:rPr>
          <w:rFonts w:ascii="Calibri" w:hAnsi="Calibri" w:cs="Arial"/>
          <w:sz w:val="22"/>
          <w:szCs w:val="22"/>
          <w:u w:val="single"/>
        </w:rPr>
        <w:t xml:space="preserve">                                             </w:t>
      </w:r>
      <w:r w:rsidRPr="000D3517">
        <w:rPr>
          <w:rFonts w:ascii="Calibri" w:hAnsi="Calibri" w:cs="Arial"/>
          <w:sz w:val="22"/>
          <w:szCs w:val="22"/>
        </w:rPr>
        <w:t xml:space="preserve"> 1998.  “Limites al Nuevo Localismo</w:t>
      </w:r>
      <w:r w:rsidRPr="000D3517">
        <w:rPr>
          <w:rFonts w:ascii="Calibri" w:hAnsi="Calibri" w:cs="Arial"/>
          <w:i/>
          <w:sz w:val="22"/>
          <w:szCs w:val="22"/>
        </w:rPr>
        <w:t>” Revista de Estudios Políticos Nueva Época</w:t>
      </w:r>
      <w:r w:rsidRPr="000D3517">
        <w:rPr>
          <w:rFonts w:ascii="Calibri" w:hAnsi="Calibri" w:cs="Arial"/>
          <w:sz w:val="22"/>
          <w:szCs w:val="22"/>
        </w:rPr>
        <w:t xml:space="preserve"> 100. pp. 273-287.</w:t>
      </w:r>
    </w:p>
    <w:p w:rsidR="0078685B" w:rsidRPr="000D3517" w:rsidRDefault="0078685B" w:rsidP="0078685B">
      <w:pPr>
        <w:pStyle w:val="Textonotapie"/>
        <w:spacing w:line="360" w:lineRule="auto"/>
        <w:ind w:left="900" w:hanging="900"/>
        <w:rPr>
          <w:rFonts w:ascii="Calibri" w:hAnsi="Calibri" w:cs="Arial"/>
          <w:sz w:val="22"/>
          <w:szCs w:val="22"/>
        </w:rPr>
      </w:pPr>
      <w:r w:rsidRPr="000D3517">
        <w:rPr>
          <w:rFonts w:ascii="Calibri" w:hAnsi="Calibri" w:cs="Arial"/>
          <w:sz w:val="22"/>
          <w:szCs w:val="22"/>
          <w:u w:val="single"/>
        </w:rPr>
        <w:t xml:space="preserve">                                           </w:t>
      </w:r>
      <w:r w:rsidRPr="000D3517">
        <w:rPr>
          <w:rFonts w:ascii="Calibri" w:hAnsi="Calibri" w:cs="Arial"/>
          <w:sz w:val="22"/>
          <w:szCs w:val="22"/>
        </w:rPr>
        <w:t xml:space="preserve">1999. </w:t>
      </w:r>
      <w:r w:rsidRPr="000D3517">
        <w:rPr>
          <w:rFonts w:ascii="Calibri" w:hAnsi="Calibri" w:cs="Arial"/>
          <w:iCs/>
          <w:sz w:val="22"/>
          <w:szCs w:val="22"/>
        </w:rPr>
        <w:t>El Sesgo Participativo</w:t>
      </w:r>
      <w:r w:rsidRPr="000D3517">
        <w:rPr>
          <w:rFonts w:ascii="Calibri" w:hAnsi="Calibri" w:cs="Arial"/>
          <w:sz w:val="22"/>
          <w:szCs w:val="22"/>
        </w:rPr>
        <w:t>. Madrid. CSIC</w:t>
      </w:r>
    </w:p>
    <w:p w:rsidR="0078685B" w:rsidRPr="00A36713" w:rsidRDefault="0078685B" w:rsidP="0078685B">
      <w:pPr>
        <w:autoSpaceDE w:val="0"/>
        <w:autoSpaceDN w:val="0"/>
        <w:adjustRightInd w:val="0"/>
        <w:ind w:left="900" w:hanging="900"/>
        <w:rPr>
          <w:rFonts w:ascii="Calibri" w:hAnsi="Calibri" w:cs="Arial"/>
          <w:lang w:val="en-US"/>
        </w:rPr>
      </w:pPr>
      <w:r w:rsidRPr="000D3517">
        <w:rPr>
          <w:rFonts w:ascii="Calibri" w:hAnsi="Calibri" w:cs="Arial"/>
          <w:u w:val="single"/>
        </w:rPr>
        <w:t xml:space="preserve">                                               </w:t>
      </w:r>
      <w:r w:rsidRPr="000D3517">
        <w:rPr>
          <w:rFonts w:ascii="Calibri" w:hAnsi="Calibri" w:cs="Arial"/>
        </w:rPr>
        <w:t xml:space="preserve"> </w:t>
      </w:r>
      <w:r w:rsidRPr="00812CFC">
        <w:rPr>
          <w:rFonts w:ascii="Calibri" w:hAnsi="Calibri" w:cs="Arial"/>
        </w:rPr>
        <w:t xml:space="preserve">2004. </w:t>
      </w:r>
      <w:r w:rsidRPr="000D3517">
        <w:rPr>
          <w:rFonts w:ascii="Calibri" w:hAnsi="Calibri" w:cs="Arial"/>
          <w:lang w:val="en-GB"/>
        </w:rPr>
        <w:t xml:space="preserve">“Participatory Democracy and Political Opportunism: Municipal Experience in Italy and Spain (1960-93)”. </w:t>
      </w:r>
      <w:r w:rsidRPr="00812CFC">
        <w:rPr>
          <w:rFonts w:ascii="Calibri" w:hAnsi="Calibri" w:cs="Arial"/>
          <w:i/>
          <w:lang w:val="en-US"/>
        </w:rPr>
        <w:t>International Journal of Urban and Regional Research</w:t>
      </w:r>
      <w:r w:rsidRPr="00812CFC">
        <w:rPr>
          <w:rFonts w:ascii="Calibri" w:hAnsi="Calibri" w:cs="Arial"/>
          <w:lang w:val="en-US"/>
        </w:rPr>
        <w:t xml:space="preserve">. </w:t>
      </w:r>
      <w:r w:rsidRPr="00A36713">
        <w:rPr>
          <w:rFonts w:ascii="Calibri" w:hAnsi="Calibri" w:cs="Arial"/>
          <w:lang w:val="en-US"/>
        </w:rPr>
        <w:t>28.4. pp. 819-38</w:t>
      </w:r>
    </w:p>
    <w:p w:rsidR="0078685B" w:rsidRPr="000D3517" w:rsidRDefault="0078685B" w:rsidP="00344EFE">
      <w:pPr>
        <w:autoSpaceDE w:val="0"/>
        <w:autoSpaceDN w:val="0"/>
        <w:adjustRightInd w:val="0"/>
        <w:ind w:left="709" w:hanging="709"/>
        <w:outlineLvl w:val="1"/>
        <w:rPr>
          <w:rFonts w:ascii="Calibri" w:hAnsi="Calibri" w:cs="Arial"/>
        </w:rPr>
      </w:pPr>
      <w:r w:rsidRPr="00A36713">
        <w:rPr>
          <w:rFonts w:ascii="Calibri" w:hAnsi="Calibri" w:cs="Arial"/>
          <w:u w:val="single"/>
          <w:lang w:val="en-US"/>
        </w:rPr>
        <w:t xml:space="preserve">                                               </w:t>
      </w:r>
      <w:r w:rsidRPr="00A36713">
        <w:rPr>
          <w:rFonts w:ascii="Calibri" w:hAnsi="Calibri" w:cs="Arial"/>
          <w:lang w:val="en-US"/>
        </w:rPr>
        <w:t xml:space="preserve"> y Ramírez Antonia. </w:t>
      </w:r>
      <w:r w:rsidRPr="000D3517">
        <w:rPr>
          <w:rFonts w:ascii="Calibri" w:hAnsi="Calibri" w:cs="Arial"/>
        </w:rPr>
        <w:t xml:space="preserve">2007. La estructura de oportunidades de la política local. El caso de los municipios Andaluces.  </w:t>
      </w:r>
      <w:r w:rsidRPr="000D3517">
        <w:rPr>
          <w:rFonts w:ascii="Calibri" w:hAnsi="Calibri" w:cs="Arial"/>
          <w:i/>
        </w:rPr>
        <w:t>Revista de estudios regionales</w:t>
      </w:r>
      <w:r w:rsidRPr="000D3517">
        <w:rPr>
          <w:rFonts w:ascii="Calibri" w:hAnsi="Calibri" w:cs="Arial"/>
        </w:rPr>
        <w:t>. 79. pp. 99-126.</w:t>
      </w:r>
    </w:p>
    <w:p w:rsidR="0078685B" w:rsidRPr="000D3517" w:rsidRDefault="0078685B" w:rsidP="00344EFE">
      <w:pPr>
        <w:pStyle w:val="Textonotapie"/>
        <w:spacing w:line="360" w:lineRule="auto"/>
        <w:ind w:left="709" w:hanging="709"/>
        <w:outlineLvl w:val="1"/>
        <w:rPr>
          <w:rFonts w:ascii="Calibri" w:hAnsi="Calibri" w:cs="Arial"/>
          <w:sz w:val="22"/>
          <w:szCs w:val="22"/>
        </w:rPr>
      </w:pPr>
      <w:r>
        <w:rPr>
          <w:rFonts w:ascii="Calibri" w:hAnsi="Calibri" w:cs="Arial"/>
          <w:bCs/>
          <w:sz w:val="22"/>
          <w:szCs w:val="22"/>
          <w:u w:val="single"/>
        </w:rPr>
        <w:t xml:space="preserve">                                              </w:t>
      </w:r>
      <w:r w:rsidRPr="000D3517">
        <w:rPr>
          <w:rFonts w:ascii="Calibri" w:hAnsi="Calibri" w:cs="Arial"/>
          <w:bCs/>
          <w:sz w:val="22"/>
          <w:szCs w:val="22"/>
        </w:rPr>
        <w:t xml:space="preserve">y Juaristi, P. </w:t>
      </w:r>
      <w:r w:rsidRPr="000D3517">
        <w:rPr>
          <w:rFonts w:ascii="Calibri" w:hAnsi="Calibri" w:cs="Arial"/>
          <w:sz w:val="22"/>
          <w:szCs w:val="22"/>
        </w:rPr>
        <w:t xml:space="preserve">2006 “Funciones, Actividades y facilitación pública de las asociaciones” 223-239. en </w:t>
      </w:r>
      <w:r w:rsidRPr="000D3517">
        <w:rPr>
          <w:rFonts w:ascii="Calibri" w:hAnsi="Calibri" w:cs="Arial"/>
          <w:i/>
          <w:iCs/>
          <w:sz w:val="22"/>
          <w:szCs w:val="22"/>
        </w:rPr>
        <w:t>Ciudadanos, asociaciones y Participación en España</w:t>
      </w:r>
      <w:r w:rsidRPr="000D3517">
        <w:rPr>
          <w:rFonts w:ascii="Calibri" w:hAnsi="Calibri" w:cs="Arial"/>
          <w:sz w:val="22"/>
          <w:szCs w:val="22"/>
        </w:rPr>
        <w:t>. CIS Madrid.</w:t>
      </w:r>
    </w:p>
    <w:p w:rsidR="0078685B" w:rsidRPr="000D3517" w:rsidRDefault="0078685B" w:rsidP="0078685B">
      <w:pPr>
        <w:autoSpaceDE w:val="0"/>
        <w:autoSpaceDN w:val="0"/>
        <w:adjustRightInd w:val="0"/>
        <w:ind w:left="900" w:hanging="900"/>
        <w:rPr>
          <w:rFonts w:ascii="Calibri" w:hAnsi="Calibri" w:cs="Arial"/>
        </w:rPr>
      </w:pPr>
      <w:r w:rsidRPr="000D3517">
        <w:rPr>
          <w:rFonts w:ascii="Calibri" w:hAnsi="Calibri" w:cs="Arial"/>
          <w:u w:val="single"/>
        </w:rPr>
        <w:t xml:space="preserve">                     </w:t>
      </w:r>
      <w:r>
        <w:rPr>
          <w:rFonts w:ascii="Calibri" w:hAnsi="Calibri" w:cs="Arial"/>
          <w:u w:val="single"/>
        </w:rPr>
        <w:t xml:space="preserve">                            </w:t>
      </w:r>
      <w:r w:rsidRPr="000D3517">
        <w:rPr>
          <w:rFonts w:ascii="Calibri" w:hAnsi="Calibri" w:cs="Arial"/>
        </w:rPr>
        <w:t>y Clark, T. 2009</w:t>
      </w:r>
      <w:r w:rsidRPr="000D3517">
        <w:rPr>
          <w:rFonts w:ascii="Calibri" w:hAnsi="Calibri" w:cs="Arial"/>
          <w:bCs/>
        </w:rPr>
        <w:t xml:space="preserve"> “Culturas políticas locales. Alcaldes y nueva cultura política en perspectiva comparada” en:</w:t>
      </w:r>
      <w:r w:rsidRPr="000D3517">
        <w:rPr>
          <w:rFonts w:ascii="Calibri" w:hAnsi="Calibri" w:cs="Arial"/>
          <w:bCs/>
          <w:i/>
        </w:rPr>
        <w:t xml:space="preserve"> </w:t>
      </w:r>
      <w:r w:rsidRPr="000D3517">
        <w:rPr>
          <w:rFonts w:ascii="Calibri" w:hAnsi="Calibri" w:cs="Arial"/>
          <w:i/>
        </w:rPr>
        <w:t>Revista De Ciencia Política</w:t>
      </w:r>
      <w:r w:rsidRPr="000D3517">
        <w:rPr>
          <w:rFonts w:ascii="Calibri" w:hAnsi="Calibri" w:cs="Arial"/>
        </w:rPr>
        <w:t>. 29. 3. pp. 799 – 813 Chile</w:t>
      </w:r>
    </w:p>
    <w:p w:rsidR="0078685B" w:rsidRPr="00812CFC" w:rsidRDefault="0078685B" w:rsidP="0078685B">
      <w:pPr>
        <w:autoSpaceDE w:val="0"/>
        <w:autoSpaceDN w:val="0"/>
        <w:adjustRightInd w:val="0"/>
        <w:ind w:left="900" w:hanging="900"/>
        <w:rPr>
          <w:rFonts w:ascii="Calibri" w:hAnsi="Calibri" w:cs="Arial"/>
          <w:lang w:val="en-US"/>
        </w:rPr>
      </w:pPr>
      <w:r w:rsidRPr="000D3517">
        <w:rPr>
          <w:rFonts w:ascii="Calibri" w:hAnsi="Calibri" w:cs="Arial"/>
          <w:u w:val="single"/>
        </w:rPr>
        <w:t xml:space="preserve">                     </w:t>
      </w:r>
      <w:r>
        <w:rPr>
          <w:rFonts w:ascii="Calibri" w:hAnsi="Calibri" w:cs="Arial"/>
          <w:u w:val="single"/>
        </w:rPr>
        <w:t xml:space="preserve">  </w:t>
      </w:r>
      <w:r w:rsidRPr="000D3517">
        <w:rPr>
          <w:rFonts w:ascii="Calibri" w:hAnsi="Calibri" w:cs="Arial"/>
        </w:rPr>
        <w:t xml:space="preserve"> , Cuesta, M, Font, J. 2009 ¿Municipios participativos? Participación política y ciudadana en ciudades medias españolas. </w:t>
      </w:r>
      <w:r w:rsidRPr="00812CFC">
        <w:rPr>
          <w:rFonts w:ascii="Calibri" w:hAnsi="Calibri" w:cs="Arial"/>
          <w:lang w:val="en-US"/>
        </w:rPr>
        <w:t xml:space="preserve">Opiniones y Actitudes.  62.  CIS. Madrid. </w:t>
      </w:r>
    </w:p>
    <w:p w:rsidR="0078685B" w:rsidRPr="000D3517" w:rsidRDefault="0078685B" w:rsidP="0078685B">
      <w:pPr>
        <w:ind w:left="900" w:hanging="900"/>
        <w:rPr>
          <w:rFonts w:ascii="Calibri" w:hAnsi="Calibri" w:cs="Arial"/>
          <w:bCs/>
          <w:lang w:val="en-GB"/>
        </w:rPr>
      </w:pPr>
      <w:r w:rsidRPr="00812CFC">
        <w:rPr>
          <w:rFonts w:ascii="Calibri" w:hAnsi="Calibri" w:cs="Arial"/>
          <w:bCs/>
          <w:lang w:val="en-US"/>
        </w:rPr>
        <w:t xml:space="preserve">Norris, Pippa. </w:t>
      </w:r>
      <w:r w:rsidRPr="00812CFC">
        <w:rPr>
          <w:rFonts w:ascii="Calibri" w:hAnsi="Calibri" w:cs="Arial"/>
          <w:lang w:val="en-US"/>
        </w:rPr>
        <w:t>1</w:t>
      </w:r>
      <w:r w:rsidRPr="000D3517">
        <w:rPr>
          <w:rFonts w:ascii="Calibri" w:hAnsi="Calibri" w:cs="Arial"/>
          <w:lang w:val="en-GB"/>
        </w:rPr>
        <w:t>999</w:t>
      </w:r>
      <w:r w:rsidRPr="000D3517">
        <w:rPr>
          <w:rFonts w:ascii="Calibri" w:hAnsi="Calibri" w:cs="Arial"/>
          <w:bCs/>
          <w:lang w:val="en-GB"/>
        </w:rPr>
        <w:t xml:space="preserve"> </w:t>
      </w:r>
      <w:r w:rsidRPr="000D3517">
        <w:rPr>
          <w:rFonts w:ascii="Calibri" w:hAnsi="Calibri" w:cs="Arial"/>
          <w:i/>
          <w:iCs/>
          <w:lang w:val="en-GB"/>
        </w:rPr>
        <w:t>Critical Citizens. Global support for democratic Governance</w:t>
      </w:r>
      <w:r w:rsidRPr="000D3517">
        <w:rPr>
          <w:rFonts w:ascii="Calibri" w:hAnsi="Calibri" w:cs="Arial"/>
          <w:bCs/>
          <w:lang w:val="en-GB"/>
        </w:rPr>
        <w:t xml:space="preserve"> </w:t>
      </w:r>
      <w:r w:rsidRPr="000D3517">
        <w:rPr>
          <w:rFonts w:ascii="Calibri" w:hAnsi="Calibri" w:cs="Arial"/>
          <w:lang w:val="en-GB"/>
        </w:rPr>
        <w:t>Oxford University Press.</w:t>
      </w:r>
    </w:p>
    <w:p w:rsidR="0078685B" w:rsidRPr="000D3517" w:rsidRDefault="0078685B" w:rsidP="0078685B">
      <w:pPr>
        <w:pStyle w:val="Default"/>
        <w:spacing w:line="360" w:lineRule="auto"/>
        <w:ind w:left="709" w:hanging="709"/>
        <w:jc w:val="both"/>
        <w:outlineLvl w:val="1"/>
        <w:rPr>
          <w:rFonts w:ascii="Calibri" w:hAnsi="Calibri" w:cs="Arial"/>
          <w:sz w:val="22"/>
          <w:szCs w:val="22"/>
        </w:rPr>
      </w:pPr>
      <w:r w:rsidRPr="0072141B">
        <w:rPr>
          <w:rFonts w:asciiTheme="minorHAnsi" w:hAnsiTheme="minorHAnsi"/>
          <w:sz w:val="22"/>
          <w:szCs w:val="22"/>
        </w:rPr>
        <w:t xml:space="preserve">Sesma, L, Alarcón y Font. 2011 ¿Por qué los ayuntamientos ponen en marcha políticas de </w:t>
      </w:r>
      <w:r>
        <w:rPr>
          <w:rFonts w:asciiTheme="minorHAnsi" w:hAnsiTheme="minorHAnsi"/>
          <w:sz w:val="22"/>
          <w:szCs w:val="22"/>
        </w:rPr>
        <w:t xml:space="preserve">    </w:t>
      </w:r>
      <w:r w:rsidRPr="0072141B">
        <w:rPr>
          <w:rFonts w:asciiTheme="minorHAnsi" w:hAnsiTheme="minorHAnsi"/>
          <w:sz w:val="22"/>
          <w:szCs w:val="22"/>
        </w:rPr>
        <w:t>participación? Experiencias recientes en Andalucía y la comunidad de Madrid</w:t>
      </w:r>
      <w:r>
        <w:rPr>
          <w:rFonts w:asciiTheme="minorHAnsi" w:hAnsiTheme="minorHAnsi"/>
          <w:sz w:val="22"/>
          <w:szCs w:val="22"/>
        </w:rPr>
        <w:t>.</w:t>
      </w:r>
      <w:r w:rsidRPr="0072141B">
        <w:rPr>
          <w:rFonts w:asciiTheme="minorHAnsi" w:hAnsiTheme="minorHAnsi"/>
          <w:sz w:val="22"/>
          <w:szCs w:val="22"/>
        </w:rPr>
        <w:t xml:space="preserve"> Paper presentado en </w:t>
      </w:r>
      <w:r w:rsidRPr="00727DDF">
        <w:rPr>
          <w:rFonts w:asciiTheme="minorHAnsi" w:hAnsiTheme="minorHAnsi"/>
          <w:bCs/>
          <w:sz w:val="22"/>
          <w:szCs w:val="22"/>
        </w:rPr>
        <w:t>X Congreso de AECPA. Murcia, 7-9 de septiembre de 2011</w:t>
      </w:r>
      <w:r>
        <w:rPr>
          <w:rFonts w:asciiTheme="minorHAnsi" w:hAnsiTheme="minorHAnsi"/>
          <w:bCs/>
          <w:sz w:val="22"/>
          <w:szCs w:val="22"/>
        </w:rPr>
        <w:t>.</w:t>
      </w:r>
    </w:p>
    <w:p w:rsidR="0078685B" w:rsidRDefault="0078685B" w:rsidP="0078685B">
      <w:pPr>
        <w:autoSpaceDE w:val="0"/>
        <w:autoSpaceDN w:val="0"/>
        <w:adjustRightInd w:val="0"/>
        <w:ind w:firstLine="0"/>
        <w:rPr>
          <w:rFonts w:ascii="Calibri" w:hAnsi="Calibri" w:cs="Arial"/>
        </w:rPr>
      </w:pPr>
      <w:r w:rsidRPr="000D3517">
        <w:rPr>
          <w:rFonts w:ascii="Calibri" w:hAnsi="Calibri" w:cs="Arial"/>
        </w:rPr>
        <w:t xml:space="preserve">Tarrow, Sydney. 1997. </w:t>
      </w:r>
      <w:r w:rsidRPr="000D3517">
        <w:rPr>
          <w:rFonts w:ascii="Calibri" w:hAnsi="Calibri" w:cs="Arial"/>
          <w:i/>
          <w:iCs/>
        </w:rPr>
        <w:t xml:space="preserve">El Poder en movimiento: los </w:t>
      </w:r>
      <w:r>
        <w:rPr>
          <w:rFonts w:ascii="Calibri" w:hAnsi="Calibri" w:cs="Arial"/>
          <w:i/>
          <w:iCs/>
        </w:rPr>
        <w:t>movimientos sociales, la acción</w:t>
      </w:r>
      <w:r w:rsidRPr="000D3517">
        <w:rPr>
          <w:rFonts w:ascii="Calibri" w:hAnsi="Calibri" w:cs="Arial"/>
          <w:i/>
          <w:iCs/>
        </w:rPr>
        <w:t xml:space="preserve">   </w:t>
      </w:r>
      <w:r>
        <w:rPr>
          <w:rFonts w:ascii="Calibri" w:hAnsi="Calibri" w:cs="Arial"/>
          <w:i/>
          <w:iCs/>
        </w:rPr>
        <w:t xml:space="preserve">               </w:t>
      </w:r>
      <w:r w:rsidRPr="000D3517">
        <w:rPr>
          <w:rFonts w:ascii="Calibri" w:hAnsi="Calibri" w:cs="Arial"/>
          <w:i/>
          <w:iCs/>
        </w:rPr>
        <w:t>colectiva y la política</w:t>
      </w:r>
      <w:r w:rsidRPr="000D3517">
        <w:rPr>
          <w:rFonts w:ascii="Calibri" w:hAnsi="Calibri" w:cs="Arial"/>
        </w:rPr>
        <w:t>. Madrid: Alianza.</w:t>
      </w:r>
    </w:p>
    <w:p w:rsidR="0078685B" w:rsidRPr="00994F62" w:rsidRDefault="0078685B" w:rsidP="0078685B">
      <w:pPr>
        <w:pStyle w:val="Default"/>
        <w:spacing w:line="360" w:lineRule="auto"/>
        <w:ind w:left="709" w:hanging="709"/>
        <w:jc w:val="both"/>
        <w:outlineLvl w:val="1"/>
        <w:rPr>
          <w:rFonts w:asciiTheme="minorHAnsi" w:hAnsiTheme="minorHAnsi" w:cs="Arial"/>
          <w:sz w:val="22"/>
          <w:szCs w:val="22"/>
        </w:rPr>
      </w:pPr>
      <w:r>
        <w:rPr>
          <w:rFonts w:asciiTheme="minorHAnsi" w:hAnsiTheme="minorHAnsi" w:cs="Arial"/>
          <w:sz w:val="22"/>
          <w:szCs w:val="22"/>
        </w:rPr>
        <w:lastRenderedPageBreak/>
        <w:t>Vás</w:t>
      </w:r>
      <w:r w:rsidRPr="00994F62">
        <w:rPr>
          <w:rFonts w:asciiTheme="minorHAnsi" w:hAnsiTheme="minorHAnsi" w:cs="Arial"/>
          <w:sz w:val="22"/>
          <w:szCs w:val="22"/>
        </w:rPr>
        <w:t>quez, L.</w:t>
      </w:r>
      <w:r w:rsidRPr="00994F62">
        <w:rPr>
          <w:rFonts w:asciiTheme="minorHAnsi" w:hAnsiTheme="minorHAnsi" w:cs="Calibri,Bold"/>
          <w:bCs/>
          <w:sz w:val="22"/>
          <w:szCs w:val="22"/>
        </w:rPr>
        <w:t xml:space="preserve"> 2011. </w:t>
      </w:r>
      <w:r w:rsidRPr="00994F62">
        <w:rPr>
          <w:rFonts w:asciiTheme="minorHAnsi" w:hAnsiTheme="minorHAnsi" w:cs="Arial"/>
          <w:bCs/>
          <w:sz w:val="22"/>
          <w:szCs w:val="22"/>
        </w:rPr>
        <w:t>Plan 18.000 y Planes Especiales de Inversión de la ciudad de Madrid: negociación de los actores y consecuencias del proceso. Paper</w:t>
      </w:r>
      <w:r w:rsidRPr="00994F62">
        <w:rPr>
          <w:rFonts w:asciiTheme="minorHAnsi" w:hAnsiTheme="minorHAnsi"/>
          <w:sz w:val="22"/>
          <w:szCs w:val="22"/>
        </w:rPr>
        <w:t xml:space="preserve"> </w:t>
      </w:r>
      <w:r w:rsidRPr="0072141B">
        <w:rPr>
          <w:rFonts w:asciiTheme="minorHAnsi" w:hAnsiTheme="minorHAnsi"/>
          <w:sz w:val="22"/>
          <w:szCs w:val="22"/>
        </w:rPr>
        <w:t xml:space="preserve">presentado en </w:t>
      </w:r>
      <w:r w:rsidRPr="00727DDF">
        <w:rPr>
          <w:rFonts w:asciiTheme="minorHAnsi" w:hAnsiTheme="minorHAnsi"/>
          <w:bCs/>
          <w:sz w:val="22"/>
          <w:szCs w:val="22"/>
        </w:rPr>
        <w:t>X Congreso de AECPA. Murcia, 7-9 de septiembre de 2011</w:t>
      </w:r>
      <w:r>
        <w:rPr>
          <w:rFonts w:asciiTheme="minorHAnsi" w:hAnsiTheme="minorHAnsi"/>
          <w:bCs/>
          <w:sz w:val="22"/>
          <w:szCs w:val="22"/>
        </w:rPr>
        <w:t>.</w:t>
      </w:r>
    </w:p>
    <w:p w:rsidR="0078685B" w:rsidRPr="000D3517" w:rsidRDefault="0078685B" w:rsidP="0078685B">
      <w:pPr>
        <w:pStyle w:val="Textonotapie"/>
        <w:spacing w:line="360" w:lineRule="auto"/>
        <w:ind w:left="900" w:hanging="900"/>
        <w:rPr>
          <w:rFonts w:ascii="Calibri" w:hAnsi="Calibri" w:cs="Arial"/>
          <w:sz w:val="22"/>
          <w:szCs w:val="22"/>
        </w:rPr>
      </w:pPr>
      <w:r w:rsidRPr="000D3517">
        <w:rPr>
          <w:rFonts w:ascii="Calibri" w:hAnsi="Calibri" w:cs="Arial"/>
          <w:iCs/>
          <w:sz w:val="22"/>
          <w:szCs w:val="22"/>
        </w:rPr>
        <w:t xml:space="preserve">Vergé, Tánia. 2007 </w:t>
      </w:r>
      <w:r w:rsidRPr="000D3517">
        <w:rPr>
          <w:rFonts w:ascii="Calibri" w:hAnsi="Calibri" w:cs="Arial"/>
          <w:sz w:val="22"/>
          <w:szCs w:val="22"/>
        </w:rPr>
        <w:t xml:space="preserve">Modelos alternativos de participación ciudadana en los partidos políticos españoles: un estudio del PSOE, el PP e IU </w:t>
      </w:r>
      <w:r w:rsidRPr="000D3517">
        <w:rPr>
          <w:rFonts w:ascii="Calibri" w:hAnsi="Calibri" w:cs="Arial"/>
          <w:i/>
          <w:iCs/>
          <w:sz w:val="22"/>
          <w:szCs w:val="22"/>
        </w:rPr>
        <w:t>Revista Española de</w:t>
      </w:r>
      <w:r w:rsidRPr="000D3517">
        <w:rPr>
          <w:rFonts w:ascii="Calibri" w:hAnsi="Calibri" w:cs="Arial"/>
          <w:iCs/>
          <w:sz w:val="22"/>
          <w:szCs w:val="22"/>
        </w:rPr>
        <w:t xml:space="preserve"> </w:t>
      </w:r>
      <w:r w:rsidRPr="000D3517">
        <w:rPr>
          <w:rFonts w:ascii="Calibri" w:hAnsi="Calibri" w:cs="Arial"/>
          <w:i/>
          <w:iCs/>
          <w:sz w:val="22"/>
          <w:szCs w:val="22"/>
        </w:rPr>
        <w:t>Ciencia Política</w:t>
      </w:r>
      <w:r w:rsidRPr="000D3517">
        <w:rPr>
          <w:rFonts w:ascii="Calibri" w:hAnsi="Calibri" w:cs="Arial"/>
          <w:iCs/>
          <w:sz w:val="22"/>
          <w:szCs w:val="22"/>
        </w:rPr>
        <w:t>.</w:t>
      </w:r>
      <w:r w:rsidRPr="000D3517">
        <w:rPr>
          <w:rFonts w:ascii="Calibri" w:hAnsi="Calibri" w:cs="Arial"/>
          <w:sz w:val="22"/>
          <w:szCs w:val="22"/>
        </w:rPr>
        <w:t xml:space="preserve"> 17. Octubre. pp. 155-177</w:t>
      </w:r>
    </w:p>
    <w:p w:rsidR="0078685B" w:rsidRDefault="0078685B" w:rsidP="0078685B">
      <w:pPr>
        <w:ind w:left="900" w:hanging="900"/>
        <w:rPr>
          <w:rFonts w:ascii="Calibri" w:hAnsi="Calibri" w:cs="Arial"/>
        </w:rPr>
      </w:pPr>
      <w:r w:rsidRPr="000D3517">
        <w:rPr>
          <w:rFonts w:ascii="Calibri" w:hAnsi="Calibri" w:cs="Arial"/>
        </w:rPr>
        <w:t xml:space="preserve">Walliser, Andrés. 2003 </w:t>
      </w:r>
      <w:r w:rsidRPr="000D3517">
        <w:rPr>
          <w:rFonts w:ascii="Calibri" w:hAnsi="Calibri" w:cs="Arial"/>
          <w:i/>
        </w:rPr>
        <w:t>Participación y Ciudad</w:t>
      </w:r>
      <w:r w:rsidRPr="000D3517">
        <w:rPr>
          <w:rFonts w:ascii="Calibri" w:hAnsi="Calibri" w:cs="Arial"/>
        </w:rPr>
        <w:t>. Instituto Juan March de Estudios e Investigaciones, Centro de Estudios Avanzados en Ciencias Sociales.</w:t>
      </w:r>
    </w:p>
    <w:p w:rsidR="0078685B" w:rsidRPr="00E754A4" w:rsidRDefault="0078685B" w:rsidP="0078685B">
      <w:pPr>
        <w:ind w:left="900" w:hanging="900"/>
        <w:rPr>
          <w:rFonts w:ascii="Calibri" w:hAnsi="Calibri" w:cs="Arial"/>
          <w:lang w:val="en-US"/>
        </w:rPr>
      </w:pPr>
      <w:r w:rsidRPr="00E754A4">
        <w:rPr>
          <w:rFonts w:ascii="Calibri" w:hAnsi="Calibri" w:cs="Calibri"/>
          <w:lang w:val="en-US"/>
        </w:rPr>
        <w:t xml:space="preserve">Warren, Mark. 2001. </w:t>
      </w:r>
      <w:r w:rsidRPr="008F7443">
        <w:rPr>
          <w:rFonts w:ascii="Calibri" w:hAnsi="Calibri" w:cs="Calibri"/>
          <w:i/>
          <w:lang w:val="en-US"/>
        </w:rPr>
        <w:t>Democracy and Associations</w:t>
      </w:r>
      <w:r w:rsidRPr="00E754A4">
        <w:rPr>
          <w:rFonts w:ascii="Calibri" w:hAnsi="Calibri" w:cs="Calibri"/>
          <w:lang w:val="en-US"/>
        </w:rPr>
        <w:t>. New Jersey: Princeton University Press.</w:t>
      </w:r>
    </w:p>
    <w:p w:rsidR="0078685B" w:rsidRPr="0072141B" w:rsidRDefault="0078685B" w:rsidP="0078685B">
      <w:pPr>
        <w:autoSpaceDE w:val="0"/>
        <w:autoSpaceDN w:val="0"/>
        <w:adjustRightInd w:val="0"/>
        <w:rPr>
          <w:rFonts w:ascii="Calibri" w:hAnsi="Calibri" w:cs="Arial"/>
          <w:lang w:val="en-US"/>
        </w:rPr>
      </w:pPr>
    </w:p>
    <w:p w:rsidR="0078685B" w:rsidRPr="0072141B" w:rsidRDefault="0078685B" w:rsidP="0078685B">
      <w:pPr>
        <w:autoSpaceDE w:val="0"/>
        <w:autoSpaceDN w:val="0"/>
        <w:adjustRightInd w:val="0"/>
        <w:rPr>
          <w:rFonts w:ascii="Calibri" w:hAnsi="Calibri" w:cs="Arial"/>
          <w:lang w:val="en-US"/>
        </w:rPr>
      </w:pPr>
    </w:p>
    <w:p w:rsidR="0078685B" w:rsidRPr="0072141B" w:rsidRDefault="0078685B" w:rsidP="0078685B">
      <w:pPr>
        <w:autoSpaceDE w:val="0"/>
        <w:autoSpaceDN w:val="0"/>
        <w:adjustRightInd w:val="0"/>
        <w:rPr>
          <w:rFonts w:ascii="Calibri" w:hAnsi="Calibri" w:cs="Arial"/>
          <w:lang w:val="en-US"/>
        </w:rPr>
      </w:pPr>
    </w:p>
    <w:p w:rsidR="0078685B" w:rsidRPr="0072141B" w:rsidRDefault="0078685B" w:rsidP="0078685B">
      <w:pPr>
        <w:ind w:firstLine="360"/>
        <w:rPr>
          <w:rFonts w:ascii="Calibri" w:hAnsi="Calibri" w:cs="Arial"/>
          <w:b/>
          <w:lang w:val="en-US"/>
        </w:rPr>
      </w:pPr>
    </w:p>
    <w:p w:rsidR="0078685B" w:rsidRPr="0072141B" w:rsidRDefault="0078685B" w:rsidP="0078685B">
      <w:pPr>
        <w:rPr>
          <w:rFonts w:ascii="Calibri" w:hAnsi="Calibri"/>
          <w:lang w:val="en-US"/>
        </w:rPr>
      </w:pPr>
    </w:p>
    <w:p w:rsidR="0078685B" w:rsidRPr="006F0E66" w:rsidRDefault="0078685B" w:rsidP="0078685B">
      <w:pPr>
        <w:rPr>
          <w:lang w:val="en-US"/>
        </w:rPr>
      </w:pPr>
    </w:p>
    <w:p w:rsidR="001A6271" w:rsidRPr="0078685B" w:rsidRDefault="001A6271">
      <w:pPr>
        <w:rPr>
          <w:lang w:val="en-US"/>
        </w:rPr>
      </w:pPr>
    </w:p>
    <w:sectPr w:rsidR="001A6271" w:rsidRPr="0078685B" w:rsidSect="00450A91">
      <w:foot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490C" w:rsidRDefault="0061490C" w:rsidP="0078685B">
      <w:pPr>
        <w:spacing w:after="0" w:line="240" w:lineRule="auto"/>
      </w:pPr>
      <w:r>
        <w:separator/>
      </w:r>
    </w:p>
  </w:endnote>
  <w:endnote w:type="continuationSeparator" w:id="1">
    <w:p w:rsidR="0061490C" w:rsidRDefault="0061490C" w:rsidP="007868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LinLibertine">
    <w:panose1 w:val="00000000000000000000"/>
    <w:charset w:val="00"/>
    <w:family w:val="auto"/>
    <w:notTrueType/>
    <w:pitch w:val="default"/>
    <w:sig w:usb0="00000003" w:usb1="00000000" w:usb2="00000000" w:usb3="00000000" w:csb0="00000001" w:csb1="00000000"/>
  </w:font>
  <w:font w:name="Calibri,Bold">
    <w:altName w:val="Cambri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313699"/>
      <w:docPartObj>
        <w:docPartGallery w:val="Page Numbers (Bottom of Page)"/>
        <w:docPartUnique/>
      </w:docPartObj>
    </w:sdtPr>
    <w:sdtContent>
      <w:p w:rsidR="002C5F72" w:rsidRDefault="00184EE0">
        <w:pPr>
          <w:pStyle w:val="Piedepgina"/>
          <w:jc w:val="right"/>
        </w:pPr>
        <w:r>
          <w:fldChar w:fldCharType="begin"/>
        </w:r>
        <w:r w:rsidR="00EC498D">
          <w:instrText xml:space="preserve"> PAGE   \* MERGEFORMAT </w:instrText>
        </w:r>
        <w:r>
          <w:fldChar w:fldCharType="separate"/>
        </w:r>
        <w:r w:rsidR="00E6705C">
          <w:rPr>
            <w:noProof/>
          </w:rPr>
          <w:t>18</w:t>
        </w:r>
        <w:r>
          <w:fldChar w:fldCharType="end"/>
        </w:r>
      </w:p>
    </w:sdtContent>
  </w:sdt>
  <w:p w:rsidR="002C5F72" w:rsidRDefault="0061490C">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490C" w:rsidRDefault="0061490C" w:rsidP="0078685B">
      <w:pPr>
        <w:spacing w:after="0" w:line="240" w:lineRule="auto"/>
      </w:pPr>
      <w:r>
        <w:separator/>
      </w:r>
    </w:p>
  </w:footnote>
  <w:footnote w:type="continuationSeparator" w:id="1">
    <w:p w:rsidR="0061490C" w:rsidRDefault="0061490C" w:rsidP="0078685B">
      <w:pPr>
        <w:spacing w:after="0" w:line="240" w:lineRule="auto"/>
      </w:pPr>
      <w:r>
        <w:continuationSeparator/>
      </w:r>
    </w:p>
  </w:footnote>
  <w:footnote w:id="2">
    <w:p w:rsidR="0078685B" w:rsidRDefault="0078685B" w:rsidP="0078685B">
      <w:pPr>
        <w:pStyle w:val="Textonotapie"/>
        <w:ind w:firstLine="0"/>
      </w:pPr>
      <w:r>
        <w:rPr>
          <w:rStyle w:val="Refdenotaalpie"/>
        </w:rPr>
        <w:footnoteRef/>
      </w:r>
      <w:r>
        <w:t xml:space="preserve"> Candidata a Doctora (UAM) Email de contacto: flormisino@yahoo.es</w:t>
      </w:r>
    </w:p>
  </w:footnote>
  <w:footnote w:id="3">
    <w:p w:rsidR="0078685B" w:rsidRDefault="0078685B" w:rsidP="0078685B">
      <w:pPr>
        <w:pStyle w:val="Textonotapie"/>
        <w:ind w:left="360" w:firstLine="0"/>
      </w:pPr>
      <w:r>
        <w:rPr>
          <w:rStyle w:val="Refdenotaalpie"/>
        </w:rPr>
        <w:footnoteRef/>
      </w:r>
      <w:r>
        <w:t xml:space="preserve"> </w:t>
      </w:r>
      <w:r w:rsidRPr="00227630">
        <w:rPr>
          <w:sz w:val="18"/>
          <w:szCs w:val="18"/>
        </w:rPr>
        <w:t>En España la mayor parte de los ayuntamientos son de tamaños inferiores a los 100000 habitantes. Por ejemplo, en la Comunidad de Madrid, tiene 179 gobiernos locales de los cuales sólo 10 (incluyendo a la ciudad de Madrid) t</w:t>
      </w:r>
      <w:r>
        <w:rPr>
          <w:sz w:val="18"/>
          <w:szCs w:val="18"/>
        </w:rPr>
        <w:t>ienen más de 100000 habitantes, los cuales forman el universo de análisis</w:t>
      </w:r>
    </w:p>
  </w:footnote>
  <w:footnote w:id="4">
    <w:p w:rsidR="0078685B" w:rsidRPr="00B147CB" w:rsidRDefault="0078685B" w:rsidP="0078685B">
      <w:pPr>
        <w:pStyle w:val="Textonotapie"/>
        <w:ind w:firstLine="0"/>
        <w:rPr>
          <w:sz w:val="18"/>
          <w:szCs w:val="18"/>
        </w:rPr>
      </w:pPr>
      <w:r w:rsidRPr="00B147CB">
        <w:rPr>
          <w:rStyle w:val="Refdenotaalpie"/>
          <w:sz w:val="18"/>
          <w:szCs w:val="18"/>
        </w:rPr>
        <w:footnoteRef/>
      </w:r>
      <w:r w:rsidRPr="00B147CB">
        <w:rPr>
          <w:sz w:val="18"/>
          <w:szCs w:val="18"/>
        </w:rPr>
        <w:t xml:space="preserve"> Estos municipios por su tamaño que tienen más de 100000 habitantes tienen mayores recursos económicos, políticos y sociales, su gestión es más compleja y por tanto, la política de participación tiene rasgos diferenciales a los de menor tamaño. (ver Navarro, 2002). La ley 57/2003 potencia tanto la figura del alcalde como la participación ciudadana a nivel territorial mediante la obligación de instaurar Juntas de Distrito</w:t>
      </w:r>
    </w:p>
  </w:footnote>
  <w:footnote w:id="5">
    <w:p w:rsidR="0078685B" w:rsidRPr="009976D2" w:rsidRDefault="0078685B" w:rsidP="0078685B">
      <w:pPr>
        <w:pStyle w:val="Textonotapie"/>
        <w:ind w:firstLine="0"/>
        <w:rPr>
          <w:sz w:val="18"/>
          <w:szCs w:val="18"/>
        </w:rPr>
      </w:pPr>
      <w:r w:rsidRPr="009976D2">
        <w:rPr>
          <w:rStyle w:val="Refdenotaalpie"/>
          <w:sz w:val="18"/>
          <w:szCs w:val="18"/>
        </w:rPr>
        <w:footnoteRef/>
      </w:r>
      <w:r w:rsidRPr="009976D2">
        <w:rPr>
          <w:sz w:val="18"/>
          <w:szCs w:val="18"/>
        </w:rPr>
        <w:t xml:space="preserve"> Comúnmente denominada Gran ciudad refiere a los municipios acogidos a la Ley 57/2003 que cuentan con competencias diferentes al resto de los ayuntamientos más pequeños.</w:t>
      </w:r>
    </w:p>
  </w:footnote>
  <w:footnote w:id="6">
    <w:p w:rsidR="0078685B" w:rsidRPr="009976D2" w:rsidRDefault="0078685B" w:rsidP="0078685B">
      <w:pPr>
        <w:pStyle w:val="Textonotapie"/>
        <w:ind w:firstLine="0"/>
        <w:rPr>
          <w:sz w:val="18"/>
          <w:szCs w:val="18"/>
        </w:rPr>
      </w:pPr>
      <w:r w:rsidRPr="009976D2">
        <w:rPr>
          <w:rStyle w:val="Refdenotaalpie"/>
          <w:sz w:val="18"/>
          <w:szCs w:val="18"/>
        </w:rPr>
        <w:footnoteRef/>
      </w:r>
      <w:r w:rsidRPr="009976D2">
        <w:rPr>
          <w:sz w:val="18"/>
          <w:szCs w:val="18"/>
        </w:rPr>
        <w:t xml:space="preserve"> Esto no quiere decir que su implementación auspicie ganar en el terreno electoral, sino todo lo contrario los actores intentan contener los espacios donde se pueda hacer visible el conflicto social y por ende ello pueda perjudicar su performance. En este sentido me remito al trabajo de Font y Blanco que desarrollan sobre las motivaciones y cómo los líderes fueron afectados negativamente al abrir espacios de participación. </w:t>
      </w:r>
    </w:p>
  </w:footnote>
  <w:footnote w:id="7">
    <w:p w:rsidR="0078685B" w:rsidRPr="009B56F9" w:rsidRDefault="0078685B" w:rsidP="0078685B">
      <w:pPr>
        <w:pStyle w:val="Textonotapie"/>
        <w:ind w:firstLine="0"/>
        <w:rPr>
          <w:sz w:val="18"/>
          <w:szCs w:val="18"/>
        </w:rPr>
      </w:pPr>
      <w:r w:rsidRPr="009B56F9">
        <w:rPr>
          <w:rStyle w:val="Refdenotaalpie"/>
          <w:sz w:val="18"/>
          <w:szCs w:val="18"/>
        </w:rPr>
        <w:footnoteRef/>
      </w:r>
      <w:r w:rsidRPr="009B56F9">
        <w:rPr>
          <w:sz w:val="18"/>
          <w:szCs w:val="18"/>
        </w:rPr>
        <w:t xml:space="preserve"> Se hace referencia al período de estudio, de 2003 a 2011, en legislaturas anteriores la situación fue diferente. </w:t>
      </w:r>
    </w:p>
  </w:footnote>
  <w:footnote w:id="8">
    <w:p w:rsidR="0078685B" w:rsidRPr="00B147CB" w:rsidRDefault="0078685B" w:rsidP="0078685B">
      <w:pPr>
        <w:pStyle w:val="Textonotapie"/>
        <w:ind w:firstLine="0"/>
        <w:rPr>
          <w:sz w:val="18"/>
          <w:szCs w:val="18"/>
        </w:rPr>
      </w:pPr>
      <w:r w:rsidRPr="00B147CB">
        <w:rPr>
          <w:rStyle w:val="Refdenotaalpie"/>
          <w:sz w:val="18"/>
          <w:szCs w:val="18"/>
        </w:rPr>
        <w:footnoteRef/>
      </w:r>
      <w:r w:rsidRPr="00B147CB">
        <w:rPr>
          <w:sz w:val="18"/>
          <w:szCs w:val="18"/>
        </w:rPr>
        <w:t xml:space="preserve"> Esta apreciación es en general para las grandes ciudades de la Comunidad de Madrid, ya que se revisaron todos los regl</w:t>
      </w:r>
      <w:r>
        <w:rPr>
          <w:sz w:val="18"/>
          <w:szCs w:val="18"/>
        </w:rPr>
        <w:t xml:space="preserve">amentos en las 9 ciudades que </w:t>
      </w:r>
      <w:r w:rsidRPr="00B147CB">
        <w:rPr>
          <w:sz w:val="18"/>
          <w:szCs w:val="18"/>
        </w:rPr>
        <w:t xml:space="preserve"> adhirieron al régimen.</w:t>
      </w:r>
    </w:p>
  </w:footnote>
  <w:footnote w:id="9">
    <w:p w:rsidR="0078685B" w:rsidRPr="00B147CB" w:rsidRDefault="0078685B" w:rsidP="0078685B">
      <w:pPr>
        <w:spacing w:line="276" w:lineRule="auto"/>
        <w:ind w:firstLine="0"/>
        <w:rPr>
          <w:sz w:val="18"/>
          <w:szCs w:val="18"/>
        </w:rPr>
      </w:pPr>
      <w:r>
        <w:rPr>
          <w:rStyle w:val="Refdenotaalpie"/>
        </w:rPr>
        <w:footnoteRef/>
      </w:r>
      <w:r>
        <w:t xml:space="preserve"> </w:t>
      </w:r>
      <w:r w:rsidRPr="00B147CB">
        <w:rPr>
          <w:sz w:val="18"/>
          <w:szCs w:val="18"/>
        </w:rPr>
        <w:t xml:space="preserve">Sólo se permitía a las asociaciones una moción por vez, sólo dos AAVV podían participaren reuniones trimestrales. </w:t>
      </w:r>
      <w:r w:rsidRPr="00B147CB">
        <w:rPr>
          <w:sz w:val="18"/>
          <w:szCs w:val="18"/>
          <w:lang w:val="es-ES_tradnl"/>
        </w:rPr>
        <w:t>cuatro de las entidades sociales del distrito, de las cuales, dos son de asociaciones vecinales y dos de otra índole. Sin embargo, de estas cuatro sólo dos tienen voz y voto y las dos restantes tienen voz pero sin voto. que en cada cesión se podrán tratar como máximo cuatro iniciativas de los grupos políticos y dos de las entidades sociales. (AAVV: una moción por reunión,  otra enti</w:t>
      </w:r>
      <w:r>
        <w:rPr>
          <w:sz w:val="18"/>
          <w:szCs w:val="18"/>
          <w:lang w:val="es-ES_tradnl"/>
        </w:rPr>
        <w:t>dad: una moción por reunión. S</w:t>
      </w:r>
      <w:r w:rsidRPr="00B147CB">
        <w:rPr>
          <w:sz w:val="18"/>
          <w:szCs w:val="18"/>
          <w:lang w:val="es-ES_tradnl"/>
        </w:rPr>
        <w:t xml:space="preserve">e destaca: </w:t>
      </w:r>
      <w:r w:rsidRPr="00B147CB">
        <w:rPr>
          <w:sz w:val="18"/>
          <w:szCs w:val="18"/>
        </w:rPr>
        <w:t xml:space="preserve">artículo 76 </w:t>
      </w:r>
      <w:r w:rsidRPr="00B147CB">
        <w:rPr>
          <w:sz w:val="18"/>
          <w:szCs w:val="18"/>
          <w:lang w:val="es-ES_tradnl"/>
        </w:rPr>
        <w:t>Inciso 5. “Si una asociación hubiese solicitado intervenir respecto de un asunto en el turno de ruegos y preguntas y posteriormente dicho asunto es sometido como proposición  a la junta municipal de Distrito por la misma asociación e incluido en el orden del día, se entenderá que la asociación proponente renuncia a la intervención en el turno de ruegos y preguntas que le hubiere podido corresponder.</w:t>
      </w:r>
    </w:p>
  </w:footnote>
  <w:footnote w:id="10">
    <w:p w:rsidR="0078685B" w:rsidRPr="00B147CB" w:rsidRDefault="0078685B" w:rsidP="0078685B">
      <w:pPr>
        <w:pStyle w:val="Textonotapie"/>
        <w:ind w:firstLine="0"/>
        <w:rPr>
          <w:sz w:val="18"/>
          <w:szCs w:val="18"/>
        </w:rPr>
      </w:pPr>
      <w:r w:rsidRPr="00B147CB">
        <w:rPr>
          <w:rStyle w:val="Refdenotaalpie"/>
          <w:sz w:val="18"/>
          <w:szCs w:val="18"/>
        </w:rPr>
        <w:footnoteRef/>
      </w:r>
      <w:r w:rsidRPr="00B147CB">
        <w:rPr>
          <w:sz w:val="18"/>
          <w:szCs w:val="18"/>
        </w:rPr>
        <w:t xml:space="preserve"> En esta ciudad, el primer reglamento se aprueba en 1987, luego hay una reforma en 1989 y la última antes de ésta es la de 1991. </w:t>
      </w:r>
    </w:p>
  </w:footnote>
  <w:footnote w:id="11">
    <w:p w:rsidR="0078685B" w:rsidRPr="00B147CB" w:rsidRDefault="0078685B" w:rsidP="0078685B">
      <w:pPr>
        <w:pStyle w:val="Textonotapie"/>
        <w:ind w:firstLine="0"/>
        <w:rPr>
          <w:sz w:val="18"/>
          <w:szCs w:val="18"/>
        </w:rPr>
      </w:pPr>
      <w:r w:rsidRPr="00B147CB">
        <w:rPr>
          <w:rStyle w:val="Refdenotaalpie"/>
          <w:sz w:val="18"/>
          <w:szCs w:val="18"/>
        </w:rPr>
        <w:footnoteRef/>
      </w:r>
      <w:r w:rsidRPr="00B147CB">
        <w:rPr>
          <w:sz w:val="18"/>
          <w:szCs w:val="18"/>
        </w:rPr>
        <w:t xml:space="preserve"> Antes de la llegada al gobierno de Parro en este municipio se había dividido territorialmente en 4 distritos y  se había empezado el proceso de desconcentración en las juntas desde 1995. </w:t>
      </w:r>
    </w:p>
  </w:footnote>
  <w:footnote w:id="12">
    <w:p w:rsidR="0078685B" w:rsidRPr="00B147CB" w:rsidRDefault="0078685B" w:rsidP="0078685B">
      <w:pPr>
        <w:spacing w:line="276" w:lineRule="auto"/>
        <w:ind w:firstLine="0"/>
        <w:rPr>
          <w:rFonts w:cs="Arial"/>
          <w:sz w:val="18"/>
          <w:szCs w:val="18"/>
        </w:rPr>
      </w:pPr>
      <w:r w:rsidRPr="00B147CB">
        <w:rPr>
          <w:rStyle w:val="Refdenotaalpie"/>
          <w:sz w:val="18"/>
          <w:szCs w:val="18"/>
        </w:rPr>
        <w:footnoteRef/>
      </w:r>
      <w:r w:rsidRPr="00B147CB">
        <w:rPr>
          <w:sz w:val="18"/>
          <w:szCs w:val="18"/>
        </w:rPr>
        <w:t xml:space="preserve"> En la segunda legislatura se crean 13 Consejos: Educación, Cultura, Deportes, Pensionistas y Jubilados, Bienestar Social, Promoción de la Accesibilidad, Cooperación. Economía, Urbanismo, Medio Ambiente, Igualdad de Oportunidades, Sanidad y Consumo y Seguridad Ciudadana. (Sur Madrid, 13 de Noviembre de 2007, nº 500)</w:t>
      </w:r>
    </w:p>
    <w:p w:rsidR="0078685B" w:rsidRDefault="0078685B" w:rsidP="0078685B">
      <w:pPr>
        <w:pStyle w:val="Textonotapie"/>
      </w:pPr>
    </w:p>
  </w:footnote>
  <w:footnote w:id="13">
    <w:p w:rsidR="0078685B" w:rsidRPr="00B147CB" w:rsidRDefault="0078685B" w:rsidP="0078685B">
      <w:pPr>
        <w:pStyle w:val="Textonotapie"/>
        <w:ind w:firstLine="0"/>
        <w:rPr>
          <w:sz w:val="18"/>
          <w:szCs w:val="18"/>
        </w:rPr>
      </w:pPr>
      <w:r w:rsidRPr="00B147CB">
        <w:rPr>
          <w:rStyle w:val="Refdenotaalpie"/>
          <w:sz w:val="18"/>
          <w:szCs w:val="18"/>
        </w:rPr>
        <w:footnoteRef/>
      </w:r>
      <w:r w:rsidRPr="00B147CB">
        <w:rPr>
          <w:sz w:val="18"/>
          <w:szCs w:val="18"/>
        </w:rPr>
        <w:t xml:space="preserve"> En ambos casos, los gobiernos con mayoría absoluta tienen asegurado que todo lo que se vote será lo que dicte el gobierno, sólo es posible mediante alianzas entre la oposición y todos los actores sociales,  cuestión que a veces es difícil por las alianzas parciales que se dan entre los actores. La otra opción ha sido sacarlo con la venia del gobierno, los vocales del partido de gobierno se abstienen. </w:t>
      </w:r>
    </w:p>
  </w:footnote>
  <w:footnote w:id="14">
    <w:p w:rsidR="0078685B" w:rsidRPr="00B147CB" w:rsidRDefault="0078685B" w:rsidP="0078685B">
      <w:pPr>
        <w:pStyle w:val="Textonotapie"/>
        <w:ind w:firstLine="0"/>
        <w:rPr>
          <w:sz w:val="18"/>
          <w:szCs w:val="18"/>
        </w:rPr>
      </w:pPr>
      <w:r w:rsidRPr="00B147CB">
        <w:rPr>
          <w:rStyle w:val="Refdenotaalpie"/>
          <w:sz w:val="18"/>
          <w:szCs w:val="18"/>
        </w:rPr>
        <w:footnoteRef/>
      </w:r>
      <w:r w:rsidRPr="00B147CB">
        <w:rPr>
          <w:sz w:val="18"/>
          <w:szCs w:val="18"/>
        </w:rPr>
        <w:t xml:space="preserve"> Se ha tomado en cuenta el presupuesto aprobado en Diciembre de 2010, para el ejercicio de 2011, último año de legislatura. </w:t>
      </w:r>
    </w:p>
  </w:footnote>
  <w:footnote w:id="15">
    <w:p w:rsidR="0078685B" w:rsidRPr="000E3795" w:rsidRDefault="0078685B" w:rsidP="0078685B">
      <w:pPr>
        <w:pStyle w:val="Textonotapie"/>
        <w:ind w:firstLine="0"/>
        <w:rPr>
          <w:sz w:val="18"/>
          <w:szCs w:val="18"/>
        </w:rPr>
      </w:pPr>
      <w:r w:rsidRPr="000E3795">
        <w:rPr>
          <w:rStyle w:val="Refdenotaalpie"/>
          <w:sz w:val="18"/>
          <w:szCs w:val="18"/>
        </w:rPr>
        <w:footnoteRef/>
      </w:r>
      <w:r w:rsidRPr="000E3795">
        <w:rPr>
          <w:sz w:val="18"/>
          <w:szCs w:val="18"/>
        </w:rPr>
        <w:t xml:space="preserve"> Luego de las elecciones locales de 2011 las actuaciones en torno a la participación ciudadana, cambian</w:t>
      </w:r>
      <w:r>
        <w:t xml:space="preserve"> </w:t>
      </w:r>
      <w:r w:rsidRPr="000E3795">
        <w:rPr>
          <w:sz w:val="18"/>
          <w:szCs w:val="18"/>
        </w:rPr>
        <w:t xml:space="preserve">considerablemente, se realiza un trabajo de consulta con las asociaciones locales para reformar el reglamento y se inicia un periodo de mayor coordinación con las juntas de distrito. El alcalde reelegido obtiene el gobierno en una situación minoritaria y se ve compelido a cambiar este RPC, algo que había prometido en campaña. </w:t>
      </w:r>
    </w:p>
  </w:footnote>
  <w:footnote w:id="16">
    <w:p w:rsidR="0078685B" w:rsidRPr="000E3795" w:rsidRDefault="0078685B" w:rsidP="0078685B">
      <w:pPr>
        <w:pStyle w:val="Textonotapie"/>
        <w:ind w:firstLine="0"/>
        <w:rPr>
          <w:sz w:val="18"/>
          <w:szCs w:val="18"/>
        </w:rPr>
      </w:pPr>
      <w:r w:rsidRPr="000E3795">
        <w:rPr>
          <w:rStyle w:val="Refdenotaalpie"/>
          <w:sz w:val="18"/>
          <w:szCs w:val="18"/>
        </w:rPr>
        <w:footnoteRef/>
      </w:r>
      <w:r w:rsidRPr="000E3795">
        <w:rPr>
          <w:sz w:val="18"/>
          <w:szCs w:val="18"/>
        </w:rPr>
        <w:t xml:space="preserve"> No está claro si este modo de insertar propuestas para obras de inversión en la ciudad y en el barrio es lo que habitualmente se define como Presupuesto Participativo, por la falta de espacio para mas explicación se dará por válida la mención que de ello hacen en el Ayuntamiento.  Si cabe aclarar que el procedimiento es muy diferente al que se da habitualmente. </w:t>
      </w:r>
    </w:p>
  </w:footnote>
  <w:footnote w:id="17">
    <w:p w:rsidR="0078685B" w:rsidRPr="00A57270" w:rsidRDefault="0078685B" w:rsidP="0078685B">
      <w:pPr>
        <w:spacing w:line="240" w:lineRule="auto"/>
        <w:ind w:firstLine="0"/>
        <w:rPr>
          <w:sz w:val="18"/>
          <w:szCs w:val="18"/>
        </w:rPr>
      </w:pPr>
      <w:r w:rsidRPr="007B3F63">
        <w:rPr>
          <w:rStyle w:val="Refdenotaalpie"/>
          <w:sz w:val="18"/>
          <w:szCs w:val="18"/>
        </w:rPr>
        <w:footnoteRef/>
      </w:r>
      <w:r w:rsidRPr="007B3F63">
        <w:t xml:space="preserve"> </w:t>
      </w:r>
      <w:r w:rsidRPr="00A57270">
        <w:rPr>
          <w:sz w:val="18"/>
          <w:szCs w:val="18"/>
        </w:rPr>
        <w:t xml:space="preserve">Sociedad Civil: La propuesta del PP para caminar en esta dirección es «una nueva ética social» basada en los valores del «esfuerzo individual, de la asunción del riesgo, de la satisfacción por el trabajo bien realizado, de la honradez, del ahorro, de la confianza de la persona en su </w:t>
      </w:r>
      <w:r>
        <w:rPr>
          <w:sz w:val="18"/>
          <w:szCs w:val="18"/>
        </w:rPr>
        <w:t xml:space="preserve">propia capacidad» </w:t>
      </w:r>
      <w:r w:rsidRPr="00A57270">
        <w:rPr>
          <w:sz w:val="18"/>
          <w:szCs w:val="18"/>
        </w:rPr>
        <w:t xml:space="preserve">. Por tanto, el criterio para el buen gobierno no es político sino económico: eficiencia y eficacia. La provisión de servicios se mercantiliza al adoptar el lenguaje y las reglas del mercado como el énfasis en la libertad de elección, </w:t>
      </w:r>
      <w:r>
        <w:rPr>
          <w:sz w:val="18"/>
          <w:szCs w:val="18"/>
        </w:rPr>
        <w:t xml:space="preserve">la calidad o la competitividad </w:t>
      </w:r>
      <w:r w:rsidRPr="00A57270">
        <w:rPr>
          <w:sz w:val="18"/>
          <w:szCs w:val="18"/>
        </w:rPr>
        <w:t xml:space="preserve">.Sólo así puede devolverse el protagonismo a los ciudadanos. </w:t>
      </w:r>
      <w:r>
        <w:rPr>
          <w:sz w:val="18"/>
          <w:szCs w:val="18"/>
        </w:rPr>
        <w:t xml:space="preserve">(…) </w:t>
      </w:r>
      <w:r w:rsidRPr="00A57270">
        <w:rPr>
          <w:sz w:val="18"/>
          <w:szCs w:val="18"/>
        </w:rPr>
        <w:t>Es un modelo democrático que caracteriza a los individuos como consumidores</w:t>
      </w:r>
      <w:r>
        <w:rPr>
          <w:sz w:val="18"/>
          <w:szCs w:val="18"/>
        </w:rPr>
        <w:t xml:space="preserve"> (…</w:t>
      </w:r>
      <w:r w:rsidRPr="00A57270">
        <w:rPr>
          <w:sz w:val="18"/>
          <w:szCs w:val="18"/>
        </w:rPr>
        <w:t>). Por consiguiente, la concepción de la participación es puramente procedimental: garantizar la legitimidad del gobierno que resulte elegido en las elecciones tras la competencia libre y justa entre partidos. (Vergé, 2007)</w:t>
      </w:r>
    </w:p>
    <w:p w:rsidR="0078685B" w:rsidRDefault="0078685B" w:rsidP="0078685B">
      <w:pPr>
        <w:pStyle w:val="Textonotapie"/>
      </w:pPr>
    </w:p>
  </w:footnote>
  <w:footnote w:id="18">
    <w:p w:rsidR="0078685B" w:rsidRPr="000E3795" w:rsidRDefault="0078685B" w:rsidP="0078685B">
      <w:pPr>
        <w:pStyle w:val="Textonotapie"/>
        <w:ind w:firstLine="0"/>
        <w:rPr>
          <w:sz w:val="18"/>
          <w:szCs w:val="18"/>
        </w:rPr>
      </w:pPr>
      <w:r w:rsidRPr="00716916">
        <w:rPr>
          <w:rStyle w:val="Refdenotaalpie"/>
          <w:sz w:val="18"/>
          <w:szCs w:val="18"/>
        </w:rPr>
        <w:footnoteRef/>
      </w:r>
      <w:r w:rsidRPr="00716916">
        <w:t xml:space="preserve"> </w:t>
      </w:r>
      <w:r w:rsidRPr="00A57270">
        <w:rPr>
          <w:sz w:val="18"/>
          <w:szCs w:val="18"/>
        </w:rPr>
        <w:t xml:space="preserve">Cuando el ayuntamiento saca adelante algún plan de acción o campaña de concienciación, que requiere la aceptación de la ciudadanía o por ejemplo, en una ordenanza sobre tránsito como fue la de regulación del uso de las calles de la ciudad por parte de las autoescuelas, fue presentado ante las AAVV quienes dieron el visto bueno. </w:t>
      </w:r>
      <w:r w:rsidRPr="000E3795">
        <w:rPr>
          <w:sz w:val="18"/>
          <w:szCs w:val="18"/>
        </w:rPr>
        <w:t>Otro ejemplo, fue la ordenanza sobre antenas de telefonía. En ambos casos, son asuntos que demandaban resolución por parte de estas entidades. Pero que refleja un ejercicio de tratamiento de asuntos de la ciudad con las organizaciones.</w:t>
      </w:r>
    </w:p>
  </w:footnote>
  <w:footnote w:id="19">
    <w:p w:rsidR="00225DCE" w:rsidRPr="000E3795" w:rsidRDefault="00225DCE" w:rsidP="00225DCE">
      <w:pPr>
        <w:pStyle w:val="Textonotapie"/>
        <w:ind w:firstLine="0"/>
        <w:rPr>
          <w:sz w:val="18"/>
          <w:szCs w:val="18"/>
        </w:rPr>
      </w:pPr>
      <w:r w:rsidRPr="000E3795">
        <w:rPr>
          <w:rStyle w:val="Refdenotaalpie"/>
          <w:sz w:val="18"/>
          <w:szCs w:val="18"/>
        </w:rPr>
        <w:footnoteRef/>
      </w:r>
      <w:r w:rsidRPr="000E3795">
        <w:rPr>
          <w:sz w:val="18"/>
          <w:szCs w:val="18"/>
        </w:rPr>
        <w:t xml:space="preserve"> Los actores sociales hacen mejor valoración de los mismos cuando eran delegaciones distritales y estaban menos reglamentadas, los concejales presidente eran de distintos partidos según representación en el Pleno, esto se cambió en 2003 que pasó a manos del partido de gobierno y funcionaron hasta 2007. La delegación ha sido residual durante todo este tiempo. </w:t>
      </w:r>
    </w:p>
  </w:footnote>
  <w:footnote w:id="20">
    <w:p w:rsidR="00225DCE" w:rsidRPr="000E3795" w:rsidRDefault="00225DCE" w:rsidP="00225DCE">
      <w:pPr>
        <w:pStyle w:val="Textonotapie"/>
        <w:ind w:firstLine="0"/>
        <w:rPr>
          <w:sz w:val="18"/>
          <w:szCs w:val="18"/>
        </w:rPr>
      </w:pPr>
      <w:r w:rsidRPr="000E3795">
        <w:rPr>
          <w:rStyle w:val="Refdenotaalpie"/>
          <w:sz w:val="18"/>
          <w:szCs w:val="18"/>
        </w:rPr>
        <w:footnoteRef/>
      </w:r>
      <w:r w:rsidRPr="000E3795">
        <w:rPr>
          <w:sz w:val="18"/>
          <w:szCs w:val="18"/>
        </w:rPr>
        <w:t xml:space="preserve"> Alcalá de Henares, fue uno de los primeros municipios en incorporar en los 90`policía de proximidad, sin embargo, en las últimas legislaturas este servicio no era igual y la participación de la policía con los actores sociales sólo se daba en el ámbito del Consejo de Seguridad local a nivel ciudad. </w:t>
      </w:r>
    </w:p>
  </w:footnote>
  <w:footnote w:id="21">
    <w:p w:rsidR="00225DCE" w:rsidRPr="000E3795" w:rsidRDefault="00225DCE" w:rsidP="00225DCE">
      <w:pPr>
        <w:pStyle w:val="Textonotapie"/>
        <w:ind w:firstLine="0"/>
        <w:rPr>
          <w:sz w:val="18"/>
          <w:szCs w:val="18"/>
        </w:rPr>
      </w:pPr>
      <w:r w:rsidRPr="000E3795">
        <w:rPr>
          <w:rStyle w:val="Refdenotaalpie"/>
          <w:sz w:val="18"/>
          <w:szCs w:val="18"/>
        </w:rPr>
        <w:footnoteRef/>
      </w:r>
      <w:r w:rsidRPr="000E3795">
        <w:rPr>
          <w:sz w:val="18"/>
          <w:szCs w:val="18"/>
        </w:rPr>
        <w:t xml:space="preserve"> Durante el año 2006 se hace un primer ensayo de esta herramienta donde el ayuntamiento se ve desbordado por no haber establecido unas reglas claras en la priorización de actuaciones. Por tanto, durante el año 2007 se acuerda con la Asociación Coordinadas de Móstoles las reglas de actuación. una de ellas es que la priorización de actuaciones se hace al principio de legislatura por todo el mandato de la corporación, con la posibilidad de cambiar el orden según lo permita la coyuntura.  En el seno del consejo se establece un grupo de trabajo que hace el seguimiento de las obras. Esta experiencia fue repetida en 2011 ampliando la base de recepción de propuestas a todas las organizaciones sociales y a la ciudadanía en general, sin embargo, eran los miembros del Consejo y del Pleno quienes decidían las propuestas luego de la evaluación técnica de las concejalías. </w:t>
      </w:r>
    </w:p>
  </w:footnote>
  <w:footnote w:id="22">
    <w:p w:rsidR="00225DCE" w:rsidRPr="000E3795" w:rsidRDefault="00225DCE" w:rsidP="00225DCE">
      <w:pPr>
        <w:pStyle w:val="Textonotapie"/>
        <w:ind w:firstLine="0"/>
        <w:rPr>
          <w:sz w:val="18"/>
          <w:szCs w:val="18"/>
        </w:rPr>
      </w:pPr>
      <w:r w:rsidRPr="000E3795">
        <w:rPr>
          <w:rStyle w:val="Refdenotaalpie"/>
          <w:sz w:val="18"/>
          <w:szCs w:val="18"/>
        </w:rPr>
        <w:footnoteRef/>
      </w:r>
      <w:r w:rsidRPr="000E3795">
        <w:rPr>
          <w:sz w:val="18"/>
          <w:szCs w:val="18"/>
        </w:rPr>
        <w:t xml:space="preserve"> Su importancia política como elemento estratégico en el gobierno no implica que el Concejal tuviera un peso grande con respecto a las demás áreas del Ayuntamiento, ya que sigue siendo una concejalía de poco peso específico considerando otras áreas, como urbanismo, servicios sociales, etc. Si lo tiene en relación al otro ayuntamiento. En Móstoles ha sido un área de coordinación con una sustancia propia limitada pero relevante en función de articular las relaciones con los actores sociales.</w:t>
      </w:r>
    </w:p>
  </w:footnote>
  <w:footnote w:id="23">
    <w:p w:rsidR="00225DCE" w:rsidRPr="000E3795" w:rsidRDefault="00225DCE" w:rsidP="00225DCE">
      <w:pPr>
        <w:pStyle w:val="Textonotapie"/>
        <w:ind w:firstLine="0"/>
        <w:rPr>
          <w:sz w:val="18"/>
          <w:szCs w:val="18"/>
        </w:rPr>
      </w:pPr>
      <w:r w:rsidRPr="000E3795">
        <w:rPr>
          <w:rStyle w:val="Refdenotaalpie"/>
          <w:sz w:val="18"/>
          <w:szCs w:val="18"/>
        </w:rPr>
        <w:footnoteRef/>
      </w:r>
      <w:r w:rsidRPr="000E3795">
        <w:rPr>
          <w:sz w:val="18"/>
          <w:szCs w:val="18"/>
        </w:rPr>
        <w:t xml:space="preserve"> Hasta 2007 funcionaron las delegaciones distritales, con valoraciones dispares a la baja, desde ese momento hasta la puesta en funcionamiento en enero de 2010, no había foros en los distritos y luego a partir de 2010, son las valoraciones que aportamos en el texto.</w:t>
      </w:r>
    </w:p>
  </w:footnote>
  <w:footnote w:id="24">
    <w:p w:rsidR="0078685B" w:rsidRPr="00B147CB" w:rsidRDefault="0078685B" w:rsidP="0078685B">
      <w:pPr>
        <w:pStyle w:val="Textonotapie"/>
        <w:ind w:firstLine="0"/>
        <w:rPr>
          <w:sz w:val="18"/>
          <w:szCs w:val="18"/>
        </w:rPr>
      </w:pPr>
      <w:r w:rsidRPr="00B147CB">
        <w:rPr>
          <w:rStyle w:val="Refdenotaalpie"/>
          <w:sz w:val="18"/>
          <w:szCs w:val="18"/>
        </w:rPr>
        <w:footnoteRef/>
      </w:r>
      <w:r w:rsidRPr="00B147CB">
        <w:rPr>
          <w:sz w:val="18"/>
          <w:szCs w:val="18"/>
        </w:rPr>
        <w:t xml:space="preserve"> Como lo señala Ganuza en su análisis sobre los modelos de presupuestos participativos</w:t>
      </w:r>
      <w:r w:rsidRPr="0074513D">
        <w:t xml:space="preserve"> </w:t>
      </w:r>
      <w:r w:rsidRPr="00B147CB">
        <w:rPr>
          <w:sz w:val="18"/>
          <w:szCs w:val="18"/>
        </w:rPr>
        <w:t>efectuados en España. (Ganuza, Sintomier, 2011)</w:t>
      </w:r>
    </w:p>
  </w:footnote>
  <w:footnote w:id="25">
    <w:p w:rsidR="0078685B" w:rsidRPr="00B147CB" w:rsidRDefault="0078685B" w:rsidP="0078685B">
      <w:pPr>
        <w:pStyle w:val="Textonotapie"/>
        <w:ind w:firstLine="0"/>
        <w:rPr>
          <w:sz w:val="18"/>
          <w:szCs w:val="18"/>
        </w:rPr>
      </w:pPr>
      <w:r w:rsidRPr="00B147CB">
        <w:rPr>
          <w:rStyle w:val="Refdenotaalpie"/>
          <w:sz w:val="18"/>
          <w:szCs w:val="18"/>
        </w:rPr>
        <w:footnoteRef/>
      </w:r>
      <w:r w:rsidRPr="00B147CB">
        <w:rPr>
          <w:sz w:val="18"/>
          <w:szCs w:val="18"/>
        </w:rPr>
        <w:t xml:space="preserve"> Hay otros actores importantes en la esfera local, como son los sindicatos y los empresarios, sin embargo, no son parte de esta red por tanto no se los tiene en cuenta para este análisis. </w:t>
      </w:r>
    </w:p>
  </w:footnote>
  <w:footnote w:id="26">
    <w:p w:rsidR="0078685B" w:rsidRPr="00B147CB" w:rsidRDefault="0078685B" w:rsidP="0078685B">
      <w:pPr>
        <w:pStyle w:val="Textonotapie"/>
        <w:ind w:firstLine="0"/>
        <w:rPr>
          <w:sz w:val="18"/>
          <w:szCs w:val="18"/>
        </w:rPr>
      </w:pPr>
      <w:r w:rsidRPr="00B147CB">
        <w:rPr>
          <w:rStyle w:val="Refdenotaalpie"/>
          <w:sz w:val="18"/>
          <w:szCs w:val="18"/>
        </w:rPr>
        <w:footnoteRef/>
      </w:r>
      <w:r w:rsidRPr="00B147CB">
        <w:rPr>
          <w:sz w:val="18"/>
          <w:szCs w:val="18"/>
        </w:rPr>
        <w:t xml:space="preserve"> También refiere al frente interno en el partido, que ambos alcaldes tuvieron encauzados como líderes del partido durante los mandatos de estudio. Por falta de espacio en este trabajo no ahondaremos sobre este asunto. </w:t>
      </w:r>
    </w:p>
  </w:footnote>
  <w:footnote w:id="27">
    <w:p w:rsidR="0078685B" w:rsidRPr="00B147CB" w:rsidRDefault="0078685B" w:rsidP="0078685B">
      <w:pPr>
        <w:pStyle w:val="Textonotapie"/>
        <w:ind w:firstLine="0"/>
        <w:rPr>
          <w:sz w:val="18"/>
          <w:szCs w:val="18"/>
        </w:rPr>
      </w:pPr>
      <w:r w:rsidRPr="00996E86">
        <w:rPr>
          <w:rStyle w:val="Refdenotaalpie"/>
          <w:sz w:val="18"/>
          <w:szCs w:val="18"/>
        </w:rPr>
        <w:footnoteRef/>
      </w:r>
      <w:r w:rsidRPr="00996E86">
        <w:t xml:space="preserve"> </w:t>
      </w:r>
      <w:r w:rsidRPr="00B147CB">
        <w:rPr>
          <w:sz w:val="18"/>
          <w:szCs w:val="18"/>
        </w:rPr>
        <w:t>En la entrevista el ex alcalde resalta este aspecto en varias oportunidades, de igual manera se manifiestan los Concejales de su gobierno que fueron entrevistados. Aunque señale que en lo local algunos aspectos de la p</w:t>
      </w:r>
      <w:r>
        <w:rPr>
          <w:sz w:val="18"/>
          <w:szCs w:val="18"/>
        </w:rPr>
        <w:t>olítica los marcan las personas.</w:t>
      </w:r>
      <w:r w:rsidRPr="00B147CB">
        <w:rPr>
          <w:sz w:val="18"/>
          <w:szCs w:val="18"/>
        </w:rPr>
        <w:t xml:space="preserve"> El alcalde Parro tenía muy claro el tipo de gestión que quería imprimir en la ciudad y para ello distribuye claramente las funciones entre su equipo.</w:t>
      </w:r>
    </w:p>
  </w:footnote>
  <w:footnote w:id="28">
    <w:p w:rsidR="0078685B" w:rsidRPr="00B147CB" w:rsidRDefault="0078685B" w:rsidP="0078685B">
      <w:pPr>
        <w:pStyle w:val="Textonotapie"/>
        <w:ind w:firstLine="0"/>
        <w:rPr>
          <w:sz w:val="18"/>
          <w:szCs w:val="18"/>
        </w:rPr>
      </w:pPr>
      <w:r w:rsidRPr="00B147CB">
        <w:rPr>
          <w:rStyle w:val="Refdenotaalpie"/>
          <w:sz w:val="18"/>
          <w:szCs w:val="18"/>
        </w:rPr>
        <w:footnoteRef/>
      </w:r>
      <w:r w:rsidRPr="00B147CB">
        <w:rPr>
          <w:sz w:val="18"/>
          <w:szCs w:val="18"/>
        </w:rPr>
        <w:t xml:space="preserve"> Juan José López, todos los actores sociales lo reconocieron como alguien muy receptivo y abierto,  en la otra legislatura fue destinado a otra área y falleció en 2010. El centro de participación ciudadana  situado en el centro de la ciudad, lleva su nombre en su honor.</w:t>
      </w:r>
    </w:p>
  </w:footnote>
  <w:footnote w:id="29">
    <w:p w:rsidR="0078685B" w:rsidRPr="00B147CB" w:rsidRDefault="0078685B" w:rsidP="0078685B">
      <w:pPr>
        <w:pStyle w:val="Textonotapie"/>
        <w:ind w:firstLine="0"/>
        <w:rPr>
          <w:sz w:val="18"/>
          <w:szCs w:val="18"/>
        </w:rPr>
      </w:pPr>
      <w:r w:rsidRPr="00B147CB">
        <w:rPr>
          <w:rStyle w:val="Refdenotaalpie"/>
          <w:sz w:val="18"/>
          <w:szCs w:val="18"/>
        </w:rPr>
        <w:footnoteRef/>
      </w:r>
      <w:r w:rsidRPr="00B147CB">
        <w:rPr>
          <w:sz w:val="18"/>
          <w:szCs w:val="18"/>
        </w:rPr>
        <w:t xml:space="preserve"> Las reuniones trimestrales, como la participación de l</w:t>
      </w:r>
      <w:r>
        <w:rPr>
          <w:sz w:val="18"/>
          <w:szCs w:val="18"/>
        </w:rPr>
        <w:t>as Coordinadas en el Debate de E</w:t>
      </w:r>
      <w:r w:rsidRPr="00B147CB">
        <w:rPr>
          <w:sz w:val="18"/>
          <w:szCs w:val="18"/>
        </w:rPr>
        <w:t xml:space="preserve">stado del Municipio y los representantes de ésta en los Consejos Sectoriales, son puntos del Convenio de Colaboración que firma el Alcalde al inicio de cada mandato, en 2003 como en 2007. En 2011 se hizo lo mismo pero esta legislatura no entra en el estudio. </w:t>
      </w:r>
    </w:p>
  </w:footnote>
  <w:footnote w:id="30">
    <w:p w:rsidR="0078685B" w:rsidRPr="00F15388" w:rsidRDefault="0078685B" w:rsidP="0078685B">
      <w:pPr>
        <w:pStyle w:val="Textonotapie"/>
        <w:ind w:firstLine="0"/>
        <w:rPr>
          <w:sz w:val="18"/>
          <w:szCs w:val="18"/>
        </w:rPr>
      </w:pPr>
      <w:r w:rsidRPr="00F15388">
        <w:rPr>
          <w:rStyle w:val="Refdenotaalpie"/>
          <w:sz w:val="18"/>
          <w:szCs w:val="18"/>
        </w:rPr>
        <w:footnoteRef/>
      </w:r>
      <w:r w:rsidRPr="00F15388">
        <w:rPr>
          <w:sz w:val="18"/>
          <w:szCs w:val="18"/>
        </w:rPr>
        <w:t xml:space="preserve"> A quien deja como su sucesor cuando renuncia en diciembre de 2011 para centrarse en el Senado y</w:t>
      </w:r>
      <w:r w:rsidRPr="00507228">
        <w:t xml:space="preserve"> </w:t>
      </w:r>
      <w:r w:rsidRPr="00F15388">
        <w:rPr>
          <w:sz w:val="18"/>
          <w:szCs w:val="18"/>
        </w:rPr>
        <w:t>en la Asamblea de Madrid. El ex</w:t>
      </w:r>
      <w:r>
        <w:rPr>
          <w:sz w:val="18"/>
          <w:szCs w:val="18"/>
        </w:rPr>
        <w:t xml:space="preserve"> </w:t>
      </w:r>
      <w:r w:rsidRPr="00F15388">
        <w:rPr>
          <w:sz w:val="18"/>
          <w:szCs w:val="18"/>
        </w:rPr>
        <w:t xml:space="preserve">alcalde siempre había dicho que su proyecto era de dos mandatos. </w:t>
      </w:r>
    </w:p>
  </w:footnote>
  <w:footnote w:id="31">
    <w:p w:rsidR="0078685B" w:rsidRPr="00F15388" w:rsidRDefault="0078685B" w:rsidP="0078685B">
      <w:pPr>
        <w:pStyle w:val="Textonotapie"/>
        <w:ind w:firstLine="0"/>
        <w:rPr>
          <w:sz w:val="18"/>
          <w:szCs w:val="18"/>
        </w:rPr>
      </w:pPr>
      <w:r w:rsidRPr="00F15388">
        <w:rPr>
          <w:rStyle w:val="Refdenotaalpie"/>
          <w:sz w:val="18"/>
          <w:szCs w:val="18"/>
        </w:rPr>
        <w:footnoteRef/>
      </w:r>
      <w:r w:rsidRPr="00F15388">
        <w:rPr>
          <w:sz w:val="18"/>
          <w:szCs w:val="18"/>
        </w:rPr>
        <w:t xml:space="preserve"> En Alcorcón, ciudad vecina de Móstoles, el PP gana en 1999, no obstante  los fallos en la gestión le permiten al PSOE volver al gobierno en las elecciones de 2003.</w:t>
      </w:r>
    </w:p>
  </w:footnote>
  <w:footnote w:id="32">
    <w:p w:rsidR="0078685B" w:rsidRPr="00B147CB" w:rsidRDefault="0078685B" w:rsidP="0078685B">
      <w:pPr>
        <w:pStyle w:val="Textonotapie"/>
        <w:ind w:firstLine="0"/>
        <w:rPr>
          <w:sz w:val="18"/>
          <w:szCs w:val="18"/>
        </w:rPr>
      </w:pPr>
      <w:r w:rsidRPr="00AD707B">
        <w:rPr>
          <w:rStyle w:val="Refdenotaalpie"/>
          <w:sz w:val="18"/>
          <w:szCs w:val="18"/>
        </w:rPr>
        <w:footnoteRef/>
      </w:r>
      <w:r w:rsidRPr="00AD707B">
        <w:t xml:space="preserve"> </w:t>
      </w:r>
      <w:r w:rsidRPr="00B147CB">
        <w:rPr>
          <w:sz w:val="18"/>
          <w:szCs w:val="18"/>
        </w:rPr>
        <w:t xml:space="preserve">Desde 1979 a 2003, los colectivos sociales, AAVV, FAMPA, trabajadores del Ayto., de la basura, etc. en Móstoles realizaban multitud de protestas en la calle contra los gobiernos de la izquierda, las cuales son registradas por la prensa. a partir de 2003 sólo se registran en la prensa unas pocas protestas muy puntuales y sin mayor trascendencia. Dentro de las Coordinadas la opción por la protesta en la calle, en los últimos años ha sido vista como algo negativo. </w:t>
      </w:r>
    </w:p>
  </w:footnote>
  <w:footnote w:id="33">
    <w:p w:rsidR="0078685B" w:rsidRPr="00B147CB" w:rsidRDefault="0078685B" w:rsidP="0078685B">
      <w:pPr>
        <w:pStyle w:val="Textonotapie"/>
        <w:ind w:firstLine="0"/>
        <w:rPr>
          <w:sz w:val="18"/>
          <w:szCs w:val="18"/>
        </w:rPr>
      </w:pPr>
      <w:r w:rsidRPr="00B147CB">
        <w:rPr>
          <w:rStyle w:val="Refdenotaalpie"/>
          <w:sz w:val="18"/>
          <w:szCs w:val="18"/>
        </w:rPr>
        <w:footnoteRef/>
      </w:r>
      <w:r w:rsidRPr="00B147CB">
        <w:rPr>
          <w:sz w:val="18"/>
          <w:szCs w:val="18"/>
        </w:rPr>
        <w:t xml:space="preserve"> El rol que asume la Asociación Coordinadas de Móstoles es similar al de la FRAVM en Madrid y la lógica de influencia contra la movilización y la reivindicación (Vázquez, 2011) (Arenillas, 2011) De hecho el esquema de organización que se implanta en las juntas de distrito es similar al de Madrid</w:t>
      </w:r>
    </w:p>
  </w:footnote>
  <w:footnote w:id="34">
    <w:p w:rsidR="0078685B" w:rsidRPr="00B147CB" w:rsidRDefault="0078685B" w:rsidP="0078685B">
      <w:pPr>
        <w:pStyle w:val="Textonotapie"/>
        <w:ind w:firstLine="0"/>
        <w:rPr>
          <w:sz w:val="18"/>
          <w:szCs w:val="18"/>
        </w:rPr>
      </w:pPr>
      <w:r w:rsidRPr="00B147CB">
        <w:rPr>
          <w:rStyle w:val="Refdenotaalpie"/>
          <w:sz w:val="18"/>
          <w:szCs w:val="18"/>
        </w:rPr>
        <w:footnoteRef/>
      </w:r>
      <w:r w:rsidRPr="00B147CB">
        <w:rPr>
          <w:sz w:val="18"/>
          <w:szCs w:val="18"/>
        </w:rPr>
        <w:t xml:space="preserve"> Se firmaron Convenios colectivos con distintos actores sociales de la ciudad, lo cual pudo generar una base amplia de apoyos, aunque para nuestro trabajo es relevante la relación con las AAVV que son los actores de privilegio en la red de la política. </w:t>
      </w:r>
    </w:p>
  </w:footnote>
  <w:footnote w:id="35">
    <w:p w:rsidR="0078685B" w:rsidRPr="00B147CB" w:rsidRDefault="0078685B" w:rsidP="0078685B">
      <w:pPr>
        <w:pStyle w:val="Textonotapie"/>
        <w:ind w:firstLine="0"/>
        <w:rPr>
          <w:sz w:val="18"/>
          <w:szCs w:val="18"/>
        </w:rPr>
      </w:pPr>
      <w:r w:rsidRPr="00B147CB">
        <w:rPr>
          <w:rStyle w:val="Refdenotaalpie"/>
          <w:sz w:val="18"/>
          <w:szCs w:val="18"/>
        </w:rPr>
        <w:footnoteRef/>
      </w:r>
      <w:r w:rsidRPr="00B147CB">
        <w:rPr>
          <w:sz w:val="18"/>
          <w:szCs w:val="18"/>
        </w:rPr>
        <w:t xml:space="preserve"> “el proyecto político es un proyecto de principios, pero luego para el municipalismo cambia en razón de las personas y de lo</w:t>
      </w:r>
      <w:r>
        <w:rPr>
          <w:sz w:val="18"/>
          <w:szCs w:val="18"/>
        </w:rPr>
        <w:t>s conceptos de las personas. (E.</w:t>
      </w:r>
      <w:r w:rsidRPr="00B147CB">
        <w:rPr>
          <w:sz w:val="18"/>
          <w:szCs w:val="18"/>
        </w:rPr>
        <w:t xml:space="preserve"> al ex alcalde).</w:t>
      </w:r>
    </w:p>
  </w:footnote>
  <w:footnote w:id="36">
    <w:p w:rsidR="0078685B" w:rsidRPr="00B147CB" w:rsidRDefault="0078685B" w:rsidP="0078685B">
      <w:pPr>
        <w:pStyle w:val="Textonotapie"/>
        <w:ind w:firstLine="0"/>
        <w:rPr>
          <w:sz w:val="18"/>
          <w:szCs w:val="18"/>
        </w:rPr>
      </w:pPr>
      <w:r w:rsidRPr="00B147CB">
        <w:rPr>
          <w:rStyle w:val="Refdenotaalpie"/>
          <w:sz w:val="18"/>
          <w:szCs w:val="18"/>
        </w:rPr>
        <w:footnoteRef/>
      </w:r>
      <w:r w:rsidRPr="00B147CB">
        <w:rPr>
          <w:sz w:val="18"/>
          <w:szCs w:val="18"/>
        </w:rPr>
        <w:t xml:space="preserve"> Los políticos del gobierno mostoleño enfatizaron mucho que las políticas que se implementaban no eran ni de izquierdas ni de derechas, que en la gestión local no hay esa diferencia.</w:t>
      </w:r>
    </w:p>
  </w:footnote>
  <w:footnote w:id="37">
    <w:p w:rsidR="0078685B" w:rsidRPr="004E1F5D" w:rsidRDefault="0078685B" w:rsidP="0078685B">
      <w:pPr>
        <w:pStyle w:val="Textonotapie"/>
        <w:ind w:firstLine="0"/>
        <w:rPr>
          <w:sz w:val="18"/>
          <w:szCs w:val="18"/>
        </w:rPr>
      </w:pPr>
      <w:r>
        <w:rPr>
          <w:rStyle w:val="Refdenotaalpie"/>
        </w:rPr>
        <w:footnoteRef/>
      </w:r>
      <w:r>
        <w:t xml:space="preserve"> </w:t>
      </w:r>
      <w:r w:rsidRPr="004E1F5D">
        <w:rPr>
          <w:sz w:val="18"/>
          <w:szCs w:val="18"/>
        </w:rPr>
        <w:t xml:space="preserve">Refiere a la antigüedad en el ejercicio del cargo que da unas herramientas distintas para afrontar la gestión, en este caso mayor conocimiento de los actores sociales, confianza con ellos, etc. </w:t>
      </w:r>
    </w:p>
    <w:p w:rsidR="0078685B" w:rsidRDefault="0078685B" w:rsidP="0078685B">
      <w:pPr>
        <w:pStyle w:val="Textonotapie"/>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A506AD"/>
    <w:multiLevelType w:val="hybridMultilevel"/>
    <w:tmpl w:val="170808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4A2C3E8F"/>
    <w:multiLevelType w:val="hybridMultilevel"/>
    <w:tmpl w:val="936E74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9"/>
  <w:defaultTabStop w:val="708"/>
  <w:hyphenationZone w:val="425"/>
  <w:characterSpacingControl w:val="doNotCompress"/>
  <w:footnotePr>
    <w:footnote w:id="0"/>
    <w:footnote w:id="1"/>
  </w:footnotePr>
  <w:endnotePr>
    <w:endnote w:id="0"/>
    <w:endnote w:id="1"/>
  </w:endnotePr>
  <w:compat/>
  <w:rsids>
    <w:rsidRoot w:val="0078685B"/>
    <w:rsid w:val="00184EE0"/>
    <w:rsid w:val="001A6271"/>
    <w:rsid w:val="001F2076"/>
    <w:rsid w:val="00225DCE"/>
    <w:rsid w:val="002B162C"/>
    <w:rsid w:val="002C31E1"/>
    <w:rsid w:val="00344EFE"/>
    <w:rsid w:val="003B6490"/>
    <w:rsid w:val="0061490C"/>
    <w:rsid w:val="0078685B"/>
    <w:rsid w:val="00871EDC"/>
    <w:rsid w:val="00A36713"/>
    <w:rsid w:val="00AE34FE"/>
    <w:rsid w:val="00AF36C1"/>
    <w:rsid w:val="00D26FFE"/>
    <w:rsid w:val="00E6705C"/>
    <w:rsid w:val="00EC498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685B"/>
    <w:pPr>
      <w:spacing w:line="360" w:lineRule="auto"/>
      <w:ind w:firstLine="708"/>
      <w:jc w:val="both"/>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nhideWhenUsed/>
    <w:rsid w:val="0078685B"/>
    <w:pPr>
      <w:spacing w:after="0" w:line="240" w:lineRule="auto"/>
    </w:pPr>
    <w:rPr>
      <w:sz w:val="20"/>
      <w:szCs w:val="20"/>
    </w:rPr>
  </w:style>
  <w:style w:type="character" w:customStyle="1" w:styleId="TextonotapieCar">
    <w:name w:val="Texto nota pie Car"/>
    <w:basedOn w:val="Fuentedeprrafopredeter"/>
    <w:link w:val="Textonotapie"/>
    <w:rsid w:val="0078685B"/>
    <w:rPr>
      <w:sz w:val="20"/>
      <w:szCs w:val="20"/>
    </w:rPr>
  </w:style>
  <w:style w:type="character" w:styleId="Refdenotaalpie">
    <w:name w:val="footnote reference"/>
    <w:basedOn w:val="Fuentedeprrafopredeter"/>
    <w:uiPriority w:val="99"/>
    <w:semiHidden/>
    <w:unhideWhenUsed/>
    <w:rsid w:val="0078685B"/>
    <w:rPr>
      <w:vertAlign w:val="superscript"/>
    </w:rPr>
  </w:style>
  <w:style w:type="paragraph" w:styleId="Prrafodelista">
    <w:name w:val="List Paragraph"/>
    <w:basedOn w:val="Normal"/>
    <w:uiPriority w:val="34"/>
    <w:qFormat/>
    <w:rsid w:val="0078685B"/>
    <w:pPr>
      <w:ind w:left="720"/>
      <w:contextualSpacing/>
    </w:pPr>
  </w:style>
  <w:style w:type="table" w:customStyle="1" w:styleId="Sombreadomedio2-nfasis11">
    <w:name w:val="Sombreado medio 2 - Énfasis 11"/>
    <w:basedOn w:val="Tablanormal"/>
    <w:uiPriority w:val="64"/>
    <w:rsid w:val="0078685B"/>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IGOPBibliografia">
    <w:name w:val="IGOP Bibliografia"/>
    <w:basedOn w:val="Normal"/>
    <w:rsid w:val="0078685B"/>
    <w:pPr>
      <w:spacing w:after="240" w:line="280" w:lineRule="exact"/>
      <w:ind w:left="709" w:hanging="709"/>
    </w:pPr>
    <w:rPr>
      <w:rFonts w:ascii="Arial" w:eastAsia="Calibri" w:hAnsi="Arial" w:cs="Times New Roman"/>
      <w:szCs w:val="20"/>
      <w:lang w:val="ca-ES" w:eastAsia="es-ES" w:bidi="es-ES_tradnl"/>
    </w:rPr>
  </w:style>
  <w:style w:type="paragraph" w:customStyle="1" w:styleId="Default">
    <w:name w:val="Default"/>
    <w:rsid w:val="0078685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itempublicados">
    <w:name w:val="itempublicados"/>
    <w:basedOn w:val="Fuentedeprrafopredeter"/>
    <w:rsid w:val="0078685B"/>
  </w:style>
  <w:style w:type="paragraph" w:styleId="Piedepgina">
    <w:name w:val="footer"/>
    <w:basedOn w:val="Normal"/>
    <w:link w:val="PiedepginaCar"/>
    <w:uiPriority w:val="99"/>
    <w:unhideWhenUsed/>
    <w:rsid w:val="0078685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8685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29</Pages>
  <Words>9925</Words>
  <Characters>54592</Characters>
  <Application>Microsoft Office Word</Application>
  <DocSecurity>0</DocSecurity>
  <Lines>454</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Flor</dc:creator>
  <cp:keywords/>
  <dc:description/>
  <cp:lastModifiedBy>Flor</cp:lastModifiedBy>
  <cp:revision>6</cp:revision>
  <dcterms:created xsi:type="dcterms:W3CDTF">2013-09-10T19:27:00Z</dcterms:created>
  <dcterms:modified xsi:type="dcterms:W3CDTF">2013-09-10T21:28:00Z</dcterms:modified>
</cp:coreProperties>
</file>