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355" w:rsidRPr="00B43196" w:rsidRDefault="00180355" w:rsidP="00B43196">
      <w:pPr>
        <w:jc w:val="center"/>
        <w:rPr>
          <w:rFonts w:ascii="Arial" w:hAnsi="Arial" w:cs="Arial"/>
          <w:b/>
        </w:rPr>
      </w:pPr>
      <w:r w:rsidRPr="00B43196">
        <w:rPr>
          <w:rFonts w:ascii="Arial" w:hAnsi="Arial" w:cs="Arial"/>
          <w:b/>
        </w:rPr>
        <w:t>Los Estados de la UE ante un nuevo reto: las guerras híbridas</w:t>
      </w:r>
    </w:p>
    <w:p w:rsidR="00B43196" w:rsidRPr="00240A12" w:rsidRDefault="00B43196" w:rsidP="00B43196">
      <w:pPr>
        <w:jc w:val="center"/>
        <w:rPr>
          <w:rFonts w:ascii="Arial" w:hAnsi="Arial" w:cs="Arial"/>
          <w:i/>
          <w:lang w:val="en-US"/>
        </w:rPr>
      </w:pPr>
      <w:r w:rsidRPr="00240A12">
        <w:rPr>
          <w:rFonts w:ascii="Arial" w:hAnsi="Arial" w:cs="Arial"/>
          <w:i/>
          <w:lang w:val="en-US"/>
        </w:rPr>
        <w:t>Josep Baqués (UB)</w:t>
      </w:r>
    </w:p>
    <w:p w:rsidR="00B43196" w:rsidRPr="00240A12" w:rsidRDefault="00B43196">
      <w:pPr>
        <w:rPr>
          <w:rFonts w:ascii="Arial" w:hAnsi="Arial" w:cs="Arial"/>
          <w:lang w:val="en-US"/>
        </w:rPr>
      </w:pPr>
    </w:p>
    <w:p w:rsidR="00435CCC" w:rsidRDefault="00435CCC" w:rsidP="00435CCC">
      <w:pPr>
        <w:spacing w:line="240" w:lineRule="auto"/>
        <w:ind w:left="3540"/>
        <w:rPr>
          <w:color w:val="000000" w:themeColor="text1"/>
          <w:lang w:val="en-US"/>
        </w:rPr>
      </w:pPr>
      <w:r w:rsidRPr="00240A12">
        <w:rPr>
          <w:color w:val="000000" w:themeColor="text1"/>
          <w:lang w:val="en-US"/>
        </w:rPr>
        <w:t>“An increasingly unpredictable Russia is engaging in a "hybrid war" with Europe, seeking to destabilise states from within, and is more dangerous now than during the days of the USSR” (A.F. Rasmussen) 15-4-2015</w:t>
      </w:r>
    </w:p>
    <w:p w:rsidR="009C1754" w:rsidRDefault="009C1754" w:rsidP="00435CCC">
      <w:pPr>
        <w:spacing w:line="240" w:lineRule="auto"/>
        <w:ind w:left="3540"/>
        <w:rPr>
          <w:color w:val="000000" w:themeColor="text1"/>
          <w:lang w:val="en-US"/>
        </w:rPr>
      </w:pPr>
    </w:p>
    <w:p w:rsidR="009C1754" w:rsidRPr="009C1754" w:rsidRDefault="009C1754" w:rsidP="00435CCC">
      <w:pPr>
        <w:spacing w:line="240" w:lineRule="auto"/>
        <w:ind w:left="3540"/>
        <w:rPr>
          <w:rFonts w:ascii="Arial" w:hAnsi="Arial" w:cs="Arial"/>
          <w:color w:val="000000" w:themeColor="text1"/>
        </w:rPr>
      </w:pPr>
      <w:r w:rsidRPr="009C1754">
        <w:rPr>
          <w:color w:val="000000" w:themeColor="text1"/>
        </w:rPr>
        <w:t>“Occidente no sabe (…) jugar a la Guerra h</w:t>
      </w:r>
      <w:r>
        <w:rPr>
          <w:color w:val="000000" w:themeColor="text1"/>
        </w:rPr>
        <w:t>íbrida” (F. Arteaga) Feb. 2015.</w:t>
      </w:r>
    </w:p>
    <w:p w:rsidR="00435CCC" w:rsidRPr="009C1754" w:rsidRDefault="00435CCC">
      <w:pPr>
        <w:rPr>
          <w:rFonts w:ascii="Arial" w:hAnsi="Arial" w:cs="Arial"/>
        </w:rPr>
      </w:pPr>
    </w:p>
    <w:p w:rsidR="00435CCC" w:rsidRPr="009C1754" w:rsidRDefault="00435CCC">
      <w:pPr>
        <w:rPr>
          <w:rFonts w:ascii="Arial" w:hAnsi="Arial" w:cs="Arial"/>
        </w:rPr>
      </w:pPr>
    </w:p>
    <w:p w:rsidR="00180355" w:rsidRPr="00B43196" w:rsidRDefault="00180355" w:rsidP="00B43196">
      <w:pPr>
        <w:pStyle w:val="Prrafodelista"/>
        <w:numPr>
          <w:ilvl w:val="0"/>
          <w:numId w:val="1"/>
        </w:numPr>
        <w:rPr>
          <w:rFonts w:ascii="Arial" w:hAnsi="Arial" w:cs="Arial"/>
        </w:rPr>
      </w:pPr>
      <w:r w:rsidRPr="00B43196">
        <w:rPr>
          <w:rFonts w:ascii="Arial" w:hAnsi="Arial" w:cs="Arial"/>
        </w:rPr>
        <w:t xml:space="preserve">Algunos conceptos básicos (RM; RAM; </w:t>
      </w:r>
      <w:r w:rsidR="00B43196" w:rsidRPr="00B43196">
        <w:rPr>
          <w:rFonts w:ascii="Arial" w:hAnsi="Arial" w:cs="Arial"/>
        </w:rPr>
        <w:t xml:space="preserve">“familia” </w:t>
      </w:r>
      <w:r w:rsidRPr="00B43196">
        <w:rPr>
          <w:rFonts w:ascii="Arial" w:hAnsi="Arial" w:cs="Arial"/>
        </w:rPr>
        <w:t>HW)</w:t>
      </w:r>
    </w:p>
    <w:p w:rsidR="00180355" w:rsidRPr="00B43196" w:rsidRDefault="00180355" w:rsidP="00B43196">
      <w:pPr>
        <w:pStyle w:val="Prrafodelista"/>
        <w:numPr>
          <w:ilvl w:val="0"/>
          <w:numId w:val="1"/>
        </w:numPr>
        <w:rPr>
          <w:rFonts w:ascii="Arial" w:hAnsi="Arial" w:cs="Arial"/>
        </w:rPr>
      </w:pPr>
      <w:r w:rsidRPr="00B43196">
        <w:rPr>
          <w:rFonts w:ascii="Arial" w:hAnsi="Arial" w:cs="Arial"/>
        </w:rPr>
        <w:t>Evidencias empíricas derivadas de los últimos conflictos</w:t>
      </w:r>
      <w:r w:rsidR="00B43196" w:rsidRPr="00B43196">
        <w:rPr>
          <w:rFonts w:ascii="Arial" w:hAnsi="Arial" w:cs="Arial"/>
        </w:rPr>
        <w:t xml:space="preserve"> (HW en sentido estricto)</w:t>
      </w:r>
    </w:p>
    <w:p w:rsidR="00B43196" w:rsidRPr="00B43196" w:rsidRDefault="00B43196" w:rsidP="00B43196">
      <w:pPr>
        <w:pStyle w:val="Prrafodelista"/>
        <w:numPr>
          <w:ilvl w:val="0"/>
          <w:numId w:val="1"/>
        </w:numPr>
        <w:rPr>
          <w:rFonts w:ascii="Arial" w:hAnsi="Arial" w:cs="Arial"/>
        </w:rPr>
      </w:pPr>
      <w:r w:rsidRPr="00B43196">
        <w:rPr>
          <w:rFonts w:ascii="Arial" w:hAnsi="Arial" w:cs="Arial"/>
        </w:rPr>
        <w:t>El caso de Ucrania</w:t>
      </w:r>
    </w:p>
    <w:p w:rsidR="00B43196" w:rsidRDefault="00B43196" w:rsidP="00B43196">
      <w:pPr>
        <w:pStyle w:val="Prrafodelista"/>
        <w:numPr>
          <w:ilvl w:val="0"/>
          <w:numId w:val="1"/>
        </w:numPr>
        <w:rPr>
          <w:rFonts w:ascii="Arial" w:hAnsi="Arial" w:cs="Arial"/>
        </w:rPr>
      </w:pPr>
      <w:r w:rsidRPr="00B43196">
        <w:rPr>
          <w:rFonts w:ascii="Arial" w:hAnsi="Arial" w:cs="Arial"/>
        </w:rPr>
        <w:t>La UE frente a los nuevos retos</w:t>
      </w:r>
    </w:p>
    <w:p w:rsidR="00240A12" w:rsidRDefault="00240A12" w:rsidP="00240A12">
      <w:pPr>
        <w:rPr>
          <w:rFonts w:ascii="Arial" w:hAnsi="Arial" w:cs="Arial"/>
        </w:rPr>
      </w:pPr>
    </w:p>
    <w:p w:rsidR="00240A12" w:rsidRDefault="00240A12" w:rsidP="00240A12">
      <w:pPr>
        <w:rPr>
          <w:rFonts w:ascii="Arial" w:hAnsi="Arial" w:cs="Arial"/>
        </w:rPr>
      </w:pPr>
    </w:p>
    <w:p w:rsidR="005115D5" w:rsidRDefault="00F32596" w:rsidP="00240A12">
      <w:pPr>
        <w:rPr>
          <w:rFonts w:ascii="Arial" w:hAnsi="Arial" w:cs="Arial"/>
        </w:rPr>
      </w:pPr>
      <w:r>
        <w:rPr>
          <w:rFonts w:ascii="Arial" w:hAnsi="Arial" w:cs="Arial"/>
        </w:rPr>
        <w:t>3)</w:t>
      </w:r>
      <w:r w:rsidR="000F7827">
        <w:rPr>
          <w:rFonts w:ascii="Arial" w:hAnsi="Arial" w:cs="Arial"/>
        </w:rPr>
        <w:t xml:space="preserve"> No es objeto de este análisis entrar en las explicaciones de la intervención rusa en Ucrania aunque, como en tantos otros casos, se combinan criterios de política exterior o hasta geopolíticos –que tienen su propio recorrido- con circunstancias internas. Entre los primeros, el temor a perder el control –aunque sólo fuese indirecto- del último bastión</w:t>
      </w:r>
      <w:r w:rsidR="0070303D">
        <w:rPr>
          <w:rFonts w:ascii="Arial" w:hAnsi="Arial" w:cs="Arial"/>
        </w:rPr>
        <w:t xml:space="preserve"> frente al avance pacífico de la OTAN y la UE hacia Moscú</w:t>
      </w:r>
      <w:r w:rsidR="009C1754">
        <w:rPr>
          <w:rStyle w:val="Refdenotaalpie"/>
          <w:rFonts w:ascii="Arial" w:hAnsi="Arial" w:cs="Arial"/>
        </w:rPr>
        <w:footnoteReference w:id="2"/>
      </w:r>
      <w:r w:rsidR="0070303D">
        <w:rPr>
          <w:rFonts w:ascii="Arial" w:hAnsi="Arial" w:cs="Arial"/>
        </w:rPr>
        <w:t>. Entre los segundos, la oportunidad de distraer a su propia opinión pública en unos momentos de crisis económica (a la cual, en su caso específico, contribuyen los bajos precios del petróleo) de modo que este conflicto y la postura hostil hacia Rusia de la mayor parte de gobiernos occidentales puede ser empleado, paradójicamente, como un elemento de cohesión interna</w:t>
      </w:r>
      <w:r w:rsidR="0070303D">
        <w:rPr>
          <w:rStyle w:val="Refdenotaalpie"/>
          <w:rFonts w:ascii="Arial" w:hAnsi="Arial" w:cs="Arial"/>
        </w:rPr>
        <w:footnoteReference w:id="3"/>
      </w:r>
      <w:r w:rsidR="0070303D">
        <w:rPr>
          <w:rFonts w:ascii="Arial" w:hAnsi="Arial" w:cs="Arial"/>
        </w:rPr>
        <w:t xml:space="preserve">. </w:t>
      </w:r>
    </w:p>
    <w:p w:rsidR="005115D5" w:rsidRDefault="005115D5" w:rsidP="00240A12">
      <w:pPr>
        <w:rPr>
          <w:rFonts w:ascii="Arial" w:hAnsi="Arial" w:cs="Arial"/>
        </w:rPr>
      </w:pPr>
    </w:p>
    <w:p w:rsidR="005115D5" w:rsidRDefault="005115D5" w:rsidP="00240A12">
      <w:pPr>
        <w:rPr>
          <w:rFonts w:ascii="Arial" w:hAnsi="Arial" w:cs="Arial"/>
        </w:rPr>
      </w:pPr>
    </w:p>
    <w:p w:rsidR="00D66EB7" w:rsidRDefault="00D66EB7" w:rsidP="00240A12">
      <w:pPr>
        <w:rPr>
          <w:rFonts w:ascii="Arial" w:hAnsi="Arial" w:cs="Arial"/>
        </w:rPr>
      </w:pPr>
      <w:r>
        <w:rPr>
          <w:rFonts w:ascii="Arial" w:hAnsi="Arial" w:cs="Arial"/>
        </w:rPr>
        <w:t xml:space="preserve">Rusia posicionó varias decenas de miles de militares en la frontera con Ucrania. </w:t>
      </w:r>
      <w:r w:rsidR="005115D5">
        <w:rPr>
          <w:rFonts w:ascii="Arial" w:hAnsi="Arial" w:cs="Arial"/>
        </w:rPr>
        <w:t xml:space="preserve">Asimismo, han sido bastantes los incidentes causados por aviones militares y </w:t>
      </w:r>
      <w:r w:rsidR="005115D5">
        <w:rPr>
          <w:rFonts w:ascii="Arial" w:hAnsi="Arial" w:cs="Arial"/>
        </w:rPr>
        <w:lastRenderedPageBreak/>
        <w:t>submarinos rusos que entran en los espacios de soberanía de los Estados vecinos</w:t>
      </w:r>
      <w:r w:rsidR="005115D5">
        <w:rPr>
          <w:rStyle w:val="Refdenotaalpie"/>
          <w:rFonts w:ascii="Arial" w:hAnsi="Arial" w:cs="Arial"/>
        </w:rPr>
        <w:footnoteReference w:id="4"/>
      </w:r>
      <w:r w:rsidR="005115D5">
        <w:rPr>
          <w:rFonts w:ascii="Arial" w:hAnsi="Arial" w:cs="Arial"/>
        </w:rPr>
        <w:t xml:space="preserve">. </w:t>
      </w:r>
      <w:r>
        <w:rPr>
          <w:rFonts w:ascii="Arial" w:hAnsi="Arial" w:cs="Arial"/>
        </w:rPr>
        <w:t>Pero el peso de las operaciones lo han llevado a cabo comandos de operaciones especiales</w:t>
      </w:r>
      <w:r w:rsidR="009C1754">
        <w:rPr>
          <w:rFonts w:ascii="Arial" w:hAnsi="Arial" w:cs="Arial"/>
        </w:rPr>
        <w:t>, normalmente constituidos a modo de enjambres de “voluntarios”, formalmente desvinculados del gobierno de Moscú</w:t>
      </w:r>
      <w:r>
        <w:rPr>
          <w:rFonts w:ascii="Arial" w:hAnsi="Arial" w:cs="Arial"/>
        </w:rPr>
        <w:t xml:space="preserve">. </w:t>
      </w:r>
      <w:r w:rsidR="009C1754">
        <w:rPr>
          <w:rFonts w:ascii="Arial" w:hAnsi="Arial" w:cs="Arial"/>
        </w:rPr>
        <w:t xml:space="preserve">A Rusia ya le va bien que el conflicto se perpetúe en el tiempo, ya que de ese modo puede acusar al gobierno de Kiev del sufrimiento causado a los habitantes de las provincias rebeldes. </w:t>
      </w:r>
      <w:r>
        <w:rPr>
          <w:rFonts w:ascii="Arial" w:hAnsi="Arial" w:cs="Arial"/>
        </w:rPr>
        <w:t xml:space="preserve">Los demás medios de presión han sido de tipo mediático y económico, fundamentalmente. </w:t>
      </w:r>
    </w:p>
    <w:p w:rsidR="00D66EB7" w:rsidRDefault="00D66EB7" w:rsidP="00240A12">
      <w:pPr>
        <w:rPr>
          <w:rFonts w:ascii="Arial" w:hAnsi="Arial" w:cs="Arial"/>
        </w:rPr>
      </w:pPr>
    </w:p>
    <w:p w:rsidR="00240A12" w:rsidRDefault="00240A12" w:rsidP="00240A12">
      <w:pPr>
        <w:rPr>
          <w:rFonts w:ascii="Arial" w:hAnsi="Arial" w:cs="Arial"/>
        </w:rPr>
      </w:pPr>
      <w:r>
        <w:rPr>
          <w:rFonts w:ascii="Arial" w:hAnsi="Arial" w:cs="Arial"/>
        </w:rPr>
        <w:t>En realidad, lo que Rasmussen identifica como HW es un conflicto en el cual se combinan elementos de la guerra convencional</w:t>
      </w:r>
      <w:r w:rsidR="00F32596">
        <w:rPr>
          <w:rStyle w:val="Refdenotaalpie"/>
          <w:rFonts w:ascii="Arial" w:hAnsi="Arial" w:cs="Arial"/>
        </w:rPr>
        <w:footnoteReference w:id="5"/>
      </w:r>
      <w:r>
        <w:rPr>
          <w:rFonts w:ascii="Arial" w:hAnsi="Arial" w:cs="Arial"/>
        </w:rPr>
        <w:t xml:space="preserve">, por una parte, y campañas de desinformación y de propaganda, por otra. </w:t>
      </w:r>
      <w:r w:rsidR="00F32596">
        <w:rPr>
          <w:rFonts w:ascii="Arial" w:hAnsi="Arial" w:cs="Arial"/>
        </w:rPr>
        <w:t xml:space="preserve">Asimismo, incluye un creciente empleo de ciberataques. </w:t>
      </w:r>
      <w:r w:rsidR="009C1754">
        <w:rPr>
          <w:rFonts w:ascii="Arial" w:hAnsi="Arial" w:cs="Arial"/>
        </w:rPr>
        <w:t xml:space="preserve">Existen grupos de hackers organizados pro-rusos, como </w:t>
      </w:r>
      <w:r w:rsidR="009C1754" w:rsidRPr="009C1754">
        <w:rPr>
          <w:rFonts w:ascii="Arial" w:hAnsi="Arial" w:cs="Arial"/>
          <w:i/>
        </w:rPr>
        <w:t>CyberBerkut</w:t>
      </w:r>
      <w:r w:rsidR="009C1754">
        <w:rPr>
          <w:rFonts w:ascii="Arial" w:hAnsi="Arial" w:cs="Arial"/>
        </w:rPr>
        <w:t xml:space="preserve"> (Arteaga, 2015). </w:t>
      </w:r>
      <w:r>
        <w:rPr>
          <w:rFonts w:ascii="Arial" w:hAnsi="Arial" w:cs="Arial"/>
        </w:rPr>
        <w:t xml:space="preserve">El objetivo </w:t>
      </w:r>
      <w:r w:rsidR="00F32596">
        <w:rPr>
          <w:rFonts w:ascii="Arial" w:hAnsi="Arial" w:cs="Arial"/>
        </w:rPr>
        <w:t xml:space="preserve">final </w:t>
      </w:r>
      <w:r>
        <w:rPr>
          <w:rFonts w:ascii="Arial" w:hAnsi="Arial" w:cs="Arial"/>
        </w:rPr>
        <w:t>sería la opinión pública occidental, pero no directamente, sino a través de la mediación de diversos partidos políticos europeos, tanto de extrema izquierda como de extrema derecha. Ni que decir tiene que Syriza está en el disparadero en el primer caso, aunque los motivos del acercamiento de Grecia a Rusia sean muy complejos e incluyen tanto elementos estructurales como otros de tipo coyuntural</w:t>
      </w:r>
      <w:r>
        <w:rPr>
          <w:rStyle w:val="Refdenotaalpie"/>
          <w:rFonts w:ascii="Arial" w:hAnsi="Arial" w:cs="Arial"/>
        </w:rPr>
        <w:footnoteReference w:id="6"/>
      </w:r>
      <w:r>
        <w:rPr>
          <w:rFonts w:ascii="Arial" w:hAnsi="Arial" w:cs="Arial"/>
        </w:rPr>
        <w:t>.</w:t>
      </w:r>
      <w:r w:rsidR="00F32596">
        <w:rPr>
          <w:rFonts w:ascii="Arial" w:hAnsi="Arial" w:cs="Arial"/>
        </w:rPr>
        <w:t xml:space="preserve"> Otros partidos abiertamente pro-rusos se encuentran en Francia, Bulgaria o Hungría, por ejemplo. </w:t>
      </w:r>
    </w:p>
    <w:p w:rsidR="00F32596" w:rsidRDefault="00F32596" w:rsidP="00240A12">
      <w:pPr>
        <w:rPr>
          <w:rFonts w:ascii="Arial" w:hAnsi="Arial" w:cs="Arial"/>
        </w:rPr>
      </w:pPr>
    </w:p>
    <w:p w:rsidR="00F32596" w:rsidRDefault="00F32596" w:rsidP="00240A12">
      <w:pPr>
        <w:rPr>
          <w:rFonts w:ascii="Arial" w:hAnsi="Arial" w:cs="Arial"/>
        </w:rPr>
      </w:pPr>
    </w:p>
    <w:p w:rsidR="00F32596" w:rsidRDefault="00F32596" w:rsidP="00240A12">
      <w:pPr>
        <w:rPr>
          <w:rFonts w:ascii="Arial" w:hAnsi="Arial" w:cs="Arial"/>
        </w:rPr>
      </w:pPr>
    </w:p>
    <w:p w:rsidR="00D66EB7" w:rsidRDefault="00F32596" w:rsidP="00F32596">
      <w:pPr>
        <w:rPr>
          <w:rFonts w:ascii="Arial" w:hAnsi="Arial" w:cs="Arial"/>
        </w:rPr>
      </w:pPr>
      <w:r>
        <w:rPr>
          <w:rFonts w:ascii="Arial" w:hAnsi="Arial" w:cs="Arial"/>
        </w:rPr>
        <w:t>4)</w:t>
      </w:r>
    </w:p>
    <w:p w:rsidR="00F32596" w:rsidRDefault="00D66EB7" w:rsidP="00F32596">
      <w:pPr>
        <w:rPr>
          <w:rFonts w:ascii="Arial" w:hAnsi="Arial" w:cs="Arial"/>
        </w:rPr>
      </w:pPr>
      <w:r>
        <w:rPr>
          <w:rFonts w:ascii="Arial" w:hAnsi="Arial" w:cs="Arial"/>
        </w:rPr>
        <w:t>Hay cosas que hacer. No sólo pensando en Rusia, ni en el vigente conflicto de Ucrania, aunque no dejen de ser un buen acicate para ello. Entre otras, m</w:t>
      </w:r>
      <w:r w:rsidR="00F32596">
        <w:rPr>
          <w:rFonts w:ascii="Arial" w:hAnsi="Arial" w:cs="Arial"/>
        </w:rPr>
        <w:t xml:space="preserve">ejorar las capacidades de ciberdefensa; mejorar la obtención de inteligencia (que es bastante más que la obtención de información) así como la capacidad para compartirla con los aliados y, como resultado de ello, incrementar la </w:t>
      </w:r>
      <w:r w:rsidR="00F32596" w:rsidRPr="00F32596">
        <w:rPr>
          <w:rFonts w:ascii="Arial" w:hAnsi="Arial" w:cs="Arial"/>
          <w:i/>
        </w:rPr>
        <w:t>situational awareness</w:t>
      </w:r>
      <w:r w:rsidR="00F32596">
        <w:rPr>
          <w:rFonts w:ascii="Arial" w:hAnsi="Arial" w:cs="Arial"/>
        </w:rPr>
        <w:t xml:space="preserve">. </w:t>
      </w:r>
    </w:p>
    <w:p w:rsidR="00D66EB7" w:rsidRDefault="00D66EB7" w:rsidP="00F32596">
      <w:pPr>
        <w:rPr>
          <w:rFonts w:ascii="Arial" w:hAnsi="Arial" w:cs="Arial"/>
        </w:rPr>
      </w:pPr>
    </w:p>
    <w:p w:rsidR="00D66EB7" w:rsidRDefault="00D66EB7" w:rsidP="00F32596">
      <w:pPr>
        <w:rPr>
          <w:rFonts w:ascii="Arial" w:hAnsi="Arial" w:cs="Arial"/>
        </w:rPr>
      </w:pPr>
      <w:r>
        <w:rPr>
          <w:rFonts w:ascii="Arial" w:hAnsi="Arial" w:cs="Arial"/>
        </w:rPr>
        <w:lastRenderedPageBreak/>
        <w:t xml:space="preserve">Algunas de las críticas comúnmente vertidas contra Rusia son, desde un punto de vista conceptual, exageradas. Por ejemplo, la tendencia a poner en el saco de las HW las presiones económicas o el alegato de Moscú tendente a defender a la población rusa residente en otros Estados. Ni lo primero ha sido extraño a situaciones absolutamente convencionales, ni lo segundo –por discutible que pueda ser- constituye una aberración en términos, sin ir más lejos, de la tradición de la teoría de la guerra justa. </w:t>
      </w:r>
    </w:p>
    <w:p w:rsidR="009C1754" w:rsidRDefault="009C1754" w:rsidP="00F32596">
      <w:pPr>
        <w:rPr>
          <w:rFonts w:ascii="Arial" w:hAnsi="Arial" w:cs="Arial"/>
        </w:rPr>
      </w:pPr>
    </w:p>
    <w:p w:rsidR="009C1754" w:rsidRDefault="009C1754" w:rsidP="00F32596">
      <w:pPr>
        <w:rPr>
          <w:rFonts w:ascii="Arial" w:hAnsi="Arial" w:cs="Arial"/>
        </w:rPr>
      </w:pPr>
      <w:r>
        <w:rPr>
          <w:rFonts w:ascii="Arial" w:hAnsi="Arial" w:cs="Arial"/>
        </w:rPr>
        <w:t xml:space="preserve">Optar por la HW significa optar por una nueva modalidad de la “guerra total”: una especie de “guerra fría total”, en la que el empleo masivo de las redes sociales, con su capacidad de “contaminación” de las respectivas opiniones públicas, se convierta en el principal estilete de cada bando. En ese sentido, el gobierno de Putin está jugando con fuego. Por ejemplo, una campaña diseñada para desacreditar su gestión a través de esos medios podría contribuir a erosionar su gobierno, a reforzar la oposición interna y a </w:t>
      </w:r>
      <w:r w:rsidR="006555F4">
        <w:rPr>
          <w:rFonts w:ascii="Arial" w:hAnsi="Arial" w:cs="Arial"/>
        </w:rPr>
        <w:t>estimular la colaboración de</w:t>
      </w:r>
      <w:r>
        <w:rPr>
          <w:rFonts w:ascii="Arial" w:hAnsi="Arial" w:cs="Arial"/>
        </w:rPr>
        <w:t xml:space="preserve"> </w:t>
      </w:r>
      <w:r w:rsidR="006555F4">
        <w:rPr>
          <w:rFonts w:ascii="Arial" w:hAnsi="Arial" w:cs="Arial"/>
        </w:rPr>
        <w:t>aquell</w:t>
      </w:r>
      <w:r>
        <w:rPr>
          <w:rFonts w:ascii="Arial" w:hAnsi="Arial" w:cs="Arial"/>
        </w:rPr>
        <w:t xml:space="preserve">os disidentes que de modo más o menos voluntario han salido del país a lo largo de los últimos años. </w:t>
      </w:r>
      <w:r w:rsidR="006555F4">
        <w:rPr>
          <w:rFonts w:ascii="Arial" w:hAnsi="Arial" w:cs="Arial"/>
        </w:rPr>
        <w:t xml:space="preserve">Algunos analistas consideran que no es la vía más razonable, en el sentido de que significa asumir que la dinámica de confrontación –permítaseme la licencia… “huntingtoniana”- se ha impuesto sobre el diálogo y la cooperación (Arteaga, 2015). Pero, como analistas, no podemos hacer oídos sordos ante este nuevo tipo de escenario y de “armas”. </w:t>
      </w:r>
    </w:p>
    <w:p w:rsidR="00D66EB7" w:rsidRDefault="00D66EB7" w:rsidP="00F32596">
      <w:pPr>
        <w:rPr>
          <w:rFonts w:ascii="Arial" w:hAnsi="Arial" w:cs="Arial"/>
        </w:rPr>
      </w:pPr>
    </w:p>
    <w:p w:rsidR="00F32596" w:rsidRDefault="00F32596" w:rsidP="00F32596">
      <w:pPr>
        <w:rPr>
          <w:rFonts w:ascii="Arial" w:hAnsi="Arial" w:cs="Arial"/>
        </w:rPr>
      </w:pPr>
    </w:p>
    <w:p w:rsidR="00F32596" w:rsidRPr="00D66EB7" w:rsidRDefault="00F32596" w:rsidP="00F32596">
      <w:pPr>
        <w:rPr>
          <w:rFonts w:ascii="Arial" w:hAnsi="Arial" w:cs="Arial"/>
          <w:lang w:val="en-US"/>
        </w:rPr>
      </w:pPr>
      <w:r w:rsidRPr="00D66EB7">
        <w:rPr>
          <w:rFonts w:ascii="Arial" w:hAnsi="Arial" w:cs="Arial"/>
          <w:lang w:val="en-US"/>
        </w:rPr>
        <w:t>Bibliografía:</w:t>
      </w:r>
    </w:p>
    <w:p w:rsidR="00F32596" w:rsidRPr="00D66EB7" w:rsidRDefault="00F32596" w:rsidP="00F32596">
      <w:pPr>
        <w:rPr>
          <w:rFonts w:ascii="Arial" w:hAnsi="Arial" w:cs="Arial"/>
          <w:lang w:val="en-US"/>
        </w:rPr>
      </w:pPr>
    </w:p>
    <w:p w:rsidR="0070303D" w:rsidRPr="0070303D" w:rsidRDefault="0070303D" w:rsidP="00F32596">
      <w:pPr>
        <w:rPr>
          <w:rFonts w:ascii="Arial" w:hAnsi="Arial" w:cs="Arial"/>
        </w:rPr>
      </w:pPr>
      <w:r w:rsidRPr="0070303D">
        <w:rPr>
          <w:sz w:val="24"/>
          <w:szCs w:val="24"/>
        </w:rPr>
        <w:t>ARTEAGA</w:t>
      </w:r>
      <w:r>
        <w:t xml:space="preserve">, Félix (2015). “La `gota´ rusa, Ucrania y la confrontación rusa con Occidente”, en </w:t>
      </w:r>
      <w:r w:rsidRPr="0070303D">
        <w:rPr>
          <w:i/>
        </w:rPr>
        <w:t>Comentario Elcano</w:t>
      </w:r>
      <w:r>
        <w:t xml:space="preserve"> 7/2015</w:t>
      </w:r>
    </w:p>
    <w:p w:rsidR="00F32596" w:rsidRPr="00F32596" w:rsidRDefault="00F32596" w:rsidP="00F32596">
      <w:pPr>
        <w:rPr>
          <w:rFonts w:ascii="Arial" w:hAnsi="Arial" w:cs="Arial"/>
          <w:lang w:val="en-US"/>
        </w:rPr>
      </w:pPr>
      <w:r w:rsidRPr="00F32596">
        <w:rPr>
          <w:rFonts w:ascii="Arial" w:hAnsi="Arial" w:cs="Arial"/>
          <w:lang w:val="en-US"/>
        </w:rPr>
        <w:t xml:space="preserve">RASMUSSEN, Anders Fogh (2015). “Russia Engaging in </w:t>
      </w:r>
      <w:r>
        <w:rPr>
          <w:rFonts w:ascii="Arial" w:hAnsi="Arial" w:cs="Arial"/>
          <w:lang w:val="en-US"/>
        </w:rPr>
        <w:t xml:space="preserve">`Hybrid War´ with Europe”, en </w:t>
      </w:r>
      <w:r w:rsidRPr="00F32596">
        <w:rPr>
          <w:rFonts w:ascii="Arial" w:hAnsi="Arial" w:cs="Arial"/>
          <w:i/>
          <w:lang w:val="en-US"/>
        </w:rPr>
        <w:t>Newsweek</w:t>
      </w:r>
      <w:r>
        <w:rPr>
          <w:rFonts w:ascii="Arial" w:hAnsi="Arial" w:cs="Arial"/>
          <w:lang w:val="en-US"/>
        </w:rPr>
        <w:t xml:space="preserve"> (15-4-2015). </w:t>
      </w:r>
    </w:p>
    <w:p w:rsidR="00B43196" w:rsidRPr="00F32596" w:rsidRDefault="00B43196" w:rsidP="00B43196">
      <w:pPr>
        <w:rPr>
          <w:rFonts w:ascii="Arial" w:hAnsi="Arial" w:cs="Arial"/>
          <w:lang w:val="en-US"/>
        </w:rPr>
      </w:pPr>
    </w:p>
    <w:p w:rsidR="00B43196" w:rsidRPr="00F32596" w:rsidRDefault="00B43196" w:rsidP="00B43196">
      <w:pPr>
        <w:rPr>
          <w:rFonts w:ascii="Arial" w:hAnsi="Arial" w:cs="Arial"/>
          <w:lang w:val="en-US"/>
        </w:rPr>
      </w:pPr>
    </w:p>
    <w:p w:rsidR="00180355" w:rsidRPr="00F32596" w:rsidRDefault="00180355">
      <w:pPr>
        <w:rPr>
          <w:rFonts w:ascii="Arial" w:hAnsi="Arial" w:cs="Arial"/>
          <w:lang w:val="en-US"/>
        </w:rPr>
      </w:pPr>
    </w:p>
    <w:p w:rsidR="00180355" w:rsidRPr="00F32596" w:rsidRDefault="00180355">
      <w:pPr>
        <w:rPr>
          <w:lang w:val="en-US"/>
        </w:rPr>
      </w:pPr>
    </w:p>
    <w:sectPr w:rsidR="00180355" w:rsidRPr="00F32596" w:rsidSect="00D51F8E">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27F" w:rsidRDefault="008A427F" w:rsidP="00240A12">
      <w:pPr>
        <w:spacing w:line="240" w:lineRule="auto"/>
      </w:pPr>
      <w:r>
        <w:separator/>
      </w:r>
    </w:p>
  </w:endnote>
  <w:endnote w:type="continuationSeparator" w:id="1">
    <w:p w:rsidR="008A427F" w:rsidRDefault="008A427F" w:rsidP="00240A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27F" w:rsidRDefault="008A427F" w:rsidP="00240A12">
      <w:pPr>
        <w:spacing w:line="240" w:lineRule="auto"/>
      </w:pPr>
      <w:r>
        <w:separator/>
      </w:r>
    </w:p>
  </w:footnote>
  <w:footnote w:type="continuationSeparator" w:id="1">
    <w:p w:rsidR="008A427F" w:rsidRDefault="008A427F" w:rsidP="00240A12">
      <w:pPr>
        <w:spacing w:line="240" w:lineRule="auto"/>
      </w:pPr>
      <w:r>
        <w:continuationSeparator/>
      </w:r>
    </w:p>
  </w:footnote>
  <w:footnote w:id="2">
    <w:p w:rsidR="009C1754" w:rsidRDefault="009C1754">
      <w:pPr>
        <w:pStyle w:val="Textonotapie"/>
      </w:pPr>
      <w:r>
        <w:rPr>
          <w:rStyle w:val="Refdenotaalpie"/>
        </w:rPr>
        <w:footnoteRef/>
      </w:r>
      <w:r>
        <w:t xml:space="preserve"> Desde Moscú se suele aducir que el ejército regular ucraniano es una suerte de “Legión extranjera” de la OTAN.</w:t>
      </w:r>
    </w:p>
  </w:footnote>
  <w:footnote w:id="3">
    <w:p w:rsidR="0070303D" w:rsidRDefault="0070303D">
      <w:pPr>
        <w:pStyle w:val="Textonotapie"/>
      </w:pPr>
      <w:r>
        <w:rPr>
          <w:rStyle w:val="Refdenotaalpie"/>
        </w:rPr>
        <w:footnoteRef/>
      </w:r>
      <w:r>
        <w:t xml:space="preserve"> V. gr. ARTEAGA, Félix (2015). “La `gota´ rusa, Ucrania y la confrontación rusa con Occidente”, en </w:t>
      </w:r>
      <w:r w:rsidRPr="0070303D">
        <w:rPr>
          <w:i/>
        </w:rPr>
        <w:t>Comentario Elcano</w:t>
      </w:r>
      <w:r>
        <w:t xml:space="preserve"> 7/2015. Arteaga recuerda que el control de los </w:t>
      </w:r>
      <w:r w:rsidRPr="009C1754">
        <w:rPr>
          <w:i/>
        </w:rPr>
        <w:t>mass-media</w:t>
      </w:r>
      <w:r>
        <w:t xml:space="preserve"> rusos por parte del gobierno y el hecho de que buena parte de la ciudadanía no haya tenido tiempo de acercarse a los estándares de bienestar occidentales contribuyen a que esta opción sea plausible sin un desgaste definitivo de Putin.</w:t>
      </w:r>
    </w:p>
  </w:footnote>
  <w:footnote w:id="4">
    <w:p w:rsidR="005115D5" w:rsidRDefault="005115D5">
      <w:pPr>
        <w:pStyle w:val="Textonotapie"/>
      </w:pPr>
      <w:r>
        <w:rPr>
          <w:rStyle w:val="Refdenotaalpie"/>
        </w:rPr>
        <w:footnoteRef/>
      </w:r>
      <w:r>
        <w:t xml:space="preserve"> Por ejemplo, de los Estados bálticos, de lo cual han sido testigos de excepción los cazas españoles desplegados para reforzar su vigilancia aérea, en el contexto de una misión de la OTAN. Sin ir más lejos, entre el 15 de enero y el 15 de febrero los 4 </w:t>
      </w:r>
      <w:r w:rsidRPr="005115D5">
        <w:rPr>
          <w:i/>
        </w:rPr>
        <w:t>Eurofighter</w:t>
      </w:r>
      <w:r>
        <w:t xml:space="preserve"> desplegados en Ämari (Estonia) interceptaron al menos 6 aparatos de guerra electrónica rusos que habían penetrado en el cielo estonio “camuflados” como aviones comerciales. </w:t>
      </w:r>
    </w:p>
  </w:footnote>
  <w:footnote w:id="5">
    <w:p w:rsidR="00F32596" w:rsidRDefault="00F32596">
      <w:pPr>
        <w:pStyle w:val="Textonotapie"/>
      </w:pPr>
      <w:r>
        <w:rPr>
          <w:rStyle w:val="Refdenotaalpie"/>
        </w:rPr>
        <w:footnoteRef/>
      </w:r>
      <w:r>
        <w:t xml:space="preserve"> Curiosamente, en el nuevo lenguaje asociado al concepto de HW las armas nucleares pasan a ser parte de las guerras “convencionales”. </w:t>
      </w:r>
    </w:p>
  </w:footnote>
  <w:footnote w:id="6">
    <w:p w:rsidR="00240A12" w:rsidRDefault="00240A12">
      <w:pPr>
        <w:pStyle w:val="Textonotapie"/>
      </w:pPr>
      <w:r>
        <w:rPr>
          <w:rStyle w:val="Refdenotaalpie"/>
        </w:rPr>
        <w:footnoteRef/>
      </w:r>
      <w:r>
        <w:t xml:space="preserve"> Entre los primeros, cabe recordar que Huntington ya indicó que Grecia es parte de la civilización ortodoxa (por oposición a la “occidental”). Entre los segundos, el contexto económico y las discusiones con las “Instituciones”/Troika, así como la necesidad de buscar fuentes alternativas de financiación.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C04D5"/>
    <w:multiLevelType w:val="hybridMultilevel"/>
    <w:tmpl w:val="008A02F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80355"/>
    <w:rsid w:val="000F7827"/>
    <w:rsid w:val="00180355"/>
    <w:rsid w:val="00240A12"/>
    <w:rsid w:val="0027213E"/>
    <w:rsid w:val="00290846"/>
    <w:rsid w:val="00324084"/>
    <w:rsid w:val="00435CCC"/>
    <w:rsid w:val="005115D5"/>
    <w:rsid w:val="005217AF"/>
    <w:rsid w:val="00556C1F"/>
    <w:rsid w:val="0057469A"/>
    <w:rsid w:val="006555F4"/>
    <w:rsid w:val="006C3368"/>
    <w:rsid w:val="0070303D"/>
    <w:rsid w:val="00833016"/>
    <w:rsid w:val="008A427F"/>
    <w:rsid w:val="00936B67"/>
    <w:rsid w:val="009C1754"/>
    <w:rsid w:val="00A93F1A"/>
    <w:rsid w:val="00AF70FA"/>
    <w:rsid w:val="00B43196"/>
    <w:rsid w:val="00C3361B"/>
    <w:rsid w:val="00D45F58"/>
    <w:rsid w:val="00D51F8E"/>
    <w:rsid w:val="00D66EB7"/>
    <w:rsid w:val="00DB0308"/>
    <w:rsid w:val="00F13824"/>
    <w:rsid w:val="00F32596"/>
    <w:rsid w:val="00FE4E6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F8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43196"/>
    <w:pPr>
      <w:ind w:left="720"/>
      <w:contextualSpacing/>
    </w:pPr>
  </w:style>
  <w:style w:type="paragraph" w:styleId="Textonotapie">
    <w:name w:val="footnote text"/>
    <w:basedOn w:val="Normal"/>
    <w:link w:val="TextonotapieCar"/>
    <w:uiPriority w:val="99"/>
    <w:semiHidden/>
    <w:unhideWhenUsed/>
    <w:rsid w:val="00240A12"/>
    <w:pPr>
      <w:spacing w:line="240" w:lineRule="auto"/>
    </w:pPr>
    <w:rPr>
      <w:sz w:val="20"/>
      <w:szCs w:val="20"/>
    </w:rPr>
  </w:style>
  <w:style w:type="character" w:customStyle="1" w:styleId="TextonotapieCar">
    <w:name w:val="Texto nota pie Car"/>
    <w:basedOn w:val="Fuentedeprrafopredeter"/>
    <w:link w:val="Textonotapie"/>
    <w:uiPriority w:val="99"/>
    <w:semiHidden/>
    <w:rsid w:val="00240A12"/>
    <w:rPr>
      <w:sz w:val="20"/>
      <w:szCs w:val="20"/>
    </w:rPr>
  </w:style>
  <w:style w:type="character" w:styleId="Refdenotaalpie">
    <w:name w:val="footnote reference"/>
    <w:basedOn w:val="Fuentedeprrafopredeter"/>
    <w:uiPriority w:val="99"/>
    <w:semiHidden/>
    <w:unhideWhenUsed/>
    <w:rsid w:val="00240A12"/>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6FD8-5C98-47E3-9F33-F82A86858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779</Words>
  <Characters>4286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Josep</dc:creator>
  <cp:lastModifiedBy>Josep</cp:lastModifiedBy>
  <cp:revision>11</cp:revision>
  <dcterms:created xsi:type="dcterms:W3CDTF">2015-05-25T15:17:00Z</dcterms:created>
  <dcterms:modified xsi:type="dcterms:W3CDTF">2015-05-26T14:49:00Z</dcterms:modified>
</cp:coreProperties>
</file>