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E71" w:rsidRPr="001E2F96" w:rsidRDefault="005B6034" w:rsidP="00276AE4">
      <w:pPr>
        <w:spacing w:after="120"/>
        <w:jc w:val="both"/>
        <w:rPr>
          <w:rStyle w:val="apple-converted-space"/>
          <w:rFonts w:cs="Arial"/>
          <w:b/>
          <w:shd w:val="clear" w:color="auto" w:fill="FFFFFF"/>
        </w:rPr>
      </w:pPr>
      <w:r w:rsidRPr="001E2F96">
        <w:rPr>
          <w:rStyle w:val="apple-converted-space"/>
          <w:rFonts w:cs="Arial"/>
          <w:b/>
          <w:shd w:val="clear" w:color="auto" w:fill="FFFFFF"/>
        </w:rPr>
        <w:t>LA DESIGUALDAD DE GÉNERO A TRAVÉS DE LOS OBJETIVOS DE DESARROLLO DEL MILENIO: LA AGENDA POST 2015</w:t>
      </w:r>
    </w:p>
    <w:p w:rsidR="006A5E71" w:rsidRPr="00276AE4" w:rsidRDefault="006A5E71" w:rsidP="00276AE4">
      <w:pPr>
        <w:spacing w:after="120"/>
        <w:jc w:val="both"/>
        <w:rPr>
          <w:rStyle w:val="apple-converted-space"/>
          <w:rFonts w:cs="Arial"/>
          <w:shd w:val="clear" w:color="auto" w:fill="FFFFFF"/>
        </w:rPr>
      </w:pPr>
      <w:r w:rsidRPr="00276AE4">
        <w:rPr>
          <w:rStyle w:val="apple-converted-space"/>
          <w:rFonts w:cs="Arial"/>
          <w:shd w:val="clear" w:color="auto" w:fill="FFFFFF"/>
        </w:rPr>
        <w:t>Susana Ruiz Seisdedos. Universidad de Jaén. suruiz@ujaen.es</w:t>
      </w:r>
    </w:p>
    <w:p w:rsidR="00A7223E" w:rsidRPr="00276AE4" w:rsidRDefault="00A7223E" w:rsidP="00A7223E">
      <w:pPr>
        <w:spacing w:after="120"/>
        <w:jc w:val="both"/>
        <w:rPr>
          <w:rStyle w:val="apple-converted-space"/>
          <w:rFonts w:cs="Arial"/>
          <w:shd w:val="clear" w:color="auto" w:fill="FFFFFF"/>
        </w:rPr>
      </w:pPr>
      <w:r w:rsidRPr="00276AE4">
        <w:rPr>
          <w:rStyle w:val="apple-converted-space"/>
          <w:rFonts w:cs="Arial"/>
          <w:shd w:val="clear" w:color="auto" w:fill="FFFFFF"/>
        </w:rPr>
        <w:t>Maria Luisa Grande Gascón. Universidad de Jaén. mlgrande@ujaen.es</w:t>
      </w:r>
    </w:p>
    <w:p w:rsidR="00276AE4" w:rsidRPr="005B6034" w:rsidRDefault="00276AE4" w:rsidP="006A5E71">
      <w:pPr>
        <w:tabs>
          <w:tab w:val="num" w:pos="720"/>
        </w:tabs>
        <w:jc w:val="both"/>
        <w:rPr>
          <w:rStyle w:val="apple-converted-space"/>
          <w:rFonts w:cs="Arial"/>
          <w:b/>
          <w:shd w:val="clear" w:color="auto" w:fill="FFFFFF"/>
        </w:rPr>
      </w:pPr>
      <w:r w:rsidRPr="005B6034">
        <w:rPr>
          <w:rStyle w:val="apple-converted-space"/>
          <w:rFonts w:cs="Arial"/>
          <w:b/>
          <w:shd w:val="clear" w:color="auto" w:fill="FFFFFF"/>
        </w:rPr>
        <w:t>Nota biográfica de las autoras:</w:t>
      </w:r>
    </w:p>
    <w:p w:rsidR="007B5B9F" w:rsidRDefault="00276AE4" w:rsidP="007B5B9F">
      <w:pPr>
        <w:tabs>
          <w:tab w:val="num" w:pos="720"/>
        </w:tabs>
        <w:jc w:val="both"/>
        <w:rPr>
          <w:rStyle w:val="apple-converted-space"/>
          <w:rFonts w:cs="Arial"/>
          <w:shd w:val="clear" w:color="auto" w:fill="FFFFFF"/>
        </w:rPr>
      </w:pPr>
      <w:r>
        <w:rPr>
          <w:rStyle w:val="apple-converted-space"/>
          <w:rFonts w:cs="Arial"/>
          <w:shd w:val="clear" w:color="auto" w:fill="FFFFFF"/>
        </w:rPr>
        <w:t xml:space="preserve">Susana Ruiz Seisdedos. </w:t>
      </w:r>
      <w:r w:rsidR="007B5B9F">
        <w:rPr>
          <w:rStyle w:val="apple-converted-space"/>
          <w:rFonts w:cs="Arial"/>
          <w:shd w:val="clear" w:color="auto" w:fill="FFFFFF"/>
        </w:rPr>
        <w:t xml:space="preserve">Licenciada en </w:t>
      </w:r>
      <w:r w:rsidR="007B5B9F">
        <w:rPr>
          <w:rStyle w:val="apple-converted-space"/>
          <w:rFonts w:cs="Arial"/>
          <w:shd w:val="clear" w:color="auto" w:fill="FFFFFF"/>
        </w:rPr>
        <w:t xml:space="preserve">Derecho, </w:t>
      </w:r>
      <w:r w:rsidR="007B5B9F">
        <w:rPr>
          <w:rStyle w:val="apple-converted-space"/>
          <w:rFonts w:cs="Arial"/>
          <w:shd w:val="clear" w:color="auto" w:fill="FFFFFF"/>
        </w:rPr>
        <w:t>Ciencias Políticas y Sociología. Doctora en Ciencias Políticas. Prof</w:t>
      </w:r>
      <w:r w:rsidR="007B5B9F">
        <w:rPr>
          <w:rStyle w:val="apple-converted-space"/>
          <w:rFonts w:cs="Arial"/>
          <w:shd w:val="clear" w:color="auto" w:fill="FFFFFF"/>
        </w:rPr>
        <w:t xml:space="preserve">esora Titular de Universidad </w:t>
      </w:r>
      <w:r w:rsidR="007B5B9F">
        <w:rPr>
          <w:rStyle w:val="apple-converted-space"/>
          <w:rFonts w:cs="Arial"/>
          <w:shd w:val="clear" w:color="auto" w:fill="FFFFFF"/>
        </w:rPr>
        <w:t>de la Universidad de Jaén.</w:t>
      </w:r>
    </w:p>
    <w:p w:rsidR="00055F99" w:rsidRDefault="00055F99" w:rsidP="00055F99">
      <w:pPr>
        <w:tabs>
          <w:tab w:val="num" w:pos="720"/>
        </w:tabs>
        <w:jc w:val="both"/>
        <w:rPr>
          <w:rStyle w:val="apple-converted-space"/>
          <w:rFonts w:cs="Arial"/>
          <w:shd w:val="clear" w:color="auto" w:fill="FFFFFF"/>
        </w:rPr>
      </w:pPr>
      <w:bookmarkStart w:id="0" w:name="_GoBack"/>
      <w:bookmarkEnd w:id="0"/>
      <w:r>
        <w:rPr>
          <w:rStyle w:val="apple-converted-space"/>
          <w:rFonts w:cs="Arial"/>
          <w:shd w:val="clear" w:color="auto" w:fill="FFFFFF"/>
        </w:rPr>
        <w:t>María Luisa Grande Gascón. Licenciada en Ciencias Políticas y Sociología. Doctora en Ciencias Políticas. Profesora Titular de Universidad en la Facultad de Ciencias de la Salud de la Universidad de Jaén.</w:t>
      </w:r>
    </w:p>
    <w:p w:rsidR="005B6034" w:rsidRPr="005B6034" w:rsidRDefault="005B6034" w:rsidP="006A5E71">
      <w:pPr>
        <w:tabs>
          <w:tab w:val="num" w:pos="720"/>
        </w:tabs>
        <w:jc w:val="both"/>
        <w:rPr>
          <w:rStyle w:val="apple-converted-space"/>
          <w:rFonts w:cs="Arial"/>
          <w:b/>
          <w:shd w:val="clear" w:color="auto" w:fill="FFFFFF"/>
        </w:rPr>
      </w:pPr>
      <w:r w:rsidRPr="005B6034">
        <w:rPr>
          <w:rStyle w:val="apple-converted-space"/>
          <w:rFonts w:cs="Arial"/>
          <w:b/>
          <w:shd w:val="clear" w:color="auto" w:fill="FFFFFF"/>
        </w:rPr>
        <w:t>Resumen:</w:t>
      </w:r>
    </w:p>
    <w:p w:rsidR="006A5E71" w:rsidRDefault="006A5E71" w:rsidP="006A5E71">
      <w:pPr>
        <w:tabs>
          <w:tab w:val="num" w:pos="720"/>
        </w:tabs>
        <w:jc w:val="both"/>
        <w:rPr>
          <w:rFonts w:cs="Arial"/>
        </w:rPr>
      </w:pPr>
      <w:r w:rsidRPr="006A5E71">
        <w:rPr>
          <w:rStyle w:val="apple-converted-space"/>
          <w:rFonts w:cs="Arial"/>
          <w:shd w:val="clear" w:color="auto" w:fill="FFFFFF"/>
        </w:rPr>
        <w:t xml:space="preserve">En la presente </w:t>
      </w:r>
      <w:r w:rsidR="007A455F">
        <w:rPr>
          <w:rStyle w:val="apple-converted-space"/>
          <w:rFonts w:cs="Arial"/>
          <w:shd w:val="clear" w:color="auto" w:fill="FFFFFF"/>
        </w:rPr>
        <w:t>trabajo se</w:t>
      </w:r>
      <w:r w:rsidRPr="006A5E71">
        <w:rPr>
          <w:rStyle w:val="apple-converted-space"/>
          <w:rFonts w:cs="Arial"/>
          <w:shd w:val="clear" w:color="auto" w:fill="FFFFFF"/>
        </w:rPr>
        <w:t xml:space="preserve"> </w:t>
      </w:r>
      <w:r w:rsidR="007A455F">
        <w:rPr>
          <w:rStyle w:val="apple-converted-space"/>
          <w:rFonts w:cs="Arial"/>
          <w:shd w:val="clear" w:color="auto" w:fill="FFFFFF"/>
        </w:rPr>
        <w:t>valoran los</w:t>
      </w:r>
      <w:r w:rsidRPr="006A5E71">
        <w:rPr>
          <w:rStyle w:val="apple-converted-space"/>
          <w:rFonts w:cs="Arial"/>
          <w:shd w:val="clear" w:color="auto" w:fill="FFFFFF"/>
        </w:rPr>
        <w:t xml:space="preserve"> avances que se han dado en la situación de la mujer a través de</w:t>
      </w:r>
      <w:r>
        <w:rPr>
          <w:rStyle w:val="apple-converted-space"/>
          <w:rFonts w:cs="Arial"/>
          <w:shd w:val="clear" w:color="auto" w:fill="FFFFFF"/>
        </w:rPr>
        <w:t xml:space="preserve">l análisis de los </w:t>
      </w:r>
      <w:r w:rsidRPr="006A5E71">
        <w:rPr>
          <w:rStyle w:val="apple-converted-space"/>
          <w:rFonts w:cs="Arial"/>
          <w:shd w:val="clear" w:color="auto" w:fill="FFFFFF"/>
        </w:rPr>
        <w:t>Objetivo</w:t>
      </w:r>
      <w:r>
        <w:rPr>
          <w:rStyle w:val="apple-converted-space"/>
          <w:rFonts w:cs="Arial"/>
          <w:shd w:val="clear" w:color="auto" w:fill="FFFFFF"/>
        </w:rPr>
        <w:t>s</w:t>
      </w:r>
      <w:r w:rsidRPr="006A5E71">
        <w:rPr>
          <w:rStyle w:val="apple-converted-space"/>
          <w:rFonts w:cs="Arial"/>
          <w:shd w:val="clear" w:color="auto" w:fill="FFFFFF"/>
        </w:rPr>
        <w:t xml:space="preserve"> de Desarrollo del Milenio</w:t>
      </w:r>
      <w:r>
        <w:rPr>
          <w:rStyle w:val="apple-converted-space"/>
          <w:rFonts w:cs="Arial"/>
          <w:shd w:val="clear" w:color="auto" w:fill="FFFFFF"/>
        </w:rPr>
        <w:t>, fundamentalmente el</w:t>
      </w:r>
      <w:r w:rsidRPr="006A5E71">
        <w:rPr>
          <w:rStyle w:val="apple-converted-space"/>
          <w:rFonts w:cs="Arial"/>
          <w:shd w:val="clear" w:color="auto" w:fill="FFFFFF"/>
        </w:rPr>
        <w:t xml:space="preserve"> </w:t>
      </w:r>
      <w:r>
        <w:rPr>
          <w:rStyle w:val="apple-converted-space"/>
          <w:rFonts w:cs="Arial"/>
          <w:shd w:val="clear" w:color="auto" w:fill="FFFFFF"/>
        </w:rPr>
        <w:t xml:space="preserve">Objetivo </w:t>
      </w:r>
      <w:r w:rsidRPr="006A5E71">
        <w:rPr>
          <w:rStyle w:val="apple-converted-space"/>
          <w:rFonts w:cs="Arial"/>
          <w:shd w:val="clear" w:color="auto" w:fill="FFFFFF"/>
        </w:rPr>
        <w:t>3 </w:t>
      </w:r>
      <w:hyperlink r:id="rId9" w:history="1">
        <w:r>
          <w:rPr>
            <w:rStyle w:val="Hipervnculo"/>
            <w:rFonts w:cs="Arial"/>
            <w:bCs/>
            <w:color w:val="auto"/>
            <w:u w:val="none"/>
            <w:shd w:val="clear" w:color="auto" w:fill="FFFFFF"/>
          </w:rPr>
          <w:t xml:space="preserve"> (</w:t>
        </w:r>
        <w:r w:rsidRPr="006A5E71">
          <w:rPr>
            <w:rStyle w:val="Hipervnculo"/>
            <w:rFonts w:cs="Arial"/>
            <w:bCs/>
            <w:color w:val="auto"/>
            <w:u w:val="none"/>
            <w:shd w:val="clear" w:color="auto" w:fill="FFFFFF"/>
          </w:rPr>
          <w:t>promover la igualdad entre géneros y la autonomía de la mujer</w:t>
        </w:r>
      </w:hyperlink>
      <w:r>
        <w:rPr>
          <w:rStyle w:val="Hipervnculo"/>
          <w:rFonts w:cs="Arial"/>
          <w:bCs/>
          <w:color w:val="auto"/>
          <w:u w:val="none"/>
          <w:shd w:val="clear" w:color="auto" w:fill="FFFFFF"/>
        </w:rPr>
        <w:t>)</w:t>
      </w:r>
      <w:r w:rsidRPr="006A5E71">
        <w:rPr>
          <w:rStyle w:val="Hipervnculo"/>
          <w:rFonts w:cs="Arial"/>
          <w:bCs/>
          <w:color w:val="auto"/>
          <w:u w:val="none"/>
          <w:shd w:val="clear" w:color="auto" w:fill="FFFFFF"/>
        </w:rPr>
        <w:t xml:space="preserve"> </w:t>
      </w:r>
      <w:r w:rsidRPr="006A5E71">
        <w:rPr>
          <w:rFonts w:cs="Arial"/>
          <w:shd w:val="clear" w:color="auto" w:fill="FFFFFF"/>
        </w:rPr>
        <w:t xml:space="preserve">y el </w:t>
      </w:r>
      <w:r w:rsidRPr="006A5E71">
        <w:rPr>
          <w:rFonts w:cs="Arial"/>
          <w:bCs/>
          <w:shd w:val="clear" w:color="auto" w:fill="FFFFFF"/>
        </w:rPr>
        <w:t xml:space="preserve">Objetivo 5 </w:t>
      </w:r>
      <w:r>
        <w:rPr>
          <w:rFonts w:cs="Arial"/>
          <w:bCs/>
          <w:shd w:val="clear" w:color="auto" w:fill="FFFFFF"/>
        </w:rPr>
        <w:t>(</w:t>
      </w:r>
      <w:r w:rsidRPr="006A5E71">
        <w:rPr>
          <w:rFonts w:cs="Arial"/>
          <w:bCs/>
          <w:shd w:val="clear" w:color="auto" w:fill="FFFFFF"/>
        </w:rPr>
        <w:t>promover la salud materna</w:t>
      </w:r>
      <w:r w:rsidR="00276AE4">
        <w:rPr>
          <w:rFonts w:cs="Arial"/>
          <w:bCs/>
          <w:shd w:val="clear" w:color="auto" w:fill="FFFFFF"/>
        </w:rPr>
        <w:t>)</w:t>
      </w:r>
      <w:r w:rsidRPr="006A5E71">
        <w:rPr>
          <w:rFonts w:cs="Arial"/>
          <w:shd w:val="clear" w:color="auto" w:fill="FFFFFF"/>
        </w:rPr>
        <w:t xml:space="preserve">. Además </w:t>
      </w:r>
      <w:r w:rsidR="007A455F">
        <w:rPr>
          <w:rFonts w:cs="Arial"/>
          <w:shd w:val="clear" w:color="auto" w:fill="FFFFFF"/>
        </w:rPr>
        <w:t>de dichos objetivos se analiza</w:t>
      </w:r>
      <w:r w:rsidRPr="006A5E71">
        <w:rPr>
          <w:rFonts w:cs="Arial"/>
          <w:shd w:val="clear" w:color="auto" w:fill="FFFFFF"/>
        </w:rPr>
        <w:t>n otros que son importantes para observar el avance dado en materia de igualdad de género puesto que los objetivos, como ha sido puesto de manifiesto incluso desde Naciones Unidas (2006), no analizan en profundidad determinados aspectos</w:t>
      </w:r>
      <w:r w:rsidR="007A455F">
        <w:rPr>
          <w:rFonts w:cs="Arial"/>
          <w:shd w:val="clear" w:color="auto" w:fill="FFFFFF"/>
        </w:rPr>
        <w:t xml:space="preserve">. </w:t>
      </w:r>
      <w:r w:rsidRPr="006A5E71">
        <w:rPr>
          <w:rFonts w:cs="Arial"/>
        </w:rPr>
        <w:t xml:space="preserve">Por lo tanto, el análisis de estos objetivos se </w:t>
      </w:r>
      <w:r w:rsidR="007A455F">
        <w:rPr>
          <w:rFonts w:cs="Arial"/>
        </w:rPr>
        <w:t>ha</w:t>
      </w:r>
      <w:r w:rsidRPr="006A5E71">
        <w:rPr>
          <w:rFonts w:cs="Arial"/>
        </w:rPr>
        <w:t xml:space="preserve"> completado con otros indicadores como el Índice de Desigualdad de Género</w:t>
      </w:r>
      <w:r>
        <w:rPr>
          <w:rFonts w:cs="Arial"/>
        </w:rPr>
        <w:t>.</w:t>
      </w:r>
      <w:r w:rsidR="007A455F">
        <w:rPr>
          <w:rFonts w:cs="Arial"/>
        </w:rPr>
        <w:t xml:space="preserve"> Asimismo se analizan cuáles son las propuestas que se están incorporando a la agenda post-2015 en materia de género.</w:t>
      </w:r>
    </w:p>
    <w:p w:rsidR="005B6034" w:rsidRPr="005B6034" w:rsidRDefault="006A5E71" w:rsidP="006A5E71">
      <w:pPr>
        <w:tabs>
          <w:tab w:val="num" w:pos="720"/>
        </w:tabs>
        <w:jc w:val="both"/>
        <w:rPr>
          <w:rFonts w:cs="Arial"/>
          <w:b/>
        </w:rPr>
      </w:pPr>
      <w:r w:rsidRPr="005B6034">
        <w:rPr>
          <w:rFonts w:cs="Arial"/>
          <w:b/>
        </w:rPr>
        <w:t xml:space="preserve">Palabras clave: </w:t>
      </w:r>
    </w:p>
    <w:p w:rsidR="006A5E71" w:rsidRPr="006A5E71" w:rsidRDefault="006A5E71" w:rsidP="006A5E71">
      <w:pPr>
        <w:tabs>
          <w:tab w:val="num" w:pos="720"/>
        </w:tabs>
        <w:jc w:val="both"/>
        <w:rPr>
          <w:rFonts w:cs="Arial"/>
        </w:rPr>
      </w:pPr>
      <w:r>
        <w:rPr>
          <w:rFonts w:cs="Arial"/>
        </w:rPr>
        <w:t>Objetivos de Desarrollo del Milenio, género, desarrollo, Índice de Desigualdad de Género</w:t>
      </w:r>
      <w:r w:rsidR="007A455F">
        <w:rPr>
          <w:rFonts w:cs="Arial"/>
        </w:rPr>
        <w:t>, Objetivos de Desarrollo Sostenible</w:t>
      </w:r>
      <w:r>
        <w:rPr>
          <w:rFonts w:cs="Arial"/>
        </w:rPr>
        <w:t>.</w:t>
      </w:r>
    </w:p>
    <w:p w:rsidR="00C853AA" w:rsidRDefault="00C853AA" w:rsidP="00C853AA">
      <w:pPr>
        <w:jc w:val="both"/>
        <w:rPr>
          <w:rFonts w:ascii="Century Gothic" w:hAnsi="Century Gothic"/>
        </w:rPr>
      </w:pPr>
    </w:p>
    <w:p w:rsidR="00C853AA" w:rsidRDefault="00C853AA" w:rsidP="00C853AA">
      <w:pPr>
        <w:jc w:val="both"/>
        <w:rPr>
          <w:rFonts w:ascii="Century Gothic" w:hAnsi="Century Gothic"/>
        </w:rPr>
      </w:pPr>
    </w:p>
    <w:p w:rsidR="00C853AA" w:rsidRDefault="00C853AA" w:rsidP="00C853AA">
      <w:pPr>
        <w:jc w:val="both"/>
        <w:rPr>
          <w:rFonts w:ascii="Century Gothic" w:hAnsi="Century Gothic"/>
        </w:rPr>
      </w:pPr>
    </w:p>
    <w:p w:rsidR="00C853AA" w:rsidRDefault="00C853AA" w:rsidP="00C853AA">
      <w:pPr>
        <w:jc w:val="both"/>
        <w:rPr>
          <w:rFonts w:ascii="Century Gothic" w:hAnsi="Century Gothic"/>
        </w:rPr>
      </w:pPr>
    </w:p>
    <w:p w:rsidR="00C853AA" w:rsidRDefault="00C853AA" w:rsidP="00C853AA">
      <w:pPr>
        <w:jc w:val="both"/>
        <w:rPr>
          <w:rFonts w:ascii="Century Gothic" w:hAnsi="Century Gothic"/>
        </w:rPr>
      </w:pPr>
    </w:p>
    <w:p w:rsidR="00C853AA" w:rsidRDefault="00C853AA" w:rsidP="00C853AA">
      <w:pPr>
        <w:jc w:val="both"/>
        <w:rPr>
          <w:rFonts w:ascii="Century Gothic" w:hAnsi="Century Gothic"/>
        </w:rPr>
      </w:pPr>
    </w:p>
    <w:p w:rsidR="00C853AA" w:rsidRDefault="00C853AA" w:rsidP="00C853AA">
      <w:pPr>
        <w:jc w:val="both"/>
        <w:rPr>
          <w:rFonts w:ascii="Century Gothic" w:hAnsi="Century Gothic"/>
        </w:rPr>
      </w:pPr>
    </w:p>
    <w:p w:rsidR="00C853AA" w:rsidRDefault="00C853AA" w:rsidP="00C853AA">
      <w:pPr>
        <w:jc w:val="both"/>
        <w:rPr>
          <w:rFonts w:ascii="Century Gothic" w:hAnsi="Century Gothic"/>
        </w:rPr>
      </w:pPr>
    </w:p>
    <w:p w:rsidR="00055F99" w:rsidRDefault="00055F99" w:rsidP="00C853AA">
      <w:pPr>
        <w:jc w:val="both"/>
        <w:rPr>
          <w:rFonts w:ascii="Century Gothic" w:hAnsi="Century Gothic"/>
        </w:rPr>
      </w:pPr>
    </w:p>
    <w:p w:rsidR="00C853AA" w:rsidRDefault="00C853AA" w:rsidP="00C853AA">
      <w:pPr>
        <w:jc w:val="both"/>
        <w:rPr>
          <w:rFonts w:ascii="Century Gothic" w:hAnsi="Century Gothic"/>
        </w:rPr>
      </w:pPr>
    </w:p>
    <w:p w:rsidR="00A7223E" w:rsidRDefault="00A7223E">
      <w:pPr>
        <w:rPr>
          <w:b/>
        </w:rPr>
      </w:pPr>
    </w:p>
    <w:p w:rsidR="001E2F96" w:rsidRPr="00D53FD7" w:rsidRDefault="001E2F96">
      <w:pPr>
        <w:rPr>
          <w:b/>
        </w:rPr>
      </w:pPr>
      <w:r w:rsidRPr="00D53FD7">
        <w:rPr>
          <w:b/>
        </w:rPr>
        <w:t>Introducción</w:t>
      </w:r>
    </w:p>
    <w:p w:rsidR="00D53FD7" w:rsidRDefault="00D53FD7" w:rsidP="00240793">
      <w:pPr>
        <w:autoSpaceDE w:val="0"/>
        <w:autoSpaceDN w:val="0"/>
        <w:adjustRightInd w:val="0"/>
        <w:spacing w:after="120"/>
        <w:jc w:val="both"/>
        <w:rPr>
          <w:rFonts w:cs="Arial"/>
        </w:rPr>
      </w:pPr>
      <w:r w:rsidRPr="00D53FD7">
        <w:rPr>
          <w:rFonts w:cs="Arial"/>
        </w:rPr>
        <w:t>En las últimas décadas se han conseguido avances importantes en la posición que ocupan las mujeres en la sociedad. Estos avances se han producido, con diferencias significativas, en todos los ámbitos de la sociedad, mejorando las condiciones de vida y la disminuyendo la discriminación que sufren. Sin embargo sigue vigente una de las conclusiones que se recogían en el Informe sobre Desarrollo Humano del Programa de Naciones Unidas del año 1995 que, bajo el título</w:t>
      </w:r>
      <w:r w:rsidR="00A100FD">
        <w:rPr>
          <w:rFonts w:cs="Arial"/>
        </w:rPr>
        <w:t>,</w:t>
      </w:r>
      <w:r w:rsidRPr="00D53FD7">
        <w:rPr>
          <w:rFonts w:cs="Arial"/>
        </w:rPr>
        <w:t xml:space="preserve"> La revolución hacia la igualdad en la condición de los sexos, concluía que en</w:t>
      </w:r>
      <w:r w:rsidR="00A100FD">
        <w:rPr>
          <w:rFonts w:cs="Arial"/>
        </w:rPr>
        <w:t xml:space="preserve"> ningún país las mujeres tienen las mismas oportunidades que los hombres</w:t>
      </w:r>
      <w:r w:rsidRPr="00D53FD7">
        <w:rPr>
          <w:rFonts w:cs="Arial"/>
        </w:rPr>
        <w:t xml:space="preserve"> (PNUD, 1995).</w:t>
      </w:r>
    </w:p>
    <w:p w:rsidR="00240793" w:rsidRDefault="00D53FD7" w:rsidP="00240793">
      <w:pPr>
        <w:autoSpaceDE w:val="0"/>
        <w:autoSpaceDN w:val="0"/>
        <w:adjustRightInd w:val="0"/>
        <w:spacing w:after="120"/>
        <w:jc w:val="both"/>
        <w:rPr>
          <w:rFonts w:cs="Arial"/>
        </w:rPr>
      </w:pPr>
      <w:r w:rsidRPr="00D53FD7">
        <w:rPr>
          <w:rFonts w:cs="Arial"/>
        </w:rPr>
        <w:t xml:space="preserve">En la actualidad existe un gran consenso sobre la relación existente entre el desarrollo humano que presenta un país y los avances en la igualdad de género en el sentido de que </w:t>
      </w:r>
      <w:r w:rsidRPr="00D53FD7">
        <w:rPr>
          <w:rFonts w:cs="Arial"/>
          <w:i/>
        </w:rPr>
        <w:t>“el desarrollo está directamente relacionado con el avance de las mujeres en su vida pública y privada, como un requisito indispensable para garantizar el ejercicio pleno de sus derechos”</w:t>
      </w:r>
      <w:r w:rsidRPr="00D53FD7">
        <w:rPr>
          <w:rFonts w:cs="Arial"/>
        </w:rPr>
        <w:t xml:space="preserve"> (OIG, 2011: 9). </w:t>
      </w:r>
    </w:p>
    <w:p w:rsidR="00240793" w:rsidRDefault="00240793" w:rsidP="00240793">
      <w:pPr>
        <w:spacing w:after="120"/>
        <w:jc w:val="both"/>
      </w:pPr>
      <w:r>
        <w:t xml:space="preserve">Recogiendo este planteamiento, la Asamblea General de Naciones Unidas incluye en los Objetivos de Desarrollo del Milenio la igualdad entre hombres y mujeres. Estos objetivos fueron consensuados en  septiembre del año 2000 en la Cumbre del Milenio. En la misma 189 jefes de estado y de gobierno firmaron en la ciudad de Nueva York la denominada Declaración del Milenio en la que se comprometían con la consecución de ocho objetivos para el 2015. </w:t>
      </w:r>
    </w:p>
    <w:p w:rsidR="00240793" w:rsidRDefault="00240793" w:rsidP="00240793">
      <w:pPr>
        <w:spacing w:after="120"/>
        <w:jc w:val="both"/>
      </w:pPr>
      <w:r>
        <w:t>Entre otro</w:t>
      </w:r>
      <w:r w:rsidR="007A455F">
        <w:t>s valores que se establecen en dich</w:t>
      </w:r>
      <w:r>
        <w:t>a Declaración está la igualdad entendiendo que nadie debe ser privado de los beneficios del desarrollo y que la igualdad de oportunidades de hombres y de mujeres debe estar garantiza</w:t>
      </w:r>
      <w:r w:rsidR="007A455F">
        <w:t>da. A este respecto se incluye</w:t>
      </w:r>
      <w:r>
        <w:t xml:space="preserve"> que algunas de las áreas a las que </w:t>
      </w:r>
      <w:r w:rsidR="007A455F">
        <w:t xml:space="preserve">se </w:t>
      </w:r>
      <w:r>
        <w:t>debe prestar más atención son</w:t>
      </w:r>
      <w:r w:rsidR="007A455F">
        <w:t>:</w:t>
      </w:r>
      <w:r>
        <w:t xml:space="preserve"> la educación de las niñas, la mortalidad materna, la igualdad entre hombres y mujeres y la autonomía de la mujer y la violencia de género.</w:t>
      </w:r>
    </w:p>
    <w:p w:rsidR="00240793" w:rsidRDefault="00240793" w:rsidP="00240793">
      <w:pPr>
        <w:spacing w:after="120"/>
        <w:jc w:val="both"/>
      </w:pPr>
      <w:r>
        <w:t xml:space="preserve">En este trabajo se pretende analizar los </w:t>
      </w:r>
      <w:r w:rsidRPr="00240793">
        <w:t>avances que se han dado en la situación de la mujer a través de los diversos indicadores que reflejan esta situación. Por una parte, el Objetivo de Desarrollo del Milenio 3 </w:t>
      </w:r>
      <w:hyperlink r:id="rId10" w:history="1">
        <w:r w:rsidR="007A455F">
          <w:t xml:space="preserve"> (P</w:t>
        </w:r>
        <w:r w:rsidRPr="00240793">
          <w:t>romover la igualdad entre géneros y la autonomía de la mujer</w:t>
        </w:r>
      </w:hyperlink>
      <w:r w:rsidR="007A455F">
        <w:t>)</w:t>
      </w:r>
      <w:r w:rsidRPr="00240793">
        <w:t xml:space="preserve"> y, por otra parte, el  Objetivo 5 </w:t>
      </w:r>
      <w:r w:rsidR="007A455F">
        <w:t>(Promover la salud materna)</w:t>
      </w:r>
      <w:r w:rsidRPr="00240793">
        <w:t>, cada uno de ellos con una serie de metas e indicadores. Además de dichos objetivos se analizan otros que son importantes para observar el avance dado en materia de igualdad de género puesto que los objetivos, como ha sido puesto de manifiesto incluso desde Naciones Unidas, no analizan en profundidad determinados aspectos, debiendo realizarse una reformulación de algunos de los mismos desde la perspectiva de género y la creación de indicadores alternativos, toda vez que dos objetivos parece cuanto menos escaso. Por lo tanto, el análisis de estos objetivos se verá completado con otros indicadores com</w:t>
      </w:r>
      <w:r>
        <w:t>o el Í</w:t>
      </w:r>
      <w:r w:rsidRPr="00240793">
        <w:t>ndice de Desigualdad de Género, que tiene en cuenta tres dimensiones: salud reproductiva, empoderamiento y mercado laboral.  Y todo ello para tener una visión lo más completa posible de cuál era la situación inicial en 2000 y donde estamos hoy en 2015 en temas de igualdad de género.</w:t>
      </w:r>
      <w:r w:rsidR="007A455F">
        <w:t xml:space="preserve"> Así mismo se </w:t>
      </w:r>
      <w:r w:rsidR="007A455F">
        <w:rPr>
          <w:rFonts w:cs="Arial"/>
        </w:rPr>
        <w:t>analizan cuáles son las propuestas que se están incorporando a la agenda post-2015 en materia de género.</w:t>
      </w:r>
    </w:p>
    <w:p w:rsidR="00916441" w:rsidRDefault="00AE256B" w:rsidP="00240793">
      <w:pPr>
        <w:spacing w:after="120"/>
        <w:jc w:val="both"/>
      </w:pPr>
      <w:r>
        <w:t>Para realizar este análisis analizamos los Informes que desde el año 2005 se han elaborado para medir el progreso de los ODM y los Índices sobre Desarrollo Humano que cada año elabora el Programa de Naciones Unidas para el Desarrollo (PNUD)</w:t>
      </w:r>
      <w:r w:rsidR="00916441">
        <w:t>, así como los múltiples documentos que sobre la agenda pos-201</w:t>
      </w:r>
      <w:r w:rsidR="00A7223E">
        <w:t>5</w:t>
      </w:r>
      <w:r w:rsidR="00916441">
        <w:t xml:space="preserve"> se han generado por parte de diferentes organismos internacionales</w:t>
      </w:r>
      <w:r>
        <w:t>.</w:t>
      </w:r>
    </w:p>
    <w:p w:rsidR="00916441" w:rsidRDefault="00916441" w:rsidP="00240793">
      <w:pPr>
        <w:spacing w:after="120"/>
        <w:jc w:val="both"/>
      </w:pPr>
    </w:p>
    <w:p w:rsidR="00AE256B" w:rsidRPr="00240793" w:rsidRDefault="00AE256B" w:rsidP="00240793">
      <w:pPr>
        <w:spacing w:after="120"/>
        <w:jc w:val="both"/>
      </w:pPr>
      <w:r>
        <w:t xml:space="preserve"> </w:t>
      </w:r>
    </w:p>
    <w:p w:rsidR="00240793" w:rsidRDefault="00240793" w:rsidP="00240793">
      <w:pPr>
        <w:autoSpaceDE w:val="0"/>
        <w:autoSpaceDN w:val="0"/>
        <w:adjustRightInd w:val="0"/>
        <w:spacing w:after="120"/>
        <w:jc w:val="both"/>
        <w:rPr>
          <w:rFonts w:cs="Arial"/>
          <w:b/>
        </w:rPr>
      </w:pPr>
      <w:r w:rsidRPr="00240793">
        <w:rPr>
          <w:rFonts w:cs="Arial"/>
          <w:b/>
        </w:rPr>
        <w:t>Marco teórico: Género en Desarrollo</w:t>
      </w:r>
    </w:p>
    <w:p w:rsidR="00240793" w:rsidRPr="00C853AA" w:rsidRDefault="00240793" w:rsidP="00240793">
      <w:pPr>
        <w:spacing w:after="120"/>
        <w:jc w:val="both"/>
      </w:pPr>
      <w:r w:rsidRPr="00C853AA">
        <w:t>En la actualidad, la integración del enfoque de género en l</w:t>
      </w:r>
      <w:r>
        <w:t>os procesos de</w:t>
      </w:r>
      <w:r w:rsidRPr="00C853AA">
        <w:t xml:space="preserve"> desarrollo es</w:t>
      </w:r>
      <w:r>
        <w:t>tá</w:t>
      </w:r>
      <w:r w:rsidRPr="00C853AA">
        <w:t xml:space="preserve"> unánimemente aceptada. Son varios los argumentos que se utilizan para justificar esta integración, siendo dos los que más se repiten: por una parte, razones de justicia social y por otra parte, razones de eficacia. La justicia social, independientemente del componente ético que tiene, está recogida en el ordenamiento jurídico de la mayoría de los países en el mundo. Las razones de eficacia están contrastadas en el tiempo, ya que se ha demostrado que los proyectos que contemplan las desigualdades entre hombre y mujeres y dan respuesta a las mismas, son más eficaces que aquellos que </w:t>
      </w:r>
      <w:r w:rsidR="009A6D2A">
        <w:t>no incorporan la perspectiva de género</w:t>
      </w:r>
      <w:r w:rsidRPr="00C853AA">
        <w:t xml:space="preserve"> (Alcalde y López</w:t>
      </w:r>
      <w:r w:rsidR="004523BA">
        <w:t>,</w:t>
      </w:r>
      <w:r w:rsidRPr="00C853AA">
        <w:t xml:space="preserve"> 2004: 11-13).</w:t>
      </w:r>
    </w:p>
    <w:p w:rsidR="00A7223E" w:rsidRDefault="00A7223E" w:rsidP="00A7223E">
      <w:pPr>
        <w:spacing w:after="120"/>
        <w:jc w:val="both"/>
      </w:pPr>
      <w:r w:rsidRPr="00C853AA">
        <w:t xml:space="preserve">La incorporación de la perspectiva de género en el desarrollo ha atravesado por diferentes etapas que han recibido diferentes denominaciones según el enfoque predominante en cada una de ellas. Como señala García (2008: 8), </w:t>
      </w:r>
      <w:r w:rsidRPr="00C853AA">
        <w:rPr>
          <w:i/>
        </w:rPr>
        <w:t>“lo cierto es que las mujeres han estado presentes de alguna manera en las estrategias y políticas de desarrollo, aun cuando hasta hace muy poco tiempo esa presencia era apenas perceptible, muy opaca y hasta irreal”</w:t>
      </w:r>
      <w:r w:rsidRPr="00C853AA">
        <w:t xml:space="preserve">. </w:t>
      </w:r>
      <w:r>
        <w:t xml:space="preserve">En un primer momento, las mujeres </w:t>
      </w:r>
      <w:r w:rsidRPr="00C853AA">
        <w:t xml:space="preserve">fueron excluidas de todo lo relacionado con el desarrollo, ya que no eran objeto de consideración independiente de la del hombre. De hecho la teoría y la práctica, las políticas de desarrollo </w:t>
      </w:r>
      <w:r>
        <w:t xml:space="preserve">las </w:t>
      </w:r>
      <w:r w:rsidRPr="00C853AA">
        <w:t>ignoraron durante muchos años, no cuestionando en ningún caso la discriminación que sufrían. Tampoco, fueron consideradas como agentes activas, sino como beneficiarias pasivas de los procesos relacionados con el desarrollo</w:t>
      </w:r>
      <w:r>
        <w:t xml:space="preserve"> (Larrañaga y </w:t>
      </w:r>
      <w:proofErr w:type="spellStart"/>
      <w:r>
        <w:t>Jubeto</w:t>
      </w:r>
      <w:proofErr w:type="spellEnd"/>
      <w:r>
        <w:t xml:space="preserve">, 2011; </w:t>
      </w:r>
      <w:proofErr w:type="spellStart"/>
      <w:r>
        <w:t>Agirregomezkorta</w:t>
      </w:r>
      <w:proofErr w:type="spellEnd"/>
      <w:r>
        <w:t xml:space="preserve">, </w:t>
      </w:r>
      <w:r w:rsidRPr="00C853AA">
        <w:t>2005</w:t>
      </w:r>
      <w:r>
        <w:t>; Zabala, 2010)</w:t>
      </w:r>
      <w:r w:rsidRPr="00C853AA">
        <w:t xml:space="preserve">. </w:t>
      </w:r>
    </w:p>
    <w:p w:rsidR="00240793" w:rsidRPr="00C853AA" w:rsidRDefault="00240793" w:rsidP="00240793">
      <w:pPr>
        <w:spacing w:after="120"/>
        <w:jc w:val="both"/>
      </w:pPr>
      <w:r w:rsidRPr="00C853AA">
        <w:t xml:space="preserve">El enfoque Género en el Desarrollo (GED) ha sido fruto de la lucha de los movimientos feministas desde mediados de la década de los 80. La generalización de la categoría de análisis de género, y su aplicación en todos los ámbitos, tuvo un impacto importante en los procesos de desarrollo. Tanto a nivel académico, como político e ideológico, supuso la aceptación de que existía un orden patriarcal que impregnaba todos los ámbitos de la vida y que estaba en la base de unas determinadas relaciones de poder en las que las mujeres estaban subordinadas a los hombres (García 2008). Este enfoque pretende transformar esta realidad y sustituirla por otra en la que exista una igualdad real entre hombres y mujeres. Para ello, parte de un instrumento fundamental como es el análisis de género, que consiste </w:t>
      </w:r>
      <w:r w:rsidRPr="00C853AA">
        <w:rPr>
          <w:i/>
        </w:rPr>
        <w:t xml:space="preserve">“en el que se tengan en cuenta las prioridades y necesidades diferenciadas de mujeres y hombres, así como sus implicaciones en la toma de decisiones y en la participación” </w:t>
      </w:r>
      <w:r w:rsidRPr="00C853AA">
        <w:t>(</w:t>
      </w:r>
      <w:proofErr w:type="spellStart"/>
      <w:r w:rsidRPr="00C853AA">
        <w:t>Agirregomezkorta</w:t>
      </w:r>
      <w:proofErr w:type="spellEnd"/>
      <w:r w:rsidR="004523BA">
        <w:t>,</w:t>
      </w:r>
      <w:r w:rsidRPr="00C853AA">
        <w:t xml:space="preserve"> 2005: 23). </w:t>
      </w:r>
    </w:p>
    <w:p w:rsidR="00240793" w:rsidRPr="00C853AA" w:rsidRDefault="00240793" w:rsidP="00240793">
      <w:pPr>
        <w:spacing w:after="120"/>
        <w:jc w:val="both"/>
      </w:pPr>
      <w:r w:rsidRPr="00C853AA">
        <w:t>Este enfoque tiene como objetivo fundamental conseguir un  mayor empoderamiento de las mujeres para eliminar la desigualdad existente y modificar las relaciones de poder que caracterizan a la sociedad patriarcal. Para ello es necesario que el acceso y control de los recursos y bienes de la sociedad se realicen en igualdad de condiciones para hombres y para mujeres</w:t>
      </w:r>
      <w:r w:rsidR="004426B7">
        <w:t xml:space="preserve"> (San Miguel, 2008)</w:t>
      </w:r>
      <w:r w:rsidRPr="00C853AA">
        <w:t>.</w:t>
      </w:r>
    </w:p>
    <w:p w:rsidR="00240793" w:rsidRPr="00240793" w:rsidRDefault="00240793" w:rsidP="00240793">
      <w:pPr>
        <w:autoSpaceDE w:val="0"/>
        <w:autoSpaceDN w:val="0"/>
        <w:adjustRightInd w:val="0"/>
        <w:spacing w:after="120"/>
        <w:jc w:val="both"/>
        <w:rPr>
          <w:rFonts w:cs="Arial"/>
          <w:b/>
        </w:rPr>
      </w:pPr>
      <w:r w:rsidRPr="00C853AA">
        <w:t xml:space="preserve">En este sentido, hay que destacar que la transversalidad o </w:t>
      </w:r>
      <w:proofErr w:type="spellStart"/>
      <w:r w:rsidRPr="00C853AA">
        <w:t>mainstreaming</w:t>
      </w:r>
      <w:proofErr w:type="spellEnd"/>
      <w:r w:rsidRPr="00C853AA">
        <w:t xml:space="preserve"> está ampliamente aceptado en este enfoque, definida como la incorporación de la perspectiva de género en todas las estrategias, políticas, programas, y, en general, en todas las iniciativas que se desarrollen a nivel político, social  y económico con el objetivo de conseguir una mayor equidad de género a todos los niveles</w:t>
      </w:r>
      <w:r w:rsidR="004426B7">
        <w:t xml:space="preserve"> (San Miguel, 2008)</w:t>
      </w:r>
      <w:r w:rsidRPr="00C853AA">
        <w:t>.</w:t>
      </w:r>
    </w:p>
    <w:p w:rsidR="00240793" w:rsidRPr="00240793" w:rsidRDefault="00240793" w:rsidP="00240793">
      <w:pPr>
        <w:autoSpaceDE w:val="0"/>
        <w:autoSpaceDN w:val="0"/>
        <w:adjustRightInd w:val="0"/>
        <w:spacing w:after="120"/>
        <w:jc w:val="both"/>
        <w:rPr>
          <w:rFonts w:cs="Arial"/>
          <w:b/>
        </w:rPr>
      </w:pPr>
      <w:r w:rsidRPr="00240793">
        <w:rPr>
          <w:rFonts w:cs="Arial"/>
          <w:b/>
        </w:rPr>
        <w:t>Indicadores para medir la igualdad de género</w:t>
      </w:r>
    </w:p>
    <w:p w:rsidR="00D53FD7" w:rsidRDefault="00D53FD7" w:rsidP="00240793">
      <w:pPr>
        <w:autoSpaceDE w:val="0"/>
        <w:autoSpaceDN w:val="0"/>
        <w:adjustRightInd w:val="0"/>
        <w:spacing w:after="120"/>
        <w:jc w:val="both"/>
        <w:rPr>
          <w:rFonts w:cs="Arial"/>
        </w:rPr>
      </w:pPr>
      <w:r w:rsidRPr="00D53FD7">
        <w:rPr>
          <w:rFonts w:cs="Arial"/>
        </w:rPr>
        <w:lastRenderedPageBreak/>
        <w:t>Son múltiples los indicadores que ponen de manifiesto la desigualdad y la falta de autonomía de las mujeres, y que hacen referencia a la capacidad que tienen las personas para poder tomar decisiones sobre sí mismas y sobre aquellos asuntos que les afectan tanto en la esfera pública como privada.</w:t>
      </w:r>
      <w:r w:rsidR="002C5486">
        <w:rPr>
          <w:rFonts w:cs="Arial"/>
        </w:rPr>
        <w:t xml:space="preserve"> Algunos de ellos han estado ligados a los indicadores que miden el desarrollo humano, sin embargo hay de</w:t>
      </w:r>
      <w:r w:rsidRPr="00D53FD7">
        <w:rPr>
          <w:rFonts w:cs="Arial"/>
        </w:rPr>
        <w:t>sfases entre los indicadores que nos permiten medir el nivel de desarrollo humano que tiene un país y el nivel de igualdad de género que presenta</w:t>
      </w:r>
      <w:r>
        <w:rPr>
          <w:rStyle w:val="Refdenotaalpie"/>
          <w:rFonts w:cs="Arial"/>
        </w:rPr>
        <w:footnoteReference w:id="1"/>
      </w:r>
      <w:r w:rsidRPr="00D53FD7">
        <w:rPr>
          <w:rFonts w:cs="Arial"/>
        </w:rPr>
        <w:t xml:space="preserve">. Ya el Programa de Naciones Unidas para el Desarrollo (PNUD) en el Informe sobre Desarrollo Humano de 1995 reconocía que la igualdad de género no depende del nivel de desarrollo de un país. De tal manera que hay países que presentan un índice de desarrollo humano alto y que ocupan posiciones más bajas en los índices de género. Los avances conseguidos en la igualdad de género en algunos países se han relacionado con un aumento en el nivel de desarrollo humano que presentan, pero unos mejores indicadores de longevidad y de acceso a la educación no siempre se relacionan con avances en la esfera económica y política, o sea, en la autonomía económica y en la autonomía en la toma de decisiones de las mujeres. Tal y como señala Lamelas (2010: 13), </w:t>
      </w:r>
      <w:r w:rsidRPr="00D53FD7">
        <w:rPr>
          <w:rFonts w:cs="Arial"/>
          <w:i/>
        </w:rPr>
        <w:t>“la relación entre el desarrollo humano y el grado de oportunidades para la mujer no es directa. Este desarrollo en general, así como las condiciones económicas de un país en particular inciden en las relaciones de género, pero no explican en su totalidad la situación de desigualdad entre hombres y mujeres”</w:t>
      </w:r>
      <w:r w:rsidRPr="00D53FD7">
        <w:rPr>
          <w:rFonts w:cs="Arial"/>
        </w:rPr>
        <w:t>.</w:t>
      </w:r>
    </w:p>
    <w:p w:rsidR="00A100FD" w:rsidRPr="00A100FD" w:rsidRDefault="00A100FD" w:rsidP="00240793">
      <w:pPr>
        <w:spacing w:after="120"/>
        <w:jc w:val="both"/>
        <w:rPr>
          <w:rFonts w:cs="Arial"/>
        </w:rPr>
      </w:pPr>
      <w:r w:rsidRPr="00A100FD">
        <w:rPr>
          <w:rFonts w:eastAsia="Calibri" w:cs="Arial"/>
        </w:rPr>
        <w:t>Aunque son diversos los aspectos que podemos tratar como causa o consecuencia de la situación de discriminación de la mujer, la CEPAL (2007a) considera que son cuatro las dimensiones clave de la autonomía y el empoderamiento de las mujeres: derechos reproductivos y el acceso a la salud reproductiva, acceso al  empleo y características del mismo, participación política femenina y violencia contra las mujeres. Siguiendo este planteamiento, u</w:t>
      </w:r>
      <w:r w:rsidRPr="00A100FD">
        <w:rPr>
          <w:rFonts w:cs="Arial"/>
        </w:rPr>
        <w:t xml:space="preserve">no de conceptos básicos que permite valorar los avances en la igualdad de género es la autonomía de las mujeres entendida como </w:t>
      </w:r>
      <w:r w:rsidRPr="00A100FD">
        <w:rPr>
          <w:rFonts w:cs="Arial"/>
          <w:i/>
        </w:rPr>
        <w:t>“la capacidad de las personas para tomar decisiones libres e informadas sobre sus vidas, de manera de poder ser y hacer en función de sus propias aspiraciones y deseos, en el contexto histórico que las hace posibles”</w:t>
      </w:r>
      <w:r w:rsidRPr="00A100FD">
        <w:rPr>
          <w:rFonts w:cs="Arial"/>
        </w:rPr>
        <w:t xml:space="preserve"> (OIG, 2011: 9). Esta autonomía es de tres tipos: la autonomía física, la autonomía económica y la autonomía en la toma de decisiones.</w:t>
      </w:r>
    </w:p>
    <w:p w:rsidR="00A100FD" w:rsidRPr="00A100FD" w:rsidRDefault="00A100FD" w:rsidP="00240793">
      <w:pPr>
        <w:spacing w:after="120"/>
        <w:jc w:val="both"/>
        <w:rPr>
          <w:rFonts w:cs="Arial"/>
        </w:rPr>
      </w:pPr>
      <w:r w:rsidRPr="00A100FD">
        <w:rPr>
          <w:rFonts w:cs="Arial"/>
        </w:rPr>
        <w:t>La autonomía física de las mujeres está relacionada en gran medida con los derechos sexuales y reproductivos. Como señala CONCORD</w:t>
      </w:r>
      <w:r w:rsidRPr="00595E93">
        <w:rPr>
          <w:rStyle w:val="Refdenotaalpie"/>
          <w:rFonts w:ascii="Garamond" w:hAnsi="Garamond" w:cs="Arial"/>
          <w:sz w:val="24"/>
          <w:szCs w:val="24"/>
        </w:rPr>
        <w:footnoteReference w:id="2"/>
      </w:r>
      <w:r w:rsidRPr="00595E93">
        <w:rPr>
          <w:rFonts w:ascii="Garamond" w:hAnsi="Garamond" w:cs="Arial"/>
          <w:sz w:val="24"/>
          <w:szCs w:val="24"/>
        </w:rPr>
        <w:t xml:space="preserve"> </w:t>
      </w:r>
      <w:r w:rsidRPr="00A100FD">
        <w:rPr>
          <w:rFonts w:cs="Arial"/>
        </w:rPr>
        <w:t xml:space="preserve">(2005), </w:t>
      </w:r>
      <w:r w:rsidRPr="00A100FD">
        <w:rPr>
          <w:rFonts w:cs="Arial"/>
          <w:i/>
        </w:rPr>
        <w:t>“una prioridad estratégica para conseguir la igualdad de género y el empoderamiento de las mujeres es la de garantizar los derechos relativos a la salud sexual y reproductiva</w:t>
      </w:r>
      <w:r w:rsidRPr="00A100FD">
        <w:rPr>
          <w:rStyle w:val="Refdenotaalpie"/>
          <w:rFonts w:cs="Arial"/>
          <w:i/>
        </w:rPr>
        <w:footnoteReference w:id="3"/>
      </w:r>
      <w:r w:rsidRPr="00A100FD">
        <w:rPr>
          <w:rFonts w:cs="Arial"/>
          <w:i/>
        </w:rPr>
        <w:t>”</w:t>
      </w:r>
      <w:r w:rsidRPr="00A100FD">
        <w:rPr>
          <w:rFonts w:cs="Arial"/>
        </w:rPr>
        <w:t xml:space="preserve">.  Asimismo establece que es necesario garantizar los derechos de salud sexual </w:t>
      </w:r>
      <w:r w:rsidRPr="00A100FD">
        <w:rPr>
          <w:rFonts w:cs="Arial"/>
        </w:rPr>
        <w:lastRenderedPageBreak/>
        <w:t>y reproductiva como prioridad para desarrollar un programa transversal que promueva la igualdad de género y el empoderamiento de las mujeres.</w:t>
      </w:r>
    </w:p>
    <w:p w:rsidR="00A100FD" w:rsidRPr="00A100FD" w:rsidRDefault="00A100FD" w:rsidP="00240793">
      <w:pPr>
        <w:spacing w:after="120"/>
        <w:jc w:val="both"/>
        <w:rPr>
          <w:rFonts w:cs="Arial"/>
        </w:rPr>
      </w:pPr>
      <w:r w:rsidRPr="00A100FD">
        <w:rPr>
          <w:rFonts w:cs="Arial"/>
        </w:rPr>
        <w:t>El abordaje de la salud sexual y reproductiva ha evolucionado a lo largo del tiempo en paralelo a la evolución que se ha producido en los diferentes enfoques predominantes en cada momento histórico. En el enfoque tradicional la salud sexual y reproductiva de las mujeres estaba ligada de manera exclusiva al rol reproductivo, que tradicionalmente las mujeres han venido desempeñando</w:t>
      </w:r>
      <w:r w:rsidRPr="00595E93">
        <w:rPr>
          <w:rFonts w:ascii="Garamond" w:hAnsi="Garamond" w:cs="Arial"/>
          <w:sz w:val="24"/>
          <w:szCs w:val="24"/>
        </w:rPr>
        <w:t xml:space="preserve"> </w:t>
      </w:r>
      <w:r w:rsidRPr="00A100FD">
        <w:rPr>
          <w:rFonts w:cs="Arial"/>
        </w:rPr>
        <w:t>en la sociedad. Desde un enfoque de género, la salud sexual y reproductiva tiene una relación directa con la desigualdad y la discriminación que sufren las mujeres en la sociedad ligada a la reivindicación del ejercicio de los derechos sexuales y reproductivos. En este sentido el concepto de salud materno-infantil se ha sustituido por el de salud sexual y reproductiva (Espinosa, 2005</w:t>
      </w:r>
      <w:r w:rsidR="00680AAA">
        <w:rPr>
          <w:rFonts w:cs="Arial"/>
        </w:rPr>
        <w:t xml:space="preserve">; </w:t>
      </w:r>
      <w:proofErr w:type="spellStart"/>
      <w:r w:rsidR="00680AAA">
        <w:rPr>
          <w:rFonts w:cs="Arial"/>
        </w:rPr>
        <w:t>Bernis</w:t>
      </w:r>
      <w:proofErr w:type="spellEnd"/>
      <w:r w:rsidR="00680AAA">
        <w:rPr>
          <w:rFonts w:cs="Arial"/>
        </w:rPr>
        <w:t>, 2009</w:t>
      </w:r>
      <w:r w:rsidRPr="00A100FD">
        <w:rPr>
          <w:rFonts w:cs="Arial"/>
        </w:rPr>
        <w:t xml:space="preserve">). </w:t>
      </w:r>
    </w:p>
    <w:p w:rsidR="00A100FD" w:rsidRDefault="00A100FD" w:rsidP="00240793">
      <w:pPr>
        <w:spacing w:after="120"/>
        <w:jc w:val="both"/>
        <w:rPr>
          <w:rFonts w:ascii="Garamond" w:hAnsi="Garamond" w:cs="Arial"/>
          <w:sz w:val="24"/>
          <w:szCs w:val="24"/>
        </w:rPr>
      </w:pPr>
      <w:r w:rsidRPr="00A100FD">
        <w:rPr>
          <w:rFonts w:cs="Arial"/>
        </w:rPr>
        <w:t>En los últimos años han sido múltiples las conferencias internacionales que han abordado este tema y que han influido en los cambios que se han producido en este campo. La más referenciada es la Conferencia Internacional sobre Población y Desarrollo de Naciones Unidas celebrada en El Cairo en 1994, donde se marcan las bases sobre la salud sexual y reproductiva y los derechos sexuales y reproductivos. Otro hito importante fue la IV Conferencia Mundial sobre la Mujer de Naciones Unidas celebrada en Beijing en 1995 en la que se reconoce el derecho de la mujer a controlar y decidir sobre las cuestiones relativas a su salud sexual y reproductiva.</w:t>
      </w:r>
      <w:r w:rsidR="00FC4C08">
        <w:rPr>
          <w:rFonts w:cs="Arial"/>
        </w:rPr>
        <w:t xml:space="preserve"> </w:t>
      </w:r>
      <w:r w:rsidRPr="00A100FD">
        <w:rPr>
          <w:rFonts w:cs="Arial"/>
        </w:rPr>
        <w:t>Algunos de los indicadores que se utilizan para analizar la autonomía física de las mujeres hacen referencia a la mortalidad materna, la fecundidad, el uso de anticonceptivos y la atención sanitaria recibida durante el parto</w:t>
      </w:r>
      <w:r w:rsidRPr="00595E93">
        <w:rPr>
          <w:rStyle w:val="Refdenotaalpie"/>
          <w:rFonts w:ascii="Garamond" w:hAnsi="Garamond"/>
          <w:b/>
          <w:sz w:val="24"/>
          <w:szCs w:val="24"/>
        </w:rPr>
        <w:footnoteReference w:id="4"/>
      </w:r>
      <w:r w:rsidRPr="00595E93">
        <w:rPr>
          <w:rFonts w:ascii="Garamond" w:hAnsi="Garamond" w:cs="Arial"/>
          <w:sz w:val="24"/>
          <w:szCs w:val="24"/>
        </w:rPr>
        <w:t>.</w:t>
      </w:r>
    </w:p>
    <w:p w:rsidR="00FC4C08" w:rsidRPr="00FC4C08" w:rsidRDefault="00FC4C08" w:rsidP="00240793">
      <w:pPr>
        <w:autoSpaceDE w:val="0"/>
        <w:autoSpaceDN w:val="0"/>
        <w:adjustRightInd w:val="0"/>
        <w:spacing w:after="120"/>
        <w:jc w:val="both"/>
        <w:rPr>
          <w:rFonts w:cs="Arial"/>
        </w:rPr>
      </w:pPr>
      <w:r w:rsidRPr="00FC4C08">
        <w:rPr>
          <w:rFonts w:cs="Arial"/>
        </w:rPr>
        <w:t xml:space="preserve">La división sexual del trabajo es uno de los factores que más incide en la autonomía económica de las mujeres y donde la brecha de género es bastante significativa. Tradicionalmente las mujeres han estado condicionadas por su vinculación al rol reproductivo y su vida ha estado circunscrita al ámbito doméstico. Esta situación ha cambiado de manera importante en los últimos años, con la creciente incorporación de las mujeres al mercado de trabajo, aunque esta incorporación todavía no se realiza en las mismas condiciones que los hombres ni existe una igualdad de oportunidades en el acceso al mismo. Las mujeres tienen más dificultades para acceder a un trabajo remunerado; existe una segregación horizontal y vertical manifestada esta última por el denominado “techo de cristal”; y las condiciones laborales son diferentes que las de los hombres, pues las mujeres cobran menos salarios y acceden a peores trabajos que los hombres. </w:t>
      </w:r>
    </w:p>
    <w:p w:rsidR="00FC4C08" w:rsidRPr="00FC4C08" w:rsidRDefault="00FC4C08" w:rsidP="00240793">
      <w:pPr>
        <w:autoSpaceDE w:val="0"/>
        <w:autoSpaceDN w:val="0"/>
        <w:adjustRightInd w:val="0"/>
        <w:spacing w:after="120"/>
        <w:jc w:val="both"/>
        <w:rPr>
          <w:rFonts w:cs="Arial"/>
        </w:rPr>
      </w:pPr>
      <w:r w:rsidRPr="00FC4C08">
        <w:rPr>
          <w:rFonts w:cs="Arial"/>
        </w:rPr>
        <w:t>La participación de las mujeres en el mercado laboral, expresada por la tasa de participación en la fuerza de trabajo,</w:t>
      </w:r>
      <w:r w:rsidRPr="00595E93">
        <w:rPr>
          <w:rStyle w:val="Refdenotaalpie"/>
          <w:rFonts w:ascii="Garamond" w:hAnsi="Garamond" w:cs="Arial"/>
          <w:sz w:val="24"/>
          <w:szCs w:val="24"/>
        </w:rPr>
        <w:footnoteReference w:id="5"/>
      </w:r>
      <w:r w:rsidRPr="00595E93">
        <w:rPr>
          <w:rFonts w:ascii="Garamond" w:hAnsi="Garamond" w:cs="Arial"/>
          <w:sz w:val="24"/>
          <w:szCs w:val="24"/>
        </w:rPr>
        <w:t xml:space="preserve"> </w:t>
      </w:r>
      <w:r w:rsidRPr="00FC4C08">
        <w:rPr>
          <w:rFonts w:cs="Arial"/>
        </w:rPr>
        <w:t>es inferior que la del hombre</w:t>
      </w:r>
      <w:r>
        <w:rPr>
          <w:rFonts w:cs="Arial"/>
        </w:rPr>
        <w:t>.</w:t>
      </w:r>
      <w:r w:rsidRPr="00FC4C08">
        <w:rPr>
          <w:rFonts w:cs="Arial"/>
        </w:rPr>
        <w:t xml:space="preserve"> En todos los países el porcentaje de mujeres es </w:t>
      </w:r>
      <w:r w:rsidRPr="00FC4C08">
        <w:rPr>
          <w:rFonts w:cs="Arial"/>
        </w:rPr>
        <w:lastRenderedPageBreak/>
        <w:t xml:space="preserve">sensiblemente inferior al de los hombres, aunque las mujeres trabajan más horas que los hombres, pero este trabajo no está reconocido ni valorado. </w:t>
      </w:r>
    </w:p>
    <w:p w:rsidR="00FC4C08" w:rsidRDefault="004523BA" w:rsidP="00240793">
      <w:pPr>
        <w:autoSpaceDE w:val="0"/>
        <w:autoSpaceDN w:val="0"/>
        <w:adjustRightInd w:val="0"/>
        <w:spacing w:after="120"/>
        <w:jc w:val="both"/>
        <w:rPr>
          <w:rFonts w:cs="Arial"/>
        </w:rPr>
      </w:pPr>
      <w:r>
        <w:rPr>
          <w:rFonts w:cs="Arial"/>
        </w:rPr>
        <w:t>Otro</w:t>
      </w:r>
      <w:r w:rsidR="00FC4C08" w:rsidRPr="00FC4C08">
        <w:rPr>
          <w:rFonts w:cs="Arial"/>
        </w:rPr>
        <w:t xml:space="preserve"> indicador que incide en la autonomía económica de las mujeres es el acceso a un mayor nivel educativo y formativo. </w:t>
      </w:r>
      <w:r w:rsidR="00FC4C08">
        <w:rPr>
          <w:rFonts w:cs="Arial"/>
        </w:rPr>
        <w:t>Está demostrado que u</w:t>
      </w:r>
      <w:r w:rsidR="00FC4C08" w:rsidRPr="00FC4C08">
        <w:rPr>
          <w:rFonts w:cs="Arial"/>
        </w:rPr>
        <w:t>n mayor nivel formativo de las mujeres se corresponde proporcionalmente con mayores niveles de igualdad de oportunidades para las mismas (</w:t>
      </w:r>
      <w:proofErr w:type="spellStart"/>
      <w:r w:rsidR="00FC4C08" w:rsidRPr="00FC4C08">
        <w:rPr>
          <w:rFonts w:cs="Arial"/>
        </w:rPr>
        <w:t>Guisán</w:t>
      </w:r>
      <w:proofErr w:type="spellEnd"/>
      <w:r w:rsidR="00FC4C08" w:rsidRPr="00FC4C08">
        <w:rPr>
          <w:rFonts w:cs="Arial"/>
        </w:rPr>
        <w:t>, 2010).</w:t>
      </w:r>
    </w:p>
    <w:p w:rsidR="0058567A" w:rsidRPr="0058567A" w:rsidRDefault="0058567A" w:rsidP="00240793">
      <w:pPr>
        <w:autoSpaceDE w:val="0"/>
        <w:autoSpaceDN w:val="0"/>
        <w:adjustRightInd w:val="0"/>
        <w:spacing w:after="120"/>
        <w:jc w:val="both"/>
        <w:rPr>
          <w:rFonts w:cs="Arial"/>
        </w:rPr>
      </w:pPr>
      <w:r w:rsidRPr="0058567A">
        <w:rPr>
          <w:rFonts w:cs="Arial"/>
        </w:rPr>
        <w:t>La autonomía en la toma de decisiones tiene dos exponentes muy clarificadores: el porcentaje de escaños que ocupan las mujeres en los parlamentos nacionales y la participación de las mismas en los gabinetes ministeriales. En la situación actual tiene una incidencia fundamental la existencia de leyes que regulen la presencia paritaria de ambos sexos en la esfera política. En este sentido las</w:t>
      </w:r>
      <w:r w:rsidRPr="00595E93">
        <w:rPr>
          <w:rFonts w:ascii="Garamond" w:eastAsia="Times New Roman" w:hAnsi="Garamond" w:cs="Arial"/>
          <w:color w:val="000000"/>
          <w:sz w:val="24"/>
          <w:szCs w:val="24"/>
          <w:lang w:eastAsia="es-ES"/>
        </w:rPr>
        <w:t xml:space="preserve"> </w:t>
      </w:r>
      <w:r w:rsidRPr="0058567A">
        <w:rPr>
          <w:rFonts w:cs="Arial"/>
        </w:rPr>
        <w:t>medidas legislativas, denominadas de cupos o de cuotas, que obligan a incorporar un porcentaje mínimo de mujeres en las listas electorales y el compromiso de la paridad en la configuración de los gobiernos, aunque han sido decisiones muy polémicas y discutidas, han favorecido en la práctica que las mujeres consigan una mayor cuota de poder político. La paridad y la alternabilidad son mecanismos que ayudan a conseguir una mayor representación institucional y orgánica de las mujeres pero no es suficiente y debe ser entendida como un mecanismo que corrija los sesgos de género. Impone una mayor visibilidad de las mujeres y las permite empoderarse, cambiando las relaciones de poder y la forma de ejercer el mismo, pero debe ser una estrategia temporal inscrita en una estrategia más amplia que consiga mayores cuotas de igualdad y una participación real y efectiva de las mujeres (García, 2012).</w:t>
      </w:r>
    </w:p>
    <w:p w:rsidR="007854D7" w:rsidRDefault="00C14249" w:rsidP="00240793">
      <w:pPr>
        <w:spacing w:after="120"/>
        <w:jc w:val="both"/>
      </w:pPr>
      <w:r>
        <w:t>Otros indicadores que se deben considerar son los incluidos en algunos d</w:t>
      </w:r>
      <w:r w:rsidR="00236C71">
        <w:t xml:space="preserve">e los ocho </w:t>
      </w:r>
      <w:r w:rsidR="00AE256B">
        <w:t>O</w:t>
      </w:r>
      <w:r w:rsidR="00236C71">
        <w:t xml:space="preserve">bjetivos </w:t>
      </w:r>
      <w:r w:rsidR="00AE256B">
        <w:t>de Desarrollo del Milenio</w:t>
      </w:r>
      <w:r>
        <w:t>. En concreto</w:t>
      </w:r>
      <w:r w:rsidR="00AE256B">
        <w:t xml:space="preserve"> </w:t>
      </w:r>
      <w:r w:rsidR="00236C71">
        <w:t>el número tres específicamente hace referencia a la promoción de la igualdad entre hombres y mujeres y la autonomía de la mujer y el cinco aborda la salud materna</w:t>
      </w:r>
      <w:r w:rsidR="00AE256B">
        <w:t xml:space="preserve"> (Tabla 1)</w:t>
      </w:r>
      <w:r w:rsidR="00236C71">
        <w:t xml:space="preserve">. En </w:t>
      </w:r>
      <w:r w:rsidR="00AE256B">
        <w:t xml:space="preserve">otros objetivos también hay referencias a la situación de las mujeres, por ejemplo, en </w:t>
      </w:r>
      <w:r w:rsidR="00236C71">
        <w:t xml:space="preserve">el objetivo uno, sobre la pobreza y el hambre, una de las metas </w:t>
      </w:r>
      <w:r>
        <w:t xml:space="preserve">que </w:t>
      </w:r>
      <w:r w:rsidR="00236C71">
        <w:t xml:space="preserve">se plantea </w:t>
      </w:r>
      <w:r w:rsidR="00AE256B">
        <w:t xml:space="preserve">es </w:t>
      </w:r>
      <w:r w:rsidR="00236C71">
        <w:t>el pleno empleo y trabajo digno para todos incluyendo a las mujeres. También la meta incluida en el objetivo dos sobre educación, se incluye que los niños y las niñas por igual sean capaces de terminar la educación primaria.</w:t>
      </w:r>
    </w:p>
    <w:p w:rsidR="007854D7" w:rsidRPr="003266C9" w:rsidRDefault="007854D7" w:rsidP="003266C9">
      <w:pPr>
        <w:spacing w:after="120"/>
        <w:contextualSpacing/>
        <w:jc w:val="center"/>
        <w:rPr>
          <w:b/>
          <w:sz w:val="20"/>
          <w:szCs w:val="20"/>
        </w:rPr>
      </w:pPr>
      <w:r w:rsidRPr="003266C9">
        <w:rPr>
          <w:b/>
          <w:sz w:val="20"/>
          <w:szCs w:val="20"/>
        </w:rPr>
        <w:t>Tabla</w:t>
      </w:r>
      <w:r w:rsidR="00AE256B" w:rsidRPr="003266C9">
        <w:rPr>
          <w:b/>
          <w:sz w:val="20"/>
          <w:szCs w:val="20"/>
        </w:rPr>
        <w:t xml:space="preserve"> 1</w:t>
      </w:r>
      <w:r w:rsidRPr="003266C9">
        <w:rPr>
          <w:b/>
          <w:sz w:val="20"/>
          <w:szCs w:val="20"/>
        </w:rPr>
        <w:t>: Metas e indicadores de los objetivos 3 y 5</w:t>
      </w:r>
    </w:p>
    <w:tbl>
      <w:tblPr>
        <w:tblStyle w:val="Tablaconcuadrcula"/>
        <w:tblW w:w="0" w:type="auto"/>
        <w:tblLook w:val="04A0" w:firstRow="1" w:lastRow="0" w:firstColumn="1" w:lastColumn="0" w:noHBand="0" w:noVBand="1"/>
      </w:tblPr>
      <w:tblGrid>
        <w:gridCol w:w="4606"/>
        <w:gridCol w:w="4606"/>
      </w:tblGrid>
      <w:tr w:rsidR="007854D7" w:rsidRPr="00730855" w:rsidTr="003266C9">
        <w:tc>
          <w:tcPr>
            <w:tcW w:w="4606" w:type="dxa"/>
            <w:shd w:val="clear" w:color="auto" w:fill="D9D9D9" w:themeFill="background1" w:themeFillShade="D9"/>
          </w:tcPr>
          <w:p w:rsidR="007854D7" w:rsidRPr="00730855" w:rsidRDefault="007854D7" w:rsidP="007854D7">
            <w:pPr>
              <w:contextualSpacing/>
              <w:jc w:val="center"/>
              <w:rPr>
                <w:b/>
                <w:sz w:val="20"/>
                <w:szCs w:val="20"/>
              </w:rPr>
            </w:pPr>
            <w:r w:rsidRPr="00730855">
              <w:rPr>
                <w:b/>
                <w:sz w:val="20"/>
                <w:szCs w:val="20"/>
              </w:rPr>
              <w:t>Metas</w:t>
            </w:r>
          </w:p>
        </w:tc>
        <w:tc>
          <w:tcPr>
            <w:tcW w:w="4606" w:type="dxa"/>
            <w:shd w:val="clear" w:color="auto" w:fill="D9D9D9" w:themeFill="background1" w:themeFillShade="D9"/>
          </w:tcPr>
          <w:p w:rsidR="007854D7" w:rsidRPr="00730855" w:rsidRDefault="007854D7" w:rsidP="007854D7">
            <w:pPr>
              <w:contextualSpacing/>
              <w:jc w:val="center"/>
              <w:rPr>
                <w:b/>
                <w:sz w:val="20"/>
                <w:szCs w:val="20"/>
              </w:rPr>
            </w:pPr>
            <w:r w:rsidRPr="00730855">
              <w:rPr>
                <w:b/>
                <w:sz w:val="20"/>
                <w:szCs w:val="20"/>
              </w:rPr>
              <w:t>Indicadores</w:t>
            </w:r>
          </w:p>
        </w:tc>
      </w:tr>
      <w:tr w:rsidR="007854D7" w:rsidRPr="00730855" w:rsidTr="002E43A0">
        <w:tc>
          <w:tcPr>
            <w:tcW w:w="9212" w:type="dxa"/>
            <w:gridSpan w:val="2"/>
          </w:tcPr>
          <w:p w:rsidR="007854D7" w:rsidRPr="00730855" w:rsidRDefault="007854D7" w:rsidP="00881667">
            <w:pPr>
              <w:jc w:val="both"/>
              <w:rPr>
                <w:b/>
                <w:sz w:val="20"/>
                <w:szCs w:val="20"/>
              </w:rPr>
            </w:pPr>
            <w:r w:rsidRPr="00730855">
              <w:rPr>
                <w:rFonts w:cs="ArialNarrow"/>
                <w:b/>
                <w:sz w:val="20"/>
                <w:szCs w:val="20"/>
              </w:rPr>
              <w:t>Objetivo 3: Promover la igualdad de género y el empoderamiento de la mujer</w:t>
            </w:r>
          </w:p>
        </w:tc>
      </w:tr>
      <w:tr w:rsidR="007854D7" w:rsidRPr="00730855" w:rsidTr="007854D7">
        <w:tc>
          <w:tcPr>
            <w:tcW w:w="4606" w:type="dxa"/>
          </w:tcPr>
          <w:p w:rsidR="007854D7" w:rsidRPr="00730855" w:rsidRDefault="007854D7" w:rsidP="007854D7">
            <w:pPr>
              <w:autoSpaceDE w:val="0"/>
              <w:autoSpaceDN w:val="0"/>
              <w:adjustRightInd w:val="0"/>
              <w:rPr>
                <w:rFonts w:cs="ArialNarrow"/>
                <w:sz w:val="20"/>
                <w:szCs w:val="20"/>
              </w:rPr>
            </w:pPr>
            <w:r w:rsidRPr="00730855">
              <w:rPr>
                <w:rFonts w:cs="ArialNarrow"/>
                <w:sz w:val="20"/>
                <w:szCs w:val="20"/>
              </w:rPr>
              <w:t>Meta 3A: Eliminar las desigualdades entre los sexos en la enseñanza primaria y secundaria, preferiblemente para el año 2005, y en todos los</w:t>
            </w:r>
          </w:p>
          <w:p w:rsidR="007854D7" w:rsidRPr="00730855" w:rsidRDefault="007854D7" w:rsidP="007854D7">
            <w:pPr>
              <w:jc w:val="both"/>
              <w:rPr>
                <w:sz w:val="20"/>
                <w:szCs w:val="20"/>
              </w:rPr>
            </w:pPr>
            <w:r w:rsidRPr="00730855">
              <w:rPr>
                <w:rFonts w:cs="ArialNarrow"/>
                <w:sz w:val="20"/>
                <w:szCs w:val="20"/>
              </w:rPr>
              <w:t>niveles de la enseñanza para el año 2015</w:t>
            </w:r>
          </w:p>
        </w:tc>
        <w:tc>
          <w:tcPr>
            <w:tcW w:w="4606" w:type="dxa"/>
          </w:tcPr>
          <w:p w:rsidR="007854D7" w:rsidRPr="00730855" w:rsidRDefault="007854D7" w:rsidP="007854D7">
            <w:pPr>
              <w:autoSpaceDE w:val="0"/>
              <w:autoSpaceDN w:val="0"/>
              <w:adjustRightInd w:val="0"/>
              <w:rPr>
                <w:rFonts w:cs="ArialNarrow"/>
                <w:sz w:val="20"/>
                <w:szCs w:val="20"/>
              </w:rPr>
            </w:pPr>
            <w:r w:rsidRPr="00730855">
              <w:rPr>
                <w:rFonts w:cs="ArialNarrow"/>
                <w:sz w:val="20"/>
                <w:szCs w:val="20"/>
              </w:rPr>
              <w:t>3.1 Relación entre niñas y niños en la enseñanza primaria, secundaria y superior</w:t>
            </w:r>
          </w:p>
          <w:p w:rsidR="007854D7" w:rsidRPr="00730855" w:rsidRDefault="007854D7" w:rsidP="007854D7">
            <w:pPr>
              <w:autoSpaceDE w:val="0"/>
              <w:autoSpaceDN w:val="0"/>
              <w:adjustRightInd w:val="0"/>
              <w:rPr>
                <w:rFonts w:cs="ArialNarrow"/>
                <w:sz w:val="20"/>
                <w:szCs w:val="20"/>
              </w:rPr>
            </w:pPr>
            <w:r w:rsidRPr="00730855">
              <w:rPr>
                <w:rFonts w:cs="ArialNarrow"/>
                <w:sz w:val="20"/>
                <w:szCs w:val="20"/>
              </w:rPr>
              <w:t>3.2 Proporción de mujeres en el empleo asalariado del sector no agrícola</w:t>
            </w:r>
          </w:p>
          <w:p w:rsidR="007854D7" w:rsidRPr="00730855" w:rsidRDefault="007854D7" w:rsidP="007854D7">
            <w:pPr>
              <w:jc w:val="both"/>
              <w:rPr>
                <w:sz w:val="20"/>
                <w:szCs w:val="20"/>
              </w:rPr>
            </w:pPr>
            <w:r w:rsidRPr="00730855">
              <w:rPr>
                <w:rFonts w:cs="ArialNarrow"/>
                <w:sz w:val="20"/>
                <w:szCs w:val="20"/>
              </w:rPr>
              <w:t>3.3 Proporción de escaños ocupados por mujeres en los parlamentos nacionales</w:t>
            </w:r>
          </w:p>
        </w:tc>
      </w:tr>
      <w:tr w:rsidR="007854D7" w:rsidRPr="00730855" w:rsidTr="002E43A0">
        <w:tc>
          <w:tcPr>
            <w:tcW w:w="9212" w:type="dxa"/>
            <w:gridSpan w:val="2"/>
          </w:tcPr>
          <w:p w:rsidR="007854D7" w:rsidRPr="00730855" w:rsidRDefault="007854D7" w:rsidP="00881667">
            <w:pPr>
              <w:jc w:val="both"/>
              <w:rPr>
                <w:b/>
                <w:sz w:val="20"/>
                <w:szCs w:val="20"/>
              </w:rPr>
            </w:pPr>
            <w:r w:rsidRPr="00730855">
              <w:rPr>
                <w:rFonts w:cs="ArialNarrow"/>
                <w:b/>
                <w:sz w:val="20"/>
                <w:szCs w:val="20"/>
              </w:rPr>
              <w:t>Objetivo 5: Mejorar la salud materna</w:t>
            </w:r>
          </w:p>
        </w:tc>
      </w:tr>
      <w:tr w:rsidR="007854D7" w:rsidRPr="00730855" w:rsidTr="007854D7">
        <w:tc>
          <w:tcPr>
            <w:tcW w:w="4606" w:type="dxa"/>
          </w:tcPr>
          <w:p w:rsidR="007854D7" w:rsidRPr="00730855" w:rsidRDefault="007854D7" w:rsidP="007854D7">
            <w:pPr>
              <w:autoSpaceDE w:val="0"/>
              <w:autoSpaceDN w:val="0"/>
              <w:adjustRightInd w:val="0"/>
              <w:rPr>
                <w:sz w:val="20"/>
                <w:szCs w:val="20"/>
              </w:rPr>
            </w:pPr>
            <w:r w:rsidRPr="00730855">
              <w:rPr>
                <w:rFonts w:cs="ArialNarrow"/>
                <w:sz w:val="20"/>
                <w:szCs w:val="20"/>
              </w:rPr>
              <w:t>Meta 5A: Reducir, entre 1990 y 2015, la mortalidad materna en tres cuartas partes</w:t>
            </w:r>
          </w:p>
        </w:tc>
        <w:tc>
          <w:tcPr>
            <w:tcW w:w="4606" w:type="dxa"/>
          </w:tcPr>
          <w:p w:rsidR="007854D7" w:rsidRPr="00730855" w:rsidRDefault="007854D7" w:rsidP="007854D7">
            <w:pPr>
              <w:autoSpaceDE w:val="0"/>
              <w:autoSpaceDN w:val="0"/>
              <w:adjustRightInd w:val="0"/>
              <w:rPr>
                <w:rFonts w:cs="ArialNarrow"/>
                <w:sz w:val="20"/>
                <w:szCs w:val="20"/>
                <w:lang w:val="es-ES"/>
              </w:rPr>
            </w:pPr>
            <w:r w:rsidRPr="00730855">
              <w:rPr>
                <w:rFonts w:cs="ArialNarrow"/>
                <w:sz w:val="20"/>
                <w:szCs w:val="20"/>
                <w:lang w:val="es-ES"/>
              </w:rPr>
              <w:t>5.1 Razón de mortalidad materna</w:t>
            </w:r>
          </w:p>
          <w:p w:rsidR="007854D7" w:rsidRPr="00730855" w:rsidRDefault="007854D7" w:rsidP="007854D7">
            <w:pPr>
              <w:jc w:val="both"/>
              <w:rPr>
                <w:sz w:val="20"/>
                <w:szCs w:val="20"/>
              </w:rPr>
            </w:pPr>
            <w:r w:rsidRPr="00730855">
              <w:rPr>
                <w:rFonts w:cs="ArialNarrow"/>
                <w:sz w:val="20"/>
                <w:szCs w:val="20"/>
              </w:rPr>
              <w:t>5.2 Proporción de partos con asistencia de personal de salud cualificado</w:t>
            </w:r>
          </w:p>
        </w:tc>
      </w:tr>
      <w:tr w:rsidR="007854D7" w:rsidRPr="00730855" w:rsidTr="007854D7">
        <w:tc>
          <w:tcPr>
            <w:tcW w:w="4606" w:type="dxa"/>
          </w:tcPr>
          <w:p w:rsidR="007854D7" w:rsidRPr="00730855" w:rsidRDefault="007854D7" w:rsidP="007854D7">
            <w:pPr>
              <w:autoSpaceDE w:val="0"/>
              <w:autoSpaceDN w:val="0"/>
              <w:adjustRightInd w:val="0"/>
              <w:rPr>
                <w:sz w:val="20"/>
                <w:szCs w:val="20"/>
              </w:rPr>
            </w:pPr>
            <w:r w:rsidRPr="00730855">
              <w:rPr>
                <w:rFonts w:cs="ArialNarrow"/>
                <w:sz w:val="20"/>
                <w:szCs w:val="20"/>
              </w:rPr>
              <w:t>Meta 5B: Lograr, para el año 2015, el acceso universal a la salud reproductiva</w:t>
            </w:r>
          </w:p>
        </w:tc>
        <w:tc>
          <w:tcPr>
            <w:tcW w:w="4606" w:type="dxa"/>
          </w:tcPr>
          <w:p w:rsidR="007854D7" w:rsidRPr="00730855" w:rsidRDefault="007854D7" w:rsidP="007854D7">
            <w:pPr>
              <w:autoSpaceDE w:val="0"/>
              <w:autoSpaceDN w:val="0"/>
              <w:adjustRightInd w:val="0"/>
              <w:rPr>
                <w:rFonts w:cs="ArialNarrow"/>
                <w:sz w:val="20"/>
                <w:szCs w:val="20"/>
              </w:rPr>
            </w:pPr>
            <w:r w:rsidRPr="00730855">
              <w:rPr>
                <w:rFonts w:cs="ArialNarrow"/>
                <w:sz w:val="20"/>
                <w:szCs w:val="20"/>
              </w:rPr>
              <w:t>5.3 Tasa de uso de anticonceptivos</w:t>
            </w:r>
          </w:p>
          <w:p w:rsidR="007854D7" w:rsidRPr="00730855" w:rsidRDefault="007854D7" w:rsidP="007854D7">
            <w:pPr>
              <w:autoSpaceDE w:val="0"/>
              <w:autoSpaceDN w:val="0"/>
              <w:adjustRightInd w:val="0"/>
              <w:rPr>
                <w:rFonts w:cs="ArialNarrow"/>
                <w:sz w:val="20"/>
                <w:szCs w:val="20"/>
              </w:rPr>
            </w:pPr>
            <w:r w:rsidRPr="00730855">
              <w:rPr>
                <w:rFonts w:cs="ArialNarrow"/>
                <w:sz w:val="20"/>
                <w:szCs w:val="20"/>
              </w:rPr>
              <w:t>5.4 Tasa de fecundidad adolescente</w:t>
            </w:r>
          </w:p>
          <w:p w:rsidR="007854D7" w:rsidRPr="00730855" w:rsidRDefault="007854D7" w:rsidP="007854D7">
            <w:pPr>
              <w:autoSpaceDE w:val="0"/>
              <w:autoSpaceDN w:val="0"/>
              <w:adjustRightInd w:val="0"/>
              <w:rPr>
                <w:rFonts w:cs="ArialNarrow"/>
                <w:sz w:val="20"/>
                <w:szCs w:val="20"/>
              </w:rPr>
            </w:pPr>
            <w:r w:rsidRPr="00730855">
              <w:rPr>
                <w:rFonts w:cs="ArialNarrow"/>
                <w:sz w:val="20"/>
                <w:szCs w:val="20"/>
              </w:rPr>
              <w:t>5.5 Cobertura de atención prenatal (al menos una consulta y al menos cuatro consultas)</w:t>
            </w:r>
          </w:p>
          <w:p w:rsidR="007854D7" w:rsidRPr="00730855" w:rsidRDefault="007854D7" w:rsidP="007854D7">
            <w:pPr>
              <w:rPr>
                <w:sz w:val="20"/>
                <w:szCs w:val="20"/>
              </w:rPr>
            </w:pPr>
            <w:r w:rsidRPr="00730855">
              <w:rPr>
                <w:rFonts w:cs="ArialNarrow"/>
                <w:sz w:val="20"/>
                <w:szCs w:val="20"/>
              </w:rPr>
              <w:t>5.6 Necesidades insatisfechas en materia de planificación familiar</w:t>
            </w:r>
          </w:p>
        </w:tc>
      </w:tr>
    </w:tbl>
    <w:p w:rsidR="00236C71" w:rsidRPr="003266C9" w:rsidRDefault="00236C71" w:rsidP="00881667">
      <w:pPr>
        <w:jc w:val="both"/>
        <w:rPr>
          <w:sz w:val="20"/>
          <w:szCs w:val="20"/>
        </w:rPr>
      </w:pPr>
      <w:r w:rsidRPr="003266C9">
        <w:rPr>
          <w:sz w:val="20"/>
          <w:szCs w:val="20"/>
        </w:rPr>
        <w:lastRenderedPageBreak/>
        <w:t xml:space="preserve"> </w:t>
      </w:r>
      <w:r w:rsidR="00AE256B" w:rsidRPr="003266C9">
        <w:rPr>
          <w:sz w:val="20"/>
          <w:szCs w:val="20"/>
        </w:rPr>
        <w:t>Elaboración propia</w:t>
      </w:r>
    </w:p>
    <w:p w:rsidR="003A5703" w:rsidRDefault="003A5703" w:rsidP="00DA730A">
      <w:pPr>
        <w:spacing w:after="120"/>
        <w:jc w:val="both"/>
        <w:rPr>
          <w:b/>
        </w:rPr>
      </w:pPr>
      <w:r w:rsidRPr="003A5703">
        <w:rPr>
          <w:b/>
        </w:rPr>
        <w:t>Evolución de la desigualdad de género. Avances y retrocesos</w:t>
      </w:r>
    </w:p>
    <w:p w:rsidR="00952DAB" w:rsidRDefault="0004250D" w:rsidP="00DA730A">
      <w:pPr>
        <w:spacing w:after="120"/>
        <w:jc w:val="both"/>
      </w:pPr>
      <w:r>
        <w:t xml:space="preserve">Una de las dificultades encontradas a la hora de hacer el análisis es la variabilidad en los indicadores que se han modificado a lo largo de los años y que hace imposible su evaluación en el tiempo. Los informes de seguimiento de los ODM se empezaron a realizar anualmente a partir del año 2005 y no son exhaustivos, </w:t>
      </w:r>
      <w:r w:rsidR="00C14249">
        <w:t xml:space="preserve">en todos los informes </w:t>
      </w:r>
      <w:r>
        <w:t>no aparecen todos los indicadores.</w:t>
      </w:r>
    </w:p>
    <w:p w:rsidR="00410947" w:rsidRDefault="00C01C64" w:rsidP="00410947">
      <w:pPr>
        <w:jc w:val="both"/>
      </w:pPr>
      <w:r>
        <w:t>El análisis de</w:t>
      </w:r>
      <w:r w:rsidR="003F17C5">
        <w:t xml:space="preserve"> los indicadores la dividiremos en tres apartados:</w:t>
      </w:r>
      <w:r>
        <w:t xml:space="preserve"> </w:t>
      </w:r>
      <w:r w:rsidR="003F17C5" w:rsidRPr="00A100FD">
        <w:rPr>
          <w:rFonts w:cs="Arial"/>
        </w:rPr>
        <w:t>la autonomía física, la autonomía económica y la autonomía en la toma de decisiones</w:t>
      </w:r>
      <w:r w:rsidR="003F17C5">
        <w:rPr>
          <w:rFonts w:cs="Arial"/>
        </w:rPr>
        <w:t>.</w:t>
      </w:r>
      <w:r w:rsidR="00410947">
        <w:rPr>
          <w:rFonts w:cs="Arial"/>
        </w:rPr>
        <w:t xml:space="preserve"> Tomamos como referencia inicial los datos publicados en el índice </w:t>
      </w:r>
      <w:r w:rsidR="00C14249">
        <w:rPr>
          <w:rFonts w:cs="Arial"/>
        </w:rPr>
        <w:t>de Desarrollo Humano del año 200</w:t>
      </w:r>
      <w:r w:rsidR="00410947">
        <w:rPr>
          <w:rFonts w:cs="Arial"/>
        </w:rPr>
        <w:t xml:space="preserve">0 </w:t>
      </w:r>
      <w:r w:rsidR="00410947">
        <w:t>dedicado a Derechos Humanos y Desarrollo Humano</w:t>
      </w:r>
      <w:r w:rsidR="00C14249">
        <w:t xml:space="preserve"> (PNUD, 2000)</w:t>
      </w:r>
      <w:r w:rsidR="00410947">
        <w:t xml:space="preserve">; en la portada del mismo se recoge que, </w:t>
      </w:r>
      <w:r w:rsidR="00410947" w:rsidRPr="00C14249">
        <w:rPr>
          <w:i/>
        </w:rPr>
        <w:t>“toda sociedad empeñada en mejorar la vida de su población debe también empeñarse en garantizar derechos plenos y en condiciones de igualdad para todos”</w:t>
      </w:r>
      <w:r w:rsidR="00410947">
        <w:t>.</w:t>
      </w:r>
      <w:r w:rsidR="00055F99">
        <w:t xml:space="preserve"> También usaremos</w:t>
      </w:r>
      <w:r w:rsidR="00BF70C2">
        <w:t xml:space="preserve"> los datos publicados en los informes sobre los ODM que en algunos indicadores toman como referencia el año 1990.</w:t>
      </w:r>
    </w:p>
    <w:p w:rsidR="003F17C5" w:rsidRDefault="003F17C5" w:rsidP="00881667">
      <w:pPr>
        <w:jc w:val="both"/>
        <w:rPr>
          <w:rFonts w:cs="Arial"/>
        </w:rPr>
      </w:pPr>
      <w:r>
        <w:rPr>
          <w:rFonts w:cs="Arial"/>
        </w:rPr>
        <w:t xml:space="preserve">En cuanto a la autonomía física son varios los indicadores que nos muestran los cambios producidos. Uno de los que se mantiene en todos los informes </w:t>
      </w:r>
      <w:r w:rsidR="00BF70C2">
        <w:rPr>
          <w:rFonts w:cs="Arial"/>
        </w:rPr>
        <w:t xml:space="preserve">e índices </w:t>
      </w:r>
      <w:r>
        <w:rPr>
          <w:rFonts w:cs="Arial"/>
        </w:rPr>
        <w:t>es la tasa de mortalidad materna, que evidentemente ha ido mejorando en todas las zonas geográficas pero que mantiene importantes diferencias entre países (Tabla 2).</w:t>
      </w:r>
      <w:r w:rsidR="00061F04">
        <w:rPr>
          <w:rFonts w:cs="Arial"/>
        </w:rPr>
        <w:t xml:space="preserve"> Mientras en los países con un índice de desarrollo muy alto apenas ha habido varia</w:t>
      </w:r>
      <w:r w:rsidR="00BF70C2">
        <w:rPr>
          <w:rFonts w:cs="Arial"/>
        </w:rPr>
        <w:t>ción, porque la tasa en 1990 era</w:t>
      </w:r>
      <w:r w:rsidR="00061F04">
        <w:rPr>
          <w:rFonts w:cs="Arial"/>
        </w:rPr>
        <w:t xml:space="preserve"> baja, en los países de medio y bajo desarrollo humano el descenso ha sido mayor. En el año 2014, los países de África Subsahariana con 474 de media, son los que presentan las tasas más altas, y por ejemplo el país con la</w:t>
      </w:r>
      <w:r w:rsidR="00BF70C2">
        <w:rPr>
          <w:rFonts w:cs="Arial"/>
        </w:rPr>
        <w:t xml:space="preserve"> mortalidad materna  </w:t>
      </w:r>
      <w:r w:rsidR="00061F04">
        <w:rPr>
          <w:rFonts w:cs="Arial"/>
        </w:rPr>
        <w:t xml:space="preserve">más alta es El Chad con una tasa de 1.1000. </w:t>
      </w:r>
      <w:r w:rsidR="00055F99">
        <w:rPr>
          <w:rFonts w:cs="Arial"/>
        </w:rPr>
        <w:t>Junto con África Subsahariana, l</w:t>
      </w:r>
      <w:r w:rsidR="00061F04">
        <w:rPr>
          <w:rFonts w:cs="Arial"/>
        </w:rPr>
        <w:t>os países del sur de Asia</w:t>
      </w:r>
      <w:r w:rsidR="00BF70C2">
        <w:rPr>
          <w:rFonts w:cs="Arial"/>
        </w:rPr>
        <w:t>,</w:t>
      </w:r>
      <w:r w:rsidR="00061F04">
        <w:rPr>
          <w:rFonts w:cs="Arial"/>
        </w:rPr>
        <w:t xml:space="preserve"> con 202</w:t>
      </w:r>
      <w:r w:rsidR="00BF70C2">
        <w:rPr>
          <w:rFonts w:cs="Arial"/>
        </w:rPr>
        <w:t>,</w:t>
      </w:r>
      <w:r w:rsidR="00061F04">
        <w:rPr>
          <w:rFonts w:cs="Arial"/>
        </w:rPr>
        <w:t xml:space="preserve"> y los estado</w:t>
      </w:r>
      <w:r w:rsidR="00410947">
        <w:rPr>
          <w:rFonts w:cs="Arial"/>
        </w:rPr>
        <w:t>s</w:t>
      </w:r>
      <w:r w:rsidR="00061F04">
        <w:rPr>
          <w:rFonts w:cs="Arial"/>
        </w:rPr>
        <w:t xml:space="preserve"> árabes</w:t>
      </w:r>
      <w:r w:rsidR="003266C9">
        <w:rPr>
          <w:rFonts w:cs="Arial"/>
        </w:rPr>
        <w:t>,</w:t>
      </w:r>
      <w:r w:rsidR="00061F04">
        <w:rPr>
          <w:rFonts w:cs="Arial"/>
        </w:rPr>
        <w:t xml:space="preserve"> con 164</w:t>
      </w:r>
      <w:r w:rsidR="003266C9">
        <w:rPr>
          <w:rFonts w:cs="Arial"/>
        </w:rPr>
        <w:t>,</w:t>
      </w:r>
      <w:r w:rsidR="00061F04">
        <w:rPr>
          <w:rFonts w:cs="Arial"/>
        </w:rPr>
        <w:t xml:space="preserve"> son las zonas geográficas donde la </w:t>
      </w:r>
      <w:r w:rsidR="00BF70C2">
        <w:rPr>
          <w:rFonts w:cs="Arial"/>
        </w:rPr>
        <w:t>tasa</w:t>
      </w:r>
      <w:r w:rsidR="003266C9">
        <w:rPr>
          <w:rFonts w:cs="Arial"/>
        </w:rPr>
        <w:t xml:space="preserve"> es</w:t>
      </w:r>
      <w:r w:rsidR="00061F04">
        <w:rPr>
          <w:rFonts w:cs="Arial"/>
        </w:rPr>
        <w:t xml:space="preserve"> más elevada.</w:t>
      </w:r>
    </w:p>
    <w:p w:rsidR="00AA2BA5" w:rsidRDefault="00AA2BA5" w:rsidP="00881667">
      <w:pPr>
        <w:jc w:val="both"/>
        <w:rPr>
          <w:rFonts w:cs="Arial"/>
        </w:rPr>
      </w:pPr>
      <w:r>
        <w:rPr>
          <w:rFonts w:cs="Arial"/>
        </w:rPr>
        <w:t>Est</w:t>
      </w:r>
      <w:r w:rsidR="003266C9">
        <w:rPr>
          <w:rFonts w:cs="Arial"/>
        </w:rPr>
        <w:t>o</w:t>
      </w:r>
      <w:r>
        <w:rPr>
          <w:rFonts w:cs="Arial"/>
        </w:rPr>
        <w:t xml:space="preserve">s </w:t>
      </w:r>
      <w:r w:rsidR="003266C9">
        <w:rPr>
          <w:rFonts w:cs="Arial"/>
        </w:rPr>
        <w:t>datos</w:t>
      </w:r>
      <w:r>
        <w:rPr>
          <w:rFonts w:cs="Arial"/>
        </w:rPr>
        <w:t xml:space="preserve"> se traducen en que anualmente mueren </w:t>
      </w:r>
      <w:r w:rsidR="003266C9">
        <w:rPr>
          <w:rFonts w:cs="Arial"/>
        </w:rPr>
        <w:t xml:space="preserve">en el mundo </w:t>
      </w:r>
      <w:r>
        <w:rPr>
          <w:rFonts w:cs="Arial"/>
        </w:rPr>
        <w:t>unas 3000.000 mujeres por causas relacionadas con el embarazo.</w:t>
      </w:r>
      <w:r w:rsidR="0065266A">
        <w:rPr>
          <w:rFonts w:cs="Arial"/>
        </w:rPr>
        <w:t xml:space="preserve"> Una gran cantidad de estas muertes se podrían evitar con la presencia de personal sanitario capacitado para la atención prenatal y la asistencia al parto. Sin embargo en las regiones en desarrollo unos 40 millones de partos tuvieron lugar sin esta atención sanitaria y solo el 52% de las embarazadas tuvo controles prenatales en cuatro o más ocasiones</w:t>
      </w:r>
      <w:r w:rsidR="003266C9">
        <w:rPr>
          <w:rFonts w:cs="Arial"/>
        </w:rPr>
        <w:t xml:space="preserve"> (el mínimo recomendado por la OMS es de cuatro controles prenatales)</w:t>
      </w:r>
      <w:r w:rsidR="0065266A">
        <w:rPr>
          <w:rFonts w:cs="Arial"/>
        </w:rPr>
        <w:t>.</w:t>
      </w:r>
    </w:p>
    <w:p w:rsidR="003F17C5" w:rsidRPr="003266C9" w:rsidRDefault="003F17C5" w:rsidP="003266C9">
      <w:pPr>
        <w:spacing w:after="0"/>
        <w:ind w:firstLine="708"/>
        <w:jc w:val="both"/>
        <w:rPr>
          <w:rFonts w:cs="Arial"/>
          <w:b/>
          <w:sz w:val="20"/>
          <w:szCs w:val="20"/>
        </w:rPr>
      </w:pPr>
      <w:r w:rsidRPr="003266C9">
        <w:rPr>
          <w:rFonts w:cs="Arial"/>
          <w:b/>
          <w:sz w:val="20"/>
          <w:szCs w:val="20"/>
        </w:rPr>
        <w:t>Tabla 2: Tasa de mortalidad materna según índice de desarrollo humano. Periodo 1990-2014</w:t>
      </w:r>
    </w:p>
    <w:tbl>
      <w:tblPr>
        <w:tblStyle w:val="Tablaconcuadrcula"/>
        <w:tblW w:w="0" w:type="auto"/>
        <w:jc w:val="center"/>
        <w:tblInd w:w="373" w:type="dxa"/>
        <w:tblLook w:val="04A0" w:firstRow="1" w:lastRow="0" w:firstColumn="1" w:lastColumn="0" w:noHBand="0" w:noVBand="1"/>
      </w:tblPr>
      <w:tblGrid>
        <w:gridCol w:w="831"/>
        <w:gridCol w:w="1720"/>
        <w:gridCol w:w="1701"/>
        <w:gridCol w:w="1682"/>
        <w:gridCol w:w="1808"/>
      </w:tblGrid>
      <w:tr w:rsidR="00061F04" w:rsidRPr="003266C9" w:rsidTr="003266C9">
        <w:trPr>
          <w:jc w:val="center"/>
        </w:trPr>
        <w:tc>
          <w:tcPr>
            <w:tcW w:w="831" w:type="dxa"/>
            <w:shd w:val="clear" w:color="auto" w:fill="D9D9D9" w:themeFill="background1" w:themeFillShade="D9"/>
          </w:tcPr>
          <w:p w:rsidR="003F17C5" w:rsidRPr="003266C9" w:rsidRDefault="003F17C5" w:rsidP="00881667">
            <w:pPr>
              <w:jc w:val="both"/>
              <w:rPr>
                <w:b/>
                <w:sz w:val="20"/>
                <w:szCs w:val="20"/>
              </w:rPr>
            </w:pPr>
          </w:p>
        </w:tc>
        <w:tc>
          <w:tcPr>
            <w:tcW w:w="1720" w:type="dxa"/>
            <w:shd w:val="clear" w:color="auto" w:fill="D9D9D9" w:themeFill="background1" w:themeFillShade="D9"/>
          </w:tcPr>
          <w:p w:rsidR="003F17C5" w:rsidRPr="003266C9" w:rsidRDefault="003F17C5" w:rsidP="003F17C5">
            <w:pPr>
              <w:jc w:val="center"/>
              <w:rPr>
                <w:b/>
                <w:sz w:val="20"/>
                <w:szCs w:val="20"/>
              </w:rPr>
            </w:pPr>
            <w:r w:rsidRPr="003266C9">
              <w:rPr>
                <w:rFonts w:cs="UniversLTStd-LightCn"/>
                <w:b/>
                <w:sz w:val="20"/>
                <w:szCs w:val="20"/>
                <w:lang w:val="es-ES"/>
              </w:rPr>
              <w:t>Desarrollo humano muy alto</w:t>
            </w:r>
          </w:p>
        </w:tc>
        <w:tc>
          <w:tcPr>
            <w:tcW w:w="1701" w:type="dxa"/>
            <w:shd w:val="clear" w:color="auto" w:fill="D9D9D9" w:themeFill="background1" w:themeFillShade="D9"/>
          </w:tcPr>
          <w:p w:rsidR="003F17C5" w:rsidRPr="003266C9" w:rsidRDefault="003F17C5" w:rsidP="003F17C5">
            <w:pPr>
              <w:jc w:val="center"/>
              <w:rPr>
                <w:b/>
                <w:sz w:val="20"/>
                <w:szCs w:val="20"/>
              </w:rPr>
            </w:pPr>
            <w:r w:rsidRPr="003266C9">
              <w:rPr>
                <w:rFonts w:cs="UniversLTStd-LightCn"/>
                <w:b/>
                <w:sz w:val="20"/>
                <w:szCs w:val="20"/>
                <w:lang w:val="es-ES"/>
              </w:rPr>
              <w:t>Desarrollo humano alto</w:t>
            </w:r>
          </w:p>
        </w:tc>
        <w:tc>
          <w:tcPr>
            <w:tcW w:w="1682" w:type="dxa"/>
            <w:shd w:val="clear" w:color="auto" w:fill="D9D9D9" w:themeFill="background1" w:themeFillShade="D9"/>
          </w:tcPr>
          <w:p w:rsidR="003F17C5" w:rsidRPr="003266C9" w:rsidRDefault="003F17C5" w:rsidP="003F17C5">
            <w:pPr>
              <w:jc w:val="center"/>
              <w:rPr>
                <w:b/>
                <w:sz w:val="20"/>
                <w:szCs w:val="20"/>
              </w:rPr>
            </w:pPr>
            <w:r w:rsidRPr="003266C9">
              <w:rPr>
                <w:rFonts w:cs="UniversLTStd-LightCn"/>
                <w:b/>
                <w:sz w:val="20"/>
                <w:szCs w:val="20"/>
                <w:lang w:val="es-ES"/>
              </w:rPr>
              <w:t>Desarrollo humano medio</w:t>
            </w:r>
          </w:p>
        </w:tc>
        <w:tc>
          <w:tcPr>
            <w:tcW w:w="1808" w:type="dxa"/>
            <w:shd w:val="clear" w:color="auto" w:fill="D9D9D9" w:themeFill="background1" w:themeFillShade="D9"/>
          </w:tcPr>
          <w:p w:rsidR="003F17C5" w:rsidRPr="003266C9" w:rsidRDefault="003F17C5" w:rsidP="003F17C5">
            <w:pPr>
              <w:jc w:val="center"/>
              <w:rPr>
                <w:b/>
                <w:sz w:val="20"/>
                <w:szCs w:val="20"/>
              </w:rPr>
            </w:pPr>
            <w:r w:rsidRPr="003266C9">
              <w:rPr>
                <w:rFonts w:cs="UniversLTStd-LightCn"/>
                <w:b/>
                <w:sz w:val="20"/>
                <w:szCs w:val="20"/>
                <w:lang w:val="es-ES"/>
              </w:rPr>
              <w:t>Desarrollo humano bajo</w:t>
            </w:r>
          </w:p>
        </w:tc>
      </w:tr>
      <w:tr w:rsidR="00061F04" w:rsidRPr="00730855" w:rsidTr="00061F04">
        <w:trPr>
          <w:jc w:val="center"/>
        </w:trPr>
        <w:tc>
          <w:tcPr>
            <w:tcW w:w="831" w:type="dxa"/>
          </w:tcPr>
          <w:p w:rsidR="003F17C5" w:rsidRPr="003266C9" w:rsidRDefault="003F17C5" w:rsidP="00881667">
            <w:pPr>
              <w:jc w:val="both"/>
              <w:rPr>
                <w:b/>
                <w:sz w:val="20"/>
                <w:szCs w:val="20"/>
              </w:rPr>
            </w:pPr>
            <w:r w:rsidRPr="003266C9">
              <w:rPr>
                <w:b/>
                <w:sz w:val="20"/>
                <w:szCs w:val="20"/>
              </w:rPr>
              <w:t>1990</w:t>
            </w:r>
          </w:p>
        </w:tc>
        <w:tc>
          <w:tcPr>
            <w:tcW w:w="1720" w:type="dxa"/>
          </w:tcPr>
          <w:p w:rsidR="003F17C5" w:rsidRPr="00730855" w:rsidRDefault="003F17C5" w:rsidP="003F17C5">
            <w:pPr>
              <w:jc w:val="center"/>
              <w:rPr>
                <w:sz w:val="20"/>
                <w:szCs w:val="20"/>
              </w:rPr>
            </w:pPr>
            <w:r w:rsidRPr="00730855">
              <w:rPr>
                <w:sz w:val="20"/>
                <w:szCs w:val="20"/>
              </w:rPr>
              <w:t>16</w:t>
            </w:r>
          </w:p>
        </w:tc>
        <w:tc>
          <w:tcPr>
            <w:tcW w:w="1701" w:type="dxa"/>
          </w:tcPr>
          <w:p w:rsidR="003F17C5" w:rsidRPr="00730855" w:rsidRDefault="003F17C5" w:rsidP="003F17C5">
            <w:pPr>
              <w:jc w:val="center"/>
              <w:rPr>
                <w:sz w:val="20"/>
                <w:szCs w:val="20"/>
              </w:rPr>
            </w:pPr>
            <w:r w:rsidRPr="00730855">
              <w:rPr>
                <w:sz w:val="20"/>
                <w:szCs w:val="20"/>
              </w:rPr>
              <w:t>111</w:t>
            </w:r>
          </w:p>
        </w:tc>
        <w:tc>
          <w:tcPr>
            <w:tcW w:w="1682" w:type="dxa"/>
          </w:tcPr>
          <w:p w:rsidR="003F17C5" w:rsidRPr="00730855" w:rsidRDefault="003F17C5" w:rsidP="003F17C5">
            <w:pPr>
              <w:jc w:val="center"/>
              <w:rPr>
                <w:sz w:val="20"/>
                <w:szCs w:val="20"/>
              </w:rPr>
            </w:pPr>
            <w:r w:rsidRPr="00730855">
              <w:rPr>
                <w:sz w:val="20"/>
                <w:szCs w:val="20"/>
              </w:rPr>
              <w:t>524</w:t>
            </w:r>
          </w:p>
        </w:tc>
        <w:tc>
          <w:tcPr>
            <w:tcW w:w="1808" w:type="dxa"/>
          </w:tcPr>
          <w:p w:rsidR="003F17C5" w:rsidRPr="00730855" w:rsidRDefault="003F17C5" w:rsidP="003F17C5">
            <w:pPr>
              <w:jc w:val="center"/>
              <w:rPr>
                <w:sz w:val="20"/>
                <w:szCs w:val="20"/>
              </w:rPr>
            </w:pPr>
            <w:r w:rsidRPr="00730855">
              <w:rPr>
                <w:sz w:val="20"/>
                <w:szCs w:val="20"/>
              </w:rPr>
              <w:t>796</w:t>
            </w:r>
          </w:p>
        </w:tc>
      </w:tr>
      <w:tr w:rsidR="00061F04" w:rsidRPr="00730855" w:rsidTr="00061F04">
        <w:trPr>
          <w:jc w:val="center"/>
        </w:trPr>
        <w:tc>
          <w:tcPr>
            <w:tcW w:w="831" w:type="dxa"/>
          </w:tcPr>
          <w:p w:rsidR="003F17C5" w:rsidRPr="003266C9" w:rsidRDefault="003F17C5" w:rsidP="00881667">
            <w:pPr>
              <w:jc w:val="both"/>
              <w:rPr>
                <w:b/>
                <w:sz w:val="20"/>
                <w:szCs w:val="20"/>
              </w:rPr>
            </w:pPr>
            <w:r w:rsidRPr="003266C9">
              <w:rPr>
                <w:b/>
                <w:sz w:val="20"/>
                <w:szCs w:val="20"/>
              </w:rPr>
              <w:t>2000</w:t>
            </w:r>
          </w:p>
        </w:tc>
        <w:tc>
          <w:tcPr>
            <w:tcW w:w="1720" w:type="dxa"/>
          </w:tcPr>
          <w:p w:rsidR="003F17C5" w:rsidRPr="00730855" w:rsidRDefault="003F17C5" w:rsidP="003F17C5">
            <w:pPr>
              <w:jc w:val="center"/>
              <w:rPr>
                <w:sz w:val="20"/>
                <w:szCs w:val="20"/>
              </w:rPr>
            </w:pPr>
            <w:r w:rsidRPr="00730855">
              <w:rPr>
                <w:sz w:val="20"/>
                <w:szCs w:val="20"/>
              </w:rPr>
              <w:t>14</w:t>
            </w:r>
          </w:p>
        </w:tc>
        <w:tc>
          <w:tcPr>
            <w:tcW w:w="1701" w:type="dxa"/>
          </w:tcPr>
          <w:p w:rsidR="003F17C5" w:rsidRPr="00730855" w:rsidRDefault="003F17C5" w:rsidP="003F17C5">
            <w:pPr>
              <w:jc w:val="center"/>
              <w:rPr>
                <w:sz w:val="20"/>
                <w:szCs w:val="20"/>
              </w:rPr>
            </w:pPr>
            <w:r w:rsidRPr="00730855">
              <w:rPr>
                <w:sz w:val="20"/>
                <w:szCs w:val="20"/>
              </w:rPr>
              <w:t>65</w:t>
            </w:r>
          </w:p>
        </w:tc>
        <w:tc>
          <w:tcPr>
            <w:tcW w:w="1682" w:type="dxa"/>
          </w:tcPr>
          <w:p w:rsidR="003F17C5" w:rsidRPr="00730855" w:rsidRDefault="003F17C5" w:rsidP="003F17C5">
            <w:pPr>
              <w:jc w:val="center"/>
              <w:rPr>
                <w:sz w:val="20"/>
                <w:szCs w:val="20"/>
              </w:rPr>
            </w:pPr>
            <w:r w:rsidRPr="00730855">
              <w:rPr>
                <w:sz w:val="20"/>
                <w:szCs w:val="20"/>
              </w:rPr>
              <w:t>329</w:t>
            </w:r>
          </w:p>
        </w:tc>
        <w:tc>
          <w:tcPr>
            <w:tcW w:w="1808" w:type="dxa"/>
          </w:tcPr>
          <w:p w:rsidR="003F17C5" w:rsidRPr="00730855" w:rsidRDefault="003F17C5" w:rsidP="003F17C5">
            <w:pPr>
              <w:jc w:val="center"/>
              <w:rPr>
                <w:sz w:val="20"/>
                <w:szCs w:val="20"/>
              </w:rPr>
            </w:pPr>
            <w:r w:rsidRPr="00730855">
              <w:rPr>
                <w:sz w:val="20"/>
                <w:szCs w:val="20"/>
              </w:rPr>
              <w:t>644</w:t>
            </w:r>
          </w:p>
        </w:tc>
      </w:tr>
      <w:tr w:rsidR="00061F04" w:rsidRPr="00730855" w:rsidTr="00061F04">
        <w:trPr>
          <w:jc w:val="center"/>
        </w:trPr>
        <w:tc>
          <w:tcPr>
            <w:tcW w:w="831" w:type="dxa"/>
          </w:tcPr>
          <w:p w:rsidR="003F17C5" w:rsidRPr="003266C9" w:rsidRDefault="003F17C5" w:rsidP="00881667">
            <w:pPr>
              <w:jc w:val="both"/>
              <w:rPr>
                <w:b/>
                <w:sz w:val="20"/>
                <w:szCs w:val="20"/>
              </w:rPr>
            </w:pPr>
            <w:r w:rsidRPr="003266C9">
              <w:rPr>
                <w:b/>
                <w:sz w:val="20"/>
                <w:szCs w:val="20"/>
              </w:rPr>
              <w:t>2005</w:t>
            </w:r>
          </w:p>
        </w:tc>
        <w:tc>
          <w:tcPr>
            <w:tcW w:w="1720" w:type="dxa"/>
          </w:tcPr>
          <w:p w:rsidR="003F17C5" w:rsidRPr="00730855" w:rsidRDefault="003F17C5" w:rsidP="003F17C5">
            <w:pPr>
              <w:jc w:val="center"/>
              <w:rPr>
                <w:sz w:val="20"/>
                <w:szCs w:val="20"/>
              </w:rPr>
            </w:pPr>
            <w:r w:rsidRPr="00730855">
              <w:rPr>
                <w:sz w:val="20"/>
                <w:szCs w:val="20"/>
              </w:rPr>
              <w:t>14</w:t>
            </w:r>
          </w:p>
        </w:tc>
        <w:tc>
          <w:tcPr>
            <w:tcW w:w="1701" w:type="dxa"/>
          </w:tcPr>
          <w:p w:rsidR="003F17C5" w:rsidRPr="00730855" w:rsidRDefault="003F17C5" w:rsidP="003F17C5">
            <w:pPr>
              <w:jc w:val="center"/>
              <w:rPr>
                <w:sz w:val="20"/>
                <w:szCs w:val="20"/>
              </w:rPr>
            </w:pPr>
            <w:r w:rsidRPr="00730855">
              <w:rPr>
                <w:sz w:val="20"/>
                <w:szCs w:val="20"/>
              </w:rPr>
              <w:t>49</w:t>
            </w:r>
          </w:p>
        </w:tc>
        <w:tc>
          <w:tcPr>
            <w:tcW w:w="1682" w:type="dxa"/>
          </w:tcPr>
          <w:p w:rsidR="003F17C5" w:rsidRPr="00730855" w:rsidRDefault="003F17C5" w:rsidP="003F17C5">
            <w:pPr>
              <w:jc w:val="center"/>
              <w:rPr>
                <w:sz w:val="20"/>
                <w:szCs w:val="20"/>
              </w:rPr>
            </w:pPr>
            <w:r w:rsidRPr="00730855">
              <w:rPr>
                <w:sz w:val="20"/>
                <w:szCs w:val="20"/>
              </w:rPr>
              <w:t>249</w:t>
            </w:r>
          </w:p>
        </w:tc>
        <w:tc>
          <w:tcPr>
            <w:tcW w:w="1808" w:type="dxa"/>
          </w:tcPr>
          <w:p w:rsidR="003F17C5" w:rsidRPr="00730855" w:rsidRDefault="003F17C5" w:rsidP="003F17C5">
            <w:pPr>
              <w:jc w:val="center"/>
              <w:rPr>
                <w:sz w:val="20"/>
                <w:szCs w:val="20"/>
              </w:rPr>
            </w:pPr>
            <w:r w:rsidRPr="00730855">
              <w:rPr>
                <w:sz w:val="20"/>
                <w:szCs w:val="20"/>
              </w:rPr>
              <w:t>535</w:t>
            </w:r>
          </w:p>
        </w:tc>
      </w:tr>
      <w:tr w:rsidR="00061F04" w:rsidRPr="00730855" w:rsidTr="00061F04">
        <w:trPr>
          <w:jc w:val="center"/>
        </w:trPr>
        <w:tc>
          <w:tcPr>
            <w:tcW w:w="831" w:type="dxa"/>
          </w:tcPr>
          <w:p w:rsidR="003F17C5" w:rsidRPr="003266C9" w:rsidRDefault="003F17C5" w:rsidP="00881667">
            <w:pPr>
              <w:jc w:val="both"/>
              <w:rPr>
                <w:b/>
                <w:sz w:val="20"/>
                <w:szCs w:val="20"/>
              </w:rPr>
            </w:pPr>
            <w:r w:rsidRPr="003266C9">
              <w:rPr>
                <w:b/>
                <w:sz w:val="20"/>
                <w:szCs w:val="20"/>
              </w:rPr>
              <w:t>2010</w:t>
            </w:r>
          </w:p>
        </w:tc>
        <w:tc>
          <w:tcPr>
            <w:tcW w:w="1720" w:type="dxa"/>
          </w:tcPr>
          <w:p w:rsidR="003F17C5" w:rsidRPr="00730855" w:rsidRDefault="003F17C5" w:rsidP="003F17C5">
            <w:pPr>
              <w:jc w:val="center"/>
              <w:rPr>
                <w:sz w:val="20"/>
                <w:szCs w:val="20"/>
              </w:rPr>
            </w:pPr>
            <w:r w:rsidRPr="00730855">
              <w:rPr>
                <w:sz w:val="20"/>
                <w:szCs w:val="20"/>
              </w:rPr>
              <w:t>15</w:t>
            </w:r>
          </w:p>
        </w:tc>
        <w:tc>
          <w:tcPr>
            <w:tcW w:w="1701" w:type="dxa"/>
          </w:tcPr>
          <w:p w:rsidR="003F17C5" w:rsidRPr="00730855" w:rsidRDefault="003F17C5" w:rsidP="003F17C5">
            <w:pPr>
              <w:jc w:val="center"/>
              <w:rPr>
                <w:sz w:val="20"/>
                <w:szCs w:val="20"/>
              </w:rPr>
            </w:pPr>
            <w:r w:rsidRPr="00730855">
              <w:rPr>
                <w:sz w:val="20"/>
                <w:szCs w:val="20"/>
              </w:rPr>
              <w:t>42</w:t>
            </w:r>
          </w:p>
        </w:tc>
        <w:tc>
          <w:tcPr>
            <w:tcW w:w="1682" w:type="dxa"/>
          </w:tcPr>
          <w:p w:rsidR="003F17C5" w:rsidRPr="00730855" w:rsidRDefault="003F17C5" w:rsidP="003F17C5">
            <w:pPr>
              <w:jc w:val="center"/>
              <w:rPr>
                <w:sz w:val="20"/>
                <w:szCs w:val="20"/>
              </w:rPr>
            </w:pPr>
            <w:r w:rsidRPr="00730855">
              <w:rPr>
                <w:sz w:val="20"/>
                <w:szCs w:val="20"/>
              </w:rPr>
              <w:t>186</w:t>
            </w:r>
          </w:p>
        </w:tc>
        <w:tc>
          <w:tcPr>
            <w:tcW w:w="1808" w:type="dxa"/>
          </w:tcPr>
          <w:p w:rsidR="003F17C5" w:rsidRPr="00730855" w:rsidRDefault="003F17C5" w:rsidP="003F17C5">
            <w:pPr>
              <w:jc w:val="center"/>
              <w:rPr>
                <w:sz w:val="20"/>
                <w:szCs w:val="20"/>
              </w:rPr>
            </w:pPr>
            <w:r w:rsidRPr="00730855">
              <w:rPr>
                <w:sz w:val="20"/>
                <w:szCs w:val="20"/>
              </w:rPr>
              <w:t>426</w:t>
            </w:r>
          </w:p>
        </w:tc>
      </w:tr>
      <w:tr w:rsidR="00061F04" w:rsidRPr="00730855" w:rsidTr="00061F04">
        <w:trPr>
          <w:jc w:val="center"/>
        </w:trPr>
        <w:tc>
          <w:tcPr>
            <w:tcW w:w="831" w:type="dxa"/>
          </w:tcPr>
          <w:p w:rsidR="003F17C5" w:rsidRPr="003266C9" w:rsidRDefault="003F17C5" w:rsidP="00881667">
            <w:pPr>
              <w:jc w:val="both"/>
              <w:rPr>
                <w:b/>
                <w:sz w:val="20"/>
                <w:szCs w:val="20"/>
              </w:rPr>
            </w:pPr>
            <w:r w:rsidRPr="003266C9">
              <w:rPr>
                <w:b/>
                <w:sz w:val="20"/>
                <w:szCs w:val="20"/>
              </w:rPr>
              <w:t>2014</w:t>
            </w:r>
          </w:p>
        </w:tc>
        <w:tc>
          <w:tcPr>
            <w:tcW w:w="1720" w:type="dxa"/>
          </w:tcPr>
          <w:p w:rsidR="003F17C5" w:rsidRPr="00730855" w:rsidRDefault="003F17C5" w:rsidP="003F17C5">
            <w:pPr>
              <w:jc w:val="center"/>
              <w:rPr>
                <w:sz w:val="20"/>
                <w:szCs w:val="20"/>
              </w:rPr>
            </w:pPr>
            <w:r w:rsidRPr="00730855">
              <w:rPr>
                <w:sz w:val="20"/>
                <w:szCs w:val="20"/>
              </w:rPr>
              <w:t>16</w:t>
            </w:r>
          </w:p>
        </w:tc>
        <w:tc>
          <w:tcPr>
            <w:tcW w:w="1701" w:type="dxa"/>
          </w:tcPr>
          <w:p w:rsidR="003F17C5" w:rsidRPr="00730855" w:rsidRDefault="003F17C5" w:rsidP="003F17C5">
            <w:pPr>
              <w:jc w:val="center"/>
              <w:rPr>
                <w:sz w:val="20"/>
                <w:szCs w:val="20"/>
              </w:rPr>
            </w:pPr>
            <w:r w:rsidRPr="00730855">
              <w:rPr>
                <w:sz w:val="20"/>
                <w:szCs w:val="20"/>
              </w:rPr>
              <w:t>42</w:t>
            </w:r>
          </w:p>
        </w:tc>
        <w:tc>
          <w:tcPr>
            <w:tcW w:w="1682" w:type="dxa"/>
          </w:tcPr>
          <w:p w:rsidR="003F17C5" w:rsidRPr="00730855" w:rsidRDefault="003F17C5" w:rsidP="003F17C5">
            <w:pPr>
              <w:jc w:val="center"/>
              <w:rPr>
                <w:sz w:val="20"/>
                <w:szCs w:val="20"/>
              </w:rPr>
            </w:pPr>
            <w:r w:rsidRPr="00730855">
              <w:rPr>
                <w:sz w:val="20"/>
                <w:szCs w:val="20"/>
              </w:rPr>
              <w:t>186</w:t>
            </w:r>
          </w:p>
        </w:tc>
        <w:tc>
          <w:tcPr>
            <w:tcW w:w="1808" w:type="dxa"/>
          </w:tcPr>
          <w:p w:rsidR="003F17C5" w:rsidRPr="00730855" w:rsidRDefault="003F17C5" w:rsidP="003F17C5">
            <w:pPr>
              <w:jc w:val="center"/>
              <w:rPr>
                <w:sz w:val="20"/>
                <w:szCs w:val="20"/>
              </w:rPr>
            </w:pPr>
            <w:r w:rsidRPr="00730855">
              <w:rPr>
                <w:sz w:val="20"/>
                <w:szCs w:val="20"/>
              </w:rPr>
              <w:t>427</w:t>
            </w:r>
          </w:p>
        </w:tc>
      </w:tr>
    </w:tbl>
    <w:p w:rsidR="003F17C5" w:rsidRPr="003266C9" w:rsidRDefault="00061F04" w:rsidP="003266C9">
      <w:pPr>
        <w:ind w:firstLine="708"/>
        <w:jc w:val="both"/>
        <w:rPr>
          <w:sz w:val="20"/>
          <w:szCs w:val="20"/>
        </w:rPr>
      </w:pPr>
      <w:r w:rsidRPr="003266C9">
        <w:rPr>
          <w:sz w:val="20"/>
          <w:szCs w:val="20"/>
        </w:rPr>
        <w:t>Fuente: Índice de Desarrollo Humano. PNUD. Elaboración propia.</w:t>
      </w:r>
    </w:p>
    <w:p w:rsidR="00BB1DAE" w:rsidRDefault="00B40EAC" w:rsidP="00881667">
      <w:pPr>
        <w:jc w:val="both"/>
      </w:pPr>
      <w:r>
        <w:t>Otro indicador clave en este sentido es la tasa de embarazos en la adolescencia, medido por la cantidad de nacimientos por cada 1</w:t>
      </w:r>
      <w:r w:rsidR="00BB1DAE">
        <w:t>.</w:t>
      </w:r>
      <w:r>
        <w:t xml:space="preserve">000 mujeres de 15 a 19 </w:t>
      </w:r>
      <w:r w:rsidR="00BB1DAE">
        <w:t>años.</w:t>
      </w:r>
      <w:r w:rsidR="003B43CE">
        <w:t xml:space="preserve"> Se ha producido un descenso desde el </w:t>
      </w:r>
      <w:r w:rsidR="00CE06AB">
        <w:t>año</w:t>
      </w:r>
      <w:r w:rsidR="003B43CE">
        <w:t xml:space="preserve"> 1990 pero existen importantes disparidades entre zonas geográficas. </w:t>
      </w:r>
      <w:r w:rsidR="00CE06AB">
        <w:t>África</w:t>
      </w:r>
      <w:r w:rsidR="003B43CE">
        <w:t xml:space="preserve"> Subsahariana sigue siendo la región donde las cifras son </w:t>
      </w:r>
      <w:r w:rsidR="00CE06AB">
        <w:t>más</w:t>
      </w:r>
      <w:r w:rsidR="003B43CE">
        <w:t xml:space="preserve"> elevadas (117)</w:t>
      </w:r>
      <w:r w:rsidR="00CE06AB">
        <w:t xml:space="preserve"> seguida por América Latina y Caribe</w:t>
      </w:r>
      <w:r w:rsidR="00973B90">
        <w:t>,</w:t>
      </w:r>
      <w:r w:rsidR="00CE06AB">
        <w:t xml:space="preserve"> que ha disminuido muy ligeramente la tasa de embarazo en adolescentes (Tabla</w:t>
      </w:r>
      <w:r w:rsidR="00DA730A">
        <w:t xml:space="preserve"> 3</w:t>
      </w:r>
      <w:r w:rsidR="00CE06AB">
        <w:t xml:space="preserve">). </w:t>
      </w:r>
      <w:r w:rsidR="00CE06AB">
        <w:lastRenderedPageBreak/>
        <w:t xml:space="preserve">En el </w:t>
      </w:r>
      <w:r w:rsidR="009B0678">
        <w:t>año</w:t>
      </w:r>
      <w:r w:rsidR="00CE06AB">
        <w:t xml:space="preserve"> 2014 los datos son muy similares, pero sigue la tendencia decreciente y África subsahariana baja a 109</w:t>
      </w:r>
      <w:r w:rsidR="009B0678">
        <w:t>,</w:t>
      </w:r>
      <w:r w:rsidR="00CE06AB">
        <w:t>7, América Latina y Caribe llega a 68,3 y Asia meridional a 38,7</w:t>
      </w:r>
      <w:r w:rsidR="00973B90">
        <w:t xml:space="preserve"> (PNUD, 2014)</w:t>
      </w:r>
      <w:r w:rsidR="00CE06AB">
        <w:t>.</w:t>
      </w:r>
    </w:p>
    <w:p w:rsidR="003266C9" w:rsidRDefault="00BB1DAE" w:rsidP="003266C9">
      <w:pPr>
        <w:spacing w:after="0" w:line="240" w:lineRule="auto"/>
        <w:jc w:val="center"/>
        <w:rPr>
          <w:b/>
          <w:sz w:val="20"/>
          <w:szCs w:val="20"/>
        </w:rPr>
      </w:pPr>
      <w:r w:rsidRPr="003266C9">
        <w:rPr>
          <w:b/>
          <w:sz w:val="20"/>
          <w:szCs w:val="20"/>
        </w:rPr>
        <w:t xml:space="preserve">Tabla </w:t>
      </w:r>
      <w:r w:rsidR="00DA730A" w:rsidRPr="003266C9">
        <w:rPr>
          <w:b/>
          <w:sz w:val="20"/>
          <w:szCs w:val="20"/>
        </w:rPr>
        <w:t>3</w:t>
      </w:r>
      <w:r w:rsidRPr="003266C9">
        <w:rPr>
          <w:b/>
          <w:sz w:val="20"/>
          <w:szCs w:val="20"/>
        </w:rPr>
        <w:t xml:space="preserve">: Cantidad de nacimientos por cada 1.000 mujeres de 15 a 19 años. </w:t>
      </w:r>
    </w:p>
    <w:p w:rsidR="00BB1DAE" w:rsidRPr="003266C9" w:rsidRDefault="00BB1DAE" w:rsidP="003266C9">
      <w:pPr>
        <w:spacing w:after="0" w:line="240" w:lineRule="auto"/>
        <w:jc w:val="center"/>
        <w:rPr>
          <w:b/>
          <w:sz w:val="20"/>
          <w:szCs w:val="20"/>
        </w:rPr>
      </w:pPr>
      <w:r w:rsidRPr="003266C9">
        <w:rPr>
          <w:b/>
          <w:sz w:val="20"/>
          <w:szCs w:val="20"/>
        </w:rPr>
        <w:t>Periodo</w:t>
      </w:r>
      <w:r w:rsidR="003B43CE" w:rsidRPr="003266C9">
        <w:rPr>
          <w:b/>
          <w:sz w:val="20"/>
          <w:szCs w:val="20"/>
        </w:rPr>
        <w:t xml:space="preserve"> 1990-2011.</w:t>
      </w:r>
    </w:p>
    <w:tbl>
      <w:tblPr>
        <w:tblStyle w:val="Tablaconcuadrcula"/>
        <w:tblW w:w="0" w:type="auto"/>
        <w:jc w:val="center"/>
        <w:tblLook w:val="04A0" w:firstRow="1" w:lastRow="0" w:firstColumn="1" w:lastColumn="0" w:noHBand="0" w:noVBand="1"/>
      </w:tblPr>
      <w:tblGrid>
        <w:gridCol w:w="2518"/>
        <w:gridCol w:w="1276"/>
        <w:gridCol w:w="1276"/>
        <w:gridCol w:w="1275"/>
      </w:tblGrid>
      <w:tr w:rsidR="00BB1DAE" w:rsidRPr="003266C9" w:rsidTr="003266C9">
        <w:trPr>
          <w:jc w:val="center"/>
        </w:trPr>
        <w:tc>
          <w:tcPr>
            <w:tcW w:w="2518" w:type="dxa"/>
            <w:shd w:val="clear" w:color="auto" w:fill="D9D9D9" w:themeFill="background1" w:themeFillShade="D9"/>
          </w:tcPr>
          <w:p w:rsidR="00BB1DAE" w:rsidRPr="003266C9" w:rsidRDefault="00BB1DAE" w:rsidP="00DA730A">
            <w:pPr>
              <w:jc w:val="both"/>
              <w:rPr>
                <w:b/>
                <w:sz w:val="20"/>
                <w:szCs w:val="20"/>
              </w:rPr>
            </w:pPr>
          </w:p>
        </w:tc>
        <w:tc>
          <w:tcPr>
            <w:tcW w:w="1276" w:type="dxa"/>
            <w:shd w:val="clear" w:color="auto" w:fill="D9D9D9" w:themeFill="background1" w:themeFillShade="D9"/>
          </w:tcPr>
          <w:p w:rsidR="00BB1DAE" w:rsidRPr="003266C9" w:rsidRDefault="00BB1DAE" w:rsidP="00730855">
            <w:pPr>
              <w:jc w:val="center"/>
              <w:rPr>
                <w:b/>
                <w:sz w:val="20"/>
                <w:szCs w:val="20"/>
              </w:rPr>
            </w:pPr>
            <w:r w:rsidRPr="003266C9">
              <w:rPr>
                <w:b/>
                <w:sz w:val="20"/>
                <w:szCs w:val="20"/>
              </w:rPr>
              <w:t>1990</w:t>
            </w:r>
          </w:p>
        </w:tc>
        <w:tc>
          <w:tcPr>
            <w:tcW w:w="1276" w:type="dxa"/>
            <w:shd w:val="clear" w:color="auto" w:fill="D9D9D9" w:themeFill="background1" w:themeFillShade="D9"/>
          </w:tcPr>
          <w:p w:rsidR="00BB1DAE" w:rsidRPr="003266C9" w:rsidRDefault="00BB1DAE" w:rsidP="00730855">
            <w:pPr>
              <w:jc w:val="center"/>
              <w:rPr>
                <w:b/>
                <w:sz w:val="20"/>
                <w:szCs w:val="20"/>
              </w:rPr>
            </w:pPr>
            <w:r w:rsidRPr="003266C9">
              <w:rPr>
                <w:b/>
                <w:sz w:val="20"/>
                <w:szCs w:val="20"/>
              </w:rPr>
              <w:t>2000</w:t>
            </w:r>
          </w:p>
        </w:tc>
        <w:tc>
          <w:tcPr>
            <w:tcW w:w="1275" w:type="dxa"/>
            <w:shd w:val="clear" w:color="auto" w:fill="D9D9D9" w:themeFill="background1" w:themeFillShade="D9"/>
          </w:tcPr>
          <w:p w:rsidR="00BB1DAE" w:rsidRPr="003266C9" w:rsidRDefault="00BB1DAE" w:rsidP="00730855">
            <w:pPr>
              <w:jc w:val="center"/>
              <w:rPr>
                <w:b/>
                <w:sz w:val="20"/>
                <w:szCs w:val="20"/>
              </w:rPr>
            </w:pPr>
            <w:r w:rsidRPr="003266C9">
              <w:rPr>
                <w:b/>
                <w:sz w:val="20"/>
                <w:szCs w:val="20"/>
              </w:rPr>
              <w:t>2011</w:t>
            </w:r>
          </w:p>
        </w:tc>
      </w:tr>
      <w:tr w:rsidR="00BB1DAE" w:rsidRPr="00730855" w:rsidTr="00730855">
        <w:trPr>
          <w:jc w:val="center"/>
        </w:trPr>
        <w:tc>
          <w:tcPr>
            <w:tcW w:w="2518" w:type="dxa"/>
          </w:tcPr>
          <w:p w:rsidR="00BB1DAE" w:rsidRPr="003266C9" w:rsidRDefault="00BB1DAE" w:rsidP="00881667">
            <w:pPr>
              <w:jc w:val="both"/>
              <w:rPr>
                <w:b/>
                <w:sz w:val="20"/>
                <w:szCs w:val="20"/>
              </w:rPr>
            </w:pPr>
            <w:r w:rsidRPr="003266C9">
              <w:rPr>
                <w:b/>
                <w:sz w:val="20"/>
                <w:szCs w:val="20"/>
              </w:rPr>
              <w:t>África subsahariana</w:t>
            </w:r>
          </w:p>
        </w:tc>
        <w:tc>
          <w:tcPr>
            <w:tcW w:w="1276" w:type="dxa"/>
          </w:tcPr>
          <w:p w:rsidR="00BB1DAE" w:rsidRPr="00730855" w:rsidRDefault="00BB1DAE" w:rsidP="00730855">
            <w:pPr>
              <w:jc w:val="center"/>
              <w:rPr>
                <w:sz w:val="20"/>
                <w:szCs w:val="20"/>
              </w:rPr>
            </w:pPr>
            <w:r w:rsidRPr="00730855">
              <w:rPr>
                <w:sz w:val="20"/>
                <w:szCs w:val="20"/>
              </w:rPr>
              <w:t>123</w:t>
            </w:r>
          </w:p>
        </w:tc>
        <w:tc>
          <w:tcPr>
            <w:tcW w:w="1276" w:type="dxa"/>
          </w:tcPr>
          <w:p w:rsidR="00BB1DAE" w:rsidRPr="00730855" w:rsidRDefault="00BB1DAE" w:rsidP="00730855">
            <w:pPr>
              <w:jc w:val="center"/>
              <w:rPr>
                <w:sz w:val="20"/>
                <w:szCs w:val="20"/>
              </w:rPr>
            </w:pPr>
            <w:r w:rsidRPr="00730855">
              <w:rPr>
                <w:sz w:val="20"/>
                <w:szCs w:val="20"/>
              </w:rPr>
              <w:t>121</w:t>
            </w:r>
          </w:p>
        </w:tc>
        <w:tc>
          <w:tcPr>
            <w:tcW w:w="1275" w:type="dxa"/>
          </w:tcPr>
          <w:p w:rsidR="00BB1DAE" w:rsidRPr="00730855" w:rsidRDefault="00BB1DAE" w:rsidP="00730855">
            <w:pPr>
              <w:jc w:val="center"/>
              <w:rPr>
                <w:sz w:val="20"/>
                <w:szCs w:val="20"/>
              </w:rPr>
            </w:pPr>
            <w:r w:rsidRPr="00730855">
              <w:rPr>
                <w:sz w:val="20"/>
                <w:szCs w:val="20"/>
              </w:rPr>
              <w:t>117</w:t>
            </w:r>
          </w:p>
        </w:tc>
      </w:tr>
      <w:tr w:rsidR="00BB1DAE" w:rsidRPr="00730855" w:rsidTr="00730855">
        <w:trPr>
          <w:jc w:val="center"/>
        </w:trPr>
        <w:tc>
          <w:tcPr>
            <w:tcW w:w="2518" w:type="dxa"/>
          </w:tcPr>
          <w:p w:rsidR="00BB1DAE" w:rsidRPr="003266C9" w:rsidRDefault="00BB1DAE" w:rsidP="00881667">
            <w:pPr>
              <w:jc w:val="both"/>
              <w:rPr>
                <w:b/>
                <w:sz w:val="20"/>
                <w:szCs w:val="20"/>
              </w:rPr>
            </w:pPr>
            <w:r w:rsidRPr="003266C9">
              <w:rPr>
                <w:b/>
                <w:sz w:val="20"/>
                <w:szCs w:val="20"/>
              </w:rPr>
              <w:t>América Latina y Caribe</w:t>
            </w:r>
          </w:p>
        </w:tc>
        <w:tc>
          <w:tcPr>
            <w:tcW w:w="1276" w:type="dxa"/>
          </w:tcPr>
          <w:p w:rsidR="00BB1DAE" w:rsidRPr="00730855" w:rsidRDefault="00BB1DAE" w:rsidP="00730855">
            <w:pPr>
              <w:jc w:val="center"/>
              <w:rPr>
                <w:sz w:val="20"/>
                <w:szCs w:val="20"/>
              </w:rPr>
            </w:pPr>
            <w:r w:rsidRPr="00730855">
              <w:rPr>
                <w:sz w:val="20"/>
                <w:szCs w:val="20"/>
              </w:rPr>
              <w:t>86</w:t>
            </w:r>
          </w:p>
        </w:tc>
        <w:tc>
          <w:tcPr>
            <w:tcW w:w="1276" w:type="dxa"/>
          </w:tcPr>
          <w:p w:rsidR="00BB1DAE" w:rsidRPr="00730855" w:rsidRDefault="00BB1DAE" w:rsidP="00730855">
            <w:pPr>
              <w:jc w:val="center"/>
              <w:rPr>
                <w:sz w:val="20"/>
                <w:szCs w:val="20"/>
              </w:rPr>
            </w:pPr>
            <w:r w:rsidRPr="00730855">
              <w:rPr>
                <w:sz w:val="20"/>
                <w:szCs w:val="20"/>
              </w:rPr>
              <w:t>86</w:t>
            </w:r>
          </w:p>
        </w:tc>
        <w:tc>
          <w:tcPr>
            <w:tcW w:w="1275" w:type="dxa"/>
          </w:tcPr>
          <w:p w:rsidR="00BB1DAE" w:rsidRPr="00730855" w:rsidRDefault="00BB1DAE" w:rsidP="00730855">
            <w:pPr>
              <w:jc w:val="center"/>
              <w:rPr>
                <w:sz w:val="20"/>
                <w:szCs w:val="20"/>
              </w:rPr>
            </w:pPr>
            <w:r w:rsidRPr="00730855">
              <w:rPr>
                <w:sz w:val="20"/>
                <w:szCs w:val="20"/>
              </w:rPr>
              <w:t>76</w:t>
            </w:r>
          </w:p>
        </w:tc>
      </w:tr>
      <w:tr w:rsidR="00BB1DAE" w:rsidRPr="00730855" w:rsidTr="00730855">
        <w:trPr>
          <w:jc w:val="center"/>
        </w:trPr>
        <w:tc>
          <w:tcPr>
            <w:tcW w:w="2518" w:type="dxa"/>
          </w:tcPr>
          <w:p w:rsidR="00BB1DAE" w:rsidRPr="003266C9" w:rsidRDefault="00BB1DAE" w:rsidP="00881667">
            <w:pPr>
              <w:jc w:val="both"/>
              <w:rPr>
                <w:b/>
                <w:sz w:val="20"/>
                <w:szCs w:val="20"/>
              </w:rPr>
            </w:pPr>
            <w:r w:rsidRPr="003266C9">
              <w:rPr>
                <w:b/>
                <w:sz w:val="20"/>
                <w:szCs w:val="20"/>
              </w:rPr>
              <w:t>Oceanía</w:t>
            </w:r>
          </w:p>
        </w:tc>
        <w:tc>
          <w:tcPr>
            <w:tcW w:w="1276" w:type="dxa"/>
          </w:tcPr>
          <w:p w:rsidR="00BB1DAE" w:rsidRPr="00730855" w:rsidRDefault="00BB1DAE" w:rsidP="00730855">
            <w:pPr>
              <w:jc w:val="center"/>
              <w:rPr>
                <w:sz w:val="20"/>
                <w:szCs w:val="20"/>
              </w:rPr>
            </w:pPr>
            <w:r w:rsidRPr="00730855">
              <w:rPr>
                <w:sz w:val="20"/>
                <w:szCs w:val="20"/>
              </w:rPr>
              <w:t>84</w:t>
            </w:r>
          </w:p>
        </w:tc>
        <w:tc>
          <w:tcPr>
            <w:tcW w:w="1276" w:type="dxa"/>
          </w:tcPr>
          <w:p w:rsidR="00BB1DAE" w:rsidRPr="00730855" w:rsidRDefault="00BB1DAE" w:rsidP="00730855">
            <w:pPr>
              <w:jc w:val="center"/>
              <w:rPr>
                <w:sz w:val="20"/>
                <w:szCs w:val="20"/>
              </w:rPr>
            </w:pPr>
            <w:r w:rsidRPr="00730855">
              <w:rPr>
                <w:sz w:val="20"/>
                <w:szCs w:val="20"/>
              </w:rPr>
              <w:t>65</w:t>
            </w:r>
          </w:p>
        </w:tc>
        <w:tc>
          <w:tcPr>
            <w:tcW w:w="1275" w:type="dxa"/>
          </w:tcPr>
          <w:p w:rsidR="00BB1DAE" w:rsidRPr="00730855" w:rsidRDefault="00BB1DAE" w:rsidP="00730855">
            <w:pPr>
              <w:jc w:val="center"/>
              <w:rPr>
                <w:sz w:val="20"/>
                <w:szCs w:val="20"/>
              </w:rPr>
            </w:pPr>
            <w:r w:rsidRPr="00730855">
              <w:rPr>
                <w:sz w:val="20"/>
                <w:szCs w:val="20"/>
              </w:rPr>
              <w:t>59</w:t>
            </w:r>
          </w:p>
        </w:tc>
      </w:tr>
      <w:tr w:rsidR="00BB1DAE" w:rsidRPr="00730855" w:rsidTr="00730855">
        <w:trPr>
          <w:jc w:val="center"/>
        </w:trPr>
        <w:tc>
          <w:tcPr>
            <w:tcW w:w="2518" w:type="dxa"/>
          </w:tcPr>
          <w:p w:rsidR="00BB1DAE" w:rsidRPr="003266C9" w:rsidRDefault="00BB1DAE" w:rsidP="00881667">
            <w:pPr>
              <w:jc w:val="both"/>
              <w:rPr>
                <w:b/>
                <w:sz w:val="20"/>
                <w:szCs w:val="20"/>
              </w:rPr>
            </w:pPr>
            <w:r w:rsidRPr="003266C9">
              <w:rPr>
                <w:b/>
                <w:sz w:val="20"/>
                <w:szCs w:val="20"/>
              </w:rPr>
              <w:t>Asia meridional</w:t>
            </w:r>
          </w:p>
        </w:tc>
        <w:tc>
          <w:tcPr>
            <w:tcW w:w="1276" w:type="dxa"/>
          </w:tcPr>
          <w:p w:rsidR="00BB1DAE" w:rsidRPr="00730855" w:rsidRDefault="00BB1DAE" w:rsidP="00730855">
            <w:pPr>
              <w:jc w:val="center"/>
              <w:rPr>
                <w:sz w:val="20"/>
                <w:szCs w:val="20"/>
              </w:rPr>
            </w:pPr>
            <w:r w:rsidRPr="00730855">
              <w:rPr>
                <w:sz w:val="20"/>
                <w:szCs w:val="20"/>
              </w:rPr>
              <w:t>88</w:t>
            </w:r>
          </w:p>
        </w:tc>
        <w:tc>
          <w:tcPr>
            <w:tcW w:w="1276" w:type="dxa"/>
          </w:tcPr>
          <w:p w:rsidR="00BB1DAE" w:rsidRPr="00730855" w:rsidRDefault="00BB1DAE" w:rsidP="00730855">
            <w:pPr>
              <w:jc w:val="center"/>
              <w:rPr>
                <w:sz w:val="20"/>
                <w:szCs w:val="20"/>
              </w:rPr>
            </w:pPr>
            <w:r w:rsidRPr="00730855">
              <w:rPr>
                <w:sz w:val="20"/>
                <w:szCs w:val="20"/>
              </w:rPr>
              <w:t>61</w:t>
            </w:r>
          </w:p>
        </w:tc>
        <w:tc>
          <w:tcPr>
            <w:tcW w:w="1275" w:type="dxa"/>
          </w:tcPr>
          <w:p w:rsidR="00BB1DAE" w:rsidRPr="00730855" w:rsidRDefault="00BB1DAE" w:rsidP="00730855">
            <w:pPr>
              <w:jc w:val="center"/>
              <w:rPr>
                <w:sz w:val="20"/>
                <w:szCs w:val="20"/>
              </w:rPr>
            </w:pPr>
            <w:r w:rsidRPr="00730855">
              <w:rPr>
                <w:sz w:val="20"/>
                <w:szCs w:val="20"/>
              </w:rPr>
              <w:t>50</w:t>
            </w:r>
          </w:p>
        </w:tc>
      </w:tr>
      <w:tr w:rsidR="00BB1DAE" w:rsidRPr="00730855" w:rsidTr="00730855">
        <w:trPr>
          <w:jc w:val="center"/>
        </w:trPr>
        <w:tc>
          <w:tcPr>
            <w:tcW w:w="2518" w:type="dxa"/>
          </w:tcPr>
          <w:p w:rsidR="00BB1DAE" w:rsidRPr="003266C9" w:rsidRDefault="00BB1DAE" w:rsidP="00881667">
            <w:pPr>
              <w:jc w:val="both"/>
              <w:rPr>
                <w:b/>
                <w:sz w:val="20"/>
                <w:szCs w:val="20"/>
              </w:rPr>
            </w:pPr>
            <w:r w:rsidRPr="003266C9">
              <w:rPr>
                <w:b/>
                <w:sz w:val="20"/>
                <w:szCs w:val="20"/>
              </w:rPr>
              <w:t>Asia occidental</w:t>
            </w:r>
          </w:p>
        </w:tc>
        <w:tc>
          <w:tcPr>
            <w:tcW w:w="1276" w:type="dxa"/>
          </w:tcPr>
          <w:p w:rsidR="00BB1DAE" w:rsidRPr="00730855" w:rsidRDefault="00BB1DAE" w:rsidP="00730855">
            <w:pPr>
              <w:jc w:val="center"/>
              <w:rPr>
                <w:sz w:val="20"/>
                <w:szCs w:val="20"/>
              </w:rPr>
            </w:pPr>
            <w:r w:rsidRPr="00730855">
              <w:rPr>
                <w:sz w:val="20"/>
                <w:szCs w:val="20"/>
              </w:rPr>
              <w:t>63</w:t>
            </w:r>
          </w:p>
        </w:tc>
        <w:tc>
          <w:tcPr>
            <w:tcW w:w="1276" w:type="dxa"/>
          </w:tcPr>
          <w:p w:rsidR="00BB1DAE" w:rsidRPr="00730855" w:rsidRDefault="00BB1DAE" w:rsidP="00730855">
            <w:pPr>
              <w:jc w:val="center"/>
              <w:rPr>
                <w:sz w:val="20"/>
                <w:szCs w:val="20"/>
              </w:rPr>
            </w:pPr>
            <w:r w:rsidRPr="00730855">
              <w:rPr>
                <w:sz w:val="20"/>
                <w:szCs w:val="20"/>
              </w:rPr>
              <w:t>51</w:t>
            </w:r>
          </w:p>
        </w:tc>
        <w:tc>
          <w:tcPr>
            <w:tcW w:w="1275" w:type="dxa"/>
          </w:tcPr>
          <w:p w:rsidR="00BB1DAE" w:rsidRPr="00730855" w:rsidRDefault="00BB1DAE" w:rsidP="00730855">
            <w:pPr>
              <w:jc w:val="center"/>
              <w:rPr>
                <w:sz w:val="20"/>
                <w:szCs w:val="20"/>
              </w:rPr>
            </w:pPr>
            <w:r w:rsidRPr="00730855">
              <w:rPr>
                <w:sz w:val="20"/>
                <w:szCs w:val="20"/>
              </w:rPr>
              <w:t>47</w:t>
            </w:r>
          </w:p>
        </w:tc>
      </w:tr>
      <w:tr w:rsidR="00BB1DAE" w:rsidRPr="00730855" w:rsidTr="00730855">
        <w:trPr>
          <w:jc w:val="center"/>
        </w:trPr>
        <w:tc>
          <w:tcPr>
            <w:tcW w:w="2518" w:type="dxa"/>
          </w:tcPr>
          <w:p w:rsidR="00BB1DAE" w:rsidRPr="003266C9" w:rsidRDefault="00BB1DAE" w:rsidP="00881667">
            <w:pPr>
              <w:jc w:val="both"/>
              <w:rPr>
                <w:b/>
                <w:sz w:val="20"/>
                <w:szCs w:val="20"/>
              </w:rPr>
            </w:pPr>
            <w:r w:rsidRPr="003266C9">
              <w:rPr>
                <w:b/>
                <w:sz w:val="20"/>
                <w:szCs w:val="20"/>
              </w:rPr>
              <w:t>Asia sudoriental</w:t>
            </w:r>
          </w:p>
        </w:tc>
        <w:tc>
          <w:tcPr>
            <w:tcW w:w="1276" w:type="dxa"/>
          </w:tcPr>
          <w:p w:rsidR="00BB1DAE" w:rsidRPr="00730855" w:rsidRDefault="00BB1DAE" w:rsidP="00730855">
            <w:pPr>
              <w:jc w:val="center"/>
              <w:rPr>
                <w:sz w:val="20"/>
                <w:szCs w:val="20"/>
              </w:rPr>
            </w:pPr>
            <w:r w:rsidRPr="00730855">
              <w:rPr>
                <w:sz w:val="20"/>
                <w:szCs w:val="20"/>
              </w:rPr>
              <w:t>54</w:t>
            </w:r>
          </w:p>
        </w:tc>
        <w:tc>
          <w:tcPr>
            <w:tcW w:w="1276" w:type="dxa"/>
          </w:tcPr>
          <w:p w:rsidR="00BB1DAE" w:rsidRPr="00730855" w:rsidRDefault="00BB1DAE" w:rsidP="00730855">
            <w:pPr>
              <w:jc w:val="center"/>
              <w:rPr>
                <w:sz w:val="20"/>
                <w:szCs w:val="20"/>
              </w:rPr>
            </w:pPr>
            <w:r w:rsidRPr="00730855">
              <w:rPr>
                <w:sz w:val="20"/>
                <w:szCs w:val="20"/>
              </w:rPr>
              <w:t>43</w:t>
            </w:r>
          </w:p>
        </w:tc>
        <w:tc>
          <w:tcPr>
            <w:tcW w:w="1275" w:type="dxa"/>
          </w:tcPr>
          <w:p w:rsidR="00BB1DAE" w:rsidRPr="00730855" w:rsidRDefault="00BB1DAE" w:rsidP="00730855">
            <w:pPr>
              <w:jc w:val="center"/>
              <w:rPr>
                <w:sz w:val="20"/>
                <w:szCs w:val="20"/>
              </w:rPr>
            </w:pPr>
            <w:r w:rsidRPr="00730855">
              <w:rPr>
                <w:sz w:val="20"/>
                <w:szCs w:val="20"/>
              </w:rPr>
              <w:t>43</w:t>
            </w:r>
          </w:p>
        </w:tc>
      </w:tr>
      <w:tr w:rsidR="00BB1DAE" w:rsidRPr="00730855" w:rsidTr="00730855">
        <w:trPr>
          <w:jc w:val="center"/>
        </w:trPr>
        <w:tc>
          <w:tcPr>
            <w:tcW w:w="2518" w:type="dxa"/>
          </w:tcPr>
          <w:p w:rsidR="00BB1DAE" w:rsidRPr="003266C9" w:rsidRDefault="00BB1DAE" w:rsidP="00881667">
            <w:pPr>
              <w:jc w:val="both"/>
              <w:rPr>
                <w:b/>
                <w:sz w:val="20"/>
                <w:szCs w:val="20"/>
              </w:rPr>
            </w:pPr>
            <w:r w:rsidRPr="003266C9">
              <w:rPr>
                <w:b/>
                <w:sz w:val="20"/>
                <w:szCs w:val="20"/>
              </w:rPr>
              <w:t>Cáucaso y Asia central</w:t>
            </w:r>
          </w:p>
        </w:tc>
        <w:tc>
          <w:tcPr>
            <w:tcW w:w="1276" w:type="dxa"/>
          </w:tcPr>
          <w:p w:rsidR="00BB1DAE" w:rsidRPr="00730855" w:rsidRDefault="00BB1DAE" w:rsidP="00730855">
            <w:pPr>
              <w:jc w:val="center"/>
              <w:rPr>
                <w:sz w:val="20"/>
                <w:szCs w:val="20"/>
              </w:rPr>
            </w:pPr>
            <w:r w:rsidRPr="00730855">
              <w:rPr>
                <w:sz w:val="20"/>
                <w:szCs w:val="20"/>
              </w:rPr>
              <w:t>45</w:t>
            </w:r>
          </w:p>
        </w:tc>
        <w:tc>
          <w:tcPr>
            <w:tcW w:w="1276" w:type="dxa"/>
          </w:tcPr>
          <w:p w:rsidR="00BB1DAE" w:rsidRPr="00730855" w:rsidRDefault="00BB1DAE" w:rsidP="00730855">
            <w:pPr>
              <w:jc w:val="center"/>
              <w:rPr>
                <w:sz w:val="20"/>
                <w:szCs w:val="20"/>
              </w:rPr>
            </w:pPr>
            <w:r w:rsidRPr="00730855">
              <w:rPr>
                <w:sz w:val="20"/>
                <w:szCs w:val="20"/>
              </w:rPr>
              <w:t>29</w:t>
            </w:r>
          </w:p>
        </w:tc>
        <w:tc>
          <w:tcPr>
            <w:tcW w:w="1275" w:type="dxa"/>
          </w:tcPr>
          <w:p w:rsidR="00BB1DAE" w:rsidRPr="00730855" w:rsidRDefault="00BB1DAE" w:rsidP="00730855">
            <w:pPr>
              <w:jc w:val="center"/>
              <w:rPr>
                <w:sz w:val="20"/>
                <w:szCs w:val="20"/>
              </w:rPr>
            </w:pPr>
            <w:r w:rsidRPr="00730855">
              <w:rPr>
                <w:sz w:val="20"/>
                <w:szCs w:val="20"/>
              </w:rPr>
              <w:t>32</w:t>
            </w:r>
          </w:p>
        </w:tc>
      </w:tr>
      <w:tr w:rsidR="00BB1DAE" w:rsidRPr="00730855" w:rsidTr="00730855">
        <w:trPr>
          <w:jc w:val="center"/>
        </w:trPr>
        <w:tc>
          <w:tcPr>
            <w:tcW w:w="2518" w:type="dxa"/>
          </w:tcPr>
          <w:p w:rsidR="00BB1DAE" w:rsidRPr="003266C9" w:rsidRDefault="003B43CE" w:rsidP="00881667">
            <w:pPr>
              <w:jc w:val="both"/>
              <w:rPr>
                <w:b/>
                <w:sz w:val="20"/>
                <w:szCs w:val="20"/>
              </w:rPr>
            </w:pPr>
            <w:r w:rsidRPr="003266C9">
              <w:rPr>
                <w:b/>
                <w:sz w:val="20"/>
                <w:szCs w:val="20"/>
              </w:rPr>
              <w:t>África</w:t>
            </w:r>
            <w:r w:rsidR="00BB1DAE" w:rsidRPr="003266C9">
              <w:rPr>
                <w:b/>
                <w:sz w:val="20"/>
                <w:szCs w:val="20"/>
              </w:rPr>
              <w:t xml:space="preserve"> septentrional</w:t>
            </w:r>
          </w:p>
        </w:tc>
        <w:tc>
          <w:tcPr>
            <w:tcW w:w="1276" w:type="dxa"/>
          </w:tcPr>
          <w:p w:rsidR="00BB1DAE" w:rsidRPr="00730855" w:rsidRDefault="00BB1DAE" w:rsidP="00730855">
            <w:pPr>
              <w:jc w:val="center"/>
              <w:rPr>
                <w:sz w:val="20"/>
                <w:szCs w:val="20"/>
              </w:rPr>
            </w:pPr>
            <w:r w:rsidRPr="00730855">
              <w:rPr>
                <w:sz w:val="20"/>
                <w:szCs w:val="20"/>
              </w:rPr>
              <w:t>42</w:t>
            </w:r>
          </w:p>
        </w:tc>
        <w:tc>
          <w:tcPr>
            <w:tcW w:w="1276" w:type="dxa"/>
          </w:tcPr>
          <w:p w:rsidR="00BB1DAE" w:rsidRPr="00730855" w:rsidRDefault="00BB1DAE" w:rsidP="00730855">
            <w:pPr>
              <w:jc w:val="center"/>
              <w:rPr>
                <w:sz w:val="20"/>
                <w:szCs w:val="20"/>
              </w:rPr>
            </w:pPr>
            <w:r w:rsidRPr="00730855">
              <w:rPr>
                <w:sz w:val="20"/>
                <w:szCs w:val="20"/>
              </w:rPr>
              <w:t>32</w:t>
            </w:r>
          </w:p>
        </w:tc>
        <w:tc>
          <w:tcPr>
            <w:tcW w:w="1275" w:type="dxa"/>
          </w:tcPr>
          <w:p w:rsidR="00BB1DAE" w:rsidRPr="00730855" w:rsidRDefault="00BB1DAE" w:rsidP="00730855">
            <w:pPr>
              <w:jc w:val="center"/>
              <w:rPr>
                <w:sz w:val="20"/>
                <w:szCs w:val="20"/>
              </w:rPr>
            </w:pPr>
            <w:r w:rsidRPr="00730855">
              <w:rPr>
                <w:sz w:val="20"/>
                <w:szCs w:val="20"/>
              </w:rPr>
              <w:t>32</w:t>
            </w:r>
          </w:p>
        </w:tc>
      </w:tr>
      <w:tr w:rsidR="00BB1DAE" w:rsidRPr="00730855" w:rsidTr="00730855">
        <w:trPr>
          <w:jc w:val="center"/>
        </w:trPr>
        <w:tc>
          <w:tcPr>
            <w:tcW w:w="2518" w:type="dxa"/>
          </w:tcPr>
          <w:p w:rsidR="00BB1DAE" w:rsidRPr="003266C9" w:rsidRDefault="00BB1DAE" w:rsidP="00881667">
            <w:pPr>
              <w:jc w:val="both"/>
              <w:rPr>
                <w:b/>
                <w:sz w:val="20"/>
                <w:szCs w:val="20"/>
              </w:rPr>
            </w:pPr>
            <w:r w:rsidRPr="003266C9">
              <w:rPr>
                <w:b/>
                <w:sz w:val="20"/>
                <w:szCs w:val="20"/>
              </w:rPr>
              <w:t>Asia oriental</w:t>
            </w:r>
          </w:p>
        </w:tc>
        <w:tc>
          <w:tcPr>
            <w:tcW w:w="1276" w:type="dxa"/>
          </w:tcPr>
          <w:p w:rsidR="00BB1DAE" w:rsidRPr="00730855" w:rsidRDefault="00BB1DAE" w:rsidP="00730855">
            <w:pPr>
              <w:jc w:val="center"/>
              <w:rPr>
                <w:sz w:val="20"/>
                <w:szCs w:val="20"/>
              </w:rPr>
            </w:pPr>
            <w:r w:rsidRPr="00730855">
              <w:rPr>
                <w:sz w:val="20"/>
                <w:szCs w:val="20"/>
              </w:rPr>
              <w:t>15</w:t>
            </w:r>
          </w:p>
        </w:tc>
        <w:tc>
          <w:tcPr>
            <w:tcW w:w="1276" w:type="dxa"/>
          </w:tcPr>
          <w:p w:rsidR="00BB1DAE" w:rsidRPr="00730855" w:rsidRDefault="00BB1DAE" w:rsidP="00730855">
            <w:pPr>
              <w:jc w:val="center"/>
              <w:rPr>
                <w:sz w:val="20"/>
                <w:szCs w:val="20"/>
              </w:rPr>
            </w:pPr>
            <w:r w:rsidRPr="00730855">
              <w:rPr>
                <w:sz w:val="20"/>
                <w:szCs w:val="20"/>
              </w:rPr>
              <w:t>6</w:t>
            </w:r>
          </w:p>
        </w:tc>
        <w:tc>
          <w:tcPr>
            <w:tcW w:w="1275" w:type="dxa"/>
          </w:tcPr>
          <w:p w:rsidR="00BB1DAE" w:rsidRPr="00730855" w:rsidRDefault="00BB1DAE" w:rsidP="00730855">
            <w:pPr>
              <w:jc w:val="center"/>
              <w:rPr>
                <w:sz w:val="20"/>
                <w:szCs w:val="20"/>
              </w:rPr>
            </w:pPr>
            <w:r w:rsidRPr="00730855">
              <w:rPr>
                <w:sz w:val="20"/>
                <w:szCs w:val="20"/>
              </w:rPr>
              <w:t>6</w:t>
            </w:r>
          </w:p>
        </w:tc>
      </w:tr>
      <w:tr w:rsidR="00BB1DAE" w:rsidRPr="00730855" w:rsidTr="00730855">
        <w:trPr>
          <w:jc w:val="center"/>
        </w:trPr>
        <w:tc>
          <w:tcPr>
            <w:tcW w:w="2518" w:type="dxa"/>
          </w:tcPr>
          <w:p w:rsidR="00BB1DAE" w:rsidRPr="003266C9" w:rsidRDefault="00BB1DAE" w:rsidP="00881667">
            <w:pPr>
              <w:jc w:val="both"/>
              <w:rPr>
                <w:b/>
                <w:sz w:val="20"/>
                <w:szCs w:val="20"/>
              </w:rPr>
            </w:pPr>
            <w:r w:rsidRPr="003266C9">
              <w:rPr>
                <w:b/>
                <w:sz w:val="20"/>
                <w:szCs w:val="20"/>
              </w:rPr>
              <w:t>Regiones desarrolladas</w:t>
            </w:r>
          </w:p>
        </w:tc>
        <w:tc>
          <w:tcPr>
            <w:tcW w:w="1276" w:type="dxa"/>
          </w:tcPr>
          <w:p w:rsidR="00BB1DAE" w:rsidRPr="00730855" w:rsidRDefault="00BB1DAE" w:rsidP="00730855">
            <w:pPr>
              <w:jc w:val="center"/>
              <w:rPr>
                <w:sz w:val="20"/>
                <w:szCs w:val="20"/>
              </w:rPr>
            </w:pPr>
            <w:r w:rsidRPr="00730855">
              <w:rPr>
                <w:sz w:val="20"/>
                <w:szCs w:val="20"/>
              </w:rPr>
              <w:t>34</w:t>
            </w:r>
          </w:p>
        </w:tc>
        <w:tc>
          <w:tcPr>
            <w:tcW w:w="1276" w:type="dxa"/>
          </w:tcPr>
          <w:p w:rsidR="00BB1DAE" w:rsidRPr="00730855" w:rsidRDefault="00BB1DAE" w:rsidP="00730855">
            <w:pPr>
              <w:jc w:val="center"/>
              <w:rPr>
                <w:sz w:val="20"/>
                <w:szCs w:val="20"/>
              </w:rPr>
            </w:pPr>
            <w:r w:rsidRPr="00730855">
              <w:rPr>
                <w:sz w:val="20"/>
                <w:szCs w:val="20"/>
              </w:rPr>
              <w:t>26</w:t>
            </w:r>
          </w:p>
        </w:tc>
        <w:tc>
          <w:tcPr>
            <w:tcW w:w="1275" w:type="dxa"/>
          </w:tcPr>
          <w:p w:rsidR="00BB1DAE" w:rsidRPr="00730855" w:rsidRDefault="00BB1DAE" w:rsidP="00730855">
            <w:pPr>
              <w:jc w:val="center"/>
              <w:rPr>
                <w:sz w:val="20"/>
                <w:szCs w:val="20"/>
              </w:rPr>
            </w:pPr>
            <w:r w:rsidRPr="00730855">
              <w:rPr>
                <w:sz w:val="20"/>
                <w:szCs w:val="20"/>
              </w:rPr>
              <w:t>21</w:t>
            </w:r>
          </w:p>
        </w:tc>
      </w:tr>
      <w:tr w:rsidR="00BB1DAE" w:rsidRPr="00730855" w:rsidTr="00730855">
        <w:trPr>
          <w:jc w:val="center"/>
        </w:trPr>
        <w:tc>
          <w:tcPr>
            <w:tcW w:w="2518" w:type="dxa"/>
          </w:tcPr>
          <w:p w:rsidR="00BB1DAE" w:rsidRPr="003266C9" w:rsidRDefault="00BB1DAE" w:rsidP="00881667">
            <w:pPr>
              <w:jc w:val="both"/>
              <w:rPr>
                <w:b/>
                <w:sz w:val="20"/>
                <w:szCs w:val="20"/>
              </w:rPr>
            </w:pPr>
            <w:r w:rsidRPr="003266C9">
              <w:rPr>
                <w:b/>
                <w:sz w:val="20"/>
                <w:szCs w:val="20"/>
              </w:rPr>
              <w:t>Regiones en desarrollo</w:t>
            </w:r>
          </w:p>
        </w:tc>
        <w:tc>
          <w:tcPr>
            <w:tcW w:w="1276" w:type="dxa"/>
          </w:tcPr>
          <w:p w:rsidR="00BB1DAE" w:rsidRPr="00730855" w:rsidRDefault="00BB1DAE" w:rsidP="00730855">
            <w:pPr>
              <w:jc w:val="center"/>
              <w:rPr>
                <w:sz w:val="20"/>
                <w:szCs w:val="20"/>
              </w:rPr>
            </w:pPr>
            <w:r w:rsidRPr="00730855">
              <w:rPr>
                <w:sz w:val="20"/>
                <w:szCs w:val="20"/>
              </w:rPr>
              <w:t>64</w:t>
            </w:r>
          </w:p>
        </w:tc>
        <w:tc>
          <w:tcPr>
            <w:tcW w:w="1276" w:type="dxa"/>
          </w:tcPr>
          <w:p w:rsidR="00BB1DAE" w:rsidRPr="00730855" w:rsidRDefault="00BB1DAE" w:rsidP="00730855">
            <w:pPr>
              <w:jc w:val="center"/>
              <w:rPr>
                <w:sz w:val="20"/>
                <w:szCs w:val="20"/>
              </w:rPr>
            </w:pPr>
            <w:r w:rsidRPr="00730855">
              <w:rPr>
                <w:sz w:val="20"/>
                <w:szCs w:val="20"/>
              </w:rPr>
              <w:t>56</w:t>
            </w:r>
          </w:p>
        </w:tc>
        <w:tc>
          <w:tcPr>
            <w:tcW w:w="1275" w:type="dxa"/>
          </w:tcPr>
          <w:p w:rsidR="00BB1DAE" w:rsidRPr="00730855" w:rsidRDefault="00BB1DAE" w:rsidP="00730855">
            <w:pPr>
              <w:jc w:val="center"/>
              <w:rPr>
                <w:sz w:val="20"/>
                <w:szCs w:val="20"/>
              </w:rPr>
            </w:pPr>
            <w:r w:rsidRPr="00730855">
              <w:rPr>
                <w:sz w:val="20"/>
                <w:szCs w:val="20"/>
              </w:rPr>
              <w:t>54</w:t>
            </w:r>
          </w:p>
        </w:tc>
      </w:tr>
    </w:tbl>
    <w:p w:rsidR="00B40EAC" w:rsidRPr="003266C9" w:rsidRDefault="009B0678" w:rsidP="003266C9">
      <w:pPr>
        <w:ind w:left="708" w:firstLine="708"/>
        <w:rPr>
          <w:sz w:val="20"/>
          <w:szCs w:val="20"/>
        </w:rPr>
      </w:pPr>
      <w:r w:rsidRPr="003266C9">
        <w:rPr>
          <w:sz w:val="20"/>
          <w:szCs w:val="20"/>
        </w:rPr>
        <w:t>Fuente: Informe ODM 2014. Elaboración propia</w:t>
      </w:r>
    </w:p>
    <w:p w:rsidR="00CE06AB" w:rsidRDefault="009B0678" w:rsidP="00881667">
      <w:pPr>
        <w:jc w:val="both"/>
      </w:pPr>
      <w:r>
        <w:t>El acceso a métodos anticonceptivos es un indicador importante para valorar la autonomía física de las mujeres, además de que está estrechamente relacionado con los derechos sexuales y reproductivos de las mujeres.</w:t>
      </w:r>
      <w:r w:rsidR="00213A82">
        <w:t xml:space="preserve"> Los datos muestran</w:t>
      </w:r>
      <w:r w:rsidR="00EA7EFA">
        <w:t xml:space="preserve"> que se ha producido un aumento en el número de mujeres que usan algún método anticonceptivo y que disminuyen en todo el mundo las mujeres que quieren acceder a la planificación familiar y que no pueden hacerlo. África subs</w:t>
      </w:r>
      <w:r w:rsidR="00055F99">
        <w:t>ahariana, a pesar de que duplicó</w:t>
      </w:r>
      <w:r w:rsidR="00EA7EFA">
        <w:t xml:space="preserve"> el porcentaje de mujeres que usan métodos anticonceptivos</w:t>
      </w:r>
      <w:r w:rsidR="00973B90">
        <w:t xml:space="preserve"> en las últimas décadas</w:t>
      </w:r>
      <w:r w:rsidR="00EA7EFA">
        <w:t xml:space="preserve">, es la región donde los datos </w:t>
      </w:r>
      <w:r w:rsidR="00973B90">
        <w:t>s</w:t>
      </w:r>
      <w:r w:rsidR="00EA7EFA">
        <w:t>on peores</w:t>
      </w:r>
      <w:r w:rsidR="00973B90">
        <w:t>,</w:t>
      </w:r>
      <w:r w:rsidR="00EA7EFA">
        <w:t xml:space="preserve"> en cuanto al uso de métodos anticonceptivos y a necesidades insatisfechas de planificación familiar (Tabla</w:t>
      </w:r>
      <w:r w:rsidR="00DA730A">
        <w:t xml:space="preserve"> 4</w:t>
      </w:r>
      <w:r w:rsidR="00EA7EFA">
        <w:t>)</w:t>
      </w:r>
      <w:r w:rsidR="00012195">
        <w:t xml:space="preserve"> (Naciones Unidas 2014)</w:t>
      </w:r>
      <w:r w:rsidR="00EA7EFA">
        <w:t>.</w:t>
      </w:r>
    </w:p>
    <w:p w:rsidR="009B0678" w:rsidRPr="003266C9" w:rsidRDefault="009B0678" w:rsidP="003266C9">
      <w:pPr>
        <w:spacing w:after="0" w:line="240" w:lineRule="auto"/>
        <w:jc w:val="both"/>
        <w:rPr>
          <w:b/>
          <w:sz w:val="20"/>
          <w:szCs w:val="20"/>
        </w:rPr>
      </w:pPr>
      <w:r w:rsidRPr="003266C9">
        <w:rPr>
          <w:b/>
          <w:sz w:val="20"/>
          <w:szCs w:val="20"/>
        </w:rPr>
        <w:t>Tabla</w:t>
      </w:r>
      <w:r w:rsidR="00DA730A" w:rsidRPr="003266C9">
        <w:rPr>
          <w:b/>
          <w:sz w:val="20"/>
          <w:szCs w:val="20"/>
        </w:rPr>
        <w:t xml:space="preserve"> 4</w:t>
      </w:r>
      <w:r w:rsidRPr="003266C9">
        <w:rPr>
          <w:b/>
          <w:sz w:val="20"/>
          <w:szCs w:val="20"/>
        </w:rPr>
        <w:t xml:space="preserve">: Porcentaje de mujeres de 15 a 49 años que están usando algún método anticonceptivo y que tienen una necesidad insatisfecha de planificación familiar. Periodo 1990 y 2012 </w:t>
      </w:r>
    </w:p>
    <w:tbl>
      <w:tblPr>
        <w:tblStyle w:val="Tablaconcuadrcula"/>
        <w:tblW w:w="0" w:type="auto"/>
        <w:tblLook w:val="04A0" w:firstRow="1" w:lastRow="0" w:firstColumn="1" w:lastColumn="0" w:noHBand="0" w:noVBand="1"/>
      </w:tblPr>
      <w:tblGrid>
        <w:gridCol w:w="2518"/>
        <w:gridCol w:w="1418"/>
        <w:gridCol w:w="1417"/>
        <w:gridCol w:w="1418"/>
        <w:gridCol w:w="1417"/>
      </w:tblGrid>
      <w:tr w:rsidR="00213A82" w:rsidRPr="003266C9" w:rsidTr="003266C9">
        <w:tc>
          <w:tcPr>
            <w:tcW w:w="2518" w:type="dxa"/>
            <w:shd w:val="clear" w:color="auto" w:fill="D9D9D9" w:themeFill="background1" w:themeFillShade="D9"/>
          </w:tcPr>
          <w:p w:rsidR="00213A82" w:rsidRPr="003266C9" w:rsidRDefault="00213A82" w:rsidP="00DA730A">
            <w:pPr>
              <w:jc w:val="both"/>
              <w:rPr>
                <w:b/>
                <w:sz w:val="20"/>
                <w:szCs w:val="20"/>
              </w:rPr>
            </w:pPr>
          </w:p>
        </w:tc>
        <w:tc>
          <w:tcPr>
            <w:tcW w:w="2835" w:type="dxa"/>
            <w:gridSpan w:val="2"/>
            <w:shd w:val="clear" w:color="auto" w:fill="D9D9D9" w:themeFill="background1" w:themeFillShade="D9"/>
          </w:tcPr>
          <w:p w:rsidR="00213A82" w:rsidRPr="003266C9" w:rsidRDefault="00213A82" w:rsidP="00730855">
            <w:pPr>
              <w:jc w:val="center"/>
              <w:rPr>
                <w:b/>
                <w:sz w:val="20"/>
                <w:szCs w:val="20"/>
              </w:rPr>
            </w:pPr>
            <w:r w:rsidRPr="003266C9">
              <w:rPr>
                <w:b/>
                <w:sz w:val="20"/>
                <w:szCs w:val="20"/>
              </w:rPr>
              <w:t>1990</w:t>
            </w:r>
          </w:p>
        </w:tc>
        <w:tc>
          <w:tcPr>
            <w:tcW w:w="2835" w:type="dxa"/>
            <w:gridSpan w:val="2"/>
            <w:shd w:val="clear" w:color="auto" w:fill="D9D9D9" w:themeFill="background1" w:themeFillShade="D9"/>
          </w:tcPr>
          <w:p w:rsidR="00213A82" w:rsidRPr="003266C9" w:rsidRDefault="00213A82" w:rsidP="00730855">
            <w:pPr>
              <w:jc w:val="center"/>
              <w:rPr>
                <w:b/>
                <w:sz w:val="20"/>
                <w:szCs w:val="20"/>
              </w:rPr>
            </w:pPr>
            <w:r w:rsidRPr="003266C9">
              <w:rPr>
                <w:b/>
                <w:sz w:val="20"/>
                <w:szCs w:val="20"/>
              </w:rPr>
              <w:t>2012</w:t>
            </w:r>
          </w:p>
        </w:tc>
      </w:tr>
      <w:tr w:rsidR="00213A82" w:rsidRPr="003266C9" w:rsidTr="003266C9">
        <w:tc>
          <w:tcPr>
            <w:tcW w:w="2518" w:type="dxa"/>
            <w:shd w:val="clear" w:color="auto" w:fill="D9D9D9" w:themeFill="background1" w:themeFillShade="D9"/>
          </w:tcPr>
          <w:p w:rsidR="00213A82" w:rsidRPr="003266C9" w:rsidRDefault="00213A82" w:rsidP="002E43A0">
            <w:pPr>
              <w:jc w:val="both"/>
              <w:rPr>
                <w:b/>
                <w:sz w:val="20"/>
                <w:szCs w:val="20"/>
              </w:rPr>
            </w:pPr>
          </w:p>
        </w:tc>
        <w:tc>
          <w:tcPr>
            <w:tcW w:w="1418" w:type="dxa"/>
            <w:shd w:val="clear" w:color="auto" w:fill="D9D9D9" w:themeFill="background1" w:themeFillShade="D9"/>
          </w:tcPr>
          <w:p w:rsidR="00213A82" w:rsidRPr="003266C9" w:rsidRDefault="00213A82" w:rsidP="00730855">
            <w:pPr>
              <w:jc w:val="center"/>
              <w:rPr>
                <w:b/>
                <w:sz w:val="20"/>
                <w:szCs w:val="20"/>
              </w:rPr>
            </w:pPr>
            <w:r w:rsidRPr="003266C9">
              <w:rPr>
                <w:b/>
                <w:sz w:val="20"/>
                <w:szCs w:val="20"/>
              </w:rPr>
              <w:t>Uso de algún método</w:t>
            </w:r>
          </w:p>
        </w:tc>
        <w:tc>
          <w:tcPr>
            <w:tcW w:w="1417" w:type="dxa"/>
            <w:shd w:val="clear" w:color="auto" w:fill="D9D9D9" w:themeFill="background1" w:themeFillShade="D9"/>
          </w:tcPr>
          <w:p w:rsidR="00213A82" w:rsidRPr="003266C9" w:rsidRDefault="00213A82" w:rsidP="00730855">
            <w:pPr>
              <w:jc w:val="center"/>
              <w:rPr>
                <w:b/>
                <w:sz w:val="20"/>
                <w:szCs w:val="20"/>
              </w:rPr>
            </w:pPr>
            <w:r w:rsidRPr="003266C9">
              <w:rPr>
                <w:b/>
                <w:sz w:val="20"/>
                <w:szCs w:val="20"/>
              </w:rPr>
              <w:t>Necesidad insatisfecha</w:t>
            </w:r>
          </w:p>
        </w:tc>
        <w:tc>
          <w:tcPr>
            <w:tcW w:w="1418" w:type="dxa"/>
            <w:shd w:val="clear" w:color="auto" w:fill="D9D9D9" w:themeFill="background1" w:themeFillShade="D9"/>
          </w:tcPr>
          <w:p w:rsidR="00213A82" w:rsidRPr="003266C9" w:rsidRDefault="00213A82" w:rsidP="00730855">
            <w:pPr>
              <w:jc w:val="center"/>
              <w:rPr>
                <w:b/>
                <w:sz w:val="20"/>
                <w:szCs w:val="20"/>
              </w:rPr>
            </w:pPr>
            <w:r w:rsidRPr="003266C9">
              <w:rPr>
                <w:b/>
                <w:sz w:val="20"/>
                <w:szCs w:val="20"/>
              </w:rPr>
              <w:t>Uso de algún método</w:t>
            </w:r>
          </w:p>
        </w:tc>
        <w:tc>
          <w:tcPr>
            <w:tcW w:w="1417" w:type="dxa"/>
            <w:shd w:val="clear" w:color="auto" w:fill="D9D9D9" w:themeFill="background1" w:themeFillShade="D9"/>
          </w:tcPr>
          <w:p w:rsidR="00213A82" w:rsidRPr="003266C9" w:rsidRDefault="00213A82" w:rsidP="00730855">
            <w:pPr>
              <w:jc w:val="center"/>
              <w:rPr>
                <w:b/>
                <w:sz w:val="20"/>
                <w:szCs w:val="20"/>
              </w:rPr>
            </w:pPr>
            <w:r w:rsidRPr="003266C9">
              <w:rPr>
                <w:b/>
                <w:sz w:val="20"/>
                <w:szCs w:val="20"/>
              </w:rPr>
              <w:t>Necesidad insatisfecha</w:t>
            </w:r>
          </w:p>
        </w:tc>
      </w:tr>
      <w:tr w:rsidR="00213A82" w:rsidRPr="00730855" w:rsidTr="00213A82">
        <w:tc>
          <w:tcPr>
            <w:tcW w:w="2518" w:type="dxa"/>
          </w:tcPr>
          <w:p w:rsidR="00213A82" w:rsidRPr="003266C9" w:rsidRDefault="00213A82" w:rsidP="002E43A0">
            <w:pPr>
              <w:jc w:val="both"/>
              <w:rPr>
                <w:b/>
                <w:sz w:val="20"/>
                <w:szCs w:val="20"/>
              </w:rPr>
            </w:pPr>
            <w:r w:rsidRPr="003266C9">
              <w:rPr>
                <w:b/>
                <w:sz w:val="20"/>
                <w:szCs w:val="20"/>
              </w:rPr>
              <w:t>África subsahariana</w:t>
            </w:r>
          </w:p>
        </w:tc>
        <w:tc>
          <w:tcPr>
            <w:tcW w:w="1418" w:type="dxa"/>
          </w:tcPr>
          <w:p w:rsidR="00213A82" w:rsidRPr="00730855" w:rsidRDefault="00213A82" w:rsidP="00730855">
            <w:pPr>
              <w:jc w:val="center"/>
              <w:rPr>
                <w:sz w:val="20"/>
                <w:szCs w:val="20"/>
              </w:rPr>
            </w:pPr>
            <w:r w:rsidRPr="00730855">
              <w:rPr>
                <w:sz w:val="20"/>
                <w:szCs w:val="20"/>
              </w:rPr>
              <w:t>13</w:t>
            </w:r>
          </w:p>
        </w:tc>
        <w:tc>
          <w:tcPr>
            <w:tcW w:w="1417" w:type="dxa"/>
          </w:tcPr>
          <w:p w:rsidR="00213A82" w:rsidRPr="00730855" w:rsidRDefault="00213A82" w:rsidP="00730855">
            <w:pPr>
              <w:jc w:val="center"/>
              <w:rPr>
                <w:sz w:val="20"/>
                <w:szCs w:val="20"/>
              </w:rPr>
            </w:pPr>
            <w:r w:rsidRPr="00730855">
              <w:rPr>
                <w:sz w:val="20"/>
                <w:szCs w:val="20"/>
              </w:rPr>
              <w:t>28</w:t>
            </w:r>
          </w:p>
        </w:tc>
        <w:tc>
          <w:tcPr>
            <w:tcW w:w="1418" w:type="dxa"/>
          </w:tcPr>
          <w:p w:rsidR="00213A82" w:rsidRPr="00730855" w:rsidRDefault="00213A82" w:rsidP="00730855">
            <w:pPr>
              <w:jc w:val="center"/>
              <w:rPr>
                <w:sz w:val="20"/>
                <w:szCs w:val="20"/>
              </w:rPr>
            </w:pPr>
            <w:r w:rsidRPr="00730855">
              <w:rPr>
                <w:sz w:val="20"/>
                <w:szCs w:val="20"/>
              </w:rPr>
              <w:t>26</w:t>
            </w:r>
          </w:p>
        </w:tc>
        <w:tc>
          <w:tcPr>
            <w:tcW w:w="1417" w:type="dxa"/>
          </w:tcPr>
          <w:p w:rsidR="00213A82" w:rsidRPr="00730855" w:rsidRDefault="00213A82" w:rsidP="00730855">
            <w:pPr>
              <w:jc w:val="center"/>
              <w:rPr>
                <w:sz w:val="20"/>
                <w:szCs w:val="20"/>
              </w:rPr>
            </w:pPr>
            <w:r w:rsidRPr="00730855">
              <w:rPr>
                <w:sz w:val="20"/>
                <w:szCs w:val="20"/>
              </w:rPr>
              <w:t>25.1</w:t>
            </w:r>
          </w:p>
        </w:tc>
      </w:tr>
      <w:tr w:rsidR="00213A82" w:rsidRPr="00730855" w:rsidTr="00213A82">
        <w:tc>
          <w:tcPr>
            <w:tcW w:w="2518" w:type="dxa"/>
          </w:tcPr>
          <w:p w:rsidR="00213A82" w:rsidRPr="003266C9" w:rsidRDefault="00213A82" w:rsidP="002E43A0">
            <w:pPr>
              <w:jc w:val="both"/>
              <w:rPr>
                <w:b/>
                <w:sz w:val="20"/>
                <w:szCs w:val="20"/>
              </w:rPr>
            </w:pPr>
            <w:r w:rsidRPr="003266C9">
              <w:rPr>
                <w:b/>
                <w:sz w:val="20"/>
                <w:szCs w:val="20"/>
              </w:rPr>
              <w:t>América Latina y Caribe</w:t>
            </w:r>
          </w:p>
        </w:tc>
        <w:tc>
          <w:tcPr>
            <w:tcW w:w="1418" w:type="dxa"/>
          </w:tcPr>
          <w:p w:rsidR="00213A82" w:rsidRPr="00730855" w:rsidRDefault="00213A82" w:rsidP="00730855">
            <w:pPr>
              <w:jc w:val="center"/>
              <w:rPr>
                <w:sz w:val="20"/>
                <w:szCs w:val="20"/>
              </w:rPr>
            </w:pPr>
            <w:r w:rsidRPr="00730855">
              <w:rPr>
                <w:sz w:val="20"/>
                <w:szCs w:val="20"/>
              </w:rPr>
              <w:t>61</w:t>
            </w:r>
          </w:p>
        </w:tc>
        <w:tc>
          <w:tcPr>
            <w:tcW w:w="1417" w:type="dxa"/>
          </w:tcPr>
          <w:p w:rsidR="00213A82" w:rsidRPr="00730855" w:rsidRDefault="00213A82" w:rsidP="00730855">
            <w:pPr>
              <w:jc w:val="center"/>
              <w:rPr>
                <w:sz w:val="20"/>
                <w:szCs w:val="20"/>
              </w:rPr>
            </w:pPr>
            <w:r w:rsidRPr="00730855">
              <w:rPr>
                <w:sz w:val="20"/>
                <w:szCs w:val="20"/>
              </w:rPr>
              <w:t>17</w:t>
            </w:r>
          </w:p>
        </w:tc>
        <w:tc>
          <w:tcPr>
            <w:tcW w:w="1418" w:type="dxa"/>
          </w:tcPr>
          <w:p w:rsidR="00213A82" w:rsidRPr="00730855" w:rsidRDefault="00213A82" w:rsidP="00730855">
            <w:pPr>
              <w:jc w:val="center"/>
              <w:rPr>
                <w:sz w:val="20"/>
                <w:szCs w:val="20"/>
              </w:rPr>
            </w:pPr>
            <w:r w:rsidRPr="00730855">
              <w:rPr>
                <w:sz w:val="20"/>
                <w:szCs w:val="20"/>
              </w:rPr>
              <w:t>73</w:t>
            </w:r>
          </w:p>
        </w:tc>
        <w:tc>
          <w:tcPr>
            <w:tcW w:w="1417" w:type="dxa"/>
          </w:tcPr>
          <w:p w:rsidR="00213A82" w:rsidRPr="00730855" w:rsidRDefault="00213A82" w:rsidP="00730855">
            <w:pPr>
              <w:jc w:val="center"/>
              <w:rPr>
                <w:sz w:val="20"/>
                <w:szCs w:val="20"/>
              </w:rPr>
            </w:pPr>
            <w:r w:rsidRPr="00730855">
              <w:rPr>
                <w:sz w:val="20"/>
                <w:szCs w:val="20"/>
              </w:rPr>
              <w:t>11</w:t>
            </w:r>
          </w:p>
        </w:tc>
      </w:tr>
      <w:tr w:rsidR="00213A82" w:rsidRPr="00730855" w:rsidTr="00213A82">
        <w:tc>
          <w:tcPr>
            <w:tcW w:w="2518" w:type="dxa"/>
          </w:tcPr>
          <w:p w:rsidR="00213A82" w:rsidRPr="003266C9" w:rsidRDefault="00213A82" w:rsidP="002E43A0">
            <w:pPr>
              <w:jc w:val="both"/>
              <w:rPr>
                <w:b/>
                <w:sz w:val="20"/>
                <w:szCs w:val="20"/>
              </w:rPr>
            </w:pPr>
            <w:r w:rsidRPr="003266C9">
              <w:rPr>
                <w:b/>
                <w:sz w:val="20"/>
                <w:szCs w:val="20"/>
              </w:rPr>
              <w:t>Oceanía</w:t>
            </w:r>
          </w:p>
        </w:tc>
        <w:tc>
          <w:tcPr>
            <w:tcW w:w="1418" w:type="dxa"/>
          </w:tcPr>
          <w:p w:rsidR="00213A82" w:rsidRPr="00730855" w:rsidRDefault="00213A82" w:rsidP="00730855">
            <w:pPr>
              <w:jc w:val="center"/>
              <w:rPr>
                <w:sz w:val="20"/>
                <w:szCs w:val="20"/>
              </w:rPr>
            </w:pPr>
            <w:r w:rsidRPr="00730855">
              <w:rPr>
                <w:sz w:val="20"/>
                <w:szCs w:val="20"/>
              </w:rPr>
              <w:t>28</w:t>
            </w:r>
          </w:p>
        </w:tc>
        <w:tc>
          <w:tcPr>
            <w:tcW w:w="1417" w:type="dxa"/>
          </w:tcPr>
          <w:p w:rsidR="00213A82" w:rsidRPr="00730855" w:rsidRDefault="00213A82" w:rsidP="00730855">
            <w:pPr>
              <w:jc w:val="center"/>
              <w:rPr>
                <w:sz w:val="20"/>
                <w:szCs w:val="20"/>
              </w:rPr>
            </w:pPr>
            <w:r w:rsidRPr="00730855">
              <w:rPr>
                <w:sz w:val="20"/>
                <w:szCs w:val="20"/>
              </w:rPr>
              <w:t>27</w:t>
            </w:r>
          </w:p>
        </w:tc>
        <w:tc>
          <w:tcPr>
            <w:tcW w:w="1418" w:type="dxa"/>
          </w:tcPr>
          <w:p w:rsidR="00213A82" w:rsidRPr="00730855" w:rsidRDefault="00213A82" w:rsidP="00730855">
            <w:pPr>
              <w:jc w:val="center"/>
              <w:rPr>
                <w:sz w:val="20"/>
                <w:szCs w:val="20"/>
              </w:rPr>
            </w:pPr>
            <w:r w:rsidRPr="00730855">
              <w:rPr>
                <w:sz w:val="20"/>
                <w:szCs w:val="20"/>
              </w:rPr>
              <w:t>37</w:t>
            </w:r>
          </w:p>
        </w:tc>
        <w:tc>
          <w:tcPr>
            <w:tcW w:w="1417" w:type="dxa"/>
          </w:tcPr>
          <w:p w:rsidR="00213A82" w:rsidRPr="00730855" w:rsidRDefault="00213A82" w:rsidP="00730855">
            <w:pPr>
              <w:jc w:val="center"/>
              <w:rPr>
                <w:sz w:val="20"/>
                <w:szCs w:val="20"/>
              </w:rPr>
            </w:pPr>
            <w:r w:rsidRPr="00730855">
              <w:rPr>
                <w:sz w:val="20"/>
                <w:szCs w:val="20"/>
              </w:rPr>
              <w:t>24.6</w:t>
            </w:r>
          </w:p>
        </w:tc>
      </w:tr>
      <w:tr w:rsidR="00213A82" w:rsidRPr="00730855" w:rsidTr="00213A82">
        <w:tc>
          <w:tcPr>
            <w:tcW w:w="2518" w:type="dxa"/>
          </w:tcPr>
          <w:p w:rsidR="00213A82" w:rsidRPr="003266C9" w:rsidRDefault="00213A82" w:rsidP="002E43A0">
            <w:pPr>
              <w:jc w:val="both"/>
              <w:rPr>
                <w:b/>
                <w:sz w:val="20"/>
                <w:szCs w:val="20"/>
              </w:rPr>
            </w:pPr>
            <w:r w:rsidRPr="003266C9">
              <w:rPr>
                <w:b/>
                <w:sz w:val="20"/>
                <w:szCs w:val="20"/>
              </w:rPr>
              <w:t>Asia meridional</w:t>
            </w:r>
          </w:p>
        </w:tc>
        <w:tc>
          <w:tcPr>
            <w:tcW w:w="1418" w:type="dxa"/>
          </w:tcPr>
          <w:p w:rsidR="00213A82" w:rsidRPr="00730855" w:rsidRDefault="00213A82" w:rsidP="00730855">
            <w:pPr>
              <w:jc w:val="center"/>
              <w:rPr>
                <w:sz w:val="20"/>
                <w:szCs w:val="20"/>
              </w:rPr>
            </w:pPr>
            <w:r w:rsidRPr="00730855">
              <w:rPr>
                <w:sz w:val="20"/>
                <w:szCs w:val="20"/>
              </w:rPr>
              <w:t>39</w:t>
            </w:r>
          </w:p>
        </w:tc>
        <w:tc>
          <w:tcPr>
            <w:tcW w:w="1417" w:type="dxa"/>
          </w:tcPr>
          <w:p w:rsidR="00213A82" w:rsidRPr="00730855" w:rsidRDefault="00213A82" w:rsidP="00730855">
            <w:pPr>
              <w:jc w:val="center"/>
              <w:rPr>
                <w:sz w:val="20"/>
                <w:szCs w:val="20"/>
              </w:rPr>
            </w:pPr>
            <w:r w:rsidRPr="00730855">
              <w:rPr>
                <w:sz w:val="20"/>
                <w:szCs w:val="20"/>
              </w:rPr>
              <w:t>21</w:t>
            </w:r>
          </w:p>
        </w:tc>
        <w:tc>
          <w:tcPr>
            <w:tcW w:w="1418" w:type="dxa"/>
          </w:tcPr>
          <w:p w:rsidR="00213A82" w:rsidRPr="00730855" w:rsidRDefault="00213A82" w:rsidP="00730855">
            <w:pPr>
              <w:jc w:val="center"/>
              <w:rPr>
                <w:sz w:val="20"/>
                <w:szCs w:val="20"/>
              </w:rPr>
            </w:pPr>
            <w:r w:rsidRPr="00730855">
              <w:rPr>
                <w:sz w:val="20"/>
                <w:szCs w:val="20"/>
              </w:rPr>
              <w:t>57</w:t>
            </w:r>
          </w:p>
        </w:tc>
        <w:tc>
          <w:tcPr>
            <w:tcW w:w="1417" w:type="dxa"/>
          </w:tcPr>
          <w:p w:rsidR="00213A82" w:rsidRPr="00730855" w:rsidRDefault="00213A82" w:rsidP="00730855">
            <w:pPr>
              <w:jc w:val="center"/>
              <w:rPr>
                <w:sz w:val="20"/>
                <w:szCs w:val="20"/>
              </w:rPr>
            </w:pPr>
            <w:r w:rsidRPr="00730855">
              <w:rPr>
                <w:sz w:val="20"/>
                <w:szCs w:val="20"/>
              </w:rPr>
              <w:t>14</w:t>
            </w:r>
          </w:p>
        </w:tc>
      </w:tr>
      <w:tr w:rsidR="00213A82" w:rsidRPr="00730855" w:rsidTr="00213A82">
        <w:tc>
          <w:tcPr>
            <w:tcW w:w="2518" w:type="dxa"/>
          </w:tcPr>
          <w:p w:rsidR="00213A82" w:rsidRPr="003266C9" w:rsidRDefault="00213A82" w:rsidP="002E43A0">
            <w:pPr>
              <w:jc w:val="both"/>
              <w:rPr>
                <w:b/>
                <w:sz w:val="20"/>
                <w:szCs w:val="20"/>
              </w:rPr>
            </w:pPr>
            <w:r w:rsidRPr="003266C9">
              <w:rPr>
                <w:b/>
                <w:sz w:val="20"/>
                <w:szCs w:val="20"/>
              </w:rPr>
              <w:t>Asia occidental</w:t>
            </w:r>
          </w:p>
        </w:tc>
        <w:tc>
          <w:tcPr>
            <w:tcW w:w="1418" w:type="dxa"/>
          </w:tcPr>
          <w:p w:rsidR="00213A82" w:rsidRPr="00730855" w:rsidRDefault="00213A82" w:rsidP="00730855">
            <w:pPr>
              <w:jc w:val="center"/>
              <w:rPr>
                <w:sz w:val="20"/>
                <w:szCs w:val="20"/>
              </w:rPr>
            </w:pPr>
            <w:r w:rsidRPr="00730855">
              <w:rPr>
                <w:sz w:val="20"/>
                <w:szCs w:val="20"/>
              </w:rPr>
              <w:t>44</w:t>
            </w:r>
          </w:p>
        </w:tc>
        <w:tc>
          <w:tcPr>
            <w:tcW w:w="1417" w:type="dxa"/>
          </w:tcPr>
          <w:p w:rsidR="00213A82" w:rsidRPr="00730855" w:rsidRDefault="00213A82" w:rsidP="00730855">
            <w:pPr>
              <w:jc w:val="center"/>
              <w:rPr>
                <w:sz w:val="20"/>
                <w:szCs w:val="20"/>
              </w:rPr>
            </w:pPr>
            <w:r w:rsidRPr="00730855">
              <w:rPr>
                <w:sz w:val="20"/>
                <w:szCs w:val="20"/>
              </w:rPr>
              <w:t>22</w:t>
            </w:r>
          </w:p>
        </w:tc>
        <w:tc>
          <w:tcPr>
            <w:tcW w:w="1418" w:type="dxa"/>
          </w:tcPr>
          <w:p w:rsidR="00213A82" w:rsidRPr="00730855" w:rsidRDefault="00213A82" w:rsidP="00730855">
            <w:pPr>
              <w:jc w:val="center"/>
              <w:rPr>
                <w:sz w:val="20"/>
                <w:szCs w:val="20"/>
              </w:rPr>
            </w:pPr>
            <w:r w:rsidRPr="00730855">
              <w:rPr>
                <w:sz w:val="20"/>
                <w:szCs w:val="20"/>
              </w:rPr>
              <w:t>58</w:t>
            </w:r>
          </w:p>
        </w:tc>
        <w:tc>
          <w:tcPr>
            <w:tcW w:w="1417" w:type="dxa"/>
          </w:tcPr>
          <w:p w:rsidR="00213A82" w:rsidRPr="00730855" w:rsidRDefault="00213A82" w:rsidP="00730855">
            <w:pPr>
              <w:jc w:val="center"/>
              <w:rPr>
                <w:sz w:val="20"/>
                <w:szCs w:val="20"/>
              </w:rPr>
            </w:pPr>
            <w:r w:rsidRPr="00730855">
              <w:rPr>
                <w:sz w:val="20"/>
                <w:szCs w:val="20"/>
              </w:rPr>
              <w:t>16</w:t>
            </w:r>
          </w:p>
        </w:tc>
      </w:tr>
      <w:tr w:rsidR="00213A82" w:rsidRPr="00730855" w:rsidTr="00213A82">
        <w:tc>
          <w:tcPr>
            <w:tcW w:w="2518" w:type="dxa"/>
          </w:tcPr>
          <w:p w:rsidR="00213A82" w:rsidRPr="003266C9" w:rsidRDefault="00213A82" w:rsidP="002E43A0">
            <w:pPr>
              <w:jc w:val="both"/>
              <w:rPr>
                <w:b/>
                <w:sz w:val="20"/>
                <w:szCs w:val="20"/>
              </w:rPr>
            </w:pPr>
            <w:r w:rsidRPr="003266C9">
              <w:rPr>
                <w:b/>
                <w:sz w:val="20"/>
                <w:szCs w:val="20"/>
              </w:rPr>
              <w:t>Asia sudoriental</w:t>
            </w:r>
          </w:p>
        </w:tc>
        <w:tc>
          <w:tcPr>
            <w:tcW w:w="1418" w:type="dxa"/>
          </w:tcPr>
          <w:p w:rsidR="00213A82" w:rsidRPr="00730855" w:rsidRDefault="00213A82" w:rsidP="00730855">
            <w:pPr>
              <w:jc w:val="center"/>
              <w:rPr>
                <w:sz w:val="20"/>
                <w:szCs w:val="20"/>
              </w:rPr>
            </w:pPr>
            <w:r w:rsidRPr="00730855">
              <w:rPr>
                <w:sz w:val="20"/>
                <w:szCs w:val="20"/>
              </w:rPr>
              <w:t>48</w:t>
            </w:r>
          </w:p>
        </w:tc>
        <w:tc>
          <w:tcPr>
            <w:tcW w:w="1417" w:type="dxa"/>
          </w:tcPr>
          <w:p w:rsidR="00213A82" w:rsidRPr="00730855" w:rsidRDefault="00213A82" w:rsidP="00730855">
            <w:pPr>
              <w:jc w:val="center"/>
              <w:rPr>
                <w:sz w:val="20"/>
                <w:szCs w:val="20"/>
              </w:rPr>
            </w:pPr>
            <w:r w:rsidRPr="00730855">
              <w:rPr>
                <w:sz w:val="20"/>
                <w:szCs w:val="20"/>
              </w:rPr>
              <w:t>19</w:t>
            </w:r>
          </w:p>
        </w:tc>
        <w:tc>
          <w:tcPr>
            <w:tcW w:w="1418" w:type="dxa"/>
          </w:tcPr>
          <w:p w:rsidR="00213A82" w:rsidRPr="00730855" w:rsidRDefault="00213A82" w:rsidP="00730855">
            <w:pPr>
              <w:jc w:val="center"/>
              <w:rPr>
                <w:sz w:val="20"/>
                <w:szCs w:val="20"/>
              </w:rPr>
            </w:pPr>
            <w:r w:rsidRPr="00730855">
              <w:rPr>
                <w:sz w:val="20"/>
                <w:szCs w:val="20"/>
              </w:rPr>
              <w:t>63</w:t>
            </w:r>
          </w:p>
        </w:tc>
        <w:tc>
          <w:tcPr>
            <w:tcW w:w="1417" w:type="dxa"/>
          </w:tcPr>
          <w:p w:rsidR="00213A82" w:rsidRPr="00730855" w:rsidRDefault="00213A82" w:rsidP="00730855">
            <w:pPr>
              <w:jc w:val="center"/>
              <w:rPr>
                <w:sz w:val="20"/>
                <w:szCs w:val="20"/>
              </w:rPr>
            </w:pPr>
            <w:r w:rsidRPr="00730855">
              <w:rPr>
                <w:sz w:val="20"/>
                <w:szCs w:val="20"/>
              </w:rPr>
              <w:t>13</w:t>
            </w:r>
          </w:p>
        </w:tc>
      </w:tr>
      <w:tr w:rsidR="00213A82" w:rsidRPr="00730855" w:rsidTr="00213A82">
        <w:tc>
          <w:tcPr>
            <w:tcW w:w="2518" w:type="dxa"/>
          </w:tcPr>
          <w:p w:rsidR="00213A82" w:rsidRPr="003266C9" w:rsidRDefault="00213A82" w:rsidP="002E43A0">
            <w:pPr>
              <w:jc w:val="both"/>
              <w:rPr>
                <w:b/>
                <w:sz w:val="20"/>
                <w:szCs w:val="20"/>
              </w:rPr>
            </w:pPr>
            <w:r w:rsidRPr="003266C9">
              <w:rPr>
                <w:b/>
                <w:sz w:val="20"/>
                <w:szCs w:val="20"/>
              </w:rPr>
              <w:t>Cáucaso y Asia central</w:t>
            </w:r>
          </w:p>
        </w:tc>
        <w:tc>
          <w:tcPr>
            <w:tcW w:w="1418" w:type="dxa"/>
          </w:tcPr>
          <w:p w:rsidR="00213A82" w:rsidRPr="00730855" w:rsidRDefault="00213A82" w:rsidP="00730855">
            <w:pPr>
              <w:jc w:val="center"/>
              <w:rPr>
                <w:sz w:val="20"/>
                <w:szCs w:val="20"/>
              </w:rPr>
            </w:pPr>
            <w:r w:rsidRPr="00730855">
              <w:rPr>
                <w:sz w:val="20"/>
                <w:szCs w:val="20"/>
              </w:rPr>
              <w:t>49</w:t>
            </w:r>
          </w:p>
        </w:tc>
        <w:tc>
          <w:tcPr>
            <w:tcW w:w="1417" w:type="dxa"/>
          </w:tcPr>
          <w:p w:rsidR="00213A82" w:rsidRPr="00730855" w:rsidRDefault="00213A82" w:rsidP="00730855">
            <w:pPr>
              <w:jc w:val="center"/>
              <w:rPr>
                <w:sz w:val="20"/>
                <w:szCs w:val="20"/>
              </w:rPr>
            </w:pPr>
            <w:r w:rsidRPr="00730855">
              <w:rPr>
                <w:sz w:val="20"/>
                <w:szCs w:val="20"/>
              </w:rPr>
              <w:t>18</w:t>
            </w:r>
          </w:p>
        </w:tc>
        <w:tc>
          <w:tcPr>
            <w:tcW w:w="1418" w:type="dxa"/>
          </w:tcPr>
          <w:p w:rsidR="00213A82" w:rsidRPr="00730855" w:rsidRDefault="00213A82" w:rsidP="00730855">
            <w:pPr>
              <w:jc w:val="center"/>
              <w:rPr>
                <w:sz w:val="20"/>
                <w:szCs w:val="20"/>
              </w:rPr>
            </w:pPr>
            <w:r w:rsidRPr="00730855">
              <w:rPr>
                <w:sz w:val="20"/>
                <w:szCs w:val="20"/>
              </w:rPr>
              <w:t>56</w:t>
            </w:r>
          </w:p>
        </w:tc>
        <w:tc>
          <w:tcPr>
            <w:tcW w:w="1417" w:type="dxa"/>
          </w:tcPr>
          <w:p w:rsidR="00213A82" w:rsidRPr="00730855" w:rsidRDefault="00213A82" w:rsidP="00730855">
            <w:pPr>
              <w:jc w:val="center"/>
              <w:rPr>
                <w:sz w:val="20"/>
                <w:szCs w:val="20"/>
              </w:rPr>
            </w:pPr>
            <w:r w:rsidRPr="00730855">
              <w:rPr>
                <w:sz w:val="20"/>
                <w:szCs w:val="20"/>
              </w:rPr>
              <w:t>14</w:t>
            </w:r>
          </w:p>
        </w:tc>
      </w:tr>
      <w:tr w:rsidR="00213A82" w:rsidRPr="00730855" w:rsidTr="00213A82">
        <w:tc>
          <w:tcPr>
            <w:tcW w:w="2518" w:type="dxa"/>
          </w:tcPr>
          <w:p w:rsidR="00213A82" w:rsidRPr="003266C9" w:rsidRDefault="00213A82" w:rsidP="002E43A0">
            <w:pPr>
              <w:jc w:val="both"/>
              <w:rPr>
                <w:b/>
                <w:sz w:val="20"/>
                <w:szCs w:val="20"/>
              </w:rPr>
            </w:pPr>
            <w:r w:rsidRPr="003266C9">
              <w:rPr>
                <w:b/>
                <w:sz w:val="20"/>
                <w:szCs w:val="20"/>
              </w:rPr>
              <w:t>África septentrional</w:t>
            </w:r>
          </w:p>
        </w:tc>
        <w:tc>
          <w:tcPr>
            <w:tcW w:w="1418" w:type="dxa"/>
          </w:tcPr>
          <w:p w:rsidR="00213A82" w:rsidRPr="00730855" w:rsidRDefault="00213A82" w:rsidP="00730855">
            <w:pPr>
              <w:jc w:val="center"/>
              <w:rPr>
                <w:sz w:val="20"/>
                <w:szCs w:val="20"/>
              </w:rPr>
            </w:pPr>
            <w:r w:rsidRPr="00730855">
              <w:rPr>
                <w:sz w:val="20"/>
                <w:szCs w:val="20"/>
              </w:rPr>
              <w:t>43</w:t>
            </w:r>
          </w:p>
        </w:tc>
        <w:tc>
          <w:tcPr>
            <w:tcW w:w="1417" w:type="dxa"/>
          </w:tcPr>
          <w:p w:rsidR="00213A82" w:rsidRPr="00730855" w:rsidRDefault="00213A82" w:rsidP="00730855">
            <w:pPr>
              <w:jc w:val="center"/>
              <w:rPr>
                <w:sz w:val="20"/>
                <w:szCs w:val="20"/>
              </w:rPr>
            </w:pPr>
            <w:r w:rsidRPr="00730855">
              <w:rPr>
                <w:sz w:val="20"/>
                <w:szCs w:val="20"/>
              </w:rPr>
              <w:t>22</w:t>
            </w:r>
          </w:p>
        </w:tc>
        <w:tc>
          <w:tcPr>
            <w:tcW w:w="1418" w:type="dxa"/>
          </w:tcPr>
          <w:p w:rsidR="00213A82" w:rsidRPr="00730855" w:rsidRDefault="00213A82" w:rsidP="00730855">
            <w:pPr>
              <w:jc w:val="center"/>
              <w:rPr>
                <w:sz w:val="20"/>
                <w:szCs w:val="20"/>
              </w:rPr>
            </w:pPr>
            <w:r w:rsidRPr="00730855">
              <w:rPr>
                <w:sz w:val="20"/>
                <w:szCs w:val="20"/>
              </w:rPr>
              <w:t>63</w:t>
            </w:r>
          </w:p>
        </w:tc>
        <w:tc>
          <w:tcPr>
            <w:tcW w:w="1417" w:type="dxa"/>
          </w:tcPr>
          <w:p w:rsidR="00213A82" w:rsidRPr="00730855" w:rsidRDefault="00213A82" w:rsidP="00730855">
            <w:pPr>
              <w:jc w:val="center"/>
              <w:rPr>
                <w:sz w:val="20"/>
                <w:szCs w:val="20"/>
              </w:rPr>
            </w:pPr>
            <w:r w:rsidRPr="00730855">
              <w:rPr>
                <w:sz w:val="20"/>
                <w:szCs w:val="20"/>
              </w:rPr>
              <w:t>12</w:t>
            </w:r>
          </w:p>
        </w:tc>
      </w:tr>
      <w:tr w:rsidR="00213A82" w:rsidRPr="00730855" w:rsidTr="00213A82">
        <w:tc>
          <w:tcPr>
            <w:tcW w:w="2518" w:type="dxa"/>
          </w:tcPr>
          <w:p w:rsidR="00213A82" w:rsidRPr="003266C9" w:rsidRDefault="00213A82" w:rsidP="002E43A0">
            <w:pPr>
              <w:jc w:val="both"/>
              <w:rPr>
                <w:b/>
                <w:sz w:val="20"/>
                <w:szCs w:val="20"/>
              </w:rPr>
            </w:pPr>
            <w:r w:rsidRPr="003266C9">
              <w:rPr>
                <w:b/>
                <w:sz w:val="20"/>
                <w:szCs w:val="20"/>
              </w:rPr>
              <w:t>Asia oriental</w:t>
            </w:r>
          </w:p>
        </w:tc>
        <w:tc>
          <w:tcPr>
            <w:tcW w:w="1418" w:type="dxa"/>
          </w:tcPr>
          <w:p w:rsidR="00213A82" w:rsidRPr="00730855" w:rsidRDefault="00213A82" w:rsidP="00730855">
            <w:pPr>
              <w:jc w:val="center"/>
              <w:rPr>
                <w:sz w:val="20"/>
                <w:szCs w:val="20"/>
              </w:rPr>
            </w:pPr>
            <w:r w:rsidRPr="00730855">
              <w:rPr>
                <w:sz w:val="20"/>
                <w:szCs w:val="20"/>
              </w:rPr>
              <w:t>78</w:t>
            </w:r>
          </w:p>
        </w:tc>
        <w:tc>
          <w:tcPr>
            <w:tcW w:w="1417" w:type="dxa"/>
          </w:tcPr>
          <w:p w:rsidR="00213A82" w:rsidRPr="00730855" w:rsidRDefault="00213A82" w:rsidP="00730855">
            <w:pPr>
              <w:jc w:val="center"/>
              <w:rPr>
                <w:sz w:val="20"/>
                <w:szCs w:val="20"/>
              </w:rPr>
            </w:pPr>
            <w:r w:rsidRPr="00730855">
              <w:rPr>
                <w:sz w:val="20"/>
                <w:szCs w:val="20"/>
              </w:rPr>
              <w:t>6</w:t>
            </w:r>
          </w:p>
        </w:tc>
        <w:tc>
          <w:tcPr>
            <w:tcW w:w="1418" w:type="dxa"/>
          </w:tcPr>
          <w:p w:rsidR="00213A82" w:rsidRPr="00730855" w:rsidRDefault="00213A82" w:rsidP="00730855">
            <w:pPr>
              <w:jc w:val="center"/>
              <w:rPr>
                <w:sz w:val="20"/>
                <w:szCs w:val="20"/>
              </w:rPr>
            </w:pPr>
            <w:r w:rsidRPr="00730855">
              <w:rPr>
                <w:sz w:val="20"/>
                <w:szCs w:val="20"/>
              </w:rPr>
              <w:t>84</w:t>
            </w:r>
          </w:p>
        </w:tc>
        <w:tc>
          <w:tcPr>
            <w:tcW w:w="1417" w:type="dxa"/>
          </w:tcPr>
          <w:p w:rsidR="00213A82" w:rsidRPr="00730855" w:rsidRDefault="00213A82" w:rsidP="00730855">
            <w:pPr>
              <w:jc w:val="center"/>
              <w:rPr>
                <w:sz w:val="20"/>
                <w:szCs w:val="20"/>
              </w:rPr>
            </w:pPr>
            <w:r w:rsidRPr="00730855">
              <w:rPr>
                <w:sz w:val="20"/>
                <w:szCs w:val="20"/>
              </w:rPr>
              <w:t>0</w:t>
            </w:r>
          </w:p>
        </w:tc>
      </w:tr>
      <w:tr w:rsidR="00213A82" w:rsidRPr="00730855" w:rsidTr="00213A82">
        <w:tc>
          <w:tcPr>
            <w:tcW w:w="2518" w:type="dxa"/>
          </w:tcPr>
          <w:p w:rsidR="00213A82" w:rsidRPr="003266C9" w:rsidRDefault="00213A82" w:rsidP="002E43A0">
            <w:pPr>
              <w:jc w:val="both"/>
              <w:rPr>
                <w:b/>
                <w:sz w:val="20"/>
                <w:szCs w:val="20"/>
              </w:rPr>
            </w:pPr>
            <w:r w:rsidRPr="003266C9">
              <w:rPr>
                <w:b/>
                <w:sz w:val="20"/>
                <w:szCs w:val="20"/>
              </w:rPr>
              <w:t>Regiones en desarrollo</w:t>
            </w:r>
          </w:p>
        </w:tc>
        <w:tc>
          <w:tcPr>
            <w:tcW w:w="1418" w:type="dxa"/>
          </w:tcPr>
          <w:p w:rsidR="00213A82" w:rsidRPr="00730855" w:rsidRDefault="00213A82" w:rsidP="00730855">
            <w:pPr>
              <w:jc w:val="center"/>
              <w:rPr>
                <w:sz w:val="20"/>
                <w:szCs w:val="20"/>
              </w:rPr>
            </w:pPr>
            <w:r w:rsidRPr="00730855">
              <w:rPr>
                <w:sz w:val="20"/>
                <w:szCs w:val="20"/>
              </w:rPr>
              <w:t>52</w:t>
            </w:r>
          </w:p>
        </w:tc>
        <w:tc>
          <w:tcPr>
            <w:tcW w:w="1417" w:type="dxa"/>
          </w:tcPr>
          <w:p w:rsidR="00213A82" w:rsidRPr="00730855" w:rsidRDefault="00213A82" w:rsidP="00730855">
            <w:pPr>
              <w:jc w:val="center"/>
              <w:rPr>
                <w:sz w:val="20"/>
                <w:szCs w:val="20"/>
              </w:rPr>
            </w:pPr>
            <w:r w:rsidRPr="00730855">
              <w:rPr>
                <w:sz w:val="20"/>
                <w:szCs w:val="20"/>
              </w:rPr>
              <w:t>17</w:t>
            </w:r>
          </w:p>
        </w:tc>
        <w:tc>
          <w:tcPr>
            <w:tcW w:w="1418" w:type="dxa"/>
          </w:tcPr>
          <w:p w:rsidR="00213A82" w:rsidRPr="00730855" w:rsidRDefault="00213A82" w:rsidP="00730855">
            <w:pPr>
              <w:jc w:val="center"/>
              <w:rPr>
                <w:sz w:val="20"/>
                <w:szCs w:val="20"/>
              </w:rPr>
            </w:pPr>
            <w:r w:rsidRPr="00730855">
              <w:rPr>
                <w:sz w:val="20"/>
                <w:szCs w:val="20"/>
              </w:rPr>
              <w:t>63</w:t>
            </w:r>
          </w:p>
        </w:tc>
        <w:tc>
          <w:tcPr>
            <w:tcW w:w="1417" w:type="dxa"/>
          </w:tcPr>
          <w:p w:rsidR="00213A82" w:rsidRPr="00730855" w:rsidRDefault="00213A82" w:rsidP="00730855">
            <w:pPr>
              <w:jc w:val="center"/>
              <w:rPr>
                <w:sz w:val="20"/>
                <w:szCs w:val="20"/>
              </w:rPr>
            </w:pPr>
            <w:r w:rsidRPr="00730855">
              <w:rPr>
                <w:sz w:val="20"/>
                <w:szCs w:val="20"/>
              </w:rPr>
              <w:t>12</w:t>
            </w:r>
          </w:p>
        </w:tc>
      </w:tr>
    </w:tbl>
    <w:p w:rsidR="00213A82" w:rsidRPr="003266C9" w:rsidRDefault="00213A82" w:rsidP="00213A82">
      <w:pPr>
        <w:jc w:val="both"/>
        <w:rPr>
          <w:sz w:val="20"/>
          <w:szCs w:val="20"/>
        </w:rPr>
      </w:pPr>
      <w:r w:rsidRPr="003266C9">
        <w:rPr>
          <w:sz w:val="20"/>
          <w:szCs w:val="20"/>
        </w:rPr>
        <w:t>Fuente: Informe ODM 2014. Elaboración propia</w:t>
      </w:r>
    </w:p>
    <w:p w:rsidR="00DA730A" w:rsidRDefault="00DA730A" w:rsidP="00881667">
      <w:pPr>
        <w:jc w:val="both"/>
        <w:rPr>
          <w:rFonts w:cs="Arial"/>
        </w:rPr>
      </w:pPr>
      <w:r>
        <w:rPr>
          <w:rFonts w:cs="Arial"/>
        </w:rPr>
        <w:t>Para valorar l</w:t>
      </w:r>
      <w:r w:rsidRPr="00FC4C08">
        <w:rPr>
          <w:rFonts w:cs="Arial"/>
        </w:rPr>
        <w:t>a autonomía económica de las mujeres</w:t>
      </w:r>
      <w:r>
        <w:rPr>
          <w:rFonts w:cs="Arial"/>
        </w:rPr>
        <w:t xml:space="preserve"> hay dos ámbitos fundamentales, el acceso al mercado de trabajo y la educación.</w:t>
      </w:r>
      <w:r w:rsidR="001E1976">
        <w:rPr>
          <w:rFonts w:cs="Arial"/>
        </w:rPr>
        <w:t xml:space="preserve"> Si tenemos en cuenta que el índice de paridad de género </w:t>
      </w:r>
      <w:r w:rsidR="003F39A9">
        <w:rPr>
          <w:rFonts w:cs="Arial"/>
        </w:rPr>
        <w:t xml:space="preserve">en la educación </w:t>
      </w:r>
      <w:r w:rsidR="001E1976">
        <w:rPr>
          <w:rFonts w:cs="Arial"/>
        </w:rPr>
        <w:t>se sitúa entre 0,97 y 1,3</w:t>
      </w:r>
      <w:r w:rsidR="006F7878">
        <w:rPr>
          <w:rFonts w:cs="Arial"/>
        </w:rPr>
        <w:t>, los avances más importantes han sido en Asia meridional</w:t>
      </w:r>
      <w:r w:rsidR="00973B90">
        <w:rPr>
          <w:rFonts w:cs="Arial"/>
        </w:rPr>
        <w:t>, donde</w:t>
      </w:r>
      <w:r w:rsidR="006F7878">
        <w:rPr>
          <w:rFonts w:cs="Arial"/>
        </w:rPr>
        <w:t xml:space="preserve"> en </w:t>
      </w:r>
      <w:r w:rsidR="00973B90">
        <w:rPr>
          <w:rFonts w:cs="Arial"/>
        </w:rPr>
        <w:t xml:space="preserve">el año </w:t>
      </w:r>
      <w:r w:rsidR="006F7878">
        <w:rPr>
          <w:rFonts w:cs="Arial"/>
        </w:rPr>
        <w:t>1990 solo 74 niñas de cada 100 accedían a la educación primaria</w:t>
      </w:r>
      <w:r w:rsidR="00973B90">
        <w:rPr>
          <w:rFonts w:cs="Arial"/>
        </w:rPr>
        <w:t xml:space="preserve"> y</w:t>
      </w:r>
      <w:r w:rsidR="006F7878">
        <w:rPr>
          <w:rFonts w:cs="Arial"/>
        </w:rPr>
        <w:t xml:space="preserve"> en el año 2012 la matriculación </w:t>
      </w:r>
      <w:r w:rsidR="00973B90">
        <w:rPr>
          <w:rFonts w:cs="Arial"/>
        </w:rPr>
        <w:t>llega a ser</w:t>
      </w:r>
      <w:r w:rsidR="006F7878">
        <w:rPr>
          <w:rFonts w:cs="Arial"/>
        </w:rPr>
        <w:t xml:space="preserve"> paritaria. En la educación secundaria, Asia meridional con 0,59 y Asia occidental con 0,65 eran las regiones con mayores brechas de género, pero en 2012 consiguen llegar a 0,93 y 0,92 respectivamente</w:t>
      </w:r>
      <w:r w:rsidR="00EA322C">
        <w:rPr>
          <w:rFonts w:cs="Arial"/>
        </w:rPr>
        <w:t xml:space="preserve"> (Tabla 5)</w:t>
      </w:r>
      <w:r w:rsidR="00012195" w:rsidRPr="00012195">
        <w:t xml:space="preserve"> </w:t>
      </w:r>
      <w:r w:rsidR="00012195">
        <w:t>(Naciones Unidas</w:t>
      </w:r>
      <w:r w:rsidR="00973B90">
        <w:t>,</w:t>
      </w:r>
      <w:r w:rsidR="00012195">
        <w:t xml:space="preserve"> 2014)</w:t>
      </w:r>
      <w:r w:rsidR="006F7878">
        <w:rPr>
          <w:rFonts w:cs="Arial"/>
        </w:rPr>
        <w:t>.</w:t>
      </w:r>
    </w:p>
    <w:p w:rsidR="006F7878" w:rsidRDefault="00FF0697" w:rsidP="00881667">
      <w:pPr>
        <w:jc w:val="both"/>
        <w:rPr>
          <w:rFonts w:cs="Arial"/>
        </w:rPr>
      </w:pPr>
      <w:r>
        <w:rPr>
          <w:rFonts w:cs="Arial"/>
        </w:rPr>
        <w:lastRenderedPageBreak/>
        <w:t xml:space="preserve">En cuanto a la educación terciaria, Asia meridional (0,49), Asia oriental (0,49) y África subsahariana en 1990 </w:t>
      </w:r>
      <w:r w:rsidR="00055F99">
        <w:rPr>
          <w:rFonts w:cs="Arial"/>
        </w:rPr>
        <w:t>tenían</w:t>
      </w:r>
      <w:r>
        <w:rPr>
          <w:rFonts w:cs="Arial"/>
        </w:rPr>
        <w:t xml:space="preserve"> las tasas más bajas. En 2012, África subsahariana (0,64) y Asia meridional (0,81), aunque han mejorado siguen manteniendo las cifras más bajas. Sin embargo Asia oriental han conseguido avances importantes alcanzando el 1,08</w:t>
      </w:r>
      <w:r w:rsidR="00EA322C">
        <w:rPr>
          <w:rFonts w:cs="Arial"/>
        </w:rPr>
        <w:t xml:space="preserve"> (Tabla 5)</w:t>
      </w:r>
      <w:r w:rsidR="00012195">
        <w:rPr>
          <w:rFonts w:cs="Arial"/>
        </w:rPr>
        <w:t xml:space="preserve"> </w:t>
      </w:r>
      <w:r w:rsidR="00012195">
        <w:t>(Naciones Unidas 2014)</w:t>
      </w:r>
      <w:r>
        <w:rPr>
          <w:rFonts w:cs="Arial"/>
        </w:rPr>
        <w:t>.</w:t>
      </w:r>
    </w:p>
    <w:p w:rsidR="00EA322C" w:rsidRDefault="00EA322C" w:rsidP="00881667">
      <w:pPr>
        <w:jc w:val="both"/>
        <w:rPr>
          <w:rFonts w:cs="Arial"/>
        </w:rPr>
      </w:pPr>
      <w:r>
        <w:rPr>
          <w:rFonts w:cs="Arial"/>
        </w:rPr>
        <w:t>En enseñanza primaria, las zonas donde no se ha conseguido alcanzar el índice de paridad son: África subsahariana, Oceanía, Asia occidental y África septentrional. E</w:t>
      </w:r>
      <w:r w:rsidR="000F768E">
        <w:rPr>
          <w:rFonts w:cs="Arial"/>
        </w:rPr>
        <w:t>n e</w:t>
      </w:r>
      <w:r>
        <w:rPr>
          <w:rFonts w:cs="Arial"/>
        </w:rPr>
        <w:t xml:space="preserve">l resto de las regiones y </w:t>
      </w:r>
      <w:r w:rsidR="000F768E">
        <w:rPr>
          <w:rFonts w:cs="Arial"/>
        </w:rPr>
        <w:t>en el conjunto de los países en desarrollo</w:t>
      </w:r>
      <w:r>
        <w:rPr>
          <w:rFonts w:cs="Arial"/>
        </w:rPr>
        <w:t xml:space="preserve"> la paridad se consigue. </w:t>
      </w:r>
      <w:r w:rsidR="000F768E">
        <w:rPr>
          <w:rFonts w:cs="Arial"/>
        </w:rPr>
        <w:t>En secundaria, África subsahariana, Oceanía, Asia occidental y Asia meridional tampoco alcanzan la paridad, ni en su conjunto los países en desarrollo. En terciaria África subsahariana, Asia occidental y Asia meridional son las regiones cuyas tasas de matriculación se alejan de la paridad, pero en el conjunto de los países en desarrollo se consigue</w:t>
      </w:r>
      <w:r w:rsidR="00973B90">
        <w:rPr>
          <w:rFonts w:cs="Arial"/>
        </w:rPr>
        <w:t xml:space="preserve"> la paridad</w:t>
      </w:r>
      <w:r w:rsidR="000F768E">
        <w:rPr>
          <w:rFonts w:cs="Arial"/>
        </w:rPr>
        <w:t xml:space="preserve">. </w:t>
      </w:r>
      <w:r w:rsidR="00973B90">
        <w:rPr>
          <w:rFonts w:cs="Arial"/>
        </w:rPr>
        <w:t>E</w:t>
      </w:r>
      <w:r w:rsidR="000F768E">
        <w:rPr>
          <w:rFonts w:cs="Arial"/>
        </w:rPr>
        <w:t>n todas las zonas geográficas los avan</w:t>
      </w:r>
      <w:r w:rsidR="00973B90">
        <w:rPr>
          <w:rFonts w:cs="Arial"/>
        </w:rPr>
        <w:t>ces se han producido y en algunas regiones</w:t>
      </w:r>
      <w:r w:rsidR="000F768E">
        <w:rPr>
          <w:rFonts w:cs="Arial"/>
        </w:rPr>
        <w:t xml:space="preserve"> han sido considerables</w:t>
      </w:r>
      <w:r w:rsidR="00012195">
        <w:rPr>
          <w:rFonts w:cs="Arial"/>
        </w:rPr>
        <w:t xml:space="preserve"> (Naciones Unidas</w:t>
      </w:r>
      <w:r w:rsidR="00973B90">
        <w:rPr>
          <w:rFonts w:cs="Arial"/>
        </w:rPr>
        <w:t>,</w:t>
      </w:r>
      <w:r w:rsidR="00012195">
        <w:rPr>
          <w:rFonts w:cs="Arial"/>
        </w:rPr>
        <w:t xml:space="preserve"> 2014)</w:t>
      </w:r>
      <w:r w:rsidR="000F768E">
        <w:rPr>
          <w:rFonts w:cs="Arial"/>
        </w:rPr>
        <w:t>.</w:t>
      </w:r>
    </w:p>
    <w:p w:rsidR="001E1976" w:rsidRPr="003266C9" w:rsidRDefault="001E1976" w:rsidP="003266C9">
      <w:pPr>
        <w:spacing w:after="120"/>
        <w:contextualSpacing/>
        <w:jc w:val="center"/>
        <w:rPr>
          <w:b/>
          <w:sz w:val="20"/>
          <w:szCs w:val="20"/>
        </w:rPr>
      </w:pPr>
      <w:r w:rsidRPr="003266C9">
        <w:rPr>
          <w:b/>
          <w:sz w:val="20"/>
          <w:szCs w:val="20"/>
        </w:rPr>
        <w:t>Tabla</w:t>
      </w:r>
      <w:r w:rsidR="006F7878" w:rsidRPr="003266C9">
        <w:rPr>
          <w:b/>
          <w:sz w:val="20"/>
          <w:szCs w:val="20"/>
        </w:rPr>
        <w:t xml:space="preserve"> 5</w:t>
      </w:r>
      <w:r w:rsidRPr="003266C9">
        <w:rPr>
          <w:b/>
          <w:sz w:val="20"/>
          <w:szCs w:val="20"/>
        </w:rPr>
        <w:t>: Índice de paridad de género en educación primaria, secundaria y terciaria. Periodo 1990-2012.</w:t>
      </w:r>
    </w:p>
    <w:tbl>
      <w:tblPr>
        <w:tblStyle w:val="Tablaconcuadrcula"/>
        <w:tblW w:w="0" w:type="auto"/>
        <w:tblLook w:val="04A0" w:firstRow="1" w:lastRow="0" w:firstColumn="1" w:lastColumn="0" w:noHBand="0" w:noVBand="1"/>
      </w:tblPr>
      <w:tblGrid>
        <w:gridCol w:w="2235"/>
        <w:gridCol w:w="1134"/>
        <w:gridCol w:w="1134"/>
        <w:gridCol w:w="1134"/>
        <w:gridCol w:w="1134"/>
        <w:gridCol w:w="1275"/>
        <w:gridCol w:w="1134"/>
      </w:tblGrid>
      <w:tr w:rsidR="001E1976" w:rsidRPr="003266C9" w:rsidTr="003266C9">
        <w:tc>
          <w:tcPr>
            <w:tcW w:w="2235" w:type="dxa"/>
            <w:shd w:val="clear" w:color="auto" w:fill="D9D9D9" w:themeFill="background1" w:themeFillShade="D9"/>
          </w:tcPr>
          <w:p w:rsidR="001E1976" w:rsidRPr="003266C9" w:rsidRDefault="001E1976" w:rsidP="002E43A0">
            <w:pPr>
              <w:contextualSpacing/>
              <w:jc w:val="both"/>
              <w:rPr>
                <w:b/>
                <w:sz w:val="20"/>
                <w:szCs w:val="20"/>
              </w:rPr>
            </w:pPr>
          </w:p>
        </w:tc>
        <w:tc>
          <w:tcPr>
            <w:tcW w:w="3402" w:type="dxa"/>
            <w:gridSpan w:val="3"/>
            <w:shd w:val="clear" w:color="auto" w:fill="D9D9D9" w:themeFill="background1" w:themeFillShade="D9"/>
          </w:tcPr>
          <w:p w:rsidR="001E1976" w:rsidRPr="003266C9" w:rsidRDefault="001E1976" w:rsidP="00D04127">
            <w:pPr>
              <w:contextualSpacing/>
              <w:jc w:val="center"/>
              <w:rPr>
                <w:b/>
                <w:sz w:val="20"/>
                <w:szCs w:val="20"/>
              </w:rPr>
            </w:pPr>
            <w:r w:rsidRPr="003266C9">
              <w:rPr>
                <w:b/>
                <w:sz w:val="20"/>
                <w:szCs w:val="20"/>
              </w:rPr>
              <w:t>1990</w:t>
            </w:r>
          </w:p>
        </w:tc>
        <w:tc>
          <w:tcPr>
            <w:tcW w:w="3543" w:type="dxa"/>
            <w:gridSpan w:val="3"/>
            <w:shd w:val="clear" w:color="auto" w:fill="D9D9D9" w:themeFill="background1" w:themeFillShade="D9"/>
          </w:tcPr>
          <w:p w:rsidR="001E1976" w:rsidRPr="003266C9" w:rsidRDefault="001E1976" w:rsidP="00D04127">
            <w:pPr>
              <w:contextualSpacing/>
              <w:jc w:val="center"/>
              <w:rPr>
                <w:b/>
                <w:sz w:val="20"/>
                <w:szCs w:val="20"/>
              </w:rPr>
            </w:pPr>
            <w:r w:rsidRPr="003266C9">
              <w:rPr>
                <w:b/>
                <w:sz w:val="20"/>
                <w:szCs w:val="20"/>
              </w:rPr>
              <w:t>2012</w:t>
            </w:r>
          </w:p>
        </w:tc>
      </w:tr>
      <w:tr w:rsidR="002E767D" w:rsidRPr="003266C9" w:rsidTr="003266C9">
        <w:tc>
          <w:tcPr>
            <w:tcW w:w="2235" w:type="dxa"/>
            <w:shd w:val="clear" w:color="auto" w:fill="D9D9D9" w:themeFill="background1" w:themeFillShade="D9"/>
          </w:tcPr>
          <w:p w:rsidR="001E1976" w:rsidRPr="003266C9" w:rsidRDefault="001E1976" w:rsidP="002E43A0">
            <w:pPr>
              <w:jc w:val="both"/>
              <w:rPr>
                <w:b/>
                <w:sz w:val="20"/>
                <w:szCs w:val="20"/>
              </w:rPr>
            </w:pPr>
          </w:p>
        </w:tc>
        <w:tc>
          <w:tcPr>
            <w:tcW w:w="1134" w:type="dxa"/>
            <w:shd w:val="clear" w:color="auto" w:fill="D9D9D9" w:themeFill="background1" w:themeFillShade="D9"/>
          </w:tcPr>
          <w:p w:rsidR="001E1976" w:rsidRPr="003266C9" w:rsidRDefault="00D04127" w:rsidP="00D04127">
            <w:pPr>
              <w:jc w:val="center"/>
              <w:rPr>
                <w:b/>
                <w:sz w:val="20"/>
                <w:szCs w:val="20"/>
              </w:rPr>
            </w:pPr>
            <w:r w:rsidRPr="003266C9">
              <w:rPr>
                <w:b/>
                <w:sz w:val="20"/>
                <w:szCs w:val="20"/>
              </w:rPr>
              <w:t>*</w:t>
            </w:r>
            <w:r w:rsidR="001E1976" w:rsidRPr="003266C9">
              <w:rPr>
                <w:b/>
                <w:sz w:val="20"/>
                <w:szCs w:val="20"/>
              </w:rPr>
              <w:t>Ed. Prim.</w:t>
            </w:r>
          </w:p>
        </w:tc>
        <w:tc>
          <w:tcPr>
            <w:tcW w:w="1134" w:type="dxa"/>
            <w:shd w:val="clear" w:color="auto" w:fill="D9D9D9" w:themeFill="background1" w:themeFillShade="D9"/>
          </w:tcPr>
          <w:p w:rsidR="001E1976" w:rsidRPr="003266C9" w:rsidRDefault="00D04127" w:rsidP="00D04127">
            <w:pPr>
              <w:jc w:val="center"/>
              <w:rPr>
                <w:b/>
                <w:sz w:val="20"/>
                <w:szCs w:val="20"/>
              </w:rPr>
            </w:pPr>
            <w:r w:rsidRPr="003266C9">
              <w:rPr>
                <w:b/>
                <w:sz w:val="20"/>
                <w:szCs w:val="20"/>
              </w:rPr>
              <w:t>*</w:t>
            </w:r>
            <w:r w:rsidR="001E1976" w:rsidRPr="003266C9">
              <w:rPr>
                <w:b/>
                <w:sz w:val="20"/>
                <w:szCs w:val="20"/>
              </w:rPr>
              <w:t xml:space="preserve">Ed. </w:t>
            </w:r>
            <w:proofErr w:type="spellStart"/>
            <w:r w:rsidR="001E1976" w:rsidRPr="003266C9">
              <w:rPr>
                <w:b/>
                <w:sz w:val="20"/>
                <w:szCs w:val="20"/>
              </w:rPr>
              <w:t>Secu</w:t>
            </w:r>
            <w:proofErr w:type="spellEnd"/>
            <w:r w:rsidR="001E1976" w:rsidRPr="003266C9">
              <w:rPr>
                <w:b/>
                <w:sz w:val="20"/>
                <w:szCs w:val="20"/>
              </w:rPr>
              <w:t>.</w:t>
            </w:r>
          </w:p>
        </w:tc>
        <w:tc>
          <w:tcPr>
            <w:tcW w:w="1134" w:type="dxa"/>
            <w:shd w:val="clear" w:color="auto" w:fill="D9D9D9" w:themeFill="background1" w:themeFillShade="D9"/>
          </w:tcPr>
          <w:p w:rsidR="001E1976" w:rsidRPr="003266C9" w:rsidRDefault="00D04127" w:rsidP="00D04127">
            <w:pPr>
              <w:jc w:val="center"/>
              <w:rPr>
                <w:b/>
                <w:sz w:val="20"/>
                <w:szCs w:val="20"/>
              </w:rPr>
            </w:pPr>
            <w:r w:rsidRPr="003266C9">
              <w:rPr>
                <w:b/>
                <w:sz w:val="20"/>
                <w:szCs w:val="20"/>
              </w:rPr>
              <w:t>*</w:t>
            </w:r>
            <w:r w:rsidR="001E1976" w:rsidRPr="003266C9">
              <w:rPr>
                <w:b/>
                <w:sz w:val="20"/>
                <w:szCs w:val="20"/>
              </w:rPr>
              <w:t xml:space="preserve">Ed. </w:t>
            </w:r>
            <w:proofErr w:type="spellStart"/>
            <w:r w:rsidR="001E1976" w:rsidRPr="003266C9">
              <w:rPr>
                <w:b/>
                <w:sz w:val="20"/>
                <w:szCs w:val="20"/>
              </w:rPr>
              <w:t>Terc</w:t>
            </w:r>
            <w:proofErr w:type="spellEnd"/>
            <w:r w:rsidR="001E1976" w:rsidRPr="003266C9">
              <w:rPr>
                <w:b/>
                <w:sz w:val="20"/>
                <w:szCs w:val="20"/>
              </w:rPr>
              <w:t>.</w:t>
            </w:r>
          </w:p>
        </w:tc>
        <w:tc>
          <w:tcPr>
            <w:tcW w:w="1134" w:type="dxa"/>
            <w:shd w:val="clear" w:color="auto" w:fill="D9D9D9" w:themeFill="background1" w:themeFillShade="D9"/>
          </w:tcPr>
          <w:p w:rsidR="001E1976" w:rsidRPr="003266C9" w:rsidRDefault="00D04127" w:rsidP="00D04127">
            <w:pPr>
              <w:jc w:val="center"/>
              <w:rPr>
                <w:b/>
                <w:sz w:val="20"/>
                <w:szCs w:val="20"/>
              </w:rPr>
            </w:pPr>
            <w:r w:rsidRPr="003266C9">
              <w:rPr>
                <w:b/>
                <w:sz w:val="20"/>
                <w:szCs w:val="20"/>
              </w:rPr>
              <w:t>*</w:t>
            </w:r>
            <w:r w:rsidR="001E1976" w:rsidRPr="003266C9">
              <w:rPr>
                <w:b/>
                <w:sz w:val="20"/>
                <w:szCs w:val="20"/>
              </w:rPr>
              <w:t>Ed. Prim.</w:t>
            </w:r>
          </w:p>
        </w:tc>
        <w:tc>
          <w:tcPr>
            <w:tcW w:w="1275" w:type="dxa"/>
            <w:shd w:val="clear" w:color="auto" w:fill="D9D9D9" w:themeFill="background1" w:themeFillShade="D9"/>
          </w:tcPr>
          <w:p w:rsidR="001E1976" w:rsidRPr="003266C9" w:rsidRDefault="00D04127" w:rsidP="00D04127">
            <w:pPr>
              <w:jc w:val="center"/>
              <w:rPr>
                <w:b/>
                <w:sz w:val="20"/>
                <w:szCs w:val="20"/>
              </w:rPr>
            </w:pPr>
            <w:r w:rsidRPr="003266C9">
              <w:rPr>
                <w:b/>
                <w:sz w:val="20"/>
                <w:szCs w:val="20"/>
              </w:rPr>
              <w:t>*</w:t>
            </w:r>
            <w:r w:rsidR="001E1976" w:rsidRPr="003266C9">
              <w:rPr>
                <w:b/>
                <w:sz w:val="20"/>
                <w:szCs w:val="20"/>
              </w:rPr>
              <w:t xml:space="preserve">Ed. </w:t>
            </w:r>
            <w:proofErr w:type="spellStart"/>
            <w:r w:rsidR="001E1976" w:rsidRPr="003266C9">
              <w:rPr>
                <w:b/>
                <w:sz w:val="20"/>
                <w:szCs w:val="20"/>
              </w:rPr>
              <w:t>Secun</w:t>
            </w:r>
            <w:proofErr w:type="spellEnd"/>
            <w:r w:rsidR="001E1976" w:rsidRPr="003266C9">
              <w:rPr>
                <w:b/>
                <w:sz w:val="20"/>
                <w:szCs w:val="20"/>
              </w:rPr>
              <w:t>.</w:t>
            </w:r>
          </w:p>
        </w:tc>
        <w:tc>
          <w:tcPr>
            <w:tcW w:w="1134" w:type="dxa"/>
            <w:shd w:val="clear" w:color="auto" w:fill="D9D9D9" w:themeFill="background1" w:themeFillShade="D9"/>
          </w:tcPr>
          <w:p w:rsidR="001E1976" w:rsidRPr="003266C9" w:rsidRDefault="00D04127" w:rsidP="00D04127">
            <w:pPr>
              <w:jc w:val="center"/>
              <w:rPr>
                <w:b/>
                <w:sz w:val="20"/>
                <w:szCs w:val="20"/>
              </w:rPr>
            </w:pPr>
            <w:r w:rsidRPr="003266C9">
              <w:rPr>
                <w:b/>
                <w:sz w:val="20"/>
                <w:szCs w:val="20"/>
              </w:rPr>
              <w:t>*</w:t>
            </w:r>
            <w:r w:rsidR="001E1976" w:rsidRPr="003266C9">
              <w:rPr>
                <w:b/>
                <w:sz w:val="20"/>
                <w:szCs w:val="20"/>
              </w:rPr>
              <w:t xml:space="preserve">Ed. </w:t>
            </w:r>
            <w:proofErr w:type="spellStart"/>
            <w:r w:rsidR="001E1976" w:rsidRPr="003266C9">
              <w:rPr>
                <w:b/>
                <w:sz w:val="20"/>
                <w:szCs w:val="20"/>
              </w:rPr>
              <w:t>Terc</w:t>
            </w:r>
            <w:proofErr w:type="spellEnd"/>
            <w:r w:rsidR="001E1976" w:rsidRPr="003266C9">
              <w:rPr>
                <w:b/>
                <w:sz w:val="20"/>
                <w:szCs w:val="20"/>
              </w:rPr>
              <w:t>.</w:t>
            </w:r>
          </w:p>
        </w:tc>
      </w:tr>
      <w:tr w:rsidR="002E767D" w:rsidRPr="00D04127" w:rsidTr="00D04127">
        <w:tc>
          <w:tcPr>
            <w:tcW w:w="2235" w:type="dxa"/>
          </w:tcPr>
          <w:p w:rsidR="001E1976" w:rsidRPr="003266C9" w:rsidRDefault="001E1976" w:rsidP="002E43A0">
            <w:pPr>
              <w:jc w:val="both"/>
              <w:rPr>
                <w:b/>
                <w:sz w:val="20"/>
                <w:szCs w:val="20"/>
              </w:rPr>
            </w:pPr>
            <w:r w:rsidRPr="003266C9">
              <w:rPr>
                <w:b/>
                <w:sz w:val="20"/>
                <w:szCs w:val="20"/>
              </w:rPr>
              <w:t>África subsahariana</w:t>
            </w:r>
          </w:p>
        </w:tc>
        <w:tc>
          <w:tcPr>
            <w:tcW w:w="1134" w:type="dxa"/>
          </w:tcPr>
          <w:p w:rsidR="001E1976" w:rsidRPr="00D04127" w:rsidRDefault="002E767D" w:rsidP="00D04127">
            <w:pPr>
              <w:jc w:val="center"/>
              <w:rPr>
                <w:sz w:val="20"/>
                <w:szCs w:val="20"/>
              </w:rPr>
            </w:pPr>
            <w:r w:rsidRPr="00D04127">
              <w:rPr>
                <w:sz w:val="20"/>
                <w:szCs w:val="20"/>
              </w:rPr>
              <w:t>0,83</w:t>
            </w:r>
          </w:p>
        </w:tc>
        <w:tc>
          <w:tcPr>
            <w:tcW w:w="1134" w:type="dxa"/>
          </w:tcPr>
          <w:p w:rsidR="001E1976" w:rsidRPr="00D04127" w:rsidRDefault="002E767D" w:rsidP="00D04127">
            <w:pPr>
              <w:jc w:val="center"/>
              <w:rPr>
                <w:sz w:val="20"/>
                <w:szCs w:val="20"/>
              </w:rPr>
            </w:pPr>
            <w:r w:rsidRPr="00D04127">
              <w:rPr>
                <w:sz w:val="20"/>
                <w:szCs w:val="20"/>
              </w:rPr>
              <w:t>0,76</w:t>
            </w:r>
          </w:p>
        </w:tc>
        <w:tc>
          <w:tcPr>
            <w:tcW w:w="1134" w:type="dxa"/>
          </w:tcPr>
          <w:p w:rsidR="001E1976" w:rsidRPr="00D04127" w:rsidRDefault="002E767D" w:rsidP="00D04127">
            <w:pPr>
              <w:jc w:val="center"/>
              <w:rPr>
                <w:sz w:val="20"/>
                <w:szCs w:val="20"/>
              </w:rPr>
            </w:pPr>
            <w:r w:rsidRPr="00D04127">
              <w:rPr>
                <w:sz w:val="20"/>
                <w:szCs w:val="20"/>
              </w:rPr>
              <w:t>0,52</w:t>
            </w:r>
          </w:p>
        </w:tc>
        <w:tc>
          <w:tcPr>
            <w:tcW w:w="1134" w:type="dxa"/>
          </w:tcPr>
          <w:p w:rsidR="001E1976" w:rsidRPr="00D04127" w:rsidRDefault="002E767D" w:rsidP="00D04127">
            <w:pPr>
              <w:jc w:val="center"/>
              <w:rPr>
                <w:sz w:val="20"/>
                <w:szCs w:val="20"/>
              </w:rPr>
            </w:pPr>
            <w:r w:rsidRPr="00D04127">
              <w:rPr>
                <w:sz w:val="20"/>
                <w:szCs w:val="20"/>
              </w:rPr>
              <w:t>0,92</w:t>
            </w:r>
          </w:p>
        </w:tc>
        <w:tc>
          <w:tcPr>
            <w:tcW w:w="1275" w:type="dxa"/>
          </w:tcPr>
          <w:p w:rsidR="001E1976" w:rsidRPr="00D04127" w:rsidRDefault="002E767D" w:rsidP="00D04127">
            <w:pPr>
              <w:jc w:val="center"/>
              <w:rPr>
                <w:sz w:val="20"/>
                <w:szCs w:val="20"/>
              </w:rPr>
            </w:pPr>
            <w:r w:rsidRPr="00D04127">
              <w:rPr>
                <w:sz w:val="20"/>
                <w:szCs w:val="20"/>
              </w:rPr>
              <w:t>0,84</w:t>
            </w:r>
          </w:p>
        </w:tc>
        <w:tc>
          <w:tcPr>
            <w:tcW w:w="1134" w:type="dxa"/>
          </w:tcPr>
          <w:p w:rsidR="001E1976" w:rsidRPr="00D04127" w:rsidRDefault="002E767D" w:rsidP="00D04127">
            <w:pPr>
              <w:jc w:val="center"/>
              <w:rPr>
                <w:sz w:val="20"/>
                <w:szCs w:val="20"/>
              </w:rPr>
            </w:pPr>
            <w:r w:rsidRPr="00D04127">
              <w:rPr>
                <w:sz w:val="20"/>
                <w:szCs w:val="20"/>
              </w:rPr>
              <w:t>0,64</w:t>
            </w:r>
          </w:p>
        </w:tc>
      </w:tr>
      <w:tr w:rsidR="002E767D" w:rsidRPr="00D04127" w:rsidTr="00D04127">
        <w:tc>
          <w:tcPr>
            <w:tcW w:w="2235" w:type="dxa"/>
          </w:tcPr>
          <w:p w:rsidR="001E1976" w:rsidRPr="003266C9" w:rsidRDefault="001E1976" w:rsidP="002E43A0">
            <w:pPr>
              <w:jc w:val="both"/>
              <w:rPr>
                <w:b/>
                <w:sz w:val="20"/>
                <w:szCs w:val="20"/>
              </w:rPr>
            </w:pPr>
            <w:r w:rsidRPr="003266C9">
              <w:rPr>
                <w:b/>
                <w:sz w:val="20"/>
                <w:szCs w:val="20"/>
              </w:rPr>
              <w:t>América Latina y Caribe</w:t>
            </w:r>
          </w:p>
        </w:tc>
        <w:tc>
          <w:tcPr>
            <w:tcW w:w="1134" w:type="dxa"/>
          </w:tcPr>
          <w:p w:rsidR="001E1976" w:rsidRPr="00D04127" w:rsidRDefault="002E767D" w:rsidP="00D04127">
            <w:pPr>
              <w:jc w:val="center"/>
              <w:rPr>
                <w:sz w:val="20"/>
                <w:szCs w:val="20"/>
              </w:rPr>
            </w:pPr>
            <w:r w:rsidRPr="00D04127">
              <w:rPr>
                <w:sz w:val="20"/>
                <w:szCs w:val="20"/>
              </w:rPr>
              <w:t>0,97</w:t>
            </w:r>
          </w:p>
        </w:tc>
        <w:tc>
          <w:tcPr>
            <w:tcW w:w="1134" w:type="dxa"/>
          </w:tcPr>
          <w:p w:rsidR="001E1976" w:rsidRPr="00D04127" w:rsidRDefault="002E767D" w:rsidP="00D04127">
            <w:pPr>
              <w:jc w:val="center"/>
              <w:rPr>
                <w:sz w:val="20"/>
                <w:szCs w:val="20"/>
              </w:rPr>
            </w:pPr>
            <w:r w:rsidRPr="00D04127">
              <w:rPr>
                <w:sz w:val="20"/>
                <w:szCs w:val="20"/>
              </w:rPr>
              <w:t>1,06</w:t>
            </w:r>
          </w:p>
        </w:tc>
        <w:tc>
          <w:tcPr>
            <w:tcW w:w="1134" w:type="dxa"/>
          </w:tcPr>
          <w:p w:rsidR="001E1976" w:rsidRPr="00D04127" w:rsidRDefault="002E767D" w:rsidP="00D04127">
            <w:pPr>
              <w:jc w:val="center"/>
              <w:rPr>
                <w:sz w:val="20"/>
                <w:szCs w:val="20"/>
              </w:rPr>
            </w:pPr>
            <w:r w:rsidRPr="00D04127">
              <w:rPr>
                <w:sz w:val="20"/>
                <w:szCs w:val="20"/>
              </w:rPr>
              <w:t>0,97</w:t>
            </w:r>
          </w:p>
        </w:tc>
        <w:tc>
          <w:tcPr>
            <w:tcW w:w="1134" w:type="dxa"/>
          </w:tcPr>
          <w:p w:rsidR="001E1976" w:rsidRPr="00D04127" w:rsidRDefault="002E767D" w:rsidP="00D04127">
            <w:pPr>
              <w:jc w:val="center"/>
              <w:rPr>
                <w:sz w:val="20"/>
                <w:szCs w:val="20"/>
              </w:rPr>
            </w:pPr>
            <w:r w:rsidRPr="00D04127">
              <w:rPr>
                <w:sz w:val="20"/>
                <w:szCs w:val="20"/>
              </w:rPr>
              <w:t>0,99</w:t>
            </w:r>
          </w:p>
        </w:tc>
        <w:tc>
          <w:tcPr>
            <w:tcW w:w="1275" w:type="dxa"/>
          </w:tcPr>
          <w:p w:rsidR="001E1976" w:rsidRPr="00D04127" w:rsidRDefault="002E767D" w:rsidP="00D04127">
            <w:pPr>
              <w:jc w:val="center"/>
              <w:rPr>
                <w:sz w:val="20"/>
                <w:szCs w:val="20"/>
              </w:rPr>
            </w:pPr>
            <w:r w:rsidRPr="00D04127">
              <w:rPr>
                <w:sz w:val="20"/>
                <w:szCs w:val="20"/>
              </w:rPr>
              <w:t>1,07</w:t>
            </w:r>
          </w:p>
        </w:tc>
        <w:tc>
          <w:tcPr>
            <w:tcW w:w="1134" w:type="dxa"/>
          </w:tcPr>
          <w:p w:rsidR="001E1976" w:rsidRPr="00D04127" w:rsidRDefault="006F7878" w:rsidP="00D04127">
            <w:pPr>
              <w:jc w:val="center"/>
              <w:rPr>
                <w:sz w:val="20"/>
                <w:szCs w:val="20"/>
              </w:rPr>
            </w:pPr>
            <w:r w:rsidRPr="00D04127">
              <w:rPr>
                <w:sz w:val="20"/>
                <w:szCs w:val="20"/>
              </w:rPr>
              <w:t>1,28</w:t>
            </w:r>
          </w:p>
        </w:tc>
      </w:tr>
      <w:tr w:rsidR="002E767D" w:rsidRPr="00D04127" w:rsidTr="00D04127">
        <w:tc>
          <w:tcPr>
            <w:tcW w:w="2235" w:type="dxa"/>
          </w:tcPr>
          <w:p w:rsidR="001E1976" w:rsidRPr="003266C9" w:rsidRDefault="001E1976" w:rsidP="002E43A0">
            <w:pPr>
              <w:jc w:val="both"/>
              <w:rPr>
                <w:b/>
                <w:sz w:val="20"/>
                <w:szCs w:val="20"/>
              </w:rPr>
            </w:pPr>
            <w:r w:rsidRPr="003266C9">
              <w:rPr>
                <w:b/>
                <w:sz w:val="20"/>
                <w:szCs w:val="20"/>
              </w:rPr>
              <w:t>Oceanía</w:t>
            </w:r>
          </w:p>
        </w:tc>
        <w:tc>
          <w:tcPr>
            <w:tcW w:w="1134" w:type="dxa"/>
          </w:tcPr>
          <w:p w:rsidR="001E1976" w:rsidRPr="00D04127" w:rsidRDefault="002E767D" w:rsidP="00D04127">
            <w:pPr>
              <w:jc w:val="center"/>
              <w:rPr>
                <w:sz w:val="20"/>
                <w:szCs w:val="20"/>
              </w:rPr>
            </w:pPr>
            <w:r w:rsidRPr="00D04127">
              <w:rPr>
                <w:sz w:val="20"/>
                <w:szCs w:val="20"/>
              </w:rPr>
              <w:t>0,89</w:t>
            </w:r>
          </w:p>
        </w:tc>
        <w:tc>
          <w:tcPr>
            <w:tcW w:w="1134" w:type="dxa"/>
          </w:tcPr>
          <w:p w:rsidR="001E1976" w:rsidRPr="00D04127" w:rsidRDefault="002E767D" w:rsidP="00D04127">
            <w:pPr>
              <w:jc w:val="center"/>
              <w:rPr>
                <w:sz w:val="20"/>
                <w:szCs w:val="20"/>
              </w:rPr>
            </w:pPr>
            <w:r w:rsidRPr="00D04127">
              <w:rPr>
                <w:sz w:val="20"/>
                <w:szCs w:val="20"/>
              </w:rPr>
              <w:t>0,86</w:t>
            </w:r>
          </w:p>
        </w:tc>
        <w:tc>
          <w:tcPr>
            <w:tcW w:w="1134" w:type="dxa"/>
          </w:tcPr>
          <w:p w:rsidR="001E1976" w:rsidRPr="00D04127" w:rsidRDefault="002E767D" w:rsidP="00D04127">
            <w:pPr>
              <w:jc w:val="center"/>
              <w:rPr>
                <w:sz w:val="20"/>
                <w:szCs w:val="20"/>
              </w:rPr>
            </w:pPr>
            <w:r w:rsidRPr="00D04127">
              <w:rPr>
                <w:sz w:val="20"/>
                <w:szCs w:val="20"/>
              </w:rPr>
              <w:t>----</w:t>
            </w:r>
          </w:p>
        </w:tc>
        <w:tc>
          <w:tcPr>
            <w:tcW w:w="1134" w:type="dxa"/>
          </w:tcPr>
          <w:p w:rsidR="001E1976" w:rsidRPr="00D04127" w:rsidRDefault="002E767D" w:rsidP="00D04127">
            <w:pPr>
              <w:jc w:val="center"/>
              <w:rPr>
                <w:sz w:val="20"/>
                <w:szCs w:val="20"/>
              </w:rPr>
            </w:pPr>
            <w:r w:rsidRPr="00D04127">
              <w:rPr>
                <w:sz w:val="20"/>
                <w:szCs w:val="20"/>
              </w:rPr>
              <w:t>0,93</w:t>
            </w:r>
          </w:p>
        </w:tc>
        <w:tc>
          <w:tcPr>
            <w:tcW w:w="1275" w:type="dxa"/>
          </w:tcPr>
          <w:p w:rsidR="001E1976" w:rsidRPr="00D04127" w:rsidRDefault="002E767D" w:rsidP="00D04127">
            <w:pPr>
              <w:jc w:val="center"/>
              <w:rPr>
                <w:sz w:val="20"/>
                <w:szCs w:val="20"/>
              </w:rPr>
            </w:pPr>
            <w:r w:rsidRPr="00D04127">
              <w:rPr>
                <w:sz w:val="20"/>
                <w:szCs w:val="20"/>
              </w:rPr>
              <w:t>0,87</w:t>
            </w:r>
          </w:p>
        </w:tc>
        <w:tc>
          <w:tcPr>
            <w:tcW w:w="1134" w:type="dxa"/>
          </w:tcPr>
          <w:p w:rsidR="001E1976" w:rsidRPr="00D04127" w:rsidRDefault="002E767D" w:rsidP="00D04127">
            <w:pPr>
              <w:jc w:val="center"/>
              <w:rPr>
                <w:sz w:val="20"/>
                <w:szCs w:val="20"/>
              </w:rPr>
            </w:pPr>
            <w:r w:rsidRPr="00D04127">
              <w:rPr>
                <w:sz w:val="20"/>
                <w:szCs w:val="20"/>
              </w:rPr>
              <w:t>---</w:t>
            </w:r>
          </w:p>
        </w:tc>
      </w:tr>
      <w:tr w:rsidR="002E767D" w:rsidRPr="00D04127" w:rsidTr="00D04127">
        <w:tc>
          <w:tcPr>
            <w:tcW w:w="2235" w:type="dxa"/>
          </w:tcPr>
          <w:p w:rsidR="001E1976" w:rsidRPr="003266C9" w:rsidRDefault="001E1976" w:rsidP="002E43A0">
            <w:pPr>
              <w:jc w:val="both"/>
              <w:rPr>
                <w:b/>
                <w:sz w:val="20"/>
                <w:szCs w:val="20"/>
              </w:rPr>
            </w:pPr>
            <w:r w:rsidRPr="003266C9">
              <w:rPr>
                <w:b/>
                <w:sz w:val="20"/>
                <w:szCs w:val="20"/>
              </w:rPr>
              <w:t>Asia meridional</w:t>
            </w:r>
          </w:p>
        </w:tc>
        <w:tc>
          <w:tcPr>
            <w:tcW w:w="1134" w:type="dxa"/>
          </w:tcPr>
          <w:p w:rsidR="001E1976" w:rsidRPr="00D04127" w:rsidRDefault="002E767D" w:rsidP="00D04127">
            <w:pPr>
              <w:jc w:val="center"/>
              <w:rPr>
                <w:sz w:val="20"/>
                <w:szCs w:val="20"/>
              </w:rPr>
            </w:pPr>
            <w:r w:rsidRPr="00D04127">
              <w:rPr>
                <w:sz w:val="20"/>
                <w:szCs w:val="20"/>
              </w:rPr>
              <w:t>0,74</w:t>
            </w:r>
          </w:p>
        </w:tc>
        <w:tc>
          <w:tcPr>
            <w:tcW w:w="1134" w:type="dxa"/>
          </w:tcPr>
          <w:p w:rsidR="001E1976" w:rsidRPr="00D04127" w:rsidRDefault="002E767D" w:rsidP="00D04127">
            <w:pPr>
              <w:jc w:val="center"/>
              <w:rPr>
                <w:sz w:val="20"/>
                <w:szCs w:val="20"/>
              </w:rPr>
            </w:pPr>
            <w:r w:rsidRPr="00D04127">
              <w:rPr>
                <w:sz w:val="20"/>
                <w:szCs w:val="20"/>
              </w:rPr>
              <w:t>0,59</w:t>
            </w:r>
          </w:p>
        </w:tc>
        <w:tc>
          <w:tcPr>
            <w:tcW w:w="1134" w:type="dxa"/>
          </w:tcPr>
          <w:p w:rsidR="001E1976" w:rsidRPr="00D04127" w:rsidRDefault="006F7878" w:rsidP="00D04127">
            <w:pPr>
              <w:jc w:val="center"/>
              <w:rPr>
                <w:sz w:val="20"/>
                <w:szCs w:val="20"/>
              </w:rPr>
            </w:pPr>
            <w:r w:rsidRPr="00D04127">
              <w:rPr>
                <w:sz w:val="20"/>
                <w:szCs w:val="20"/>
              </w:rPr>
              <w:t>0,49</w:t>
            </w:r>
          </w:p>
        </w:tc>
        <w:tc>
          <w:tcPr>
            <w:tcW w:w="1134" w:type="dxa"/>
          </w:tcPr>
          <w:p w:rsidR="001E1976" w:rsidRPr="00D04127" w:rsidRDefault="002E767D" w:rsidP="00D04127">
            <w:pPr>
              <w:jc w:val="center"/>
              <w:rPr>
                <w:sz w:val="20"/>
                <w:szCs w:val="20"/>
              </w:rPr>
            </w:pPr>
            <w:r w:rsidRPr="00D04127">
              <w:rPr>
                <w:sz w:val="20"/>
                <w:szCs w:val="20"/>
              </w:rPr>
              <w:t>1,00</w:t>
            </w:r>
          </w:p>
        </w:tc>
        <w:tc>
          <w:tcPr>
            <w:tcW w:w="1275" w:type="dxa"/>
          </w:tcPr>
          <w:p w:rsidR="001E1976" w:rsidRPr="00D04127" w:rsidRDefault="002E767D" w:rsidP="00D04127">
            <w:pPr>
              <w:jc w:val="center"/>
              <w:rPr>
                <w:sz w:val="20"/>
                <w:szCs w:val="20"/>
              </w:rPr>
            </w:pPr>
            <w:r w:rsidRPr="00D04127">
              <w:rPr>
                <w:sz w:val="20"/>
                <w:szCs w:val="20"/>
              </w:rPr>
              <w:t>0,93</w:t>
            </w:r>
          </w:p>
        </w:tc>
        <w:tc>
          <w:tcPr>
            <w:tcW w:w="1134" w:type="dxa"/>
          </w:tcPr>
          <w:p w:rsidR="001E1976" w:rsidRPr="00D04127" w:rsidRDefault="006F7878" w:rsidP="00D04127">
            <w:pPr>
              <w:jc w:val="center"/>
              <w:rPr>
                <w:sz w:val="20"/>
                <w:szCs w:val="20"/>
              </w:rPr>
            </w:pPr>
            <w:r w:rsidRPr="00D04127">
              <w:rPr>
                <w:sz w:val="20"/>
                <w:szCs w:val="20"/>
              </w:rPr>
              <w:t>0,81</w:t>
            </w:r>
          </w:p>
        </w:tc>
      </w:tr>
      <w:tr w:rsidR="002E767D" w:rsidRPr="00D04127" w:rsidTr="00D04127">
        <w:tc>
          <w:tcPr>
            <w:tcW w:w="2235" w:type="dxa"/>
          </w:tcPr>
          <w:p w:rsidR="001E1976" w:rsidRPr="003266C9" w:rsidRDefault="001E1976" w:rsidP="002E43A0">
            <w:pPr>
              <w:jc w:val="both"/>
              <w:rPr>
                <w:b/>
                <w:sz w:val="20"/>
                <w:szCs w:val="20"/>
              </w:rPr>
            </w:pPr>
            <w:r w:rsidRPr="003266C9">
              <w:rPr>
                <w:b/>
                <w:sz w:val="20"/>
                <w:szCs w:val="20"/>
              </w:rPr>
              <w:t>Asia occidental</w:t>
            </w:r>
          </w:p>
        </w:tc>
        <w:tc>
          <w:tcPr>
            <w:tcW w:w="1134" w:type="dxa"/>
          </w:tcPr>
          <w:p w:rsidR="001E1976" w:rsidRPr="00D04127" w:rsidRDefault="002E767D" w:rsidP="00D04127">
            <w:pPr>
              <w:jc w:val="center"/>
              <w:rPr>
                <w:sz w:val="20"/>
                <w:szCs w:val="20"/>
              </w:rPr>
            </w:pPr>
            <w:r w:rsidRPr="00D04127">
              <w:rPr>
                <w:sz w:val="20"/>
                <w:szCs w:val="20"/>
              </w:rPr>
              <w:t>0,85</w:t>
            </w:r>
          </w:p>
        </w:tc>
        <w:tc>
          <w:tcPr>
            <w:tcW w:w="1134" w:type="dxa"/>
          </w:tcPr>
          <w:p w:rsidR="001E1976" w:rsidRPr="00D04127" w:rsidRDefault="002E767D" w:rsidP="00D04127">
            <w:pPr>
              <w:jc w:val="center"/>
              <w:rPr>
                <w:sz w:val="20"/>
                <w:szCs w:val="20"/>
              </w:rPr>
            </w:pPr>
            <w:r w:rsidRPr="00D04127">
              <w:rPr>
                <w:sz w:val="20"/>
                <w:szCs w:val="20"/>
              </w:rPr>
              <w:t>0,65</w:t>
            </w:r>
          </w:p>
        </w:tc>
        <w:tc>
          <w:tcPr>
            <w:tcW w:w="1134" w:type="dxa"/>
          </w:tcPr>
          <w:p w:rsidR="001E1976" w:rsidRPr="00D04127" w:rsidRDefault="006F7878" w:rsidP="00D04127">
            <w:pPr>
              <w:jc w:val="center"/>
              <w:rPr>
                <w:sz w:val="20"/>
                <w:szCs w:val="20"/>
              </w:rPr>
            </w:pPr>
            <w:r w:rsidRPr="00D04127">
              <w:rPr>
                <w:sz w:val="20"/>
                <w:szCs w:val="20"/>
              </w:rPr>
              <w:t>0,63</w:t>
            </w:r>
          </w:p>
        </w:tc>
        <w:tc>
          <w:tcPr>
            <w:tcW w:w="1134" w:type="dxa"/>
          </w:tcPr>
          <w:p w:rsidR="001E1976" w:rsidRPr="00D04127" w:rsidRDefault="002E767D" w:rsidP="00D04127">
            <w:pPr>
              <w:jc w:val="center"/>
              <w:rPr>
                <w:sz w:val="20"/>
                <w:szCs w:val="20"/>
              </w:rPr>
            </w:pPr>
            <w:r w:rsidRPr="00D04127">
              <w:rPr>
                <w:sz w:val="20"/>
                <w:szCs w:val="20"/>
              </w:rPr>
              <w:t>0,93</w:t>
            </w:r>
          </w:p>
        </w:tc>
        <w:tc>
          <w:tcPr>
            <w:tcW w:w="1275" w:type="dxa"/>
          </w:tcPr>
          <w:p w:rsidR="001E1976" w:rsidRPr="00D04127" w:rsidRDefault="002E767D" w:rsidP="00D04127">
            <w:pPr>
              <w:jc w:val="center"/>
              <w:rPr>
                <w:sz w:val="20"/>
                <w:szCs w:val="20"/>
              </w:rPr>
            </w:pPr>
            <w:r w:rsidRPr="00D04127">
              <w:rPr>
                <w:sz w:val="20"/>
                <w:szCs w:val="20"/>
              </w:rPr>
              <w:t>0,93</w:t>
            </w:r>
          </w:p>
        </w:tc>
        <w:tc>
          <w:tcPr>
            <w:tcW w:w="1134" w:type="dxa"/>
          </w:tcPr>
          <w:p w:rsidR="001E1976" w:rsidRPr="00D04127" w:rsidRDefault="006F7878" w:rsidP="00D04127">
            <w:pPr>
              <w:jc w:val="center"/>
              <w:rPr>
                <w:sz w:val="20"/>
                <w:szCs w:val="20"/>
              </w:rPr>
            </w:pPr>
            <w:r w:rsidRPr="00D04127">
              <w:rPr>
                <w:sz w:val="20"/>
                <w:szCs w:val="20"/>
              </w:rPr>
              <w:t>0,95</w:t>
            </w:r>
          </w:p>
        </w:tc>
      </w:tr>
      <w:tr w:rsidR="002E767D" w:rsidRPr="00D04127" w:rsidTr="00D04127">
        <w:tc>
          <w:tcPr>
            <w:tcW w:w="2235" w:type="dxa"/>
          </w:tcPr>
          <w:p w:rsidR="001E1976" w:rsidRPr="003266C9" w:rsidRDefault="001E1976" w:rsidP="002E43A0">
            <w:pPr>
              <w:jc w:val="both"/>
              <w:rPr>
                <w:b/>
                <w:sz w:val="20"/>
                <w:szCs w:val="20"/>
              </w:rPr>
            </w:pPr>
            <w:r w:rsidRPr="003266C9">
              <w:rPr>
                <w:b/>
                <w:sz w:val="20"/>
                <w:szCs w:val="20"/>
              </w:rPr>
              <w:t>Asia sudoriental</w:t>
            </w:r>
          </w:p>
        </w:tc>
        <w:tc>
          <w:tcPr>
            <w:tcW w:w="1134" w:type="dxa"/>
          </w:tcPr>
          <w:p w:rsidR="001E1976" w:rsidRPr="00D04127" w:rsidRDefault="002E767D" w:rsidP="00D04127">
            <w:pPr>
              <w:jc w:val="center"/>
              <w:rPr>
                <w:sz w:val="20"/>
                <w:szCs w:val="20"/>
              </w:rPr>
            </w:pPr>
            <w:r w:rsidRPr="00D04127">
              <w:rPr>
                <w:sz w:val="20"/>
                <w:szCs w:val="20"/>
              </w:rPr>
              <w:t>0,96</w:t>
            </w:r>
          </w:p>
        </w:tc>
        <w:tc>
          <w:tcPr>
            <w:tcW w:w="1134" w:type="dxa"/>
          </w:tcPr>
          <w:p w:rsidR="001E1976" w:rsidRPr="00D04127" w:rsidRDefault="002E767D" w:rsidP="00D04127">
            <w:pPr>
              <w:jc w:val="center"/>
              <w:rPr>
                <w:sz w:val="20"/>
                <w:szCs w:val="20"/>
              </w:rPr>
            </w:pPr>
            <w:r w:rsidRPr="00D04127">
              <w:rPr>
                <w:sz w:val="20"/>
                <w:szCs w:val="20"/>
              </w:rPr>
              <w:t>0,90</w:t>
            </w:r>
          </w:p>
        </w:tc>
        <w:tc>
          <w:tcPr>
            <w:tcW w:w="1134" w:type="dxa"/>
          </w:tcPr>
          <w:p w:rsidR="001E1976" w:rsidRPr="00D04127" w:rsidRDefault="006F7878" w:rsidP="00D04127">
            <w:pPr>
              <w:jc w:val="center"/>
              <w:rPr>
                <w:sz w:val="20"/>
                <w:szCs w:val="20"/>
              </w:rPr>
            </w:pPr>
            <w:r w:rsidRPr="00D04127">
              <w:rPr>
                <w:sz w:val="20"/>
                <w:szCs w:val="20"/>
              </w:rPr>
              <w:t>0,92</w:t>
            </w:r>
          </w:p>
        </w:tc>
        <w:tc>
          <w:tcPr>
            <w:tcW w:w="1134" w:type="dxa"/>
          </w:tcPr>
          <w:p w:rsidR="001E1976" w:rsidRPr="00D04127" w:rsidRDefault="002E767D" w:rsidP="00D04127">
            <w:pPr>
              <w:jc w:val="center"/>
              <w:rPr>
                <w:sz w:val="20"/>
                <w:szCs w:val="20"/>
              </w:rPr>
            </w:pPr>
            <w:r w:rsidRPr="00D04127">
              <w:rPr>
                <w:sz w:val="20"/>
                <w:szCs w:val="20"/>
              </w:rPr>
              <w:t>0,99</w:t>
            </w:r>
          </w:p>
        </w:tc>
        <w:tc>
          <w:tcPr>
            <w:tcW w:w="1275" w:type="dxa"/>
          </w:tcPr>
          <w:p w:rsidR="001E1976" w:rsidRPr="00D04127" w:rsidRDefault="002E767D" w:rsidP="00D04127">
            <w:pPr>
              <w:jc w:val="center"/>
              <w:rPr>
                <w:sz w:val="20"/>
                <w:szCs w:val="20"/>
              </w:rPr>
            </w:pPr>
            <w:r w:rsidRPr="00D04127">
              <w:rPr>
                <w:sz w:val="20"/>
                <w:szCs w:val="20"/>
              </w:rPr>
              <w:t>1,02</w:t>
            </w:r>
          </w:p>
        </w:tc>
        <w:tc>
          <w:tcPr>
            <w:tcW w:w="1134" w:type="dxa"/>
          </w:tcPr>
          <w:p w:rsidR="001E1976" w:rsidRPr="00D04127" w:rsidRDefault="006F7878" w:rsidP="00D04127">
            <w:pPr>
              <w:jc w:val="center"/>
              <w:rPr>
                <w:sz w:val="20"/>
                <w:szCs w:val="20"/>
              </w:rPr>
            </w:pPr>
            <w:r w:rsidRPr="00D04127">
              <w:rPr>
                <w:sz w:val="20"/>
                <w:szCs w:val="20"/>
              </w:rPr>
              <w:t>1,12</w:t>
            </w:r>
          </w:p>
        </w:tc>
      </w:tr>
      <w:tr w:rsidR="002E767D" w:rsidRPr="00D04127" w:rsidTr="00D04127">
        <w:tc>
          <w:tcPr>
            <w:tcW w:w="2235" w:type="dxa"/>
          </w:tcPr>
          <w:p w:rsidR="001E1976" w:rsidRPr="003266C9" w:rsidRDefault="001E1976" w:rsidP="002E43A0">
            <w:pPr>
              <w:jc w:val="both"/>
              <w:rPr>
                <w:b/>
                <w:sz w:val="20"/>
                <w:szCs w:val="20"/>
              </w:rPr>
            </w:pPr>
            <w:r w:rsidRPr="003266C9">
              <w:rPr>
                <w:b/>
                <w:sz w:val="20"/>
                <w:szCs w:val="20"/>
              </w:rPr>
              <w:t>Cáucaso y Asia central</w:t>
            </w:r>
          </w:p>
        </w:tc>
        <w:tc>
          <w:tcPr>
            <w:tcW w:w="1134" w:type="dxa"/>
          </w:tcPr>
          <w:p w:rsidR="001E1976" w:rsidRPr="00D04127" w:rsidRDefault="002E767D" w:rsidP="00D04127">
            <w:pPr>
              <w:jc w:val="center"/>
              <w:rPr>
                <w:sz w:val="20"/>
                <w:szCs w:val="20"/>
              </w:rPr>
            </w:pPr>
            <w:r w:rsidRPr="00D04127">
              <w:rPr>
                <w:sz w:val="20"/>
                <w:szCs w:val="20"/>
              </w:rPr>
              <w:t>0,99</w:t>
            </w:r>
          </w:p>
        </w:tc>
        <w:tc>
          <w:tcPr>
            <w:tcW w:w="1134" w:type="dxa"/>
          </w:tcPr>
          <w:p w:rsidR="001E1976" w:rsidRPr="00D04127" w:rsidRDefault="002E767D" w:rsidP="00D04127">
            <w:pPr>
              <w:jc w:val="center"/>
              <w:rPr>
                <w:sz w:val="20"/>
                <w:szCs w:val="20"/>
              </w:rPr>
            </w:pPr>
            <w:r w:rsidRPr="00D04127">
              <w:rPr>
                <w:sz w:val="20"/>
                <w:szCs w:val="20"/>
              </w:rPr>
              <w:t>0,98</w:t>
            </w:r>
          </w:p>
        </w:tc>
        <w:tc>
          <w:tcPr>
            <w:tcW w:w="1134" w:type="dxa"/>
          </w:tcPr>
          <w:p w:rsidR="001E1976" w:rsidRPr="00D04127" w:rsidRDefault="006F7878" w:rsidP="00D04127">
            <w:pPr>
              <w:jc w:val="center"/>
              <w:rPr>
                <w:sz w:val="20"/>
                <w:szCs w:val="20"/>
              </w:rPr>
            </w:pPr>
            <w:r w:rsidRPr="00D04127">
              <w:rPr>
                <w:sz w:val="20"/>
                <w:szCs w:val="20"/>
              </w:rPr>
              <w:t>0,99</w:t>
            </w:r>
          </w:p>
        </w:tc>
        <w:tc>
          <w:tcPr>
            <w:tcW w:w="1134" w:type="dxa"/>
          </w:tcPr>
          <w:p w:rsidR="001E1976" w:rsidRPr="00D04127" w:rsidRDefault="002E767D" w:rsidP="00D04127">
            <w:pPr>
              <w:jc w:val="center"/>
              <w:rPr>
                <w:sz w:val="20"/>
                <w:szCs w:val="20"/>
              </w:rPr>
            </w:pPr>
            <w:r w:rsidRPr="00D04127">
              <w:rPr>
                <w:sz w:val="20"/>
                <w:szCs w:val="20"/>
              </w:rPr>
              <w:t>1,01</w:t>
            </w:r>
          </w:p>
        </w:tc>
        <w:tc>
          <w:tcPr>
            <w:tcW w:w="1275" w:type="dxa"/>
          </w:tcPr>
          <w:p w:rsidR="001E1976" w:rsidRPr="00D04127" w:rsidRDefault="002E767D" w:rsidP="00D04127">
            <w:pPr>
              <w:jc w:val="center"/>
              <w:rPr>
                <w:sz w:val="20"/>
                <w:szCs w:val="20"/>
              </w:rPr>
            </w:pPr>
            <w:r w:rsidRPr="00D04127">
              <w:rPr>
                <w:sz w:val="20"/>
                <w:szCs w:val="20"/>
              </w:rPr>
              <w:t>0,98</w:t>
            </w:r>
          </w:p>
        </w:tc>
        <w:tc>
          <w:tcPr>
            <w:tcW w:w="1134" w:type="dxa"/>
          </w:tcPr>
          <w:p w:rsidR="001E1976" w:rsidRPr="00D04127" w:rsidRDefault="006F7878" w:rsidP="00D04127">
            <w:pPr>
              <w:jc w:val="center"/>
              <w:rPr>
                <w:sz w:val="20"/>
                <w:szCs w:val="20"/>
              </w:rPr>
            </w:pPr>
            <w:r w:rsidRPr="00D04127">
              <w:rPr>
                <w:sz w:val="20"/>
                <w:szCs w:val="20"/>
              </w:rPr>
              <w:t>1,07</w:t>
            </w:r>
          </w:p>
        </w:tc>
      </w:tr>
      <w:tr w:rsidR="002E767D" w:rsidRPr="00D04127" w:rsidTr="00D04127">
        <w:tc>
          <w:tcPr>
            <w:tcW w:w="2235" w:type="dxa"/>
          </w:tcPr>
          <w:p w:rsidR="001E1976" w:rsidRPr="003266C9" w:rsidRDefault="001E1976" w:rsidP="002E43A0">
            <w:pPr>
              <w:jc w:val="both"/>
              <w:rPr>
                <w:b/>
                <w:sz w:val="20"/>
                <w:szCs w:val="20"/>
              </w:rPr>
            </w:pPr>
            <w:r w:rsidRPr="003266C9">
              <w:rPr>
                <w:b/>
                <w:sz w:val="20"/>
                <w:szCs w:val="20"/>
              </w:rPr>
              <w:t>África septentrional</w:t>
            </w:r>
          </w:p>
        </w:tc>
        <w:tc>
          <w:tcPr>
            <w:tcW w:w="1134" w:type="dxa"/>
          </w:tcPr>
          <w:p w:rsidR="001E1976" w:rsidRPr="00D04127" w:rsidRDefault="002E767D" w:rsidP="00D04127">
            <w:pPr>
              <w:jc w:val="center"/>
              <w:rPr>
                <w:sz w:val="20"/>
                <w:szCs w:val="20"/>
              </w:rPr>
            </w:pPr>
            <w:r w:rsidRPr="00D04127">
              <w:rPr>
                <w:sz w:val="20"/>
                <w:szCs w:val="20"/>
              </w:rPr>
              <w:t>0,82</w:t>
            </w:r>
          </w:p>
        </w:tc>
        <w:tc>
          <w:tcPr>
            <w:tcW w:w="1134" w:type="dxa"/>
          </w:tcPr>
          <w:p w:rsidR="001E1976" w:rsidRPr="00D04127" w:rsidRDefault="002E767D" w:rsidP="00D04127">
            <w:pPr>
              <w:jc w:val="center"/>
              <w:rPr>
                <w:sz w:val="20"/>
                <w:szCs w:val="20"/>
              </w:rPr>
            </w:pPr>
            <w:r w:rsidRPr="00D04127">
              <w:rPr>
                <w:sz w:val="20"/>
                <w:szCs w:val="20"/>
              </w:rPr>
              <w:t>0,77</w:t>
            </w:r>
          </w:p>
        </w:tc>
        <w:tc>
          <w:tcPr>
            <w:tcW w:w="1134" w:type="dxa"/>
          </w:tcPr>
          <w:p w:rsidR="001E1976" w:rsidRPr="00D04127" w:rsidRDefault="006F7878" w:rsidP="00D04127">
            <w:pPr>
              <w:jc w:val="center"/>
              <w:rPr>
                <w:sz w:val="20"/>
                <w:szCs w:val="20"/>
              </w:rPr>
            </w:pPr>
            <w:r w:rsidRPr="00D04127">
              <w:rPr>
                <w:sz w:val="20"/>
                <w:szCs w:val="20"/>
              </w:rPr>
              <w:t>0,65</w:t>
            </w:r>
          </w:p>
        </w:tc>
        <w:tc>
          <w:tcPr>
            <w:tcW w:w="1134" w:type="dxa"/>
          </w:tcPr>
          <w:p w:rsidR="001E1976" w:rsidRPr="00D04127" w:rsidRDefault="002E767D" w:rsidP="00D04127">
            <w:pPr>
              <w:jc w:val="center"/>
              <w:rPr>
                <w:sz w:val="20"/>
                <w:szCs w:val="20"/>
              </w:rPr>
            </w:pPr>
            <w:r w:rsidRPr="00D04127">
              <w:rPr>
                <w:sz w:val="20"/>
                <w:szCs w:val="20"/>
              </w:rPr>
              <w:t>0,96</w:t>
            </w:r>
          </w:p>
        </w:tc>
        <w:tc>
          <w:tcPr>
            <w:tcW w:w="1275" w:type="dxa"/>
          </w:tcPr>
          <w:p w:rsidR="001E1976" w:rsidRPr="00D04127" w:rsidRDefault="002E767D" w:rsidP="00D04127">
            <w:pPr>
              <w:jc w:val="center"/>
              <w:rPr>
                <w:sz w:val="20"/>
                <w:szCs w:val="20"/>
              </w:rPr>
            </w:pPr>
            <w:r w:rsidRPr="00D04127">
              <w:rPr>
                <w:sz w:val="20"/>
                <w:szCs w:val="20"/>
              </w:rPr>
              <w:t>0,99</w:t>
            </w:r>
          </w:p>
        </w:tc>
        <w:tc>
          <w:tcPr>
            <w:tcW w:w="1134" w:type="dxa"/>
          </w:tcPr>
          <w:p w:rsidR="001E1976" w:rsidRPr="00D04127" w:rsidRDefault="006F7878" w:rsidP="00D04127">
            <w:pPr>
              <w:jc w:val="center"/>
              <w:rPr>
                <w:sz w:val="20"/>
                <w:szCs w:val="20"/>
              </w:rPr>
            </w:pPr>
            <w:r w:rsidRPr="00D04127">
              <w:rPr>
                <w:sz w:val="20"/>
                <w:szCs w:val="20"/>
              </w:rPr>
              <w:t>1,12</w:t>
            </w:r>
          </w:p>
        </w:tc>
      </w:tr>
      <w:tr w:rsidR="002E767D" w:rsidRPr="00D04127" w:rsidTr="00D04127">
        <w:tc>
          <w:tcPr>
            <w:tcW w:w="2235" w:type="dxa"/>
          </w:tcPr>
          <w:p w:rsidR="001E1976" w:rsidRPr="003266C9" w:rsidRDefault="001E1976" w:rsidP="002E43A0">
            <w:pPr>
              <w:jc w:val="both"/>
              <w:rPr>
                <w:b/>
                <w:sz w:val="20"/>
                <w:szCs w:val="20"/>
              </w:rPr>
            </w:pPr>
            <w:r w:rsidRPr="003266C9">
              <w:rPr>
                <w:b/>
                <w:sz w:val="20"/>
                <w:szCs w:val="20"/>
              </w:rPr>
              <w:t>Asia oriental</w:t>
            </w:r>
          </w:p>
        </w:tc>
        <w:tc>
          <w:tcPr>
            <w:tcW w:w="1134" w:type="dxa"/>
          </w:tcPr>
          <w:p w:rsidR="001E1976" w:rsidRPr="00D04127" w:rsidRDefault="002E767D" w:rsidP="00D04127">
            <w:pPr>
              <w:jc w:val="center"/>
              <w:rPr>
                <w:sz w:val="20"/>
                <w:szCs w:val="20"/>
              </w:rPr>
            </w:pPr>
            <w:r w:rsidRPr="00D04127">
              <w:rPr>
                <w:sz w:val="20"/>
                <w:szCs w:val="20"/>
              </w:rPr>
              <w:t>0,91</w:t>
            </w:r>
          </w:p>
        </w:tc>
        <w:tc>
          <w:tcPr>
            <w:tcW w:w="1134" w:type="dxa"/>
          </w:tcPr>
          <w:p w:rsidR="001E1976" w:rsidRPr="00D04127" w:rsidRDefault="002E767D" w:rsidP="00D04127">
            <w:pPr>
              <w:jc w:val="center"/>
              <w:rPr>
                <w:sz w:val="20"/>
                <w:szCs w:val="20"/>
              </w:rPr>
            </w:pPr>
            <w:r w:rsidRPr="00D04127">
              <w:rPr>
                <w:sz w:val="20"/>
                <w:szCs w:val="20"/>
              </w:rPr>
              <w:t>0,76</w:t>
            </w:r>
          </w:p>
        </w:tc>
        <w:tc>
          <w:tcPr>
            <w:tcW w:w="1134" w:type="dxa"/>
          </w:tcPr>
          <w:p w:rsidR="001E1976" w:rsidRPr="00D04127" w:rsidRDefault="006F7878" w:rsidP="00D04127">
            <w:pPr>
              <w:jc w:val="center"/>
              <w:rPr>
                <w:sz w:val="20"/>
                <w:szCs w:val="20"/>
              </w:rPr>
            </w:pPr>
            <w:r w:rsidRPr="00D04127">
              <w:rPr>
                <w:sz w:val="20"/>
                <w:szCs w:val="20"/>
              </w:rPr>
              <w:t>0,49</w:t>
            </w:r>
          </w:p>
        </w:tc>
        <w:tc>
          <w:tcPr>
            <w:tcW w:w="1134" w:type="dxa"/>
          </w:tcPr>
          <w:p w:rsidR="001E1976" w:rsidRPr="00D04127" w:rsidRDefault="002E767D" w:rsidP="00D04127">
            <w:pPr>
              <w:jc w:val="center"/>
              <w:rPr>
                <w:sz w:val="20"/>
                <w:szCs w:val="20"/>
              </w:rPr>
            </w:pPr>
            <w:r w:rsidRPr="00D04127">
              <w:rPr>
                <w:sz w:val="20"/>
                <w:szCs w:val="20"/>
              </w:rPr>
              <w:t>1,00</w:t>
            </w:r>
          </w:p>
        </w:tc>
        <w:tc>
          <w:tcPr>
            <w:tcW w:w="1275" w:type="dxa"/>
          </w:tcPr>
          <w:p w:rsidR="001E1976" w:rsidRPr="00D04127" w:rsidRDefault="002E767D" w:rsidP="00D04127">
            <w:pPr>
              <w:jc w:val="center"/>
              <w:rPr>
                <w:sz w:val="20"/>
                <w:szCs w:val="20"/>
              </w:rPr>
            </w:pPr>
            <w:r w:rsidRPr="00D04127">
              <w:rPr>
                <w:sz w:val="20"/>
                <w:szCs w:val="20"/>
              </w:rPr>
              <w:t>1,02</w:t>
            </w:r>
          </w:p>
        </w:tc>
        <w:tc>
          <w:tcPr>
            <w:tcW w:w="1134" w:type="dxa"/>
          </w:tcPr>
          <w:p w:rsidR="001E1976" w:rsidRPr="00D04127" w:rsidRDefault="006F7878" w:rsidP="00D04127">
            <w:pPr>
              <w:jc w:val="center"/>
              <w:rPr>
                <w:sz w:val="20"/>
                <w:szCs w:val="20"/>
              </w:rPr>
            </w:pPr>
            <w:r w:rsidRPr="00D04127">
              <w:rPr>
                <w:sz w:val="20"/>
                <w:szCs w:val="20"/>
              </w:rPr>
              <w:t>1,08</w:t>
            </w:r>
          </w:p>
        </w:tc>
      </w:tr>
      <w:tr w:rsidR="002E767D" w:rsidRPr="00D04127" w:rsidTr="00D04127">
        <w:tc>
          <w:tcPr>
            <w:tcW w:w="2235" w:type="dxa"/>
          </w:tcPr>
          <w:p w:rsidR="001E1976" w:rsidRPr="003266C9" w:rsidRDefault="001E1976" w:rsidP="002E43A0">
            <w:pPr>
              <w:jc w:val="both"/>
              <w:rPr>
                <w:b/>
                <w:sz w:val="20"/>
                <w:szCs w:val="20"/>
              </w:rPr>
            </w:pPr>
            <w:r w:rsidRPr="003266C9">
              <w:rPr>
                <w:b/>
                <w:sz w:val="20"/>
                <w:szCs w:val="20"/>
              </w:rPr>
              <w:t>Regiones en desarrollo</w:t>
            </w:r>
          </w:p>
        </w:tc>
        <w:tc>
          <w:tcPr>
            <w:tcW w:w="1134" w:type="dxa"/>
          </w:tcPr>
          <w:p w:rsidR="001E1976" w:rsidRPr="00D04127" w:rsidRDefault="002E767D" w:rsidP="00D04127">
            <w:pPr>
              <w:jc w:val="center"/>
              <w:rPr>
                <w:sz w:val="20"/>
                <w:szCs w:val="20"/>
              </w:rPr>
            </w:pPr>
            <w:r w:rsidRPr="00D04127">
              <w:rPr>
                <w:sz w:val="20"/>
                <w:szCs w:val="20"/>
              </w:rPr>
              <w:t>0,86</w:t>
            </w:r>
          </w:p>
        </w:tc>
        <w:tc>
          <w:tcPr>
            <w:tcW w:w="1134" w:type="dxa"/>
          </w:tcPr>
          <w:p w:rsidR="001E1976" w:rsidRPr="00D04127" w:rsidRDefault="002E767D" w:rsidP="00D04127">
            <w:pPr>
              <w:jc w:val="center"/>
              <w:rPr>
                <w:sz w:val="20"/>
                <w:szCs w:val="20"/>
              </w:rPr>
            </w:pPr>
            <w:r w:rsidRPr="00D04127">
              <w:rPr>
                <w:sz w:val="20"/>
                <w:szCs w:val="20"/>
              </w:rPr>
              <w:t>0,77</w:t>
            </w:r>
          </w:p>
        </w:tc>
        <w:tc>
          <w:tcPr>
            <w:tcW w:w="1134" w:type="dxa"/>
          </w:tcPr>
          <w:p w:rsidR="001E1976" w:rsidRPr="00D04127" w:rsidRDefault="006F7878" w:rsidP="00D04127">
            <w:pPr>
              <w:jc w:val="center"/>
              <w:rPr>
                <w:sz w:val="20"/>
                <w:szCs w:val="20"/>
              </w:rPr>
            </w:pPr>
            <w:r w:rsidRPr="00D04127">
              <w:rPr>
                <w:sz w:val="20"/>
                <w:szCs w:val="20"/>
              </w:rPr>
              <w:t>0,69</w:t>
            </w:r>
          </w:p>
        </w:tc>
        <w:tc>
          <w:tcPr>
            <w:tcW w:w="1134" w:type="dxa"/>
          </w:tcPr>
          <w:p w:rsidR="001E1976" w:rsidRPr="00D04127" w:rsidRDefault="002E767D" w:rsidP="00D04127">
            <w:pPr>
              <w:jc w:val="center"/>
              <w:rPr>
                <w:sz w:val="20"/>
                <w:szCs w:val="20"/>
              </w:rPr>
            </w:pPr>
            <w:r w:rsidRPr="00D04127">
              <w:rPr>
                <w:sz w:val="20"/>
                <w:szCs w:val="20"/>
              </w:rPr>
              <w:t>0,97</w:t>
            </w:r>
          </w:p>
        </w:tc>
        <w:tc>
          <w:tcPr>
            <w:tcW w:w="1275" w:type="dxa"/>
          </w:tcPr>
          <w:p w:rsidR="001E1976" w:rsidRPr="00D04127" w:rsidRDefault="002E767D" w:rsidP="00D04127">
            <w:pPr>
              <w:jc w:val="center"/>
              <w:rPr>
                <w:sz w:val="20"/>
                <w:szCs w:val="20"/>
              </w:rPr>
            </w:pPr>
            <w:r w:rsidRPr="00D04127">
              <w:rPr>
                <w:sz w:val="20"/>
                <w:szCs w:val="20"/>
              </w:rPr>
              <w:t>0,96</w:t>
            </w:r>
          </w:p>
        </w:tc>
        <w:tc>
          <w:tcPr>
            <w:tcW w:w="1134" w:type="dxa"/>
          </w:tcPr>
          <w:p w:rsidR="001E1976" w:rsidRPr="00D04127" w:rsidRDefault="006F7878" w:rsidP="00D04127">
            <w:pPr>
              <w:jc w:val="center"/>
              <w:rPr>
                <w:sz w:val="20"/>
                <w:szCs w:val="20"/>
              </w:rPr>
            </w:pPr>
            <w:r w:rsidRPr="00D04127">
              <w:rPr>
                <w:sz w:val="20"/>
                <w:szCs w:val="20"/>
              </w:rPr>
              <w:t>0,99</w:t>
            </w:r>
          </w:p>
        </w:tc>
      </w:tr>
    </w:tbl>
    <w:p w:rsidR="001E1976" w:rsidRPr="003266C9" w:rsidRDefault="002E767D" w:rsidP="003266C9">
      <w:pPr>
        <w:spacing w:after="0" w:line="240" w:lineRule="auto"/>
        <w:jc w:val="both"/>
        <w:rPr>
          <w:sz w:val="20"/>
          <w:szCs w:val="20"/>
        </w:rPr>
      </w:pPr>
      <w:r w:rsidRPr="003266C9">
        <w:rPr>
          <w:sz w:val="20"/>
          <w:szCs w:val="20"/>
        </w:rPr>
        <w:t xml:space="preserve">Ed. Prim.: Educación Primaria. Ed. </w:t>
      </w:r>
      <w:proofErr w:type="spellStart"/>
      <w:r w:rsidRPr="003266C9">
        <w:rPr>
          <w:sz w:val="20"/>
          <w:szCs w:val="20"/>
        </w:rPr>
        <w:t>Secu</w:t>
      </w:r>
      <w:proofErr w:type="spellEnd"/>
      <w:r w:rsidRPr="003266C9">
        <w:rPr>
          <w:sz w:val="20"/>
          <w:szCs w:val="20"/>
        </w:rPr>
        <w:t xml:space="preserve">.: Educación Secundaria. Ed. </w:t>
      </w:r>
      <w:proofErr w:type="spellStart"/>
      <w:r w:rsidRPr="003266C9">
        <w:rPr>
          <w:sz w:val="20"/>
          <w:szCs w:val="20"/>
        </w:rPr>
        <w:t>Terc</w:t>
      </w:r>
      <w:proofErr w:type="spellEnd"/>
      <w:r w:rsidRPr="003266C9">
        <w:rPr>
          <w:sz w:val="20"/>
          <w:szCs w:val="20"/>
        </w:rPr>
        <w:t>.: Educación Terciaria</w:t>
      </w:r>
    </w:p>
    <w:p w:rsidR="00D04127" w:rsidRPr="003266C9" w:rsidRDefault="00D04127" w:rsidP="00712E06">
      <w:pPr>
        <w:spacing w:after="120" w:line="240" w:lineRule="auto"/>
        <w:jc w:val="both"/>
        <w:rPr>
          <w:sz w:val="20"/>
          <w:szCs w:val="20"/>
        </w:rPr>
      </w:pPr>
      <w:r w:rsidRPr="003266C9">
        <w:rPr>
          <w:sz w:val="20"/>
          <w:szCs w:val="20"/>
        </w:rPr>
        <w:t>Fuente: Informe ODM 2014. Elaboración propia</w:t>
      </w:r>
    </w:p>
    <w:p w:rsidR="00D04127" w:rsidRDefault="00EF3E4F" w:rsidP="00712E06">
      <w:pPr>
        <w:spacing w:after="120"/>
        <w:jc w:val="both"/>
      </w:pPr>
      <w:r>
        <w:t>Desde el año 1990 el acceso de las mujeres a empleos remunerados en sectores diferentes del agrícola ha aumentado, pero con diferencias importantes según las regiones. El aumento más importante fue en África subsahariana que ha t</w:t>
      </w:r>
      <w:r w:rsidR="002A3986">
        <w:t>enido</w:t>
      </w:r>
      <w:r>
        <w:t xml:space="preserve"> un crecimiento de 10 puntos</w:t>
      </w:r>
      <w:r w:rsidR="00730855">
        <w:t xml:space="preserve"> (Tabla 6)</w:t>
      </w:r>
      <w:r w:rsidR="00712E06">
        <w:t xml:space="preserve"> (Naciones Unidas, 2014)</w:t>
      </w:r>
      <w:r>
        <w:t>.</w:t>
      </w:r>
    </w:p>
    <w:p w:rsidR="00712E06" w:rsidRDefault="00EF3E4F" w:rsidP="00712E06">
      <w:pPr>
        <w:spacing w:after="0" w:line="240" w:lineRule="auto"/>
        <w:jc w:val="center"/>
        <w:rPr>
          <w:rFonts w:cs="Whitney Semibold"/>
          <w:b/>
          <w:color w:val="000000"/>
          <w:sz w:val="20"/>
          <w:szCs w:val="20"/>
        </w:rPr>
      </w:pPr>
      <w:r w:rsidRPr="003266C9">
        <w:rPr>
          <w:rFonts w:cs="Whitney Semibold"/>
          <w:b/>
          <w:color w:val="000000"/>
          <w:sz w:val="20"/>
          <w:szCs w:val="20"/>
        </w:rPr>
        <w:t xml:space="preserve">Tabla 6: Porcentaje de empleadas remuneradas en trabajos </w:t>
      </w:r>
    </w:p>
    <w:p w:rsidR="00EF3E4F" w:rsidRPr="003266C9" w:rsidRDefault="00EF3E4F" w:rsidP="00712E06">
      <w:pPr>
        <w:spacing w:after="0" w:line="240" w:lineRule="auto"/>
        <w:jc w:val="center"/>
        <w:rPr>
          <w:b/>
          <w:sz w:val="20"/>
          <w:szCs w:val="20"/>
        </w:rPr>
      </w:pPr>
      <w:proofErr w:type="gramStart"/>
      <w:r w:rsidRPr="003266C9">
        <w:rPr>
          <w:rFonts w:cs="Whitney Semibold"/>
          <w:b/>
          <w:color w:val="000000"/>
          <w:sz w:val="20"/>
          <w:szCs w:val="20"/>
        </w:rPr>
        <w:t>no</w:t>
      </w:r>
      <w:proofErr w:type="gramEnd"/>
      <w:r w:rsidRPr="003266C9">
        <w:rPr>
          <w:rFonts w:cs="Whitney Semibold"/>
          <w:b/>
          <w:color w:val="000000"/>
          <w:sz w:val="20"/>
          <w:szCs w:val="20"/>
        </w:rPr>
        <w:t xml:space="preserve"> agrícolas. Periodo 1990-2012.</w:t>
      </w:r>
    </w:p>
    <w:tbl>
      <w:tblPr>
        <w:tblStyle w:val="Tablaconcuadrcula"/>
        <w:tblW w:w="0" w:type="auto"/>
        <w:jc w:val="center"/>
        <w:tblLook w:val="04A0" w:firstRow="1" w:lastRow="0" w:firstColumn="1" w:lastColumn="0" w:noHBand="0" w:noVBand="1"/>
      </w:tblPr>
      <w:tblGrid>
        <w:gridCol w:w="2235"/>
        <w:gridCol w:w="1134"/>
        <w:gridCol w:w="1134"/>
      </w:tblGrid>
      <w:tr w:rsidR="00EF3E4F" w:rsidRPr="003266C9" w:rsidTr="003266C9">
        <w:trPr>
          <w:jc w:val="center"/>
        </w:trPr>
        <w:tc>
          <w:tcPr>
            <w:tcW w:w="2235" w:type="dxa"/>
            <w:shd w:val="clear" w:color="auto" w:fill="D9D9D9" w:themeFill="background1" w:themeFillShade="D9"/>
          </w:tcPr>
          <w:p w:rsidR="00EF3E4F" w:rsidRPr="003266C9" w:rsidRDefault="00EF3E4F" w:rsidP="00712E06">
            <w:pPr>
              <w:jc w:val="both"/>
              <w:rPr>
                <w:b/>
                <w:sz w:val="20"/>
                <w:szCs w:val="20"/>
              </w:rPr>
            </w:pPr>
          </w:p>
        </w:tc>
        <w:tc>
          <w:tcPr>
            <w:tcW w:w="1134" w:type="dxa"/>
            <w:shd w:val="clear" w:color="auto" w:fill="D9D9D9" w:themeFill="background1" w:themeFillShade="D9"/>
          </w:tcPr>
          <w:p w:rsidR="00EF3E4F" w:rsidRPr="003266C9" w:rsidRDefault="00EF3E4F" w:rsidP="00712E06">
            <w:pPr>
              <w:jc w:val="center"/>
              <w:rPr>
                <w:b/>
                <w:sz w:val="20"/>
                <w:szCs w:val="20"/>
              </w:rPr>
            </w:pPr>
            <w:r w:rsidRPr="003266C9">
              <w:rPr>
                <w:b/>
                <w:sz w:val="20"/>
                <w:szCs w:val="20"/>
              </w:rPr>
              <w:t>1990</w:t>
            </w:r>
          </w:p>
        </w:tc>
        <w:tc>
          <w:tcPr>
            <w:tcW w:w="1134" w:type="dxa"/>
            <w:shd w:val="clear" w:color="auto" w:fill="D9D9D9" w:themeFill="background1" w:themeFillShade="D9"/>
          </w:tcPr>
          <w:p w:rsidR="00EF3E4F" w:rsidRPr="003266C9" w:rsidRDefault="00EF3E4F" w:rsidP="00712E06">
            <w:pPr>
              <w:jc w:val="center"/>
              <w:rPr>
                <w:b/>
                <w:sz w:val="20"/>
                <w:szCs w:val="20"/>
              </w:rPr>
            </w:pPr>
            <w:r w:rsidRPr="003266C9">
              <w:rPr>
                <w:b/>
                <w:sz w:val="20"/>
                <w:szCs w:val="20"/>
              </w:rPr>
              <w:t>2012</w:t>
            </w:r>
          </w:p>
        </w:tc>
      </w:tr>
      <w:tr w:rsidR="00EF3E4F" w:rsidRPr="00D04127" w:rsidTr="00730855">
        <w:trPr>
          <w:jc w:val="center"/>
        </w:trPr>
        <w:tc>
          <w:tcPr>
            <w:tcW w:w="2235" w:type="dxa"/>
          </w:tcPr>
          <w:p w:rsidR="00EF3E4F" w:rsidRPr="003266C9" w:rsidRDefault="00EF3E4F" w:rsidP="002E43A0">
            <w:pPr>
              <w:jc w:val="both"/>
              <w:rPr>
                <w:b/>
                <w:sz w:val="20"/>
                <w:szCs w:val="20"/>
              </w:rPr>
            </w:pPr>
            <w:r w:rsidRPr="003266C9">
              <w:rPr>
                <w:b/>
                <w:sz w:val="20"/>
                <w:szCs w:val="20"/>
              </w:rPr>
              <w:t>África subsahariana</w:t>
            </w:r>
          </w:p>
        </w:tc>
        <w:tc>
          <w:tcPr>
            <w:tcW w:w="1134" w:type="dxa"/>
          </w:tcPr>
          <w:p w:rsidR="00EF3E4F" w:rsidRPr="00D04127" w:rsidRDefault="00EF3E4F" w:rsidP="002E43A0">
            <w:pPr>
              <w:jc w:val="center"/>
              <w:rPr>
                <w:sz w:val="20"/>
                <w:szCs w:val="20"/>
              </w:rPr>
            </w:pPr>
            <w:r>
              <w:rPr>
                <w:sz w:val="20"/>
                <w:szCs w:val="20"/>
              </w:rPr>
              <w:t>23</w:t>
            </w:r>
          </w:p>
        </w:tc>
        <w:tc>
          <w:tcPr>
            <w:tcW w:w="1134" w:type="dxa"/>
          </w:tcPr>
          <w:p w:rsidR="00EF3E4F" w:rsidRPr="00D04127" w:rsidRDefault="00EF3E4F" w:rsidP="002E43A0">
            <w:pPr>
              <w:jc w:val="center"/>
              <w:rPr>
                <w:sz w:val="20"/>
                <w:szCs w:val="20"/>
              </w:rPr>
            </w:pPr>
            <w:r>
              <w:rPr>
                <w:sz w:val="20"/>
                <w:szCs w:val="20"/>
              </w:rPr>
              <w:t>33</w:t>
            </w:r>
          </w:p>
        </w:tc>
      </w:tr>
      <w:tr w:rsidR="00EF3E4F" w:rsidRPr="00D04127" w:rsidTr="00730855">
        <w:trPr>
          <w:jc w:val="center"/>
        </w:trPr>
        <w:tc>
          <w:tcPr>
            <w:tcW w:w="2235" w:type="dxa"/>
          </w:tcPr>
          <w:p w:rsidR="00EF3E4F" w:rsidRPr="003266C9" w:rsidRDefault="00EF3E4F" w:rsidP="002E43A0">
            <w:pPr>
              <w:jc w:val="both"/>
              <w:rPr>
                <w:b/>
                <w:sz w:val="20"/>
                <w:szCs w:val="20"/>
              </w:rPr>
            </w:pPr>
            <w:r w:rsidRPr="003266C9">
              <w:rPr>
                <w:b/>
                <w:sz w:val="20"/>
                <w:szCs w:val="20"/>
              </w:rPr>
              <w:t>América Latina y Caribe</w:t>
            </w:r>
          </w:p>
        </w:tc>
        <w:tc>
          <w:tcPr>
            <w:tcW w:w="1134" w:type="dxa"/>
          </w:tcPr>
          <w:p w:rsidR="00EF3E4F" w:rsidRPr="00D04127" w:rsidRDefault="00EF3E4F" w:rsidP="002E43A0">
            <w:pPr>
              <w:jc w:val="center"/>
              <w:rPr>
                <w:sz w:val="20"/>
                <w:szCs w:val="20"/>
              </w:rPr>
            </w:pPr>
            <w:r>
              <w:rPr>
                <w:sz w:val="20"/>
                <w:szCs w:val="20"/>
              </w:rPr>
              <w:t>38</w:t>
            </w:r>
          </w:p>
        </w:tc>
        <w:tc>
          <w:tcPr>
            <w:tcW w:w="1134" w:type="dxa"/>
          </w:tcPr>
          <w:p w:rsidR="00EF3E4F" w:rsidRPr="00D04127" w:rsidRDefault="00EF3E4F" w:rsidP="002E43A0">
            <w:pPr>
              <w:jc w:val="center"/>
              <w:rPr>
                <w:sz w:val="20"/>
                <w:szCs w:val="20"/>
              </w:rPr>
            </w:pPr>
            <w:r>
              <w:rPr>
                <w:sz w:val="20"/>
                <w:szCs w:val="20"/>
              </w:rPr>
              <w:t>44</w:t>
            </w:r>
          </w:p>
        </w:tc>
      </w:tr>
      <w:tr w:rsidR="00EF3E4F" w:rsidRPr="00D04127" w:rsidTr="00730855">
        <w:trPr>
          <w:jc w:val="center"/>
        </w:trPr>
        <w:tc>
          <w:tcPr>
            <w:tcW w:w="2235" w:type="dxa"/>
          </w:tcPr>
          <w:p w:rsidR="00EF3E4F" w:rsidRPr="003266C9" w:rsidRDefault="00EF3E4F" w:rsidP="002E43A0">
            <w:pPr>
              <w:jc w:val="both"/>
              <w:rPr>
                <w:b/>
                <w:sz w:val="20"/>
                <w:szCs w:val="20"/>
              </w:rPr>
            </w:pPr>
            <w:r w:rsidRPr="003266C9">
              <w:rPr>
                <w:b/>
                <w:sz w:val="20"/>
                <w:szCs w:val="20"/>
              </w:rPr>
              <w:t>Oceanía</w:t>
            </w:r>
          </w:p>
        </w:tc>
        <w:tc>
          <w:tcPr>
            <w:tcW w:w="1134" w:type="dxa"/>
          </w:tcPr>
          <w:p w:rsidR="00EF3E4F" w:rsidRPr="00D04127" w:rsidRDefault="00EF3E4F" w:rsidP="002E43A0">
            <w:pPr>
              <w:jc w:val="center"/>
              <w:rPr>
                <w:sz w:val="20"/>
                <w:szCs w:val="20"/>
              </w:rPr>
            </w:pPr>
            <w:r>
              <w:rPr>
                <w:sz w:val="20"/>
                <w:szCs w:val="20"/>
              </w:rPr>
              <w:t>33</w:t>
            </w:r>
          </w:p>
        </w:tc>
        <w:tc>
          <w:tcPr>
            <w:tcW w:w="1134" w:type="dxa"/>
          </w:tcPr>
          <w:p w:rsidR="00EF3E4F" w:rsidRPr="00D04127" w:rsidRDefault="00EF3E4F" w:rsidP="002E43A0">
            <w:pPr>
              <w:jc w:val="center"/>
              <w:rPr>
                <w:sz w:val="20"/>
                <w:szCs w:val="20"/>
              </w:rPr>
            </w:pPr>
            <w:r>
              <w:rPr>
                <w:sz w:val="20"/>
                <w:szCs w:val="20"/>
              </w:rPr>
              <w:t>38</w:t>
            </w:r>
          </w:p>
        </w:tc>
      </w:tr>
      <w:tr w:rsidR="00EF3E4F" w:rsidRPr="00D04127" w:rsidTr="00730855">
        <w:trPr>
          <w:jc w:val="center"/>
        </w:trPr>
        <w:tc>
          <w:tcPr>
            <w:tcW w:w="2235" w:type="dxa"/>
          </w:tcPr>
          <w:p w:rsidR="00EF3E4F" w:rsidRPr="003266C9" w:rsidRDefault="00EF3E4F" w:rsidP="002E43A0">
            <w:pPr>
              <w:jc w:val="both"/>
              <w:rPr>
                <w:b/>
                <w:sz w:val="20"/>
                <w:szCs w:val="20"/>
              </w:rPr>
            </w:pPr>
            <w:r w:rsidRPr="003266C9">
              <w:rPr>
                <w:b/>
                <w:sz w:val="20"/>
                <w:szCs w:val="20"/>
              </w:rPr>
              <w:t>Asia meridional</w:t>
            </w:r>
          </w:p>
        </w:tc>
        <w:tc>
          <w:tcPr>
            <w:tcW w:w="1134" w:type="dxa"/>
          </w:tcPr>
          <w:p w:rsidR="00EF3E4F" w:rsidRPr="00D04127" w:rsidRDefault="00EF3E4F" w:rsidP="002E43A0">
            <w:pPr>
              <w:jc w:val="center"/>
              <w:rPr>
                <w:sz w:val="20"/>
                <w:szCs w:val="20"/>
              </w:rPr>
            </w:pPr>
            <w:r>
              <w:rPr>
                <w:sz w:val="20"/>
                <w:szCs w:val="20"/>
              </w:rPr>
              <w:t>13</w:t>
            </w:r>
          </w:p>
        </w:tc>
        <w:tc>
          <w:tcPr>
            <w:tcW w:w="1134" w:type="dxa"/>
          </w:tcPr>
          <w:p w:rsidR="00EF3E4F" w:rsidRPr="00D04127" w:rsidRDefault="00EF3E4F" w:rsidP="002E43A0">
            <w:pPr>
              <w:jc w:val="center"/>
              <w:rPr>
                <w:sz w:val="20"/>
                <w:szCs w:val="20"/>
              </w:rPr>
            </w:pPr>
            <w:r>
              <w:rPr>
                <w:sz w:val="20"/>
                <w:szCs w:val="20"/>
              </w:rPr>
              <w:t>20</w:t>
            </w:r>
          </w:p>
        </w:tc>
      </w:tr>
      <w:tr w:rsidR="00EF3E4F" w:rsidRPr="00D04127" w:rsidTr="00730855">
        <w:trPr>
          <w:jc w:val="center"/>
        </w:trPr>
        <w:tc>
          <w:tcPr>
            <w:tcW w:w="2235" w:type="dxa"/>
          </w:tcPr>
          <w:p w:rsidR="00EF3E4F" w:rsidRPr="003266C9" w:rsidRDefault="00EF3E4F" w:rsidP="002E43A0">
            <w:pPr>
              <w:jc w:val="both"/>
              <w:rPr>
                <w:b/>
                <w:sz w:val="20"/>
                <w:szCs w:val="20"/>
              </w:rPr>
            </w:pPr>
            <w:r w:rsidRPr="003266C9">
              <w:rPr>
                <w:b/>
                <w:sz w:val="20"/>
                <w:szCs w:val="20"/>
              </w:rPr>
              <w:t>Asia occidental</w:t>
            </w:r>
          </w:p>
        </w:tc>
        <w:tc>
          <w:tcPr>
            <w:tcW w:w="1134" w:type="dxa"/>
          </w:tcPr>
          <w:p w:rsidR="00EF3E4F" w:rsidRPr="00D04127" w:rsidRDefault="00EF3E4F" w:rsidP="002E43A0">
            <w:pPr>
              <w:jc w:val="center"/>
              <w:rPr>
                <w:sz w:val="20"/>
                <w:szCs w:val="20"/>
              </w:rPr>
            </w:pPr>
            <w:r>
              <w:rPr>
                <w:sz w:val="20"/>
                <w:szCs w:val="20"/>
              </w:rPr>
              <w:t>15</w:t>
            </w:r>
          </w:p>
        </w:tc>
        <w:tc>
          <w:tcPr>
            <w:tcW w:w="1134" w:type="dxa"/>
          </w:tcPr>
          <w:p w:rsidR="00EF3E4F" w:rsidRPr="00D04127" w:rsidRDefault="00EF3E4F" w:rsidP="002E43A0">
            <w:pPr>
              <w:jc w:val="center"/>
              <w:rPr>
                <w:sz w:val="20"/>
                <w:szCs w:val="20"/>
              </w:rPr>
            </w:pPr>
            <w:r>
              <w:rPr>
                <w:sz w:val="20"/>
                <w:szCs w:val="20"/>
              </w:rPr>
              <w:t>20</w:t>
            </w:r>
          </w:p>
        </w:tc>
      </w:tr>
      <w:tr w:rsidR="00EF3E4F" w:rsidRPr="00D04127" w:rsidTr="00730855">
        <w:trPr>
          <w:jc w:val="center"/>
        </w:trPr>
        <w:tc>
          <w:tcPr>
            <w:tcW w:w="2235" w:type="dxa"/>
          </w:tcPr>
          <w:p w:rsidR="00EF3E4F" w:rsidRPr="003266C9" w:rsidRDefault="00EF3E4F" w:rsidP="002E43A0">
            <w:pPr>
              <w:jc w:val="both"/>
              <w:rPr>
                <w:b/>
                <w:sz w:val="20"/>
                <w:szCs w:val="20"/>
              </w:rPr>
            </w:pPr>
            <w:r w:rsidRPr="003266C9">
              <w:rPr>
                <w:b/>
                <w:sz w:val="20"/>
                <w:szCs w:val="20"/>
              </w:rPr>
              <w:t>Asia sudoriental</w:t>
            </w:r>
          </w:p>
        </w:tc>
        <w:tc>
          <w:tcPr>
            <w:tcW w:w="1134" w:type="dxa"/>
          </w:tcPr>
          <w:p w:rsidR="00EF3E4F" w:rsidRPr="00D04127" w:rsidRDefault="00EF3E4F" w:rsidP="002E43A0">
            <w:pPr>
              <w:jc w:val="center"/>
              <w:rPr>
                <w:sz w:val="20"/>
                <w:szCs w:val="20"/>
              </w:rPr>
            </w:pPr>
            <w:r>
              <w:rPr>
                <w:sz w:val="20"/>
                <w:szCs w:val="20"/>
              </w:rPr>
              <w:t>35</w:t>
            </w:r>
          </w:p>
        </w:tc>
        <w:tc>
          <w:tcPr>
            <w:tcW w:w="1134" w:type="dxa"/>
          </w:tcPr>
          <w:p w:rsidR="00EF3E4F" w:rsidRPr="00D04127" w:rsidRDefault="00EF3E4F" w:rsidP="002E43A0">
            <w:pPr>
              <w:jc w:val="center"/>
              <w:rPr>
                <w:sz w:val="20"/>
                <w:szCs w:val="20"/>
              </w:rPr>
            </w:pPr>
            <w:r>
              <w:rPr>
                <w:sz w:val="20"/>
                <w:szCs w:val="20"/>
              </w:rPr>
              <w:t>39</w:t>
            </w:r>
          </w:p>
        </w:tc>
      </w:tr>
      <w:tr w:rsidR="00EF3E4F" w:rsidRPr="00D04127" w:rsidTr="00730855">
        <w:trPr>
          <w:jc w:val="center"/>
        </w:trPr>
        <w:tc>
          <w:tcPr>
            <w:tcW w:w="2235" w:type="dxa"/>
          </w:tcPr>
          <w:p w:rsidR="00EF3E4F" w:rsidRPr="003266C9" w:rsidRDefault="00EF3E4F" w:rsidP="002E43A0">
            <w:pPr>
              <w:jc w:val="both"/>
              <w:rPr>
                <w:b/>
                <w:sz w:val="20"/>
                <w:szCs w:val="20"/>
              </w:rPr>
            </w:pPr>
            <w:r w:rsidRPr="003266C9">
              <w:rPr>
                <w:b/>
                <w:sz w:val="20"/>
                <w:szCs w:val="20"/>
              </w:rPr>
              <w:t>Cáucaso y Asia central</w:t>
            </w:r>
          </w:p>
        </w:tc>
        <w:tc>
          <w:tcPr>
            <w:tcW w:w="1134" w:type="dxa"/>
          </w:tcPr>
          <w:p w:rsidR="00EF3E4F" w:rsidRPr="00D04127" w:rsidRDefault="00EF3E4F" w:rsidP="002E43A0">
            <w:pPr>
              <w:jc w:val="center"/>
              <w:rPr>
                <w:sz w:val="20"/>
                <w:szCs w:val="20"/>
              </w:rPr>
            </w:pPr>
            <w:r>
              <w:rPr>
                <w:sz w:val="20"/>
                <w:szCs w:val="20"/>
              </w:rPr>
              <w:t>43</w:t>
            </w:r>
          </w:p>
        </w:tc>
        <w:tc>
          <w:tcPr>
            <w:tcW w:w="1134" w:type="dxa"/>
          </w:tcPr>
          <w:p w:rsidR="00EF3E4F" w:rsidRPr="00D04127" w:rsidRDefault="00EF3E4F" w:rsidP="002E43A0">
            <w:pPr>
              <w:jc w:val="center"/>
              <w:rPr>
                <w:sz w:val="20"/>
                <w:szCs w:val="20"/>
              </w:rPr>
            </w:pPr>
            <w:r>
              <w:rPr>
                <w:sz w:val="20"/>
                <w:szCs w:val="20"/>
              </w:rPr>
              <w:t>44</w:t>
            </w:r>
          </w:p>
        </w:tc>
      </w:tr>
      <w:tr w:rsidR="00EF3E4F" w:rsidRPr="00D04127" w:rsidTr="00730855">
        <w:trPr>
          <w:jc w:val="center"/>
        </w:trPr>
        <w:tc>
          <w:tcPr>
            <w:tcW w:w="2235" w:type="dxa"/>
          </w:tcPr>
          <w:p w:rsidR="00EF3E4F" w:rsidRPr="003266C9" w:rsidRDefault="00EF3E4F" w:rsidP="002E43A0">
            <w:pPr>
              <w:jc w:val="both"/>
              <w:rPr>
                <w:b/>
                <w:sz w:val="20"/>
                <w:szCs w:val="20"/>
              </w:rPr>
            </w:pPr>
            <w:r w:rsidRPr="003266C9">
              <w:rPr>
                <w:b/>
                <w:sz w:val="20"/>
                <w:szCs w:val="20"/>
              </w:rPr>
              <w:t>África septentrional</w:t>
            </w:r>
          </w:p>
        </w:tc>
        <w:tc>
          <w:tcPr>
            <w:tcW w:w="1134" w:type="dxa"/>
          </w:tcPr>
          <w:p w:rsidR="00EF3E4F" w:rsidRPr="00D04127" w:rsidRDefault="00EF3E4F" w:rsidP="002E43A0">
            <w:pPr>
              <w:jc w:val="center"/>
              <w:rPr>
                <w:sz w:val="20"/>
                <w:szCs w:val="20"/>
              </w:rPr>
            </w:pPr>
            <w:r>
              <w:rPr>
                <w:sz w:val="20"/>
                <w:szCs w:val="20"/>
              </w:rPr>
              <w:t>19</w:t>
            </w:r>
          </w:p>
        </w:tc>
        <w:tc>
          <w:tcPr>
            <w:tcW w:w="1134" w:type="dxa"/>
          </w:tcPr>
          <w:p w:rsidR="00EF3E4F" w:rsidRPr="00D04127" w:rsidRDefault="00EF3E4F" w:rsidP="002E43A0">
            <w:pPr>
              <w:jc w:val="center"/>
              <w:rPr>
                <w:sz w:val="20"/>
                <w:szCs w:val="20"/>
              </w:rPr>
            </w:pPr>
            <w:r>
              <w:rPr>
                <w:sz w:val="20"/>
                <w:szCs w:val="20"/>
              </w:rPr>
              <w:t>19</w:t>
            </w:r>
          </w:p>
        </w:tc>
      </w:tr>
      <w:tr w:rsidR="00EF3E4F" w:rsidRPr="00D04127" w:rsidTr="00730855">
        <w:trPr>
          <w:jc w:val="center"/>
        </w:trPr>
        <w:tc>
          <w:tcPr>
            <w:tcW w:w="2235" w:type="dxa"/>
          </w:tcPr>
          <w:p w:rsidR="00EF3E4F" w:rsidRPr="003266C9" w:rsidRDefault="00EF3E4F" w:rsidP="002E43A0">
            <w:pPr>
              <w:jc w:val="both"/>
              <w:rPr>
                <w:b/>
                <w:sz w:val="20"/>
                <w:szCs w:val="20"/>
              </w:rPr>
            </w:pPr>
            <w:r w:rsidRPr="003266C9">
              <w:rPr>
                <w:b/>
                <w:sz w:val="20"/>
                <w:szCs w:val="20"/>
              </w:rPr>
              <w:t>Asia oriental</w:t>
            </w:r>
          </w:p>
        </w:tc>
        <w:tc>
          <w:tcPr>
            <w:tcW w:w="1134" w:type="dxa"/>
          </w:tcPr>
          <w:p w:rsidR="00EF3E4F" w:rsidRPr="00D04127" w:rsidRDefault="00EF3E4F" w:rsidP="002E43A0">
            <w:pPr>
              <w:jc w:val="center"/>
              <w:rPr>
                <w:sz w:val="20"/>
                <w:szCs w:val="20"/>
              </w:rPr>
            </w:pPr>
            <w:r>
              <w:rPr>
                <w:sz w:val="20"/>
                <w:szCs w:val="20"/>
              </w:rPr>
              <w:t>38</w:t>
            </w:r>
          </w:p>
        </w:tc>
        <w:tc>
          <w:tcPr>
            <w:tcW w:w="1134" w:type="dxa"/>
          </w:tcPr>
          <w:p w:rsidR="00EF3E4F" w:rsidRPr="00D04127" w:rsidRDefault="00EF3E4F" w:rsidP="002E43A0">
            <w:pPr>
              <w:jc w:val="center"/>
              <w:rPr>
                <w:sz w:val="20"/>
                <w:szCs w:val="20"/>
              </w:rPr>
            </w:pPr>
            <w:r>
              <w:rPr>
                <w:sz w:val="20"/>
                <w:szCs w:val="20"/>
              </w:rPr>
              <w:t>42</w:t>
            </w:r>
          </w:p>
        </w:tc>
      </w:tr>
      <w:tr w:rsidR="00EF3E4F" w:rsidRPr="00D04127" w:rsidTr="00730855">
        <w:trPr>
          <w:jc w:val="center"/>
        </w:trPr>
        <w:tc>
          <w:tcPr>
            <w:tcW w:w="2235" w:type="dxa"/>
          </w:tcPr>
          <w:p w:rsidR="00EF3E4F" w:rsidRPr="003266C9" w:rsidRDefault="00EF3E4F" w:rsidP="00EF3E4F">
            <w:pPr>
              <w:jc w:val="both"/>
              <w:rPr>
                <w:b/>
                <w:sz w:val="20"/>
                <w:szCs w:val="20"/>
              </w:rPr>
            </w:pPr>
            <w:r w:rsidRPr="003266C9">
              <w:rPr>
                <w:b/>
                <w:sz w:val="20"/>
                <w:szCs w:val="20"/>
              </w:rPr>
              <w:t>Regiones desarrolladas</w:t>
            </w:r>
          </w:p>
        </w:tc>
        <w:tc>
          <w:tcPr>
            <w:tcW w:w="1134" w:type="dxa"/>
          </w:tcPr>
          <w:p w:rsidR="00EF3E4F" w:rsidRPr="00D04127" w:rsidRDefault="00EF3E4F" w:rsidP="002E43A0">
            <w:pPr>
              <w:jc w:val="center"/>
              <w:rPr>
                <w:sz w:val="20"/>
                <w:szCs w:val="20"/>
              </w:rPr>
            </w:pPr>
            <w:r>
              <w:rPr>
                <w:sz w:val="20"/>
                <w:szCs w:val="20"/>
              </w:rPr>
              <w:t>45</w:t>
            </w:r>
          </w:p>
        </w:tc>
        <w:tc>
          <w:tcPr>
            <w:tcW w:w="1134" w:type="dxa"/>
          </w:tcPr>
          <w:p w:rsidR="00EF3E4F" w:rsidRPr="00D04127" w:rsidRDefault="00EF3E4F" w:rsidP="002E43A0">
            <w:pPr>
              <w:jc w:val="center"/>
              <w:rPr>
                <w:sz w:val="20"/>
                <w:szCs w:val="20"/>
              </w:rPr>
            </w:pPr>
            <w:r>
              <w:rPr>
                <w:sz w:val="20"/>
                <w:szCs w:val="20"/>
              </w:rPr>
              <w:t>48</w:t>
            </w:r>
          </w:p>
        </w:tc>
      </w:tr>
    </w:tbl>
    <w:p w:rsidR="00730855" w:rsidRPr="003266C9" w:rsidRDefault="00730855" w:rsidP="00712E06">
      <w:pPr>
        <w:spacing w:after="120"/>
        <w:ind w:left="2124" w:firstLine="708"/>
        <w:jc w:val="both"/>
        <w:rPr>
          <w:sz w:val="20"/>
          <w:szCs w:val="20"/>
        </w:rPr>
      </w:pPr>
      <w:r w:rsidRPr="003266C9">
        <w:rPr>
          <w:sz w:val="20"/>
          <w:szCs w:val="20"/>
        </w:rPr>
        <w:t>Fuente: Informe ODM 2014. Elaboración propia</w:t>
      </w:r>
    </w:p>
    <w:p w:rsidR="001E1976" w:rsidRDefault="002E43A0" w:rsidP="00712E06">
      <w:pPr>
        <w:spacing w:after="120"/>
        <w:jc w:val="both"/>
      </w:pPr>
      <w:r>
        <w:t>En cuanto a la tasa de participación en la población activa las diferencias entre hombres y mujeres se mantienen y en algunas zonas son considerables.</w:t>
      </w:r>
      <w:r w:rsidR="00BC4F73">
        <w:t xml:space="preserve"> Y son los países con un desarrollo humano medio donde la brecha es mayor. En cuanto a las zonas geográficas</w:t>
      </w:r>
      <w:r w:rsidR="006F40AA">
        <w:t>,</w:t>
      </w:r>
      <w:r w:rsidR="00BC4F73">
        <w:t xml:space="preserve"> </w:t>
      </w:r>
      <w:r w:rsidR="006F40AA">
        <w:t xml:space="preserve">los Estados árabes y el sur de Asia son </w:t>
      </w:r>
      <w:r w:rsidR="006F40AA">
        <w:lastRenderedPageBreak/>
        <w:t xml:space="preserve">las zonas donde el porcentaje </w:t>
      </w:r>
      <w:r w:rsidR="00055F99">
        <w:t xml:space="preserve">de </w:t>
      </w:r>
      <w:r w:rsidR="00712E06">
        <w:t xml:space="preserve">participación de las mujeres </w:t>
      </w:r>
      <w:r w:rsidR="006F40AA">
        <w:t>es más bajo</w:t>
      </w:r>
      <w:r w:rsidR="00712E06">
        <w:t xml:space="preserve"> (Tabla 7 y Tabla 8)</w:t>
      </w:r>
      <w:r w:rsidR="006F40AA">
        <w:t xml:space="preserve">. Esta situación tiene su reflejo en el Ingreso Nacional Bruto per </w:t>
      </w:r>
      <w:proofErr w:type="spellStart"/>
      <w:r w:rsidR="006F40AA">
        <w:t>capita</w:t>
      </w:r>
      <w:proofErr w:type="spellEnd"/>
      <w:r w:rsidR="00712E06">
        <w:t>,</w:t>
      </w:r>
      <w:r w:rsidR="006F40AA">
        <w:t xml:space="preserve"> que se calcula en función de la proporción salarial de mujeres respecto a hombres y la participación en la población económicamente activa. A nivel mundial en el año 2013 la diferencia entre hombres y mujeres era de más del doble</w:t>
      </w:r>
      <w:r w:rsidR="00055F99">
        <w:t>;</w:t>
      </w:r>
      <w:r w:rsidR="006F40AA">
        <w:t xml:space="preserve"> en el caso de las mujeres, 8.956 dólares y en el de los hombres 18.277 dólares. Ni </w:t>
      </w:r>
      <w:r w:rsidR="00712E06">
        <w:t xml:space="preserve">siquiera en </w:t>
      </w:r>
      <w:r w:rsidR="006F40AA">
        <w:t>los países con mayor nivel de desarrollo humano las diferencias se acortan, 26.677 para las mujeres y 53.683 para los hombres. En África subsahariana la brecha es menor, siendo las cifras muy bajas tanto para hombres como para mujeres (</w:t>
      </w:r>
      <w:r w:rsidR="00682E66">
        <w:t>2.492 para mujeres y 3.812 para hombres)</w:t>
      </w:r>
      <w:r w:rsidR="00012195">
        <w:t xml:space="preserve"> (Naciones Unidas</w:t>
      </w:r>
      <w:r w:rsidR="00973B90">
        <w:t>,</w:t>
      </w:r>
      <w:r w:rsidR="00012195">
        <w:t xml:space="preserve"> 2014)</w:t>
      </w:r>
      <w:r w:rsidR="006F40AA">
        <w:t>.</w:t>
      </w:r>
    </w:p>
    <w:p w:rsidR="003266C9" w:rsidRDefault="00BC4F73" w:rsidP="003266C9">
      <w:pPr>
        <w:spacing w:after="0" w:line="240" w:lineRule="auto"/>
        <w:jc w:val="center"/>
        <w:rPr>
          <w:b/>
          <w:sz w:val="20"/>
          <w:szCs w:val="20"/>
        </w:rPr>
      </w:pPr>
      <w:r w:rsidRPr="003266C9">
        <w:rPr>
          <w:b/>
          <w:sz w:val="20"/>
          <w:szCs w:val="20"/>
        </w:rPr>
        <w:t xml:space="preserve">Tabla 7: Tasa de participación en la población activa (porcentaje </w:t>
      </w:r>
    </w:p>
    <w:p w:rsidR="00BC4F73" w:rsidRPr="003266C9" w:rsidRDefault="00BC4F73" w:rsidP="003266C9">
      <w:pPr>
        <w:spacing w:after="0" w:line="240" w:lineRule="auto"/>
        <w:jc w:val="center"/>
        <w:rPr>
          <w:b/>
          <w:sz w:val="20"/>
          <w:szCs w:val="20"/>
        </w:rPr>
      </w:pPr>
      <w:proofErr w:type="gramStart"/>
      <w:r w:rsidRPr="003266C9">
        <w:rPr>
          <w:b/>
          <w:sz w:val="20"/>
          <w:szCs w:val="20"/>
        </w:rPr>
        <w:t>de</w:t>
      </w:r>
      <w:proofErr w:type="gramEnd"/>
      <w:r w:rsidRPr="003266C9">
        <w:rPr>
          <w:b/>
          <w:sz w:val="20"/>
          <w:szCs w:val="20"/>
        </w:rPr>
        <w:t xml:space="preserve"> 15 y más años) según índice de desarrollo humano</w:t>
      </w:r>
      <w:r w:rsidR="006F40AA" w:rsidRPr="003266C9">
        <w:rPr>
          <w:b/>
          <w:sz w:val="20"/>
          <w:szCs w:val="20"/>
        </w:rPr>
        <w:t>. Año 2012.</w:t>
      </w:r>
    </w:p>
    <w:tbl>
      <w:tblPr>
        <w:tblStyle w:val="Tablaconcuadrcula"/>
        <w:tblW w:w="0" w:type="auto"/>
        <w:jc w:val="center"/>
        <w:tblLook w:val="04A0" w:firstRow="1" w:lastRow="0" w:firstColumn="1" w:lastColumn="0" w:noHBand="0" w:noVBand="1"/>
      </w:tblPr>
      <w:tblGrid>
        <w:gridCol w:w="3070"/>
        <w:gridCol w:w="1291"/>
        <w:gridCol w:w="1276"/>
      </w:tblGrid>
      <w:tr w:rsidR="002E43A0" w:rsidRPr="003266C9" w:rsidTr="003266C9">
        <w:trPr>
          <w:jc w:val="center"/>
        </w:trPr>
        <w:tc>
          <w:tcPr>
            <w:tcW w:w="3070" w:type="dxa"/>
            <w:shd w:val="clear" w:color="auto" w:fill="D9D9D9" w:themeFill="background1" w:themeFillShade="D9"/>
          </w:tcPr>
          <w:p w:rsidR="002E43A0" w:rsidRPr="003266C9" w:rsidRDefault="002E43A0" w:rsidP="00BC4F73">
            <w:pPr>
              <w:jc w:val="center"/>
              <w:rPr>
                <w:b/>
                <w:sz w:val="20"/>
                <w:szCs w:val="20"/>
              </w:rPr>
            </w:pPr>
          </w:p>
        </w:tc>
        <w:tc>
          <w:tcPr>
            <w:tcW w:w="1291" w:type="dxa"/>
            <w:shd w:val="clear" w:color="auto" w:fill="D9D9D9" w:themeFill="background1" w:themeFillShade="D9"/>
          </w:tcPr>
          <w:p w:rsidR="002E43A0" w:rsidRPr="003266C9" w:rsidRDefault="002E43A0" w:rsidP="00BC4F73">
            <w:pPr>
              <w:jc w:val="center"/>
              <w:rPr>
                <w:b/>
                <w:sz w:val="20"/>
                <w:szCs w:val="20"/>
              </w:rPr>
            </w:pPr>
            <w:r w:rsidRPr="003266C9">
              <w:rPr>
                <w:b/>
                <w:sz w:val="20"/>
                <w:szCs w:val="20"/>
              </w:rPr>
              <w:t>Mujeres</w:t>
            </w:r>
          </w:p>
        </w:tc>
        <w:tc>
          <w:tcPr>
            <w:tcW w:w="1276" w:type="dxa"/>
            <w:shd w:val="clear" w:color="auto" w:fill="D9D9D9" w:themeFill="background1" w:themeFillShade="D9"/>
          </w:tcPr>
          <w:p w:rsidR="002E43A0" w:rsidRPr="003266C9" w:rsidRDefault="002E43A0" w:rsidP="00BC4F73">
            <w:pPr>
              <w:jc w:val="center"/>
              <w:rPr>
                <w:b/>
                <w:sz w:val="20"/>
                <w:szCs w:val="20"/>
              </w:rPr>
            </w:pPr>
            <w:r w:rsidRPr="003266C9">
              <w:rPr>
                <w:b/>
                <w:sz w:val="20"/>
                <w:szCs w:val="20"/>
              </w:rPr>
              <w:t>Hombres</w:t>
            </w:r>
          </w:p>
        </w:tc>
      </w:tr>
      <w:tr w:rsidR="002E43A0" w:rsidRPr="002E43A0" w:rsidTr="00BC4F73">
        <w:trPr>
          <w:jc w:val="center"/>
        </w:trPr>
        <w:tc>
          <w:tcPr>
            <w:tcW w:w="3070" w:type="dxa"/>
          </w:tcPr>
          <w:p w:rsidR="002E43A0" w:rsidRPr="003266C9" w:rsidRDefault="002E43A0" w:rsidP="002E43A0">
            <w:pPr>
              <w:autoSpaceDE w:val="0"/>
              <w:autoSpaceDN w:val="0"/>
              <w:adjustRightInd w:val="0"/>
              <w:rPr>
                <w:rFonts w:cs="UniversLTStd-LightCn"/>
                <w:b/>
                <w:sz w:val="20"/>
                <w:szCs w:val="20"/>
                <w:lang w:val="es-ES"/>
              </w:rPr>
            </w:pPr>
            <w:r w:rsidRPr="003266C9">
              <w:rPr>
                <w:rFonts w:cs="UniversLTStd-LightCn"/>
                <w:b/>
                <w:sz w:val="20"/>
                <w:szCs w:val="20"/>
                <w:lang w:val="es-ES"/>
              </w:rPr>
              <w:t xml:space="preserve">Desarrollo humano muy alto </w:t>
            </w:r>
          </w:p>
        </w:tc>
        <w:tc>
          <w:tcPr>
            <w:tcW w:w="1291" w:type="dxa"/>
          </w:tcPr>
          <w:p w:rsidR="002E43A0" w:rsidRPr="002E43A0" w:rsidRDefault="00BC4F73" w:rsidP="00BC4F73">
            <w:pPr>
              <w:jc w:val="center"/>
              <w:rPr>
                <w:sz w:val="20"/>
                <w:szCs w:val="20"/>
              </w:rPr>
            </w:pPr>
            <w:r>
              <w:rPr>
                <w:sz w:val="20"/>
                <w:szCs w:val="20"/>
              </w:rPr>
              <w:t>52,3</w:t>
            </w:r>
          </w:p>
        </w:tc>
        <w:tc>
          <w:tcPr>
            <w:tcW w:w="1276" w:type="dxa"/>
          </w:tcPr>
          <w:p w:rsidR="002E43A0" w:rsidRPr="002E43A0" w:rsidRDefault="00BC4F73" w:rsidP="00BC4F73">
            <w:pPr>
              <w:jc w:val="center"/>
              <w:rPr>
                <w:sz w:val="20"/>
                <w:szCs w:val="20"/>
              </w:rPr>
            </w:pPr>
            <w:r>
              <w:rPr>
                <w:sz w:val="20"/>
                <w:szCs w:val="20"/>
              </w:rPr>
              <w:t>69,0</w:t>
            </w:r>
          </w:p>
        </w:tc>
      </w:tr>
      <w:tr w:rsidR="002E43A0" w:rsidRPr="002E43A0" w:rsidTr="00BC4F73">
        <w:trPr>
          <w:jc w:val="center"/>
        </w:trPr>
        <w:tc>
          <w:tcPr>
            <w:tcW w:w="3070" w:type="dxa"/>
          </w:tcPr>
          <w:p w:rsidR="002E43A0" w:rsidRPr="003266C9" w:rsidRDefault="002E43A0" w:rsidP="002E43A0">
            <w:pPr>
              <w:autoSpaceDE w:val="0"/>
              <w:autoSpaceDN w:val="0"/>
              <w:adjustRightInd w:val="0"/>
              <w:rPr>
                <w:rFonts w:cs="UniversLTStd-LightCn"/>
                <w:b/>
                <w:sz w:val="20"/>
                <w:szCs w:val="20"/>
                <w:lang w:val="es-ES"/>
              </w:rPr>
            </w:pPr>
            <w:r w:rsidRPr="003266C9">
              <w:rPr>
                <w:rFonts w:cs="UniversLTStd-LightCn"/>
                <w:b/>
                <w:sz w:val="20"/>
                <w:szCs w:val="20"/>
                <w:lang w:val="es-ES"/>
              </w:rPr>
              <w:t xml:space="preserve">Desarrollo humano alto </w:t>
            </w:r>
          </w:p>
        </w:tc>
        <w:tc>
          <w:tcPr>
            <w:tcW w:w="1291" w:type="dxa"/>
          </w:tcPr>
          <w:p w:rsidR="002E43A0" w:rsidRPr="002E43A0" w:rsidRDefault="00BC4F73" w:rsidP="00BC4F73">
            <w:pPr>
              <w:jc w:val="center"/>
              <w:rPr>
                <w:sz w:val="20"/>
                <w:szCs w:val="20"/>
              </w:rPr>
            </w:pPr>
            <w:r>
              <w:rPr>
                <w:sz w:val="20"/>
                <w:szCs w:val="20"/>
              </w:rPr>
              <w:t>57,1</w:t>
            </w:r>
          </w:p>
        </w:tc>
        <w:tc>
          <w:tcPr>
            <w:tcW w:w="1276" w:type="dxa"/>
          </w:tcPr>
          <w:p w:rsidR="002E43A0" w:rsidRPr="002E43A0" w:rsidRDefault="00BC4F73" w:rsidP="00BC4F73">
            <w:pPr>
              <w:jc w:val="center"/>
              <w:rPr>
                <w:sz w:val="20"/>
                <w:szCs w:val="20"/>
              </w:rPr>
            </w:pPr>
            <w:r>
              <w:rPr>
                <w:sz w:val="20"/>
                <w:szCs w:val="20"/>
              </w:rPr>
              <w:t>77,1</w:t>
            </w:r>
          </w:p>
        </w:tc>
      </w:tr>
      <w:tr w:rsidR="002E43A0" w:rsidRPr="002E43A0" w:rsidTr="00BC4F73">
        <w:trPr>
          <w:jc w:val="center"/>
        </w:trPr>
        <w:tc>
          <w:tcPr>
            <w:tcW w:w="3070" w:type="dxa"/>
          </w:tcPr>
          <w:p w:rsidR="002E43A0" w:rsidRPr="003266C9" w:rsidRDefault="002E43A0" w:rsidP="002E43A0">
            <w:pPr>
              <w:autoSpaceDE w:val="0"/>
              <w:autoSpaceDN w:val="0"/>
              <w:adjustRightInd w:val="0"/>
              <w:rPr>
                <w:rFonts w:cs="UniversLTStd-LightCn"/>
                <w:b/>
                <w:sz w:val="20"/>
                <w:szCs w:val="20"/>
                <w:lang w:val="es-ES"/>
              </w:rPr>
            </w:pPr>
            <w:r w:rsidRPr="003266C9">
              <w:rPr>
                <w:rFonts w:cs="UniversLTStd-LightCn"/>
                <w:b/>
                <w:sz w:val="20"/>
                <w:szCs w:val="20"/>
                <w:lang w:val="es-ES"/>
              </w:rPr>
              <w:t xml:space="preserve">Desarrollo humano medio </w:t>
            </w:r>
          </w:p>
        </w:tc>
        <w:tc>
          <w:tcPr>
            <w:tcW w:w="1291" w:type="dxa"/>
          </w:tcPr>
          <w:p w:rsidR="002E43A0" w:rsidRPr="002E43A0" w:rsidRDefault="00BC4F73" w:rsidP="00BC4F73">
            <w:pPr>
              <w:jc w:val="center"/>
              <w:rPr>
                <w:sz w:val="20"/>
                <w:szCs w:val="20"/>
              </w:rPr>
            </w:pPr>
            <w:r>
              <w:rPr>
                <w:sz w:val="20"/>
                <w:szCs w:val="20"/>
              </w:rPr>
              <w:t>38,7</w:t>
            </w:r>
          </w:p>
        </w:tc>
        <w:tc>
          <w:tcPr>
            <w:tcW w:w="1276" w:type="dxa"/>
          </w:tcPr>
          <w:p w:rsidR="002E43A0" w:rsidRPr="002E43A0" w:rsidRDefault="00BC4F73" w:rsidP="00BC4F73">
            <w:pPr>
              <w:jc w:val="center"/>
              <w:rPr>
                <w:sz w:val="20"/>
                <w:szCs w:val="20"/>
              </w:rPr>
            </w:pPr>
            <w:r>
              <w:rPr>
                <w:sz w:val="20"/>
                <w:szCs w:val="20"/>
              </w:rPr>
              <w:t>80,0</w:t>
            </w:r>
          </w:p>
        </w:tc>
      </w:tr>
      <w:tr w:rsidR="002E43A0" w:rsidRPr="002E43A0" w:rsidTr="00BC4F73">
        <w:trPr>
          <w:jc w:val="center"/>
        </w:trPr>
        <w:tc>
          <w:tcPr>
            <w:tcW w:w="3070" w:type="dxa"/>
          </w:tcPr>
          <w:p w:rsidR="002E43A0" w:rsidRPr="003266C9" w:rsidRDefault="002E43A0" w:rsidP="00881667">
            <w:pPr>
              <w:jc w:val="both"/>
              <w:rPr>
                <w:b/>
                <w:sz w:val="20"/>
                <w:szCs w:val="20"/>
              </w:rPr>
            </w:pPr>
            <w:r w:rsidRPr="003266C9">
              <w:rPr>
                <w:rFonts w:cs="UniversLTStd-LightCn"/>
                <w:b/>
                <w:sz w:val="20"/>
                <w:szCs w:val="20"/>
                <w:lang w:val="es-ES"/>
              </w:rPr>
              <w:t>Desarrollo humano bajo</w:t>
            </w:r>
          </w:p>
        </w:tc>
        <w:tc>
          <w:tcPr>
            <w:tcW w:w="1291" w:type="dxa"/>
          </w:tcPr>
          <w:p w:rsidR="002E43A0" w:rsidRPr="002E43A0" w:rsidRDefault="00BC4F73" w:rsidP="00BC4F73">
            <w:pPr>
              <w:jc w:val="center"/>
              <w:rPr>
                <w:sz w:val="20"/>
                <w:szCs w:val="20"/>
              </w:rPr>
            </w:pPr>
            <w:r>
              <w:rPr>
                <w:sz w:val="20"/>
                <w:szCs w:val="20"/>
              </w:rPr>
              <w:t>55,7</w:t>
            </w:r>
          </w:p>
        </w:tc>
        <w:tc>
          <w:tcPr>
            <w:tcW w:w="1276" w:type="dxa"/>
          </w:tcPr>
          <w:p w:rsidR="002E43A0" w:rsidRPr="002E43A0" w:rsidRDefault="00BC4F73" w:rsidP="00BC4F73">
            <w:pPr>
              <w:jc w:val="center"/>
              <w:rPr>
                <w:sz w:val="20"/>
                <w:szCs w:val="20"/>
              </w:rPr>
            </w:pPr>
            <w:r>
              <w:rPr>
                <w:sz w:val="20"/>
                <w:szCs w:val="20"/>
              </w:rPr>
              <w:t>78,4</w:t>
            </w:r>
          </w:p>
        </w:tc>
      </w:tr>
    </w:tbl>
    <w:p w:rsidR="002E43A0" w:rsidRPr="003266C9" w:rsidRDefault="00BC4F73" w:rsidP="003266C9">
      <w:pPr>
        <w:ind w:left="1416" w:firstLine="708"/>
        <w:jc w:val="both"/>
        <w:rPr>
          <w:sz w:val="20"/>
          <w:szCs w:val="20"/>
        </w:rPr>
      </w:pPr>
      <w:r w:rsidRPr="003266C9">
        <w:rPr>
          <w:sz w:val="20"/>
          <w:szCs w:val="20"/>
        </w:rPr>
        <w:t>Fuente: Índice de Desarrollo Humano 2014. Elaboración propia.</w:t>
      </w:r>
    </w:p>
    <w:p w:rsidR="003266C9" w:rsidRDefault="00BC4F73" w:rsidP="003266C9">
      <w:pPr>
        <w:spacing w:after="0" w:line="240" w:lineRule="auto"/>
        <w:jc w:val="center"/>
        <w:rPr>
          <w:b/>
          <w:sz w:val="20"/>
          <w:szCs w:val="20"/>
        </w:rPr>
      </w:pPr>
      <w:r w:rsidRPr="003266C9">
        <w:rPr>
          <w:b/>
          <w:sz w:val="20"/>
          <w:szCs w:val="20"/>
        </w:rPr>
        <w:t>Tabla 8: Tasa de participación en la población activa</w:t>
      </w:r>
    </w:p>
    <w:p w:rsidR="00BC4F73" w:rsidRPr="003266C9" w:rsidRDefault="00BC4F73" w:rsidP="003266C9">
      <w:pPr>
        <w:spacing w:after="0" w:line="240" w:lineRule="auto"/>
        <w:jc w:val="center"/>
        <w:rPr>
          <w:b/>
          <w:sz w:val="20"/>
          <w:szCs w:val="20"/>
        </w:rPr>
      </w:pPr>
      <w:r w:rsidRPr="003266C9">
        <w:rPr>
          <w:b/>
          <w:sz w:val="20"/>
          <w:szCs w:val="20"/>
        </w:rPr>
        <w:t>(</w:t>
      </w:r>
      <w:proofErr w:type="gramStart"/>
      <w:r w:rsidRPr="003266C9">
        <w:rPr>
          <w:b/>
          <w:sz w:val="20"/>
          <w:szCs w:val="20"/>
        </w:rPr>
        <w:t>porcentaje</w:t>
      </w:r>
      <w:proofErr w:type="gramEnd"/>
      <w:r w:rsidRPr="003266C9">
        <w:rPr>
          <w:b/>
          <w:sz w:val="20"/>
          <w:szCs w:val="20"/>
        </w:rPr>
        <w:t xml:space="preserve"> de 15 y más años) según zona geográfica</w:t>
      </w:r>
    </w:p>
    <w:tbl>
      <w:tblPr>
        <w:tblStyle w:val="Tablaconcuadrcula"/>
        <w:tblW w:w="0" w:type="auto"/>
        <w:jc w:val="center"/>
        <w:tblLook w:val="04A0" w:firstRow="1" w:lastRow="0" w:firstColumn="1" w:lastColumn="0" w:noHBand="0" w:noVBand="1"/>
      </w:tblPr>
      <w:tblGrid>
        <w:gridCol w:w="3070"/>
        <w:gridCol w:w="1291"/>
        <w:gridCol w:w="1276"/>
      </w:tblGrid>
      <w:tr w:rsidR="00BC4F73" w:rsidRPr="003266C9" w:rsidTr="003266C9">
        <w:trPr>
          <w:jc w:val="center"/>
        </w:trPr>
        <w:tc>
          <w:tcPr>
            <w:tcW w:w="3070" w:type="dxa"/>
            <w:shd w:val="clear" w:color="auto" w:fill="D9D9D9" w:themeFill="background1" w:themeFillShade="D9"/>
          </w:tcPr>
          <w:p w:rsidR="00BC4F73" w:rsidRPr="003266C9" w:rsidRDefault="00BC4F73" w:rsidP="00BC4F73">
            <w:pPr>
              <w:jc w:val="both"/>
              <w:rPr>
                <w:b/>
                <w:sz w:val="20"/>
                <w:szCs w:val="20"/>
              </w:rPr>
            </w:pPr>
          </w:p>
        </w:tc>
        <w:tc>
          <w:tcPr>
            <w:tcW w:w="1291" w:type="dxa"/>
            <w:shd w:val="clear" w:color="auto" w:fill="D9D9D9" w:themeFill="background1" w:themeFillShade="D9"/>
          </w:tcPr>
          <w:p w:rsidR="00BC4F73" w:rsidRPr="003266C9" w:rsidRDefault="00BC4F73" w:rsidP="00BC4F73">
            <w:pPr>
              <w:jc w:val="center"/>
              <w:rPr>
                <w:b/>
                <w:sz w:val="20"/>
                <w:szCs w:val="20"/>
              </w:rPr>
            </w:pPr>
            <w:r w:rsidRPr="003266C9">
              <w:rPr>
                <w:b/>
                <w:sz w:val="20"/>
                <w:szCs w:val="20"/>
              </w:rPr>
              <w:t>Mujeres</w:t>
            </w:r>
          </w:p>
        </w:tc>
        <w:tc>
          <w:tcPr>
            <w:tcW w:w="1276" w:type="dxa"/>
            <w:shd w:val="clear" w:color="auto" w:fill="D9D9D9" w:themeFill="background1" w:themeFillShade="D9"/>
          </w:tcPr>
          <w:p w:rsidR="00BC4F73" w:rsidRPr="003266C9" w:rsidRDefault="00BC4F73" w:rsidP="00BC4F73">
            <w:pPr>
              <w:jc w:val="center"/>
              <w:rPr>
                <w:b/>
                <w:sz w:val="20"/>
                <w:szCs w:val="20"/>
              </w:rPr>
            </w:pPr>
            <w:r w:rsidRPr="003266C9">
              <w:rPr>
                <w:b/>
                <w:sz w:val="20"/>
                <w:szCs w:val="20"/>
              </w:rPr>
              <w:t>Hombres</w:t>
            </w:r>
          </w:p>
        </w:tc>
      </w:tr>
      <w:tr w:rsidR="00BC4F73" w:rsidRPr="00BC4F73" w:rsidTr="00BC4F73">
        <w:trPr>
          <w:jc w:val="center"/>
        </w:trPr>
        <w:tc>
          <w:tcPr>
            <w:tcW w:w="3070" w:type="dxa"/>
          </w:tcPr>
          <w:p w:rsidR="00BC4F73" w:rsidRPr="003266C9" w:rsidRDefault="00BC4F73" w:rsidP="00BC4F73">
            <w:pPr>
              <w:jc w:val="both"/>
              <w:rPr>
                <w:b/>
                <w:sz w:val="20"/>
                <w:szCs w:val="20"/>
              </w:rPr>
            </w:pPr>
            <w:r w:rsidRPr="003266C9">
              <w:rPr>
                <w:b/>
                <w:sz w:val="20"/>
                <w:szCs w:val="20"/>
              </w:rPr>
              <w:t>Estados árabes</w:t>
            </w:r>
          </w:p>
        </w:tc>
        <w:tc>
          <w:tcPr>
            <w:tcW w:w="1291" w:type="dxa"/>
          </w:tcPr>
          <w:p w:rsidR="00BC4F73" w:rsidRPr="00BC4F73" w:rsidRDefault="00BC4F73" w:rsidP="00BC4F73">
            <w:pPr>
              <w:jc w:val="center"/>
              <w:rPr>
                <w:sz w:val="20"/>
                <w:szCs w:val="20"/>
              </w:rPr>
            </w:pPr>
            <w:r w:rsidRPr="00BC4F73">
              <w:rPr>
                <w:sz w:val="20"/>
                <w:szCs w:val="20"/>
              </w:rPr>
              <w:t>24,7</w:t>
            </w:r>
          </w:p>
        </w:tc>
        <w:tc>
          <w:tcPr>
            <w:tcW w:w="1276" w:type="dxa"/>
          </w:tcPr>
          <w:p w:rsidR="00BC4F73" w:rsidRPr="00BC4F73" w:rsidRDefault="00BC4F73" w:rsidP="00BC4F73">
            <w:pPr>
              <w:jc w:val="center"/>
              <w:rPr>
                <w:sz w:val="20"/>
                <w:szCs w:val="20"/>
              </w:rPr>
            </w:pPr>
            <w:r w:rsidRPr="00BC4F73">
              <w:rPr>
                <w:sz w:val="20"/>
                <w:szCs w:val="20"/>
              </w:rPr>
              <w:t>73,2</w:t>
            </w:r>
          </w:p>
        </w:tc>
      </w:tr>
      <w:tr w:rsidR="00BC4F73" w:rsidRPr="00BC4F73" w:rsidTr="00BC4F73">
        <w:trPr>
          <w:jc w:val="center"/>
        </w:trPr>
        <w:tc>
          <w:tcPr>
            <w:tcW w:w="3070" w:type="dxa"/>
          </w:tcPr>
          <w:p w:rsidR="00BC4F73" w:rsidRPr="003266C9" w:rsidRDefault="00BC4F73" w:rsidP="00BC4F73">
            <w:pPr>
              <w:jc w:val="both"/>
              <w:rPr>
                <w:b/>
                <w:sz w:val="20"/>
                <w:szCs w:val="20"/>
              </w:rPr>
            </w:pPr>
            <w:r w:rsidRPr="003266C9">
              <w:rPr>
                <w:b/>
                <w:sz w:val="20"/>
                <w:szCs w:val="20"/>
              </w:rPr>
              <w:t>Asia oriental y pacifico</w:t>
            </w:r>
          </w:p>
        </w:tc>
        <w:tc>
          <w:tcPr>
            <w:tcW w:w="1291" w:type="dxa"/>
          </w:tcPr>
          <w:p w:rsidR="00BC4F73" w:rsidRPr="00BC4F73" w:rsidRDefault="00BC4F73" w:rsidP="00BC4F73">
            <w:pPr>
              <w:jc w:val="center"/>
              <w:rPr>
                <w:sz w:val="20"/>
                <w:szCs w:val="20"/>
              </w:rPr>
            </w:pPr>
            <w:r w:rsidRPr="00BC4F73">
              <w:rPr>
                <w:sz w:val="20"/>
                <w:szCs w:val="20"/>
              </w:rPr>
              <w:t>62,8</w:t>
            </w:r>
          </w:p>
        </w:tc>
        <w:tc>
          <w:tcPr>
            <w:tcW w:w="1276" w:type="dxa"/>
          </w:tcPr>
          <w:p w:rsidR="00BC4F73" w:rsidRPr="00BC4F73" w:rsidRDefault="00BC4F73" w:rsidP="00BC4F73">
            <w:pPr>
              <w:jc w:val="center"/>
              <w:rPr>
                <w:sz w:val="20"/>
                <w:szCs w:val="20"/>
              </w:rPr>
            </w:pPr>
            <w:r w:rsidRPr="00BC4F73">
              <w:rPr>
                <w:sz w:val="20"/>
                <w:szCs w:val="20"/>
              </w:rPr>
              <w:t>79,3</w:t>
            </w:r>
          </w:p>
        </w:tc>
      </w:tr>
      <w:tr w:rsidR="00BC4F73" w:rsidRPr="00BC4F73" w:rsidTr="00BC4F73">
        <w:trPr>
          <w:jc w:val="center"/>
        </w:trPr>
        <w:tc>
          <w:tcPr>
            <w:tcW w:w="3070" w:type="dxa"/>
          </w:tcPr>
          <w:p w:rsidR="00BC4F73" w:rsidRPr="003266C9" w:rsidRDefault="00BC4F73" w:rsidP="00BC4F73">
            <w:pPr>
              <w:jc w:val="both"/>
              <w:rPr>
                <w:b/>
                <w:sz w:val="20"/>
                <w:szCs w:val="20"/>
              </w:rPr>
            </w:pPr>
            <w:r w:rsidRPr="003266C9">
              <w:rPr>
                <w:rFonts w:cs="UniversLTStd-LightCn"/>
                <w:b/>
                <w:sz w:val="20"/>
                <w:szCs w:val="20"/>
                <w:lang w:val="es-ES"/>
              </w:rPr>
              <w:t>Europa y Asia Central</w:t>
            </w:r>
          </w:p>
        </w:tc>
        <w:tc>
          <w:tcPr>
            <w:tcW w:w="1291" w:type="dxa"/>
          </w:tcPr>
          <w:p w:rsidR="00BC4F73" w:rsidRPr="00BC4F73" w:rsidRDefault="00BC4F73" w:rsidP="00BC4F73">
            <w:pPr>
              <w:jc w:val="center"/>
              <w:rPr>
                <w:sz w:val="20"/>
                <w:szCs w:val="20"/>
              </w:rPr>
            </w:pPr>
            <w:r w:rsidRPr="00BC4F73">
              <w:rPr>
                <w:sz w:val="20"/>
                <w:szCs w:val="20"/>
              </w:rPr>
              <w:t>45,5</w:t>
            </w:r>
          </w:p>
        </w:tc>
        <w:tc>
          <w:tcPr>
            <w:tcW w:w="1276" w:type="dxa"/>
          </w:tcPr>
          <w:p w:rsidR="00BC4F73" w:rsidRPr="00BC4F73" w:rsidRDefault="00BC4F73" w:rsidP="00BC4F73">
            <w:pPr>
              <w:jc w:val="center"/>
              <w:rPr>
                <w:sz w:val="20"/>
                <w:szCs w:val="20"/>
              </w:rPr>
            </w:pPr>
            <w:r w:rsidRPr="00BC4F73">
              <w:rPr>
                <w:sz w:val="20"/>
                <w:szCs w:val="20"/>
              </w:rPr>
              <w:t>70,2</w:t>
            </w:r>
          </w:p>
        </w:tc>
      </w:tr>
      <w:tr w:rsidR="00BC4F73" w:rsidRPr="00BC4F73" w:rsidTr="00BC4F73">
        <w:trPr>
          <w:jc w:val="center"/>
        </w:trPr>
        <w:tc>
          <w:tcPr>
            <w:tcW w:w="3070" w:type="dxa"/>
          </w:tcPr>
          <w:p w:rsidR="00BC4F73" w:rsidRPr="003266C9" w:rsidRDefault="00BC4F73" w:rsidP="00BC4F73">
            <w:pPr>
              <w:jc w:val="both"/>
              <w:rPr>
                <w:b/>
                <w:sz w:val="20"/>
                <w:szCs w:val="20"/>
              </w:rPr>
            </w:pPr>
            <w:r w:rsidRPr="003266C9">
              <w:rPr>
                <w:rFonts w:cs="UniversLTStd-LightCn"/>
                <w:b/>
                <w:sz w:val="20"/>
                <w:szCs w:val="20"/>
                <w:lang w:val="es-ES"/>
              </w:rPr>
              <w:t>Latinoamérica y el Caribe</w:t>
            </w:r>
          </w:p>
        </w:tc>
        <w:tc>
          <w:tcPr>
            <w:tcW w:w="1291" w:type="dxa"/>
          </w:tcPr>
          <w:p w:rsidR="00BC4F73" w:rsidRPr="00BC4F73" w:rsidRDefault="00BC4F73" w:rsidP="00BC4F73">
            <w:pPr>
              <w:jc w:val="center"/>
              <w:rPr>
                <w:sz w:val="20"/>
                <w:szCs w:val="20"/>
              </w:rPr>
            </w:pPr>
            <w:r w:rsidRPr="00BC4F73">
              <w:rPr>
                <w:sz w:val="20"/>
                <w:szCs w:val="20"/>
              </w:rPr>
              <w:t>53,7</w:t>
            </w:r>
          </w:p>
        </w:tc>
        <w:tc>
          <w:tcPr>
            <w:tcW w:w="1276" w:type="dxa"/>
          </w:tcPr>
          <w:p w:rsidR="00BC4F73" w:rsidRPr="00BC4F73" w:rsidRDefault="00BC4F73" w:rsidP="00BC4F73">
            <w:pPr>
              <w:jc w:val="center"/>
              <w:rPr>
                <w:sz w:val="20"/>
                <w:szCs w:val="20"/>
              </w:rPr>
            </w:pPr>
            <w:r w:rsidRPr="00BC4F73">
              <w:rPr>
                <w:sz w:val="20"/>
                <w:szCs w:val="20"/>
              </w:rPr>
              <w:t>79,8</w:t>
            </w:r>
          </w:p>
        </w:tc>
      </w:tr>
      <w:tr w:rsidR="00BC4F73" w:rsidRPr="00BC4F73" w:rsidTr="00BC4F73">
        <w:trPr>
          <w:jc w:val="center"/>
        </w:trPr>
        <w:tc>
          <w:tcPr>
            <w:tcW w:w="3070" w:type="dxa"/>
          </w:tcPr>
          <w:p w:rsidR="00BC4F73" w:rsidRPr="003266C9" w:rsidRDefault="00BC4F73" w:rsidP="00BC4F73">
            <w:pPr>
              <w:jc w:val="both"/>
              <w:rPr>
                <w:b/>
                <w:sz w:val="20"/>
                <w:szCs w:val="20"/>
              </w:rPr>
            </w:pPr>
            <w:r w:rsidRPr="003266C9">
              <w:rPr>
                <w:b/>
                <w:sz w:val="20"/>
                <w:szCs w:val="20"/>
              </w:rPr>
              <w:t>Sur de Asia</w:t>
            </w:r>
          </w:p>
        </w:tc>
        <w:tc>
          <w:tcPr>
            <w:tcW w:w="1291" w:type="dxa"/>
          </w:tcPr>
          <w:p w:rsidR="00BC4F73" w:rsidRPr="00BC4F73" w:rsidRDefault="00BC4F73" w:rsidP="00BC4F73">
            <w:pPr>
              <w:jc w:val="center"/>
              <w:rPr>
                <w:sz w:val="20"/>
                <w:szCs w:val="20"/>
              </w:rPr>
            </w:pPr>
            <w:r w:rsidRPr="00BC4F73">
              <w:rPr>
                <w:sz w:val="20"/>
                <w:szCs w:val="20"/>
              </w:rPr>
              <w:t>30,7</w:t>
            </w:r>
          </w:p>
        </w:tc>
        <w:tc>
          <w:tcPr>
            <w:tcW w:w="1276" w:type="dxa"/>
          </w:tcPr>
          <w:p w:rsidR="00BC4F73" w:rsidRPr="00BC4F73" w:rsidRDefault="00BC4F73" w:rsidP="00BC4F73">
            <w:pPr>
              <w:jc w:val="center"/>
              <w:rPr>
                <w:sz w:val="20"/>
                <w:szCs w:val="20"/>
              </w:rPr>
            </w:pPr>
            <w:r w:rsidRPr="00BC4F73">
              <w:rPr>
                <w:sz w:val="20"/>
                <w:szCs w:val="20"/>
              </w:rPr>
              <w:t>80,7</w:t>
            </w:r>
          </w:p>
        </w:tc>
      </w:tr>
      <w:tr w:rsidR="00BC4F73" w:rsidRPr="00BC4F73" w:rsidTr="00BC4F73">
        <w:trPr>
          <w:jc w:val="center"/>
        </w:trPr>
        <w:tc>
          <w:tcPr>
            <w:tcW w:w="3070" w:type="dxa"/>
          </w:tcPr>
          <w:p w:rsidR="00BC4F73" w:rsidRPr="003266C9" w:rsidRDefault="00BC4F73" w:rsidP="00BC4F73">
            <w:pPr>
              <w:jc w:val="both"/>
              <w:rPr>
                <w:b/>
                <w:sz w:val="20"/>
                <w:szCs w:val="20"/>
              </w:rPr>
            </w:pPr>
            <w:r w:rsidRPr="003266C9">
              <w:rPr>
                <w:b/>
                <w:sz w:val="20"/>
                <w:szCs w:val="20"/>
              </w:rPr>
              <w:t>África subsahariana</w:t>
            </w:r>
          </w:p>
        </w:tc>
        <w:tc>
          <w:tcPr>
            <w:tcW w:w="1291" w:type="dxa"/>
          </w:tcPr>
          <w:p w:rsidR="00BC4F73" w:rsidRPr="00BC4F73" w:rsidRDefault="00BC4F73" w:rsidP="00BC4F73">
            <w:pPr>
              <w:jc w:val="center"/>
              <w:rPr>
                <w:sz w:val="20"/>
                <w:szCs w:val="20"/>
              </w:rPr>
            </w:pPr>
            <w:r w:rsidRPr="00BC4F73">
              <w:rPr>
                <w:sz w:val="20"/>
                <w:szCs w:val="20"/>
              </w:rPr>
              <w:t>63,6</w:t>
            </w:r>
          </w:p>
        </w:tc>
        <w:tc>
          <w:tcPr>
            <w:tcW w:w="1276" w:type="dxa"/>
          </w:tcPr>
          <w:p w:rsidR="00BC4F73" w:rsidRPr="00BC4F73" w:rsidRDefault="00BC4F73" w:rsidP="00BC4F73">
            <w:pPr>
              <w:jc w:val="center"/>
              <w:rPr>
                <w:sz w:val="20"/>
                <w:szCs w:val="20"/>
              </w:rPr>
            </w:pPr>
            <w:r w:rsidRPr="00BC4F73">
              <w:rPr>
                <w:sz w:val="20"/>
                <w:szCs w:val="20"/>
              </w:rPr>
              <w:t>76,3</w:t>
            </w:r>
          </w:p>
        </w:tc>
      </w:tr>
      <w:tr w:rsidR="00BC4F73" w:rsidRPr="00BC4F73" w:rsidTr="00BC4F73">
        <w:trPr>
          <w:jc w:val="center"/>
        </w:trPr>
        <w:tc>
          <w:tcPr>
            <w:tcW w:w="3070" w:type="dxa"/>
          </w:tcPr>
          <w:p w:rsidR="00BC4F73" w:rsidRPr="003266C9" w:rsidRDefault="00BC4F73" w:rsidP="00BC4F73">
            <w:pPr>
              <w:jc w:val="both"/>
              <w:rPr>
                <w:b/>
                <w:sz w:val="20"/>
                <w:szCs w:val="20"/>
              </w:rPr>
            </w:pPr>
            <w:r w:rsidRPr="003266C9">
              <w:rPr>
                <w:b/>
                <w:sz w:val="20"/>
                <w:szCs w:val="20"/>
              </w:rPr>
              <w:t>Mundo</w:t>
            </w:r>
          </w:p>
        </w:tc>
        <w:tc>
          <w:tcPr>
            <w:tcW w:w="1291" w:type="dxa"/>
          </w:tcPr>
          <w:p w:rsidR="00BC4F73" w:rsidRPr="00BC4F73" w:rsidRDefault="00BC4F73" w:rsidP="00BC4F73">
            <w:pPr>
              <w:jc w:val="center"/>
              <w:rPr>
                <w:sz w:val="20"/>
                <w:szCs w:val="20"/>
              </w:rPr>
            </w:pPr>
            <w:r w:rsidRPr="00BC4F73">
              <w:rPr>
                <w:sz w:val="20"/>
                <w:szCs w:val="20"/>
              </w:rPr>
              <w:t>50,6</w:t>
            </w:r>
          </w:p>
        </w:tc>
        <w:tc>
          <w:tcPr>
            <w:tcW w:w="1276" w:type="dxa"/>
          </w:tcPr>
          <w:p w:rsidR="00BC4F73" w:rsidRPr="00BC4F73" w:rsidRDefault="00BC4F73" w:rsidP="00BC4F73">
            <w:pPr>
              <w:jc w:val="center"/>
              <w:rPr>
                <w:sz w:val="20"/>
                <w:szCs w:val="20"/>
              </w:rPr>
            </w:pPr>
            <w:r w:rsidRPr="00BC4F73">
              <w:rPr>
                <w:sz w:val="20"/>
                <w:szCs w:val="20"/>
              </w:rPr>
              <w:t>76,7</w:t>
            </w:r>
          </w:p>
        </w:tc>
      </w:tr>
    </w:tbl>
    <w:p w:rsidR="00BC4F73" w:rsidRPr="003266C9" w:rsidRDefault="00BC4F73" w:rsidP="003266C9">
      <w:pPr>
        <w:ind w:left="1416" w:firstLine="708"/>
        <w:jc w:val="both"/>
        <w:rPr>
          <w:sz w:val="20"/>
          <w:szCs w:val="20"/>
        </w:rPr>
      </w:pPr>
      <w:r w:rsidRPr="003266C9">
        <w:rPr>
          <w:sz w:val="20"/>
          <w:szCs w:val="20"/>
        </w:rPr>
        <w:t>Fuente: Índice de Desarrollo Humano 2014. Elaboración propia.</w:t>
      </w:r>
    </w:p>
    <w:p w:rsidR="003F17C5" w:rsidRDefault="00012195" w:rsidP="00881667">
      <w:pPr>
        <w:jc w:val="both"/>
      </w:pPr>
      <w:r>
        <w:t>L</w:t>
      </w:r>
      <w:r w:rsidR="00EF3ADE">
        <w:t xml:space="preserve">a autonomía en la toma de decisiones tiene varios indicadores, uno de los más utilizados es la proporción de escaños parlamentarios ocupados por mujeres. </w:t>
      </w:r>
      <w:r w:rsidR="00FC4695">
        <w:t>La Plataforma de Acción de Beijing se marcó como uno de sus objetivos conseguir que hubiera un 30% de mujeres en los puestos de responsabilidad política y económica. Si bien en el ámbito económico se ha avanzado poco, en el ámbito político los avances han sido mayores, pero está todavía lejos de conseguirse el 30 % de presencia de mujeres en los parlamentos</w:t>
      </w:r>
      <w:r>
        <w:t xml:space="preserve"> (UIP</w:t>
      </w:r>
      <w:r w:rsidR="00973B90">
        <w:t>,</w:t>
      </w:r>
      <w:r>
        <w:t xml:space="preserve"> 2015)</w:t>
      </w:r>
      <w:r w:rsidR="00FC4695">
        <w:t xml:space="preserve">. </w:t>
      </w:r>
    </w:p>
    <w:p w:rsidR="00FC4695" w:rsidRDefault="00FC4695" w:rsidP="00881667">
      <w:pPr>
        <w:jc w:val="both"/>
      </w:pPr>
      <w:r>
        <w:t xml:space="preserve">El promedio mundial se sitúa en torno al 22%, </w:t>
      </w:r>
      <w:r w:rsidR="000349CA">
        <w:t>aunque</w:t>
      </w:r>
      <w:r w:rsidR="009539B0">
        <w:t xml:space="preserve"> en todas las regiones </w:t>
      </w:r>
      <w:r>
        <w:t>ha crecido la presenci</w:t>
      </w:r>
      <w:r w:rsidR="009539B0">
        <w:t>a</w:t>
      </w:r>
      <w:r>
        <w:t xml:space="preserve"> femenina en los parlamentos</w:t>
      </w:r>
      <w:r w:rsidR="009539B0">
        <w:t>. L</w:t>
      </w:r>
      <w:r>
        <w:t xml:space="preserve">a región que </w:t>
      </w:r>
      <w:r w:rsidR="009539B0">
        <w:t>más</w:t>
      </w:r>
      <w:r>
        <w:t xml:space="preserve"> avances ha tenido ha sido </w:t>
      </w:r>
      <w:r w:rsidR="009539B0">
        <w:t xml:space="preserve">la región americana, que llega al 26,4%, la más alta del mundo, por delante incluso de Europa (25%). Por países, </w:t>
      </w:r>
      <w:proofErr w:type="spellStart"/>
      <w:r w:rsidR="009539B0">
        <w:t>Rwanda</w:t>
      </w:r>
      <w:proofErr w:type="spellEnd"/>
      <w:r w:rsidR="009539B0">
        <w:t xml:space="preserve"> y Bolivia son los países que cuentan con los porcentajes más altos, superando con un 63,8% y un 53,1%</w:t>
      </w:r>
      <w:r w:rsidR="00055F99">
        <w:t>,</w:t>
      </w:r>
      <w:r w:rsidR="009539B0">
        <w:t xml:space="preserve"> </w:t>
      </w:r>
      <w:r w:rsidR="00055F99">
        <w:t xml:space="preserve">respectivamente, </w:t>
      </w:r>
      <w:r w:rsidR="009539B0">
        <w:t xml:space="preserve">el </w:t>
      </w:r>
      <w:r w:rsidR="0005401D">
        <w:t xml:space="preserve">porcentaje de </w:t>
      </w:r>
      <w:r w:rsidR="009539B0">
        <w:t>escaños ocupados por hombres. Le sigue Andorra con un 50%, o sea, co</w:t>
      </w:r>
      <w:r w:rsidR="0005401D">
        <w:t>n</w:t>
      </w:r>
      <w:r w:rsidR="009539B0">
        <w:t xml:space="preserve"> un parlamento claramente paritario</w:t>
      </w:r>
      <w:r w:rsidR="00012195">
        <w:t xml:space="preserve"> (Tabla 9)</w:t>
      </w:r>
      <w:r w:rsidR="009539B0">
        <w:t>.</w:t>
      </w:r>
    </w:p>
    <w:p w:rsidR="00EF3ADE" w:rsidRPr="003266C9" w:rsidRDefault="00EF3ADE" w:rsidP="00DA730A">
      <w:pPr>
        <w:spacing w:after="0"/>
        <w:jc w:val="both"/>
        <w:rPr>
          <w:b/>
          <w:sz w:val="20"/>
          <w:szCs w:val="20"/>
        </w:rPr>
      </w:pPr>
      <w:r w:rsidRPr="003266C9">
        <w:rPr>
          <w:b/>
          <w:sz w:val="20"/>
          <w:szCs w:val="20"/>
        </w:rPr>
        <w:t xml:space="preserve">Tabla </w:t>
      </w:r>
      <w:r w:rsidR="00012195" w:rsidRPr="003266C9">
        <w:rPr>
          <w:b/>
          <w:sz w:val="20"/>
          <w:szCs w:val="20"/>
        </w:rPr>
        <w:t>9</w:t>
      </w:r>
      <w:r w:rsidRPr="003266C9">
        <w:rPr>
          <w:b/>
          <w:sz w:val="20"/>
          <w:szCs w:val="20"/>
        </w:rPr>
        <w:t>: Promedios regionales de mujeres en los parlamentos. Periodo 1995-2015.</w:t>
      </w:r>
    </w:p>
    <w:tbl>
      <w:tblPr>
        <w:tblStyle w:val="Tablaconcuadrcula"/>
        <w:tblW w:w="0" w:type="auto"/>
        <w:jc w:val="center"/>
        <w:tblLook w:val="04A0" w:firstRow="1" w:lastRow="0" w:firstColumn="1" w:lastColumn="0" w:noHBand="0" w:noVBand="1"/>
      </w:tblPr>
      <w:tblGrid>
        <w:gridCol w:w="1130"/>
        <w:gridCol w:w="1146"/>
        <w:gridCol w:w="1144"/>
        <w:gridCol w:w="1321"/>
        <w:gridCol w:w="1138"/>
        <w:gridCol w:w="1140"/>
        <w:gridCol w:w="1140"/>
        <w:gridCol w:w="1129"/>
      </w:tblGrid>
      <w:tr w:rsidR="00EF3ADE" w:rsidRPr="003266C9" w:rsidTr="003266C9">
        <w:trPr>
          <w:jc w:val="center"/>
        </w:trPr>
        <w:tc>
          <w:tcPr>
            <w:tcW w:w="1151" w:type="dxa"/>
            <w:shd w:val="clear" w:color="auto" w:fill="D9D9D9" w:themeFill="background1" w:themeFillShade="D9"/>
          </w:tcPr>
          <w:p w:rsidR="00EF3ADE" w:rsidRPr="003266C9" w:rsidRDefault="00EF3ADE" w:rsidP="00EF3ADE">
            <w:pPr>
              <w:jc w:val="center"/>
              <w:rPr>
                <w:b/>
                <w:sz w:val="20"/>
                <w:szCs w:val="20"/>
              </w:rPr>
            </w:pPr>
          </w:p>
        </w:tc>
        <w:tc>
          <w:tcPr>
            <w:tcW w:w="1151" w:type="dxa"/>
            <w:shd w:val="clear" w:color="auto" w:fill="D9D9D9" w:themeFill="background1" w:themeFillShade="D9"/>
          </w:tcPr>
          <w:p w:rsidR="00EF3ADE" w:rsidRPr="003266C9" w:rsidRDefault="00EF3ADE" w:rsidP="00EF3ADE">
            <w:pPr>
              <w:jc w:val="center"/>
              <w:rPr>
                <w:b/>
                <w:sz w:val="20"/>
                <w:szCs w:val="20"/>
              </w:rPr>
            </w:pPr>
            <w:r w:rsidRPr="003266C9">
              <w:rPr>
                <w:b/>
                <w:sz w:val="20"/>
                <w:szCs w:val="20"/>
              </w:rPr>
              <w:t>Promedio mundial</w:t>
            </w:r>
          </w:p>
        </w:tc>
        <w:tc>
          <w:tcPr>
            <w:tcW w:w="1151" w:type="dxa"/>
            <w:shd w:val="clear" w:color="auto" w:fill="D9D9D9" w:themeFill="background1" w:themeFillShade="D9"/>
          </w:tcPr>
          <w:p w:rsidR="00EF3ADE" w:rsidRPr="003266C9" w:rsidRDefault="00EF3ADE" w:rsidP="00EF3ADE">
            <w:pPr>
              <w:jc w:val="center"/>
              <w:rPr>
                <w:b/>
                <w:sz w:val="20"/>
                <w:szCs w:val="20"/>
              </w:rPr>
            </w:pPr>
            <w:r w:rsidRPr="003266C9">
              <w:rPr>
                <w:b/>
                <w:sz w:val="20"/>
                <w:szCs w:val="20"/>
              </w:rPr>
              <w:t>Américas</w:t>
            </w:r>
          </w:p>
        </w:tc>
        <w:tc>
          <w:tcPr>
            <w:tcW w:w="1151" w:type="dxa"/>
            <w:shd w:val="clear" w:color="auto" w:fill="D9D9D9" w:themeFill="background1" w:themeFillShade="D9"/>
          </w:tcPr>
          <w:p w:rsidR="00EF3ADE" w:rsidRPr="003266C9" w:rsidRDefault="00EF3ADE" w:rsidP="00EF3ADE">
            <w:pPr>
              <w:jc w:val="center"/>
              <w:rPr>
                <w:b/>
                <w:sz w:val="20"/>
                <w:szCs w:val="20"/>
              </w:rPr>
            </w:pPr>
            <w:r w:rsidRPr="003266C9">
              <w:rPr>
                <w:b/>
                <w:sz w:val="20"/>
                <w:szCs w:val="20"/>
              </w:rPr>
              <w:t>África subsahariana</w:t>
            </w:r>
          </w:p>
        </w:tc>
        <w:tc>
          <w:tcPr>
            <w:tcW w:w="1152" w:type="dxa"/>
            <w:shd w:val="clear" w:color="auto" w:fill="D9D9D9" w:themeFill="background1" w:themeFillShade="D9"/>
          </w:tcPr>
          <w:p w:rsidR="00EF3ADE" w:rsidRPr="003266C9" w:rsidRDefault="00EF3ADE" w:rsidP="00EF3ADE">
            <w:pPr>
              <w:jc w:val="center"/>
              <w:rPr>
                <w:b/>
                <w:sz w:val="20"/>
                <w:szCs w:val="20"/>
              </w:rPr>
            </w:pPr>
            <w:r w:rsidRPr="003266C9">
              <w:rPr>
                <w:b/>
                <w:sz w:val="20"/>
                <w:szCs w:val="20"/>
              </w:rPr>
              <w:t>Europa</w:t>
            </w:r>
          </w:p>
        </w:tc>
        <w:tc>
          <w:tcPr>
            <w:tcW w:w="1152" w:type="dxa"/>
            <w:shd w:val="clear" w:color="auto" w:fill="D9D9D9" w:themeFill="background1" w:themeFillShade="D9"/>
          </w:tcPr>
          <w:p w:rsidR="00EF3ADE" w:rsidRPr="003266C9" w:rsidRDefault="00EF3ADE" w:rsidP="00EF3ADE">
            <w:pPr>
              <w:jc w:val="center"/>
              <w:rPr>
                <w:b/>
                <w:sz w:val="20"/>
                <w:szCs w:val="20"/>
              </w:rPr>
            </w:pPr>
            <w:r w:rsidRPr="003266C9">
              <w:rPr>
                <w:b/>
                <w:sz w:val="20"/>
                <w:szCs w:val="20"/>
              </w:rPr>
              <w:t>Estados árabes</w:t>
            </w:r>
          </w:p>
        </w:tc>
        <w:tc>
          <w:tcPr>
            <w:tcW w:w="1152" w:type="dxa"/>
            <w:shd w:val="clear" w:color="auto" w:fill="D9D9D9" w:themeFill="background1" w:themeFillShade="D9"/>
          </w:tcPr>
          <w:p w:rsidR="00EF3ADE" w:rsidRPr="003266C9" w:rsidRDefault="00EF3ADE" w:rsidP="00EF3ADE">
            <w:pPr>
              <w:jc w:val="center"/>
              <w:rPr>
                <w:b/>
                <w:sz w:val="20"/>
                <w:szCs w:val="20"/>
              </w:rPr>
            </w:pPr>
            <w:r w:rsidRPr="003266C9">
              <w:rPr>
                <w:b/>
                <w:sz w:val="20"/>
                <w:szCs w:val="20"/>
              </w:rPr>
              <w:t>Pacifico</w:t>
            </w:r>
          </w:p>
        </w:tc>
        <w:tc>
          <w:tcPr>
            <w:tcW w:w="1152" w:type="dxa"/>
            <w:shd w:val="clear" w:color="auto" w:fill="D9D9D9" w:themeFill="background1" w:themeFillShade="D9"/>
          </w:tcPr>
          <w:p w:rsidR="00EF3ADE" w:rsidRPr="003266C9" w:rsidRDefault="00EF3ADE" w:rsidP="00EF3ADE">
            <w:pPr>
              <w:jc w:val="center"/>
              <w:rPr>
                <w:b/>
                <w:sz w:val="20"/>
                <w:szCs w:val="20"/>
              </w:rPr>
            </w:pPr>
            <w:r w:rsidRPr="003266C9">
              <w:rPr>
                <w:b/>
                <w:sz w:val="20"/>
                <w:szCs w:val="20"/>
              </w:rPr>
              <w:t>Asia</w:t>
            </w:r>
          </w:p>
        </w:tc>
      </w:tr>
      <w:tr w:rsidR="00EF3ADE" w:rsidRPr="00730855" w:rsidTr="00EF3ADE">
        <w:trPr>
          <w:jc w:val="center"/>
        </w:trPr>
        <w:tc>
          <w:tcPr>
            <w:tcW w:w="1151" w:type="dxa"/>
          </w:tcPr>
          <w:p w:rsidR="00EF3ADE" w:rsidRPr="003266C9" w:rsidRDefault="00EF3ADE" w:rsidP="00EF3ADE">
            <w:pPr>
              <w:jc w:val="center"/>
              <w:rPr>
                <w:b/>
                <w:sz w:val="20"/>
                <w:szCs w:val="20"/>
              </w:rPr>
            </w:pPr>
            <w:r w:rsidRPr="003266C9">
              <w:rPr>
                <w:b/>
                <w:sz w:val="20"/>
                <w:szCs w:val="20"/>
              </w:rPr>
              <w:t>1995</w:t>
            </w:r>
          </w:p>
        </w:tc>
        <w:tc>
          <w:tcPr>
            <w:tcW w:w="1151" w:type="dxa"/>
          </w:tcPr>
          <w:p w:rsidR="00EF3ADE" w:rsidRPr="00730855" w:rsidRDefault="00EF3ADE" w:rsidP="00EF3ADE">
            <w:pPr>
              <w:jc w:val="center"/>
              <w:rPr>
                <w:sz w:val="20"/>
                <w:szCs w:val="20"/>
              </w:rPr>
            </w:pPr>
            <w:r w:rsidRPr="00730855">
              <w:rPr>
                <w:sz w:val="20"/>
                <w:szCs w:val="20"/>
              </w:rPr>
              <w:t>11.3</w:t>
            </w:r>
          </w:p>
        </w:tc>
        <w:tc>
          <w:tcPr>
            <w:tcW w:w="1151" w:type="dxa"/>
          </w:tcPr>
          <w:p w:rsidR="00EF3ADE" w:rsidRPr="00730855" w:rsidRDefault="00EF3ADE" w:rsidP="00EF3ADE">
            <w:pPr>
              <w:jc w:val="center"/>
              <w:rPr>
                <w:sz w:val="20"/>
                <w:szCs w:val="20"/>
              </w:rPr>
            </w:pPr>
            <w:r w:rsidRPr="00730855">
              <w:rPr>
                <w:sz w:val="20"/>
                <w:szCs w:val="20"/>
              </w:rPr>
              <w:t>12.7</w:t>
            </w:r>
          </w:p>
        </w:tc>
        <w:tc>
          <w:tcPr>
            <w:tcW w:w="1151" w:type="dxa"/>
          </w:tcPr>
          <w:p w:rsidR="00EF3ADE" w:rsidRPr="00730855" w:rsidRDefault="00EF3ADE" w:rsidP="00EF3ADE">
            <w:pPr>
              <w:jc w:val="center"/>
              <w:rPr>
                <w:sz w:val="20"/>
                <w:szCs w:val="20"/>
              </w:rPr>
            </w:pPr>
            <w:r w:rsidRPr="00730855">
              <w:rPr>
                <w:sz w:val="20"/>
                <w:szCs w:val="20"/>
              </w:rPr>
              <w:t>9.8</w:t>
            </w:r>
          </w:p>
        </w:tc>
        <w:tc>
          <w:tcPr>
            <w:tcW w:w="1152" w:type="dxa"/>
          </w:tcPr>
          <w:p w:rsidR="00EF3ADE" w:rsidRPr="00730855" w:rsidRDefault="00EF3ADE" w:rsidP="00EF3ADE">
            <w:pPr>
              <w:jc w:val="center"/>
              <w:rPr>
                <w:sz w:val="20"/>
                <w:szCs w:val="20"/>
              </w:rPr>
            </w:pPr>
            <w:r w:rsidRPr="00730855">
              <w:rPr>
                <w:sz w:val="20"/>
                <w:szCs w:val="20"/>
              </w:rPr>
              <w:t>13.2</w:t>
            </w:r>
          </w:p>
        </w:tc>
        <w:tc>
          <w:tcPr>
            <w:tcW w:w="1152" w:type="dxa"/>
          </w:tcPr>
          <w:p w:rsidR="00EF3ADE" w:rsidRPr="00730855" w:rsidRDefault="00EF3ADE" w:rsidP="00EF3ADE">
            <w:pPr>
              <w:jc w:val="center"/>
              <w:rPr>
                <w:sz w:val="20"/>
                <w:szCs w:val="20"/>
              </w:rPr>
            </w:pPr>
            <w:r w:rsidRPr="00730855">
              <w:rPr>
                <w:sz w:val="20"/>
                <w:szCs w:val="20"/>
              </w:rPr>
              <w:t>4.3</w:t>
            </w:r>
          </w:p>
        </w:tc>
        <w:tc>
          <w:tcPr>
            <w:tcW w:w="1152" w:type="dxa"/>
          </w:tcPr>
          <w:p w:rsidR="00EF3ADE" w:rsidRPr="00730855" w:rsidRDefault="00EF3ADE" w:rsidP="00EF3ADE">
            <w:pPr>
              <w:jc w:val="center"/>
              <w:rPr>
                <w:sz w:val="20"/>
                <w:szCs w:val="20"/>
              </w:rPr>
            </w:pPr>
            <w:r w:rsidRPr="00730855">
              <w:rPr>
                <w:sz w:val="20"/>
                <w:szCs w:val="20"/>
              </w:rPr>
              <w:t>6.3</w:t>
            </w:r>
          </w:p>
        </w:tc>
        <w:tc>
          <w:tcPr>
            <w:tcW w:w="1152" w:type="dxa"/>
          </w:tcPr>
          <w:p w:rsidR="00EF3ADE" w:rsidRPr="00730855" w:rsidRDefault="00EF3ADE" w:rsidP="00EF3ADE">
            <w:pPr>
              <w:jc w:val="center"/>
              <w:rPr>
                <w:sz w:val="20"/>
                <w:szCs w:val="20"/>
              </w:rPr>
            </w:pPr>
            <w:r w:rsidRPr="00730855">
              <w:rPr>
                <w:sz w:val="20"/>
                <w:szCs w:val="20"/>
              </w:rPr>
              <w:t>13.2</w:t>
            </w:r>
          </w:p>
        </w:tc>
      </w:tr>
      <w:tr w:rsidR="00EF3ADE" w:rsidRPr="00730855" w:rsidTr="00EF3ADE">
        <w:trPr>
          <w:jc w:val="center"/>
        </w:trPr>
        <w:tc>
          <w:tcPr>
            <w:tcW w:w="1151" w:type="dxa"/>
          </w:tcPr>
          <w:p w:rsidR="00EF3ADE" w:rsidRPr="003266C9" w:rsidRDefault="00EF3ADE" w:rsidP="00EF3ADE">
            <w:pPr>
              <w:jc w:val="center"/>
              <w:rPr>
                <w:b/>
                <w:sz w:val="20"/>
                <w:szCs w:val="20"/>
              </w:rPr>
            </w:pPr>
            <w:r w:rsidRPr="003266C9">
              <w:rPr>
                <w:b/>
                <w:sz w:val="20"/>
                <w:szCs w:val="20"/>
              </w:rPr>
              <w:t>2000</w:t>
            </w:r>
          </w:p>
        </w:tc>
        <w:tc>
          <w:tcPr>
            <w:tcW w:w="1151" w:type="dxa"/>
          </w:tcPr>
          <w:p w:rsidR="00EF3ADE" w:rsidRPr="00730855" w:rsidRDefault="00EF3ADE" w:rsidP="00EF3ADE">
            <w:pPr>
              <w:jc w:val="center"/>
              <w:rPr>
                <w:sz w:val="20"/>
                <w:szCs w:val="20"/>
              </w:rPr>
            </w:pPr>
            <w:r w:rsidRPr="00730855">
              <w:rPr>
                <w:sz w:val="20"/>
                <w:szCs w:val="20"/>
              </w:rPr>
              <w:t>13.1</w:t>
            </w:r>
          </w:p>
        </w:tc>
        <w:tc>
          <w:tcPr>
            <w:tcW w:w="1151" w:type="dxa"/>
          </w:tcPr>
          <w:p w:rsidR="00EF3ADE" w:rsidRPr="00730855" w:rsidRDefault="00EF3ADE" w:rsidP="00EF3ADE">
            <w:pPr>
              <w:jc w:val="center"/>
              <w:rPr>
                <w:sz w:val="20"/>
                <w:szCs w:val="20"/>
              </w:rPr>
            </w:pPr>
            <w:r w:rsidRPr="00730855">
              <w:rPr>
                <w:sz w:val="20"/>
                <w:szCs w:val="20"/>
              </w:rPr>
              <w:t>15.4</w:t>
            </w:r>
          </w:p>
        </w:tc>
        <w:tc>
          <w:tcPr>
            <w:tcW w:w="1151" w:type="dxa"/>
          </w:tcPr>
          <w:p w:rsidR="00EF3ADE" w:rsidRPr="00730855" w:rsidRDefault="00EF3ADE" w:rsidP="00EF3ADE">
            <w:pPr>
              <w:jc w:val="center"/>
              <w:rPr>
                <w:sz w:val="20"/>
                <w:szCs w:val="20"/>
              </w:rPr>
            </w:pPr>
            <w:r w:rsidRPr="00730855">
              <w:rPr>
                <w:sz w:val="20"/>
                <w:szCs w:val="20"/>
              </w:rPr>
              <w:t>11.2</w:t>
            </w:r>
          </w:p>
        </w:tc>
        <w:tc>
          <w:tcPr>
            <w:tcW w:w="1152" w:type="dxa"/>
          </w:tcPr>
          <w:p w:rsidR="00EF3ADE" w:rsidRPr="00730855" w:rsidRDefault="00EF3ADE" w:rsidP="00EF3ADE">
            <w:pPr>
              <w:jc w:val="center"/>
              <w:rPr>
                <w:sz w:val="20"/>
                <w:szCs w:val="20"/>
              </w:rPr>
            </w:pPr>
            <w:r w:rsidRPr="00730855">
              <w:rPr>
                <w:sz w:val="20"/>
                <w:szCs w:val="20"/>
              </w:rPr>
              <w:t>14.5</w:t>
            </w:r>
          </w:p>
        </w:tc>
        <w:tc>
          <w:tcPr>
            <w:tcW w:w="1152" w:type="dxa"/>
          </w:tcPr>
          <w:p w:rsidR="00EF3ADE" w:rsidRPr="00730855" w:rsidRDefault="00EF3ADE" w:rsidP="00EF3ADE">
            <w:pPr>
              <w:jc w:val="center"/>
              <w:rPr>
                <w:sz w:val="20"/>
                <w:szCs w:val="20"/>
              </w:rPr>
            </w:pPr>
            <w:r w:rsidRPr="00730855">
              <w:rPr>
                <w:sz w:val="20"/>
                <w:szCs w:val="20"/>
              </w:rPr>
              <w:t>3.4</w:t>
            </w:r>
          </w:p>
        </w:tc>
        <w:tc>
          <w:tcPr>
            <w:tcW w:w="1152" w:type="dxa"/>
          </w:tcPr>
          <w:p w:rsidR="00EF3ADE" w:rsidRPr="00730855" w:rsidRDefault="00EF3ADE" w:rsidP="00EF3ADE">
            <w:pPr>
              <w:jc w:val="center"/>
              <w:rPr>
                <w:sz w:val="20"/>
                <w:szCs w:val="20"/>
              </w:rPr>
            </w:pPr>
            <w:r w:rsidRPr="00730855">
              <w:rPr>
                <w:sz w:val="20"/>
                <w:szCs w:val="20"/>
              </w:rPr>
              <w:t>14.1</w:t>
            </w:r>
          </w:p>
        </w:tc>
        <w:tc>
          <w:tcPr>
            <w:tcW w:w="1152" w:type="dxa"/>
          </w:tcPr>
          <w:p w:rsidR="00EF3ADE" w:rsidRPr="00730855" w:rsidRDefault="00EF3ADE" w:rsidP="00EF3ADE">
            <w:pPr>
              <w:jc w:val="center"/>
              <w:rPr>
                <w:sz w:val="20"/>
                <w:szCs w:val="20"/>
              </w:rPr>
            </w:pPr>
            <w:r w:rsidRPr="00730855">
              <w:rPr>
                <w:sz w:val="20"/>
                <w:szCs w:val="20"/>
              </w:rPr>
              <w:t>14.6</w:t>
            </w:r>
          </w:p>
        </w:tc>
      </w:tr>
      <w:tr w:rsidR="00EF3ADE" w:rsidRPr="00730855" w:rsidTr="00EF3ADE">
        <w:trPr>
          <w:jc w:val="center"/>
        </w:trPr>
        <w:tc>
          <w:tcPr>
            <w:tcW w:w="1151" w:type="dxa"/>
          </w:tcPr>
          <w:p w:rsidR="00EF3ADE" w:rsidRPr="003266C9" w:rsidRDefault="00EF3ADE" w:rsidP="00EF3ADE">
            <w:pPr>
              <w:jc w:val="center"/>
              <w:rPr>
                <w:b/>
                <w:sz w:val="20"/>
                <w:szCs w:val="20"/>
              </w:rPr>
            </w:pPr>
            <w:r w:rsidRPr="003266C9">
              <w:rPr>
                <w:b/>
                <w:sz w:val="20"/>
                <w:szCs w:val="20"/>
              </w:rPr>
              <w:t>2005</w:t>
            </w:r>
          </w:p>
        </w:tc>
        <w:tc>
          <w:tcPr>
            <w:tcW w:w="1151" w:type="dxa"/>
          </w:tcPr>
          <w:p w:rsidR="00EF3ADE" w:rsidRPr="00730855" w:rsidRDefault="00EF3ADE" w:rsidP="00EF3ADE">
            <w:pPr>
              <w:jc w:val="center"/>
              <w:rPr>
                <w:sz w:val="20"/>
                <w:szCs w:val="20"/>
              </w:rPr>
            </w:pPr>
            <w:r w:rsidRPr="00730855">
              <w:rPr>
                <w:sz w:val="20"/>
                <w:szCs w:val="20"/>
              </w:rPr>
              <w:t>15.7</w:t>
            </w:r>
          </w:p>
        </w:tc>
        <w:tc>
          <w:tcPr>
            <w:tcW w:w="1151" w:type="dxa"/>
          </w:tcPr>
          <w:p w:rsidR="00EF3ADE" w:rsidRPr="00730855" w:rsidRDefault="00EF3ADE" w:rsidP="00EF3ADE">
            <w:pPr>
              <w:jc w:val="center"/>
              <w:rPr>
                <w:sz w:val="20"/>
                <w:szCs w:val="20"/>
              </w:rPr>
            </w:pPr>
            <w:r w:rsidRPr="00730855">
              <w:rPr>
                <w:sz w:val="20"/>
                <w:szCs w:val="20"/>
              </w:rPr>
              <w:t>18.6</w:t>
            </w:r>
          </w:p>
        </w:tc>
        <w:tc>
          <w:tcPr>
            <w:tcW w:w="1151" w:type="dxa"/>
          </w:tcPr>
          <w:p w:rsidR="00EF3ADE" w:rsidRPr="00730855" w:rsidRDefault="00EF3ADE" w:rsidP="00EF3ADE">
            <w:pPr>
              <w:jc w:val="center"/>
              <w:rPr>
                <w:sz w:val="20"/>
                <w:szCs w:val="20"/>
              </w:rPr>
            </w:pPr>
            <w:r w:rsidRPr="00730855">
              <w:rPr>
                <w:sz w:val="20"/>
                <w:szCs w:val="20"/>
              </w:rPr>
              <w:t>14.8</w:t>
            </w:r>
          </w:p>
        </w:tc>
        <w:tc>
          <w:tcPr>
            <w:tcW w:w="1152" w:type="dxa"/>
          </w:tcPr>
          <w:p w:rsidR="00EF3ADE" w:rsidRPr="00730855" w:rsidRDefault="00EF3ADE" w:rsidP="00EF3ADE">
            <w:pPr>
              <w:jc w:val="center"/>
              <w:rPr>
                <w:sz w:val="20"/>
                <w:szCs w:val="20"/>
              </w:rPr>
            </w:pPr>
            <w:r w:rsidRPr="00730855">
              <w:rPr>
                <w:sz w:val="20"/>
                <w:szCs w:val="20"/>
              </w:rPr>
              <w:t>18.4</w:t>
            </w:r>
          </w:p>
        </w:tc>
        <w:tc>
          <w:tcPr>
            <w:tcW w:w="1152" w:type="dxa"/>
          </w:tcPr>
          <w:p w:rsidR="00EF3ADE" w:rsidRPr="00730855" w:rsidRDefault="00EF3ADE" w:rsidP="00EF3ADE">
            <w:pPr>
              <w:jc w:val="center"/>
              <w:rPr>
                <w:sz w:val="20"/>
                <w:szCs w:val="20"/>
              </w:rPr>
            </w:pPr>
            <w:r w:rsidRPr="00730855">
              <w:rPr>
                <w:sz w:val="20"/>
                <w:szCs w:val="20"/>
              </w:rPr>
              <w:t>6.5</w:t>
            </w:r>
          </w:p>
        </w:tc>
        <w:tc>
          <w:tcPr>
            <w:tcW w:w="1152" w:type="dxa"/>
          </w:tcPr>
          <w:p w:rsidR="00EF3ADE" w:rsidRPr="00730855" w:rsidRDefault="00EF3ADE" w:rsidP="00EF3ADE">
            <w:pPr>
              <w:jc w:val="center"/>
              <w:rPr>
                <w:sz w:val="20"/>
                <w:szCs w:val="20"/>
              </w:rPr>
            </w:pPr>
            <w:r w:rsidRPr="00730855">
              <w:rPr>
                <w:sz w:val="20"/>
                <w:szCs w:val="20"/>
              </w:rPr>
              <w:t>13.2</w:t>
            </w:r>
          </w:p>
        </w:tc>
        <w:tc>
          <w:tcPr>
            <w:tcW w:w="1152" w:type="dxa"/>
          </w:tcPr>
          <w:p w:rsidR="00EF3ADE" w:rsidRPr="00730855" w:rsidRDefault="00EF3ADE" w:rsidP="00EF3ADE">
            <w:pPr>
              <w:jc w:val="center"/>
              <w:rPr>
                <w:sz w:val="20"/>
                <w:szCs w:val="20"/>
              </w:rPr>
            </w:pPr>
            <w:r w:rsidRPr="00730855">
              <w:rPr>
                <w:sz w:val="20"/>
                <w:szCs w:val="20"/>
              </w:rPr>
              <w:t>15.0</w:t>
            </w:r>
          </w:p>
        </w:tc>
      </w:tr>
      <w:tr w:rsidR="00EF3ADE" w:rsidRPr="00730855" w:rsidTr="00EF3ADE">
        <w:trPr>
          <w:jc w:val="center"/>
        </w:trPr>
        <w:tc>
          <w:tcPr>
            <w:tcW w:w="1151" w:type="dxa"/>
          </w:tcPr>
          <w:p w:rsidR="00EF3ADE" w:rsidRPr="003266C9" w:rsidRDefault="00EF3ADE" w:rsidP="00EF3ADE">
            <w:pPr>
              <w:jc w:val="center"/>
              <w:rPr>
                <w:b/>
                <w:sz w:val="20"/>
                <w:szCs w:val="20"/>
              </w:rPr>
            </w:pPr>
            <w:r w:rsidRPr="003266C9">
              <w:rPr>
                <w:b/>
                <w:sz w:val="20"/>
                <w:szCs w:val="20"/>
              </w:rPr>
              <w:lastRenderedPageBreak/>
              <w:t>2010</w:t>
            </w:r>
          </w:p>
        </w:tc>
        <w:tc>
          <w:tcPr>
            <w:tcW w:w="1151" w:type="dxa"/>
          </w:tcPr>
          <w:p w:rsidR="00EF3ADE" w:rsidRPr="00730855" w:rsidRDefault="00EF3ADE" w:rsidP="00EF3ADE">
            <w:pPr>
              <w:jc w:val="center"/>
              <w:rPr>
                <w:sz w:val="20"/>
                <w:szCs w:val="20"/>
              </w:rPr>
            </w:pPr>
            <w:r w:rsidRPr="00730855">
              <w:rPr>
                <w:sz w:val="20"/>
                <w:szCs w:val="20"/>
              </w:rPr>
              <w:t>18.8</w:t>
            </w:r>
          </w:p>
        </w:tc>
        <w:tc>
          <w:tcPr>
            <w:tcW w:w="1151" w:type="dxa"/>
          </w:tcPr>
          <w:p w:rsidR="00EF3ADE" w:rsidRPr="00730855" w:rsidRDefault="00EF3ADE" w:rsidP="00EF3ADE">
            <w:pPr>
              <w:jc w:val="center"/>
              <w:rPr>
                <w:sz w:val="20"/>
                <w:szCs w:val="20"/>
              </w:rPr>
            </w:pPr>
            <w:r w:rsidRPr="00730855">
              <w:rPr>
                <w:sz w:val="20"/>
                <w:szCs w:val="20"/>
              </w:rPr>
              <w:t>22.7</w:t>
            </w:r>
          </w:p>
        </w:tc>
        <w:tc>
          <w:tcPr>
            <w:tcW w:w="1151" w:type="dxa"/>
          </w:tcPr>
          <w:p w:rsidR="00EF3ADE" w:rsidRPr="00730855" w:rsidRDefault="00EF3ADE" w:rsidP="00EF3ADE">
            <w:pPr>
              <w:jc w:val="center"/>
              <w:rPr>
                <w:sz w:val="20"/>
                <w:szCs w:val="20"/>
              </w:rPr>
            </w:pPr>
            <w:r w:rsidRPr="00730855">
              <w:rPr>
                <w:sz w:val="20"/>
                <w:szCs w:val="20"/>
              </w:rPr>
              <w:t>18.7</w:t>
            </w:r>
          </w:p>
        </w:tc>
        <w:tc>
          <w:tcPr>
            <w:tcW w:w="1152" w:type="dxa"/>
          </w:tcPr>
          <w:p w:rsidR="00EF3ADE" w:rsidRPr="00730855" w:rsidRDefault="00EF3ADE" w:rsidP="00EF3ADE">
            <w:pPr>
              <w:jc w:val="center"/>
              <w:rPr>
                <w:sz w:val="20"/>
                <w:szCs w:val="20"/>
              </w:rPr>
            </w:pPr>
            <w:r w:rsidRPr="00730855">
              <w:rPr>
                <w:sz w:val="20"/>
                <w:szCs w:val="20"/>
              </w:rPr>
              <w:t>21.4</w:t>
            </w:r>
          </w:p>
        </w:tc>
        <w:tc>
          <w:tcPr>
            <w:tcW w:w="1152" w:type="dxa"/>
          </w:tcPr>
          <w:p w:rsidR="00EF3ADE" w:rsidRPr="00730855" w:rsidRDefault="00EF3ADE" w:rsidP="00EF3ADE">
            <w:pPr>
              <w:jc w:val="center"/>
              <w:rPr>
                <w:sz w:val="20"/>
                <w:szCs w:val="20"/>
              </w:rPr>
            </w:pPr>
            <w:r w:rsidRPr="00730855">
              <w:rPr>
                <w:sz w:val="20"/>
                <w:szCs w:val="20"/>
              </w:rPr>
              <w:t>9.5</w:t>
            </w:r>
          </w:p>
        </w:tc>
        <w:tc>
          <w:tcPr>
            <w:tcW w:w="1152" w:type="dxa"/>
          </w:tcPr>
          <w:p w:rsidR="00EF3ADE" w:rsidRPr="00730855" w:rsidRDefault="00EF3ADE" w:rsidP="00EF3ADE">
            <w:pPr>
              <w:jc w:val="center"/>
              <w:rPr>
                <w:sz w:val="20"/>
                <w:szCs w:val="20"/>
              </w:rPr>
            </w:pPr>
            <w:r w:rsidRPr="00730855">
              <w:rPr>
                <w:sz w:val="20"/>
                <w:szCs w:val="20"/>
              </w:rPr>
              <w:t>15.3</w:t>
            </w:r>
          </w:p>
        </w:tc>
        <w:tc>
          <w:tcPr>
            <w:tcW w:w="1152" w:type="dxa"/>
          </w:tcPr>
          <w:p w:rsidR="00EF3ADE" w:rsidRPr="00730855" w:rsidRDefault="00EF3ADE" w:rsidP="00EF3ADE">
            <w:pPr>
              <w:jc w:val="center"/>
              <w:rPr>
                <w:sz w:val="20"/>
                <w:szCs w:val="20"/>
              </w:rPr>
            </w:pPr>
            <w:r w:rsidRPr="00730855">
              <w:rPr>
                <w:sz w:val="20"/>
                <w:szCs w:val="20"/>
              </w:rPr>
              <w:t>18.5</w:t>
            </w:r>
          </w:p>
        </w:tc>
      </w:tr>
      <w:tr w:rsidR="00EF3ADE" w:rsidRPr="00730855" w:rsidTr="00EF3ADE">
        <w:trPr>
          <w:jc w:val="center"/>
        </w:trPr>
        <w:tc>
          <w:tcPr>
            <w:tcW w:w="1151" w:type="dxa"/>
          </w:tcPr>
          <w:p w:rsidR="00EF3ADE" w:rsidRPr="003266C9" w:rsidRDefault="00EF3ADE" w:rsidP="00EF3ADE">
            <w:pPr>
              <w:jc w:val="center"/>
              <w:rPr>
                <w:b/>
                <w:sz w:val="20"/>
                <w:szCs w:val="20"/>
              </w:rPr>
            </w:pPr>
            <w:r w:rsidRPr="003266C9">
              <w:rPr>
                <w:b/>
                <w:sz w:val="20"/>
                <w:szCs w:val="20"/>
              </w:rPr>
              <w:t>2015</w:t>
            </w:r>
          </w:p>
        </w:tc>
        <w:tc>
          <w:tcPr>
            <w:tcW w:w="1151" w:type="dxa"/>
          </w:tcPr>
          <w:p w:rsidR="00EF3ADE" w:rsidRPr="00730855" w:rsidRDefault="00EF3ADE" w:rsidP="00EF3ADE">
            <w:pPr>
              <w:jc w:val="center"/>
              <w:rPr>
                <w:sz w:val="20"/>
                <w:szCs w:val="20"/>
              </w:rPr>
            </w:pPr>
            <w:r w:rsidRPr="00730855">
              <w:rPr>
                <w:sz w:val="20"/>
                <w:szCs w:val="20"/>
              </w:rPr>
              <w:t>22.1</w:t>
            </w:r>
          </w:p>
        </w:tc>
        <w:tc>
          <w:tcPr>
            <w:tcW w:w="1151" w:type="dxa"/>
          </w:tcPr>
          <w:p w:rsidR="00EF3ADE" w:rsidRPr="00730855" w:rsidRDefault="00EF3ADE" w:rsidP="00EF3ADE">
            <w:pPr>
              <w:jc w:val="center"/>
              <w:rPr>
                <w:sz w:val="20"/>
                <w:szCs w:val="20"/>
              </w:rPr>
            </w:pPr>
            <w:r w:rsidRPr="00730855">
              <w:rPr>
                <w:sz w:val="20"/>
                <w:szCs w:val="20"/>
              </w:rPr>
              <w:t>26.4</w:t>
            </w:r>
          </w:p>
        </w:tc>
        <w:tc>
          <w:tcPr>
            <w:tcW w:w="1151" w:type="dxa"/>
          </w:tcPr>
          <w:p w:rsidR="00EF3ADE" w:rsidRPr="00730855" w:rsidRDefault="00EF3ADE" w:rsidP="00EF3ADE">
            <w:pPr>
              <w:jc w:val="center"/>
              <w:rPr>
                <w:sz w:val="20"/>
                <w:szCs w:val="20"/>
              </w:rPr>
            </w:pPr>
            <w:r w:rsidRPr="00730855">
              <w:rPr>
                <w:sz w:val="20"/>
                <w:szCs w:val="20"/>
              </w:rPr>
              <w:t>22.3</w:t>
            </w:r>
          </w:p>
        </w:tc>
        <w:tc>
          <w:tcPr>
            <w:tcW w:w="1152" w:type="dxa"/>
          </w:tcPr>
          <w:p w:rsidR="00EF3ADE" w:rsidRPr="00730855" w:rsidRDefault="00EF3ADE" w:rsidP="00EF3ADE">
            <w:pPr>
              <w:jc w:val="center"/>
              <w:rPr>
                <w:sz w:val="20"/>
                <w:szCs w:val="20"/>
              </w:rPr>
            </w:pPr>
            <w:r w:rsidRPr="00730855">
              <w:rPr>
                <w:sz w:val="20"/>
                <w:szCs w:val="20"/>
              </w:rPr>
              <w:t>25.0</w:t>
            </w:r>
          </w:p>
        </w:tc>
        <w:tc>
          <w:tcPr>
            <w:tcW w:w="1152" w:type="dxa"/>
          </w:tcPr>
          <w:p w:rsidR="00EF3ADE" w:rsidRPr="00730855" w:rsidRDefault="00EF3ADE" w:rsidP="00EF3ADE">
            <w:pPr>
              <w:jc w:val="center"/>
              <w:rPr>
                <w:sz w:val="20"/>
                <w:szCs w:val="20"/>
              </w:rPr>
            </w:pPr>
            <w:r w:rsidRPr="00730855">
              <w:rPr>
                <w:sz w:val="20"/>
                <w:szCs w:val="20"/>
              </w:rPr>
              <w:t>16.1</w:t>
            </w:r>
          </w:p>
        </w:tc>
        <w:tc>
          <w:tcPr>
            <w:tcW w:w="1152" w:type="dxa"/>
          </w:tcPr>
          <w:p w:rsidR="00EF3ADE" w:rsidRPr="00730855" w:rsidRDefault="00EF3ADE" w:rsidP="00EF3ADE">
            <w:pPr>
              <w:jc w:val="center"/>
              <w:rPr>
                <w:sz w:val="20"/>
                <w:szCs w:val="20"/>
              </w:rPr>
            </w:pPr>
            <w:r w:rsidRPr="00730855">
              <w:rPr>
                <w:sz w:val="20"/>
                <w:szCs w:val="20"/>
              </w:rPr>
              <w:t>15.7</w:t>
            </w:r>
          </w:p>
        </w:tc>
        <w:tc>
          <w:tcPr>
            <w:tcW w:w="1152" w:type="dxa"/>
          </w:tcPr>
          <w:p w:rsidR="00EF3ADE" w:rsidRPr="00730855" w:rsidRDefault="00EF3ADE" w:rsidP="00EF3ADE">
            <w:pPr>
              <w:jc w:val="center"/>
              <w:rPr>
                <w:sz w:val="20"/>
                <w:szCs w:val="20"/>
              </w:rPr>
            </w:pPr>
            <w:r w:rsidRPr="00730855">
              <w:rPr>
                <w:sz w:val="20"/>
                <w:szCs w:val="20"/>
              </w:rPr>
              <w:t>18.5</w:t>
            </w:r>
          </w:p>
        </w:tc>
      </w:tr>
    </w:tbl>
    <w:p w:rsidR="00EF3ADE" w:rsidRPr="003266C9" w:rsidRDefault="00EF3ADE" w:rsidP="00881667">
      <w:pPr>
        <w:jc w:val="both"/>
        <w:rPr>
          <w:sz w:val="20"/>
          <w:szCs w:val="20"/>
        </w:rPr>
      </w:pPr>
      <w:r w:rsidRPr="003266C9">
        <w:rPr>
          <w:sz w:val="20"/>
          <w:szCs w:val="20"/>
        </w:rPr>
        <w:t xml:space="preserve">Fuente: </w:t>
      </w:r>
      <w:r w:rsidR="00FC4695" w:rsidRPr="003266C9">
        <w:rPr>
          <w:sz w:val="20"/>
          <w:szCs w:val="20"/>
        </w:rPr>
        <w:t>Unión</w:t>
      </w:r>
      <w:r w:rsidRPr="003266C9">
        <w:rPr>
          <w:sz w:val="20"/>
          <w:szCs w:val="20"/>
        </w:rPr>
        <w:t xml:space="preserve"> Interparlamentaria</w:t>
      </w:r>
      <w:r w:rsidR="00FC4695" w:rsidRPr="003266C9">
        <w:rPr>
          <w:sz w:val="20"/>
          <w:szCs w:val="20"/>
        </w:rPr>
        <w:t>. Elaboración propia</w:t>
      </w:r>
      <w:r w:rsidR="0005401D" w:rsidRPr="003266C9">
        <w:rPr>
          <w:sz w:val="20"/>
          <w:szCs w:val="20"/>
        </w:rPr>
        <w:t>.</w:t>
      </w:r>
    </w:p>
    <w:p w:rsidR="0005401D" w:rsidRDefault="00850689" w:rsidP="00881667">
      <w:pPr>
        <w:jc w:val="both"/>
      </w:pPr>
      <w:r>
        <w:t>El porcentaje de mujeres con cargos ministeriales es del 17,2 %, siendo Nicaragua el país con más mujeres al frente de un ministerio (57%), le siguen Suecia, Finlandia, Francia, Cabo Verde y Noruega. Otro avance importante ha sido que las mujeres progresivamente van ocupando las carteras ministeriales que más peso tienen dentro de los gobiernos. Sin embargo ha descendido el número de jefas de estado y de gobierno, que ha bajado de un 19</w:t>
      </w:r>
      <w:r w:rsidR="000349CA">
        <w:t>%</w:t>
      </w:r>
      <w:r>
        <w:t xml:space="preserve"> a 18</w:t>
      </w:r>
      <w:r w:rsidR="000349CA">
        <w:t>%</w:t>
      </w:r>
      <w:r>
        <w:t xml:space="preserve"> (</w:t>
      </w:r>
      <w:r w:rsidR="00012195">
        <w:t>Naciones Unidas</w:t>
      </w:r>
      <w:r w:rsidR="00973B90">
        <w:t>,</w:t>
      </w:r>
      <w:r>
        <w:t xml:space="preserve"> 2014).</w:t>
      </w:r>
    </w:p>
    <w:p w:rsidR="003A5703" w:rsidRDefault="009478A0" w:rsidP="000349CA">
      <w:pPr>
        <w:spacing w:after="120"/>
        <w:jc w:val="both"/>
        <w:rPr>
          <w:b/>
        </w:rPr>
      </w:pPr>
      <w:r>
        <w:rPr>
          <w:b/>
        </w:rPr>
        <w:t xml:space="preserve">La desigualdad de género en </w:t>
      </w:r>
      <w:r w:rsidR="003A5703" w:rsidRPr="003A5703">
        <w:rPr>
          <w:b/>
        </w:rPr>
        <w:t>la agenda post</w:t>
      </w:r>
      <w:r w:rsidR="002F3E5E">
        <w:rPr>
          <w:b/>
        </w:rPr>
        <w:t>-</w:t>
      </w:r>
      <w:r w:rsidR="003A5703" w:rsidRPr="003A5703">
        <w:rPr>
          <w:b/>
        </w:rPr>
        <w:t>2015</w:t>
      </w:r>
    </w:p>
    <w:p w:rsidR="004D38B8" w:rsidRPr="004D38B8" w:rsidRDefault="004D38B8" w:rsidP="000349CA">
      <w:pPr>
        <w:spacing w:after="120"/>
        <w:jc w:val="both"/>
      </w:pPr>
      <w:r>
        <w:t>En septiembre de 2012, la Asamblea General de Naciones Unidas aprueba la Resolución 66/288</w:t>
      </w:r>
      <w:r w:rsidR="00AE79F0">
        <w:t xml:space="preserve"> bajo el título,</w:t>
      </w:r>
      <w:r>
        <w:t xml:space="preserve"> </w:t>
      </w:r>
      <w:r w:rsidR="00AE79F0">
        <w:t>“</w:t>
      </w:r>
      <w:r>
        <w:t>El futuro que queremos</w:t>
      </w:r>
      <w:r w:rsidR="00AE79F0">
        <w:t>”</w:t>
      </w:r>
      <w:r>
        <w:t xml:space="preserve"> en la que se recoge la necesidad de </w:t>
      </w:r>
      <w:r w:rsidRPr="000349CA">
        <w:rPr>
          <w:rFonts w:ascii="Arial" w:hAnsi="Arial" w:cs="Arial"/>
          <w:i/>
        </w:rPr>
        <w:t>“</w:t>
      </w:r>
      <w:r w:rsidRPr="000349CA">
        <w:rPr>
          <w:i/>
        </w:rPr>
        <w:t>establecer un proceso intergubernamental inclusivo y transparente sobre los objetivos de Desarrollo Sostenible que esté abierto a todas las partes interesadas con el fin de formular objetivos mundiales de Desarrollo Sostenible, que deberá acordar la Asamblea General”</w:t>
      </w:r>
      <w:r w:rsidR="000349CA">
        <w:rPr>
          <w:i/>
        </w:rPr>
        <w:t>.</w:t>
      </w:r>
    </w:p>
    <w:p w:rsidR="00723AB5" w:rsidRDefault="00AE79F0" w:rsidP="00723AB5">
      <w:pPr>
        <w:jc w:val="both"/>
      </w:pPr>
      <w:r>
        <w:t>Posteriormente, e</w:t>
      </w:r>
      <w:r w:rsidR="0042176F">
        <w:t>n el año 2013, cuando quedaban dos años para la finalización de los ODM, el Secretario General de Naciones Unidas</w:t>
      </w:r>
      <w:r w:rsidR="005601DA">
        <w:t xml:space="preserve"> recome</w:t>
      </w:r>
      <w:r w:rsidR="0042176F">
        <w:t>ndó la elaboración de una agenda universal basada en los derechos humanos para el desarrollo sostenible.</w:t>
      </w:r>
      <w:r w:rsidR="005601DA">
        <w:t xml:space="preserve"> A partir de ese momento, han sido numerosas las personas y entidades en foros diversos las que han realizado aportaciones importantes a este debate dirigidas por el Grupo de las Naciones Unidas para el Desarrollo. Algunas iniciativas como </w:t>
      </w:r>
      <w:r w:rsidR="005601DA" w:rsidRPr="005601DA">
        <w:t>“Un millón de voces: el mundo</w:t>
      </w:r>
      <w:r w:rsidR="005601DA">
        <w:t xml:space="preserve"> </w:t>
      </w:r>
      <w:r w:rsidR="005601DA" w:rsidRPr="005601DA">
        <w:t>que queremos”, “Implementación de la agenda para el desarrollo después de 2015:</w:t>
      </w:r>
      <w:r w:rsidR="005601DA">
        <w:t xml:space="preserve"> </w:t>
      </w:r>
      <w:r w:rsidR="005601DA" w:rsidRPr="005601DA">
        <w:t>oportunidades a nivel nacional y local” y la encuesta “Mi Mundo”</w:t>
      </w:r>
      <w:r w:rsidR="005601DA">
        <w:t xml:space="preserve">, han hecho posible que millones de </w:t>
      </w:r>
      <w:r w:rsidR="005601DA" w:rsidRPr="005601DA">
        <w:t>personas</w:t>
      </w:r>
      <w:r w:rsidR="005601DA">
        <w:t xml:space="preserve"> participara</w:t>
      </w:r>
      <w:r w:rsidR="005601DA" w:rsidRPr="005601DA">
        <w:t>n en estos procesos</w:t>
      </w:r>
      <w:r w:rsidR="005601DA">
        <w:t xml:space="preserve">. Por parte del </w:t>
      </w:r>
      <w:r w:rsidR="005601DA" w:rsidRPr="005601DA">
        <w:t>Grupo de Alto Nivel de Personas Eminentes sobre la</w:t>
      </w:r>
      <w:r w:rsidR="005601DA">
        <w:t xml:space="preserve"> </w:t>
      </w:r>
      <w:r w:rsidR="005601DA" w:rsidRPr="005601DA">
        <w:t>Agenda para el Desarrollo Después de 2015</w:t>
      </w:r>
      <w:r w:rsidR="005601DA">
        <w:t xml:space="preserve"> </w:t>
      </w:r>
      <w:r>
        <w:t xml:space="preserve">se </w:t>
      </w:r>
      <w:r w:rsidR="005601DA">
        <w:t>plantean cinco cambios que denominan transformadores</w:t>
      </w:r>
      <w:r w:rsidR="005601DA">
        <w:rPr>
          <w:rStyle w:val="Refdenotaalpie"/>
        </w:rPr>
        <w:footnoteReference w:id="6"/>
      </w:r>
      <w:r w:rsidR="005601DA">
        <w:t xml:space="preserve"> para ser tenidos en cuenta en la agenda post-2015.</w:t>
      </w:r>
      <w:r w:rsidR="00530FA0">
        <w:t xml:space="preserve"> También han participado </w:t>
      </w:r>
      <w:r w:rsidR="00530FA0" w:rsidRPr="00723AB5">
        <w:t>académicos y científicos convocados mediante la Red de Soluciones de las Naciones Unidas para el Desarrollo Sostenible</w:t>
      </w:r>
      <w:r w:rsidR="00723AB5" w:rsidRPr="00723AB5">
        <w:t>, empresas, Junta de los Jefes Ejecutivos del Sistema de las Naciones Unidas para la Coordinación, el Grupo de Alto Nivel sobre la Sostenibilidad Mundial, el Consejo Económico y Social, el Foro sobre Cooperación para el Desarrollo</w:t>
      </w:r>
      <w:r w:rsidR="00823B6C">
        <w:t xml:space="preserve">, el Foro de alto nivel sobre el desarrollo sostenible, </w:t>
      </w:r>
      <w:r w:rsidR="00823B6C" w:rsidRPr="00823B6C">
        <w:t>Comité Intergubernamental de Expertos en Financiación del Desarrollo Sostenible</w:t>
      </w:r>
      <w:r w:rsidR="00823B6C">
        <w:rPr>
          <w:rFonts w:ascii="Times New Roman" w:hAnsi="Times New Roman" w:cs="Times New Roman"/>
          <w:sz w:val="20"/>
          <w:szCs w:val="20"/>
          <w:lang w:val="es-ES"/>
        </w:rPr>
        <w:t>,</w:t>
      </w:r>
      <w:r>
        <w:t xml:space="preserve"> por citar alguna</w:t>
      </w:r>
      <w:r w:rsidR="00823B6C">
        <w:t>s</w:t>
      </w:r>
      <w:r>
        <w:t xml:space="preserve"> de las entidades</w:t>
      </w:r>
      <w:r w:rsidR="00823B6C">
        <w:t xml:space="preserve"> que han centrado su trabajo en la agenda post-2015</w:t>
      </w:r>
      <w:r w:rsidR="00723AB5" w:rsidRPr="00723AB5">
        <w:t>. A esto hay que sumar que los Estados Miembros en diferentes foros y a través de las diferentes entidades de Naciones Unidas también han aportado propuestas.</w:t>
      </w:r>
      <w:r>
        <w:t xml:space="preserve"> Los nuevos objetivos sobre los que se están trabajando pasan a denominarse </w:t>
      </w:r>
      <w:r w:rsidRPr="00823B6C">
        <w:t xml:space="preserve">Objetivos de Desarrollo Sostenible </w:t>
      </w:r>
      <w:r>
        <w:t>(ODS).</w:t>
      </w:r>
    </w:p>
    <w:p w:rsidR="00823B6C" w:rsidRPr="00823B6C" w:rsidRDefault="00823B6C" w:rsidP="00823B6C">
      <w:pPr>
        <w:jc w:val="both"/>
      </w:pPr>
      <w:r>
        <w:t xml:space="preserve">En julio de 2014, el </w:t>
      </w:r>
      <w:r w:rsidRPr="00823B6C">
        <w:t xml:space="preserve">Grupo de Trabajo Abierto de la Asamblea General sobre los Objetivos de Desarrollo Sostenible presentó los resultados de sus debates haciendo </w:t>
      </w:r>
      <w:r w:rsidRPr="00AE79F0">
        <w:rPr>
          <w:i/>
        </w:rPr>
        <w:t>“hincapié en la erradicación de la pobreza, la sostenibilidad ambiental, el crecimiento inclusivo, la igualdad y una agenda de desarrollo sostenible centrada en las personas”.</w:t>
      </w:r>
      <w:r w:rsidRPr="00823B6C">
        <w:t xml:space="preserve"> En este sentido</w:t>
      </w:r>
      <w:r w:rsidR="00AE79F0">
        <w:t>, se</w:t>
      </w:r>
      <w:r w:rsidRPr="00823B6C">
        <w:t xml:space="preserve"> plantean 17 objetivos específicos y 169 metas</w:t>
      </w:r>
      <w:r>
        <w:t>.</w:t>
      </w:r>
    </w:p>
    <w:p w:rsidR="00FA36AD" w:rsidRDefault="00FA36AD" w:rsidP="00FA36AD">
      <w:pPr>
        <w:jc w:val="both"/>
      </w:pPr>
      <w:r>
        <w:lastRenderedPageBreak/>
        <w:t>En septiembre de 2014 se presentó en la Asamblea General de Naciones Unidas un Informe de síntesis del Secretario General sobre la agenda de desarrollo sostenible después de 2015 con el título</w:t>
      </w:r>
      <w:r w:rsidR="00823B6C">
        <w:t>:</w:t>
      </w:r>
      <w:r>
        <w:t xml:space="preserve"> </w:t>
      </w:r>
      <w:r w:rsidR="00AE79F0">
        <w:t>“</w:t>
      </w:r>
      <w:r w:rsidRPr="00FA36AD">
        <w:t>El camino hacia la dignidad para 2030: acabar con la</w:t>
      </w:r>
      <w:r>
        <w:t xml:space="preserve"> </w:t>
      </w:r>
      <w:r w:rsidRPr="00FA36AD">
        <w:t>pobreza y transformar vidas protegiendo el planeta</w:t>
      </w:r>
      <w:r w:rsidR="00AE79F0">
        <w:t>”. En é</w:t>
      </w:r>
      <w:r>
        <w:t>ste se incluyen todos los informes y procesos generados en torno a la agenda post-2015.</w:t>
      </w:r>
      <w:r w:rsidR="00980C6E">
        <w:t xml:space="preserve"> En el mismo se plantean una serie de elementos esenciales para el cumplimiento de los ODS, entre los que se encuentra la necesidad de garantizar una vida sana, el conocimiento y la inclusión de las mujeres y los niños. Se hace referencia a la violencia de género y la explotación de las mujeres y las niñas y el acceso a los servicios financieros y la propiedad de la tierra y otros bienes</w:t>
      </w:r>
      <w:r w:rsidR="001F7F67">
        <w:t>,</w:t>
      </w:r>
      <w:r w:rsidR="00AE79F0">
        <w:t xml:space="preserve"> y</w:t>
      </w:r>
      <w:r w:rsidR="001F7F67">
        <w:t xml:space="preserve"> los derechos sexuales y reproductivos (Naciones Unidas 2014)</w:t>
      </w:r>
      <w:r w:rsidR="00980C6E">
        <w:t>.</w:t>
      </w:r>
    </w:p>
    <w:p w:rsidR="00D624B0" w:rsidRDefault="00AE79F0" w:rsidP="00881667">
      <w:pPr>
        <w:jc w:val="both"/>
      </w:pPr>
      <w:r>
        <w:t xml:space="preserve">Hay que destacar en este sentido la aportación de </w:t>
      </w:r>
      <w:r w:rsidR="001F7F67">
        <w:t xml:space="preserve">ONU Mujeres </w:t>
      </w:r>
      <w:r>
        <w:t xml:space="preserve">que </w:t>
      </w:r>
      <w:r w:rsidR="001F7F67">
        <w:t>en</w:t>
      </w:r>
      <w:r>
        <w:t xml:space="preserve"> un</w:t>
      </w:r>
      <w:r w:rsidR="001F7F67">
        <w:t xml:space="preserve"> documento describe su posición sobre la agenda post2015</w:t>
      </w:r>
      <w:r>
        <w:t>.</w:t>
      </w:r>
      <w:r w:rsidR="00D624B0">
        <w:t xml:space="preserve"> </w:t>
      </w:r>
      <w:r>
        <w:t>E</w:t>
      </w:r>
      <w:r w:rsidR="00D624B0">
        <w:t xml:space="preserve">mpieza describiendo </w:t>
      </w:r>
      <w:r>
        <w:t xml:space="preserve">que uno de </w:t>
      </w:r>
      <w:r w:rsidR="00D624B0">
        <w:t>los déficit</w:t>
      </w:r>
      <w:r w:rsidR="00E67B72">
        <w:t>s</w:t>
      </w:r>
      <w:r w:rsidR="00D624B0">
        <w:t xml:space="preserve"> de los ODM </w:t>
      </w:r>
      <w:r>
        <w:t>ha sido</w:t>
      </w:r>
      <w:r w:rsidR="00D624B0">
        <w:t xml:space="preserve"> el no haber abordado las causas estructurales de la desigualdad de género, en concreto, la violencia de género, el acceso al trabajo remunerado, el escaso control sobre propiedades y otros recursos y la autonomía en la toma de decisiones. </w:t>
      </w:r>
      <w:r>
        <w:t xml:space="preserve">Su principal propuesta </w:t>
      </w:r>
      <w:r w:rsidR="00E67B72">
        <w:t xml:space="preserve">se centra en </w:t>
      </w:r>
      <w:r w:rsidR="009C59B0">
        <w:t>un objetivo t</w:t>
      </w:r>
      <w:r w:rsidR="009C59B0" w:rsidRPr="009C59B0">
        <w:t>ransformador e independiente para lograr la igualdad de género, los derechos y el empoderamiento de las mujeres</w:t>
      </w:r>
      <w:r w:rsidR="009C59B0">
        <w:t xml:space="preserve"> basado en un enfoque en el que se incluye</w:t>
      </w:r>
      <w:r w:rsidR="002A3986">
        <w:t>n varia</w:t>
      </w:r>
      <w:r w:rsidR="00D624B0">
        <w:t>s áreas: la</w:t>
      </w:r>
      <w:r w:rsidR="006C0491">
        <w:t xml:space="preserve"> p</w:t>
      </w:r>
      <w:r w:rsidR="006C0491" w:rsidRPr="006C0491">
        <w:t xml:space="preserve">rotección contra la violencia </w:t>
      </w:r>
      <w:r w:rsidR="006C0491">
        <w:t>de género; i</w:t>
      </w:r>
      <w:r w:rsidR="006C0491" w:rsidRPr="006C0491">
        <w:t>gualdad de género en capacidades y recursos</w:t>
      </w:r>
      <w:r w:rsidR="006C0491">
        <w:t xml:space="preserve"> (</w:t>
      </w:r>
      <w:r w:rsidR="006C0491" w:rsidRPr="006C0491">
        <w:t>conocimiento y las competencias</w:t>
      </w:r>
      <w:r w:rsidR="006C0491">
        <w:t>,</w:t>
      </w:r>
      <w:r w:rsidR="006C0491" w:rsidRPr="006C0491">
        <w:t xml:space="preserve"> </w:t>
      </w:r>
      <w:r w:rsidR="006C0491">
        <w:t xml:space="preserve">que </w:t>
      </w:r>
      <w:r w:rsidR="006C0491" w:rsidRPr="006C0491">
        <w:t>incluyen la salud sexual y reproductiva y los derechos reproductivos</w:t>
      </w:r>
      <w:r w:rsidR="006C0491">
        <w:t>;</w:t>
      </w:r>
      <w:r w:rsidR="006C0491" w:rsidRPr="006C0491">
        <w:t xml:space="preserve"> recursos y oportunidades como los activos productivos, el trabajo digno y la igualdad de sueldos</w:t>
      </w:r>
      <w:r w:rsidR="006C0491">
        <w:t>); y la i</w:t>
      </w:r>
      <w:r w:rsidR="006C0491" w:rsidRPr="006C0491">
        <w:t xml:space="preserve">gualdad de género en el poder de decisión en instituciones públicas y privadas </w:t>
      </w:r>
      <w:r w:rsidR="006C0491">
        <w:t xml:space="preserve">(incluyen la participación en el ámbito político y económico). </w:t>
      </w:r>
      <w:r w:rsidR="002A3986">
        <w:t>Para cada una de estas</w:t>
      </w:r>
      <w:r w:rsidR="009C59B0">
        <w:t xml:space="preserve"> áreas proponen una serie de metas en indicadores, en total son 16 metas y 53 indicadores. Así mismo p</w:t>
      </w:r>
      <w:r w:rsidR="006C0491">
        <w:t>lantean que en los demás objetivos estén contempladas de manera transversal las desigualdades de género, mediante la inclusión de metas e indicadores apropiados</w:t>
      </w:r>
      <w:r w:rsidR="009C59B0">
        <w:t xml:space="preserve"> (ONU Mujeres</w:t>
      </w:r>
      <w:r w:rsidR="00E67B72">
        <w:t>,</w:t>
      </w:r>
      <w:r w:rsidR="009C59B0">
        <w:t xml:space="preserve"> 2013)</w:t>
      </w:r>
      <w:r w:rsidR="006C0491">
        <w:t>.</w:t>
      </w:r>
    </w:p>
    <w:p w:rsidR="006B1162" w:rsidRDefault="006B1162" w:rsidP="00881667">
      <w:pPr>
        <w:jc w:val="both"/>
      </w:pPr>
      <w:r>
        <w:t>En septiembre de 2015 está prevista una nueva cumbre mundial sobre Desarrollo Sostenible donde se debatirán los Objetivos de Desarrollo Sostenible (ODS), que basados en los ODM, se marcarán como objetivo avanzar en el cumplimiento de los mismos</w:t>
      </w:r>
      <w:r w:rsidR="00E67B72">
        <w:t xml:space="preserve"> para el año 2030</w:t>
      </w:r>
      <w:r>
        <w:t xml:space="preserve">. </w:t>
      </w:r>
      <w:r w:rsidR="00E67B72">
        <w:t>Aunque l</w:t>
      </w:r>
      <w:r>
        <w:t>os avances conseguidos han sido importantes</w:t>
      </w:r>
      <w:r w:rsidR="00E67B72">
        <w:t>,</w:t>
      </w:r>
      <w:r>
        <w:t xml:space="preserve"> no se ha logrado el cumplimiento de las metas propuestas.</w:t>
      </w:r>
    </w:p>
    <w:p w:rsidR="006B1162" w:rsidRPr="006B1162" w:rsidRDefault="006B1162" w:rsidP="00E67B72">
      <w:pPr>
        <w:spacing w:after="120"/>
        <w:jc w:val="both"/>
      </w:pPr>
      <w:r>
        <w:t>Son 17 ODS</w:t>
      </w:r>
      <w:r w:rsidR="00980C6E">
        <w:rPr>
          <w:rStyle w:val="Refdenotaalpie"/>
        </w:rPr>
        <w:footnoteReference w:id="7"/>
      </w:r>
      <w:r>
        <w:t xml:space="preserve"> los que se proponen, entre los que se encuentran algunos de los antiguos ODM, como los relacionados con la pobreza, la educación y la igualdad. Y se incluyen varios sobre la </w:t>
      </w:r>
      <w:r>
        <w:lastRenderedPageBreak/>
        <w:t xml:space="preserve">sostenibilidad medioambiental. </w:t>
      </w:r>
      <w:r w:rsidR="0049599A">
        <w:t xml:space="preserve">Sobre la desigualdad de género solo está el </w:t>
      </w:r>
      <w:r>
        <w:t>n</w:t>
      </w:r>
      <w:r w:rsidR="0049599A">
        <w:t>úmero cinco, que indica textualmente: “Lograr la igualdad entre los géneros y el empoderamiento de todas las mujeres y niñas”. Es un avance porque incluye el empoderamiento</w:t>
      </w:r>
      <w:r w:rsidR="002A3986">
        <w:t>,</w:t>
      </w:r>
      <w:r w:rsidR="0049599A">
        <w:t xml:space="preserve"> pero no hay más referencias a la situación de las mujeres</w:t>
      </w:r>
      <w:r w:rsidR="009C59B0">
        <w:t xml:space="preserve"> en el resto de los objetivos</w:t>
      </w:r>
      <w:r w:rsidR="0049599A">
        <w:t xml:space="preserve">. </w:t>
      </w:r>
      <w:r w:rsidR="00EA0115">
        <w:t>L</w:t>
      </w:r>
      <w:r w:rsidR="0049599A">
        <w:t>as metas y los indicadores</w:t>
      </w:r>
      <w:r w:rsidR="009C59B0">
        <w:t xml:space="preserve"> </w:t>
      </w:r>
      <w:r w:rsidR="0049599A">
        <w:t>deberían incluir de manera transversal en todos ellos la valoración de la situación de las mujeres en relación con cada uno de los aspectos incluidos en los mismos</w:t>
      </w:r>
      <w:r w:rsidR="009C59B0">
        <w:t>, tal y como se plantea des</w:t>
      </w:r>
      <w:r w:rsidR="002A3986">
        <w:t>d</w:t>
      </w:r>
      <w:r w:rsidR="009C59B0">
        <w:t>e ONU Mujeres</w:t>
      </w:r>
      <w:r w:rsidR="0049599A">
        <w:t>.</w:t>
      </w:r>
      <w:r w:rsidR="00D404AE">
        <w:t xml:space="preserve"> Sin embargo no es así, en lo que se refiere a las metas propuestas para cada Objetivo. No todos incluyen metas relacionadas con el género y en la mayoría solo aparece uno. Solo los ODS cuatro y cinco incluyen un número importante de metas en este sentido</w:t>
      </w:r>
      <w:r w:rsidR="00392AF4">
        <w:t xml:space="preserve"> (Naciones Unidas</w:t>
      </w:r>
      <w:r w:rsidR="00E67B72">
        <w:t>,</w:t>
      </w:r>
      <w:r w:rsidR="00392AF4">
        <w:t xml:space="preserve"> 2014a)</w:t>
      </w:r>
      <w:r w:rsidR="00D404AE">
        <w:t>.</w:t>
      </w:r>
    </w:p>
    <w:p w:rsidR="003A5703" w:rsidRPr="003A5703" w:rsidRDefault="003A5703" w:rsidP="00E67B72">
      <w:pPr>
        <w:spacing w:after="120"/>
        <w:jc w:val="both"/>
        <w:rPr>
          <w:b/>
        </w:rPr>
      </w:pPr>
      <w:r w:rsidRPr="003A5703">
        <w:rPr>
          <w:b/>
        </w:rPr>
        <w:t>Conclusiones</w:t>
      </w:r>
    </w:p>
    <w:p w:rsidR="00DB5896" w:rsidRDefault="002C5486" w:rsidP="00E67B72">
      <w:pPr>
        <w:spacing w:after="120"/>
        <w:jc w:val="both"/>
        <w:rPr>
          <w:rFonts w:cs="Arial"/>
        </w:rPr>
      </w:pPr>
      <w:r>
        <w:t xml:space="preserve">El análisis de los indicadores </w:t>
      </w:r>
      <w:r w:rsidR="00E67B72">
        <w:t xml:space="preserve">que miden la desigualdad de género </w:t>
      </w:r>
      <w:r>
        <w:t xml:space="preserve">basados en la </w:t>
      </w:r>
      <w:r w:rsidRPr="00A100FD">
        <w:rPr>
          <w:rFonts w:cs="Arial"/>
        </w:rPr>
        <w:t>autonomía física, la autonomía económica y la autonomía en la toma de decisiones</w:t>
      </w:r>
      <w:r>
        <w:rPr>
          <w:rFonts w:cs="Arial"/>
        </w:rPr>
        <w:t xml:space="preserve"> refleja que en estos tres ámbitos desde el año 1990 hasta la actualidad</w:t>
      </w:r>
      <w:r w:rsidR="002A3986">
        <w:rPr>
          <w:rFonts w:cs="Arial"/>
        </w:rPr>
        <w:t>,</w:t>
      </w:r>
      <w:r>
        <w:rPr>
          <w:rFonts w:cs="Arial"/>
        </w:rPr>
        <w:t xml:space="preserve"> y gracias en parte a los ODM</w:t>
      </w:r>
      <w:r w:rsidR="002A3986">
        <w:rPr>
          <w:rFonts w:cs="Arial"/>
        </w:rPr>
        <w:t>,</w:t>
      </w:r>
      <w:r>
        <w:rPr>
          <w:rFonts w:cs="Arial"/>
        </w:rPr>
        <w:t xml:space="preserve"> han </w:t>
      </w:r>
      <w:r w:rsidR="00E67B72">
        <w:rPr>
          <w:rFonts w:cs="Arial"/>
        </w:rPr>
        <w:t>logrado</w:t>
      </w:r>
      <w:r>
        <w:rPr>
          <w:rFonts w:cs="Arial"/>
        </w:rPr>
        <w:t xml:space="preserve"> avances</w:t>
      </w:r>
      <w:r w:rsidR="00E67B72">
        <w:rPr>
          <w:rFonts w:cs="Arial"/>
        </w:rPr>
        <w:t xml:space="preserve"> en la reducción de las brechas de género</w:t>
      </w:r>
      <w:r>
        <w:rPr>
          <w:rFonts w:cs="Arial"/>
        </w:rPr>
        <w:t xml:space="preserve">. Estos no han sido homogéneos en cuanto al grado igualdad conseguida ni en cuanto a las zonas geográficas, persistiendo importantes </w:t>
      </w:r>
      <w:r w:rsidR="00E67B72">
        <w:rPr>
          <w:rFonts w:cs="Arial"/>
        </w:rPr>
        <w:t>desigualdades en algunas regiones</w:t>
      </w:r>
      <w:r>
        <w:rPr>
          <w:rFonts w:cs="Arial"/>
        </w:rPr>
        <w:t>.</w:t>
      </w:r>
    </w:p>
    <w:p w:rsidR="002C5486" w:rsidRDefault="002C5486" w:rsidP="00E67B72">
      <w:pPr>
        <w:spacing w:after="120"/>
        <w:jc w:val="both"/>
        <w:rPr>
          <w:rFonts w:cs="Arial"/>
        </w:rPr>
      </w:pPr>
      <w:r>
        <w:rPr>
          <w:rFonts w:cs="Arial"/>
        </w:rPr>
        <w:t>En cuanto a la autonomía física los indicadores analizados</w:t>
      </w:r>
      <w:r w:rsidR="00E67B72">
        <w:rPr>
          <w:rFonts w:cs="Arial"/>
        </w:rPr>
        <w:t>,</w:t>
      </w:r>
      <w:r>
        <w:rPr>
          <w:rFonts w:cs="Arial"/>
        </w:rPr>
        <w:t xml:space="preserve"> la tasa de mortalidad materna, los embarazos en la adolescencia y el acceso a los métodos anticonceptivos han mejorado a nivel mundial y en todas las zonas geográficas. Destacan los avances</w:t>
      </w:r>
      <w:r w:rsidR="003F39A9">
        <w:rPr>
          <w:rFonts w:cs="Arial"/>
        </w:rPr>
        <w:t xml:space="preserve"> conseguidos en la reducción de la mortalidad materna, pero siguen manteniéndose cifras importantes en África subsahariana</w:t>
      </w:r>
      <w:r w:rsidR="00E67B72">
        <w:rPr>
          <w:rFonts w:cs="Arial"/>
        </w:rPr>
        <w:t>,</w:t>
      </w:r>
      <w:r w:rsidR="003F39A9">
        <w:rPr>
          <w:rFonts w:cs="Arial"/>
        </w:rPr>
        <w:t xml:space="preserve"> que también presenta los peores datos en los otros dos indicadores.</w:t>
      </w:r>
    </w:p>
    <w:p w:rsidR="00175B94" w:rsidRDefault="003F39A9" w:rsidP="00E67B72">
      <w:pPr>
        <w:spacing w:after="120"/>
        <w:jc w:val="both"/>
      </w:pPr>
      <w:r>
        <w:rPr>
          <w:rFonts w:cs="Arial"/>
        </w:rPr>
        <w:t>Para valorar l</w:t>
      </w:r>
      <w:r w:rsidRPr="00FC4C08">
        <w:rPr>
          <w:rFonts w:cs="Arial"/>
        </w:rPr>
        <w:t>a autonomía económica de las mujeres</w:t>
      </w:r>
      <w:r>
        <w:rPr>
          <w:rFonts w:cs="Arial"/>
        </w:rPr>
        <w:t xml:space="preserve"> se</w:t>
      </w:r>
      <w:r w:rsidR="00E67B72">
        <w:rPr>
          <w:rFonts w:cs="Arial"/>
        </w:rPr>
        <w:t xml:space="preserve"> h</w:t>
      </w:r>
      <w:r>
        <w:rPr>
          <w:rFonts w:cs="Arial"/>
        </w:rPr>
        <w:t>an tenido en cuenta dos ámbitos fundamentales: el acceso al mercado de trabajo y a la educación. En todos los tramos educativos las mejoras han sido evidentes pero todavía hay zonas geográficas donde la paridad no se ha conseguido en ninguno de estos tramos</w:t>
      </w:r>
      <w:r w:rsidR="00E67B72">
        <w:rPr>
          <w:rFonts w:cs="Arial"/>
        </w:rPr>
        <w:t>, como por ejemplo,</w:t>
      </w:r>
      <w:r w:rsidR="007F7918">
        <w:rPr>
          <w:rFonts w:cs="Arial"/>
        </w:rPr>
        <w:t xml:space="preserve"> África Subsahariana. En relación al acceso a empleo remunerado, d</w:t>
      </w:r>
      <w:r w:rsidR="007F7918">
        <w:t>esde el año 1990 el acceso de las mujeres en sectores diferentes del agrícola ha aumentado, pero con diferencias importantes según las regiones, siendo África subsahariana donde el aumento fue más importante.</w:t>
      </w:r>
      <w:r w:rsidR="00175B94">
        <w:t xml:space="preserve"> </w:t>
      </w:r>
      <w:r w:rsidR="00E67B72">
        <w:t>Sin embargo, l</w:t>
      </w:r>
      <w:r w:rsidR="00175B94">
        <w:t xml:space="preserve">as diferencias entre hombres y mujeres en la tasa de participación en la población activa se mantienen y en algunas zonas son considerables. Esta situación tiene su reflejo en el Ingreso Nacional Bruto per </w:t>
      </w:r>
      <w:proofErr w:type="spellStart"/>
      <w:r w:rsidR="00175B94">
        <w:t>capita</w:t>
      </w:r>
      <w:proofErr w:type="spellEnd"/>
      <w:r w:rsidR="00175B94">
        <w:t xml:space="preserve"> que</w:t>
      </w:r>
      <w:r w:rsidR="00BF2641">
        <w:t>,</w:t>
      </w:r>
      <w:r w:rsidR="00175B94">
        <w:t xml:space="preserve"> a nivel mundial</w:t>
      </w:r>
      <w:r w:rsidR="00BF2641">
        <w:t>,</w:t>
      </w:r>
      <w:r w:rsidR="00175B94">
        <w:t xml:space="preserve"> la</w:t>
      </w:r>
      <w:r w:rsidR="00BF2641">
        <w:t>s</w:t>
      </w:r>
      <w:r w:rsidR="00175B94">
        <w:t xml:space="preserve"> diferencia</w:t>
      </w:r>
      <w:r w:rsidR="00BF2641">
        <w:t>s</w:t>
      </w:r>
      <w:r w:rsidR="00175B94">
        <w:t xml:space="preserve"> entre hombres y mujeres e</w:t>
      </w:r>
      <w:r w:rsidR="00BF2641">
        <w:t>s</w:t>
      </w:r>
      <w:r w:rsidR="00175B94">
        <w:t xml:space="preserve"> </w:t>
      </w:r>
      <w:r w:rsidR="00BF2641">
        <w:t>considerable</w:t>
      </w:r>
      <w:r w:rsidR="00175B94">
        <w:t>.</w:t>
      </w:r>
    </w:p>
    <w:p w:rsidR="002F3E5E" w:rsidRDefault="002F3E5E" w:rsidP="00E67B72">
      <w:pPr>
        <w:spacing w:after="120"/>
        <w:jc w:val="both"/>
      </w:pPr>
      <w:r>
        <w:t>En relación a la autonomía en la toma de decisiones, se t</w:t>
      </w:r>
      <w:r w:rsidR="00BF2641">
        <w:t>iene</w:t>
      </w:r>
      <w:r>
        <w:t xml:space="preserve"> como referente</w:t>
      </w:r>
      <w:r w:rsidR="00BF2641">
        <w:t>,</w:t>
      </w:r>
      <w:r>
        <w:t xml:space="preserve"> conseguir la presencia de un 30% de mujeres en los puestos de responsabilidad política y económica marcado en la Plataforma de Acción de Beijing. Si bien en el ámbito económico se ha avanzado poco, en el ámbito político los avances han sido mayores, pero está todavía lejos de conseguirse el 30 %</w:t>
      </w:r>
      <w:r w:rsidR="00BF2641">
        <w:t>. El</w:t>
      </w:r>
      <w:r>
        <w:t xml:space="preserve">  promedio mundial de mujeres que ocupan un escaño parlamentario</w:t>
      </w:r>
      <w:r w:rsidR="00BF2641">
        <w:t xml:space="preserve"> está en torno al 22%.</w:t>
      </w:r>
    </w:p>
    <w:p w:rsidR="002F3E5E" w:rsidRDefault="002F3E5E" w:rsidP="00E67B72">
      <w:pPr>
        <w:spacing w:after="120"/>
        <w:jc w:val="both"/>
      </w:pPr>
      <w:r>
        <w:t xml:space="preserve">En relación a </w:t>
      </w:r>
      <w:r w:rsidR="009B2F20">
        <w:t>la agenda post-2015</w:t>
      </w:r>
      <w:r w:rsidR="00BF2641">
        <w:t>,</w:t>
      </w:r>
      <w:r w:rsidR="009B2F20">
        <w:t xml:space="preserve"> está en pleno proceso de debate y han sido múltiples las iniciativas que se han organizado para </w:t>
      </w:r>
      <w:r w:rsidR="00BF2641">
        <w:t>definir</w:t>
      </w:r>
      <w:r w:rsidR="009B2F20">
        <w:t xml:space="preserve"> los denominados Objetivos</w:t>
      </w:r>
      <w:r w:rsidR="00BF2641">
        <w:t xml:space="preserve"> de Desarrollo Sostenibles</w:t>
      </w:r>
      <w:r w:rsidR="009B2F20">
        <w:t xml:space="preserve">, que serán aprobados en una nueva cumbre que se celebrará en 2015. La propuesta que se debatirá incluye 17 ODS entre los que se incluye un Objetivo sobre igualdad de género y empoderamiento de las mujeres. Desde ONU Mujeres se plantea además que en el resto de objetivos de manera </w:t>
      </w:r>
      <w:r w:rsidR="009B2F20">
        <w:lastRenderedPageBreak/>
        <w:t>transversal en las metas e indicadores se incluyan aspectos relacionadas con la desigualdad de género, pero esta petición no ha sido asumida, pues en las metas propuestas no en todos los Objetivos hay metas en este sentido.</w:t>
      </w:r>
    </w:p>
    <w:p w:rsidR="009B2F20" w:rsidRDefault="009B2F20" w:rsidP="00E67B72">
      <w:pPr>
        <w:spacing w:after="120"/>
        <w:jc w:val="both"/>
      </w:pPr>
      <w:r>
        <w:t>En</w:t>
      </w:r>
      <w:r w:rsidR="00BF2641">
        <w:t xml:space="preserve"> definitiva en</w:t>
      </w:r>
      <w:r>
        <w:t xml:space="preserve"> la actualidad las desigualdades entre hombres y mujeres son una constante en todos los países, queda mucho camino por recorrer y a pesar de todos los esfuerzos realizados y</w:t>
      </w:r>
      <w:r w:rsidR="00BF2641">
        <w:t>,</w:t>
      </w:r>
      <w:r>
        <w:t xml:space="preserve"> al ritmo que se están produciendo los avances</w:t>
      </w:r>
      <w:r w:rsidR="00BF2641">
        <w:t>,</w:t>
      </w:r>
      <w:r>
        <w:t xml:space="preserve"> </w:t>
      </w:r>
      <w:r w:rsidR="00BF2641">
        <w:t>serán necesarios</w:t>
      </w:r>
      <w:r>
        <w:t xml:space="preserve"> muchos años </w:t>
      </w:r>
      <w:r w:rsidR="00BF2641">
        <w:t xml:space="preserve">y muchos esfuerzos </w:t>
      </w:r>
      <w:r>
        <w:t>para conseguir la igualdad real entre hombres y mujeres.</w:t>
      </w:r>
    </w:p>
    <w:p w:rsidR="00DE4868" w:rsidRPr="00EC2ADB" w:rsidRDefault="00DE4868" w:rsidP="00E67B72">
      <w:pPr>
        <w:spacing w:after="120"/>
        <w:jc w:val="both"/>
        <w:rPr>
          <w:b/>
        </w:rPr>
      </w:pPr>
      <w:r w:rsidRPr="00EC2ADB">
        <w:rPr>
          <w:b/>
        </w:rPr>
        <w:t>Bibliografía</w:t>
      </w:r>
    </w:p>
    <w:p w:rsidR="00DE4868" w:rsidRPr="00AB149C" w:rsidRDefault="00117D2E" w:rsidP="00AB149C">
      <w:pPr>
        <w:pStyle w:val="Prrafodelista"/>
        <w:numPr>
          <w:ilvl w:val="0"/>
          <w:numId w:val="7"/>
        </w:numPr>
        <w:spacing w:after="120"/>
        <w:ind w:left="426" w:hanging="426"/>
        <w:contextualSpacing w:val="0"/>
        <w:jc w:val="both"/>
        <w:rPr>
          <w:rFonts w:asciiTheme="minorHAnsi" w:hAnsiTheme="minorHAnsi"/>
          <w:sz w:val="22"/>
          <w:szCs w:val="22"/>
        </w:rPr>
      </w:pPr>
      <w:proofErr w:type="spellStart"/>
      <w:r w:rsidRPr="00AB149C">
        <w:rPr>
          <w:rFonts w:asciiTheme="minorHAnsi" w:hAnsiTheme="minorHAnsi"/>
          <w:sz w:val="22"/>
          <w:szCs w:val="22"/>
        </w:rPr>
        <w:t>Agirregomezkorta</w:t>
      </w:r>
      <w:proofErr w:type="spellEnd"/>
      <w:r w:rsidRPr="00AB149C">
        <w:rPr>
          <w:rFonts w:asciiTheme="minorHAnsi" w:hAnsiTheme="minorHAnsi"/>
          <w:sz w:val="22"/>
          <w:szCs w:val="22"/>
        </w:rPr>
        <w:t xml:space="preserve">, </w:t>
      </w:r>
      <w:proofErr w:type="spellStart"/>
      <w:r w:rsidRPr="00AB149C">
        <w:rPr>
          <w:rFonts w:asciiTheme="minorHAnsi" w:hAnsiTheme="minorHAnsi"/>
          <w:sz w:val="22"/>
          <w:szCs w:val="22"/>
        </w:rPr>
        <w:t>Rosab</w:t>
      </w:r>
      <w:r w:rsidR="00DE4868" w:rsidRPr="00AB149C">
        <w:rPr>
          <w:rFonts w:asciiTheme="minorHAnsi" w:hAnsiTheme="minorHAnsi"/>
          <w:sz w:val="22"/>
          <w:szCs w:val="22"/>
        </w:rPr>
        <w:t>e</w:t>
      </w:r>
      <w:r w:rsidRPr="00AB149C">
        <w:rPr>
          <w:rFonts w:asciiTheme="minorHAnsi" w:hAnsiTheme="minorHAnsi"/>
          <w:sz w:val="22"/>
          <w:szCs w:val="22"/>
        </w:rPr>
        <w:t>l</w:t>
      </w:r>
      <w:proofErr w:type="spellEnd"/>
      <w:r w:rsidR="00DE4868" w:rsidRPr="00AB149C">
        <w:rPr>
          <w:rFonts w:asciiTheme="minorHAnsi" w:hAnsiTheme="minorHAnsi"/>
          <w:sz w:val="22"/>
          <w:szCs w:val="22"/>
        </w:rPr>
        <w:t xml:space="preserve"> y Soler</w:t>
      </w:r>
      <w:r w:rsidRPr="00AB149C">
        <w:rPr>
          <w:rFonts w:asciiTheme="minorHAnsi" w:hAnsiTheme="minorHAnsi"/>
          <w:sz w:val="22"/>
          <w:szCs w:val="22"/>
        </w:rPr>
        <w:t>,</w:t>
      </w:r>
      <w:r w:rsidR="00DE4868" w:rsidRPr="00AB149C">
        <w:rPr>
          <w:rFonts w:asciiTheme="minorHAnsi" w:hAnsiTheme="minorHAnsi"/>
          <w:sz w:val="22"/>
          <w:szCs w:val="22"/>
        </w:rPr>
        <w:t xml:space="preserve"> Lola. 2005. La perspectiva de género en las </w:t>
      </w:r>
      <w:proofErr w:type="spellStart"/>
      <w:r w:rsidR="00D404AE" w:rsidRPr="00AB149C">
        <w:rPr>
          <w:rFonts w:asciiTheme="minorHAnsi" w:hAnsiTheme="minorHAnsi"/>
          <w:sz w:val="22"/>
          <w:szCs w:val="22"/>
        </w:rPr>
        <w:t>ONGD</w:t>
      </w:r>
      <w:r w:rsidR="00DE4868" w:rsidRPr="00AB149C">
        <w:rPr>
          <w:rFonts w:asciiTheme="minorHAnsi" w:hAnsiTheme="minorHAnsi"/>
          <w:sz w:val="22"/>
          <w:szCs w:val="22"/>
        </w:rPr>
        <w:t>s</w:t>
      </w:r>
      <w:proofErr w:type="spellEnd"/>
      <w:r w:rsidR="00DE4868" w:rsidRPr="00AB149C">
        <w:rPr>
          <w:rFonts w:asciiTheme="minorHAnsi" w:hAnsiTheme="minorHAnsi"/>
          <w:sz w:val="22"/>
          <w:szCs w:val="22"/>
        </w:rPr>
        <w:t xml:space="preserve"> andaluzas. Córdoba: MZC.</w:t>
      </w:r>
    </w:p>
    <w:p w:rsidR="00DE4868" w:rsidRPr="00AB149C" w:rsidRDefault="00DE4868" w:rsidP="00AB149C">
      <w:pPr>
        <w:pStyle w:val="Prrafodelista"/>
        <w:numPr>
          <w:ilvl w:val="0"/>
          <w:numId w:val="7"/>
        </w:numPr>
        <w:spacing w:after="120"/>
        <w:ind w:left="426" w:hanging="426"/>
        <w:contextualSpacing w:val="0"/>
        <w:jc w:val="both"/>
        <w:rPr>
          <w:rFonts w:asciiTheme="minorHAnsi" w:hAnsiTheme="minorHAnsi"/>
          <w:sz w:val="22"/>
          <w:szCs w:val="22"/>
        </w:rPr>
      </w:pPr>
      <w:r w:rsidRPr="00AB149C">
        <w:rPr>
          <w:rFonts w:asciiTheme="minorHAnsi" w:hAnsiTheme="minorHAnsi"/>
          <w:sz w:val="22"/>
          <w:szCs w:val="22"/>
        </w:rPr>
        <w:t>Alcalde, Ana y López, Irene. 2004. Guía práctica para la integración de la igualdad entre hombres y mujeres en los proyectos de la cooperación española. Madrid: SECIPI. Ministerio de Asuntos Exteriores.</w:t>
      </w:r>
    </w:p>
    <w:p w:rsidR="00680AAA" w:rsidRPr="00AB149C" w:rsidRDefault="00680AAA" w:rsidP="00AB149C">
      <w:pPr>
        <w:pStyle w:val="Prrafodelista"/>
        <w:numPr>
          <w:ilvl w:val="0"/>
          <w:numId w:val="7"/>
        </w:numPr>
        <w:spacing w:before="120" w:after="120"/>
        <w:ind w:left="426" w:hanging="426"/>
        <w:contextualSpacing w:val="0"/>
        <w:jc w:val="both"/>
        <w:rPr>
          <w:rFonts w:asciiTheme="minorHAnsi" w:hAnsiTheme="minorHAnsi"/>
          <w:sz w:val="22"/>
          <w:szCs w:val="22"/>
        </w:rPr>
      </w:pPr>
      <w:proofErr w:type="spellStart"/>
      <w:r w:rsidRPr="00AB149C">
        <w:rPr>
          <w:rFonts w:asciiTheme="minorHAnsi" w:hAnsiTheme="minorHAnsi"/>
          <w:sz w:val="22"/>
          <w:szCs w:val="22"/>
        </w:rPr>
        <w:t>Bernis</w:t>
      </w:r>
      <w:proofErr w:type="spellEnd"/>
      <w:r w:rsidRPr="00AB149C">
        <w:rPr>
          <w:rFonts w:asciiTheme="minorHAnsi" w:hAnsiTheme="minorHAnsi"/>
          <w:sz w:val="22"/>
          <w:szCs w:val="22"/>
        </w:rPr>
        <w:t xml:space="preserve">, Cristina. 2009. “Reproducción, sexualidad y salud sexual y reproductiva”, en Molina, Estefanía y San Miguel, Nava, ed., </w:t>
      </w:r>
      <w:r w:rsidRPr="00AB149C">
        <w:rPr>
          <w:rFonts w:asciiTheme="minorHAnsi" w:hAnsiTheme="minorHAnsi"/>
          <w:i/>
          <w:sz w:val="22"/>
          <w:szCs w:val="22"/>
        </w:rPr>
        <w:t>Buenas prácticas en derechos humanos de las mujeres. África y América Latina</w:t>
      </w:r>
      <w:r w:rsidRPr="00AB149C">
        <w:rPr>
          <w:rFonts w:asciiTheme="minorHAnsi" w:hAnsiTheme="minorHAnsi"/>
          <w:sz w:val="22"/>
          <w:szCs w:val="22"/>
        </w:rPr>
        <w:t xml:space="preserve">. Madrid: UAM-MAEC-SECI. </w:t>
      </w:r>
    </w:p>
    <w:p w:rsidR="00EC2ADB" w:rsidRPr="00AB149C" w:rsidRDefault="00EC2ADB" w:rsidP="00AB149C">
      <w:pPr>
        <w:pStyle w:val="Prrafodelista"/>
        <w:numPr>
          <w:ilvl w:val="0"/>
          <w:numId w:val="7"/>
        </w:numPr>
        <w:tabs>
          <w:tab w:val="num" w:pos="720"/>
        </w:tabs>
        <w:autoSpaceDE w:val="0"/>
        <w:autoSpaceDN w:val="0"/>
        <w:adjustRightInd w:val="0"/>
        <w:spacing w:after="120"/>
        <w:ind w:left="426" w:hanging="426"/>
        <w:contextualSpacing w:val="0"/>
        <w:jc w:val="both"/>
        <w:rPr>
          <w:rFonts w:asciiTheme="minorHAnsi" w:hAnsiTheme="minorHAnsi" w:cs="Arial"/>
          <w:sz w:val="22"/>
          <w:szCs w:val="22"/>
        </w:rPr>
      </w:pPr>
      <w:r w:rsidRPr="00AB149C">
        <w:rPr>
          <w:rFonts w:asciiTheme="minorHAnsi" w:hAnsiTheme="minorHAnsi" w:cs="Arial"/>
          <w:sz w:val="22"/>
          <w:szCs w:val="22"/>
        </w:rPr>
        <w:t>CEPAL. (Comisión Económica para América Latina y el Caribe). 2007</w:t>
      </w:r>
      <w:r w:rsidR="00117D2E" w:rsidRPr="00AB149C">
        <w:rPr>
          <w:rFonts w:asciiTheme="minorHAnsi" w:hAnsiTheme="minorHAnsi" w:cs="Arial"/>
          <w:sz w:val="22"/>
          <w:szCs w:val="22"/>
        </w:rPr>
        <w:t>.</w:t>
      </w:r>
      <w:r w:rsidRPr="00AB149C">
        <w:rPr>
          <w:rFonts w:asciiTheme="minorHAnsi" w:hAnsiTheme="minorHAnsi" w:cs="Arial"/>
          <w:sz w:val="22"/>
          <w:szCs w:val="22"/>
        </w:rPr>
        <w:t xml:space="preserve"> </w:t>
      </w:r>
      <w:r w:rsidR="00117D2E" w:rsidRPr="00AB149C">
        <w:rPr>
          <w:rFonts w:asciiTheme="minorHAnsi" w:hAnsiTheme="minorHAnsi" w:cs="Arial"/>
          <w:sz w:val="22"/>
          <w:szCs w:val="22"/>
        </w:rPr>
        <w:t>“</w:t>
      </w:r>
      <w:r w:rsidRPr="00AB149C">
        <w:rPr>
          <w:rFonts w:asciiTheme="minorHAnsi" w:hAnsiTheme="minorHAnsi" w:cs="Arial"/>
          <w:iCs/>
          <w:sz w:val="22"/>
          <w:szCs w:val="22"/>
        </w:rPr>
        <w:t>El aporte de las mujeres a la igualdad en América Latina y el Caribe</w:t>
      </w:r>
      <w:r w:rsidR="00117D2E" w:rsidRPr="00AB149C">
        <w:rPr>
          <w:rFonts w:asciiTheme="minorHAnsi" w:hAnsiTheme="minorHAnsi" w:cs="Arial"/>
          <w:iCs/>
          <w:sz w:val="22"/>
          <w:szCs w:val="22"/>
        </w:rPr>
        <w:t>”</w:t>
      </w:r>
      <w:r w:rsidRPr="00AB149C">
        <w:rPr>
          <w:rFonts w:asciiTheme="minorHAnsi" w:hAnsiTheme="minorHAnsi" w:cs="Arial"/>
          <w:iCs/>
          <w:sz w:val="22"/>
          <w:szCs w:val="22"/>
        </w:rPr>
        <w:t xml:space="preserve">. X conferencia regional sobre la mujer de América Latina y el Caribe </w:t>
      </w:r>
      <w:r w:rsidR="00117D2E" w:rsidRPr="00AB149C">
        <w:rPr>
          <w:rFonts w:asciiTheme="minorHAnsi" w:hAnsiTheme="minorHAnsi" w:cs="Arial"/>
          <w:sz w:val="22"/>
          <w:szCs w:val="22"/>
        </w:rPr>
        <w:t>(LC/</w:t>
      </w:r>
      <w:proofErr w:type="gramStart"/>
      <w:r w:rsidR="00117D2E" w:rsidRPr="00AB149C">
        <w:rPr>
          <w:rFonts w:asciiTheme="minorHAnsi" w:hAnsiTheme="minorHAnsi" w:cs="Arial"/>
          <w:sz w:val="22"/>
          <w:szCs w:val="22"/>
        </w:rPr>
        <w:t>L.2738(</w:t>
      </w:r>
      <w:proofErr w:type="gramEnd"/>
      <w:r w:rsidR="00117D2E" w:rsidRPr="00AB149C">
        <w:rPr>
          <w:rFonts w:asciiTheme="minorHAnsi" w:hAnsiTheme="minorHAnsi" w:cs="Arial"/>
          <w:sz w:val="22"/>
          <w:szCs w:val="22"/>
        </w:rPr>
        <w:t>CRM.10/3).</w:t>
      </w:r>
      <w:r w:rsidRPr="00AB149C">
        <w:rPr>
          <w:rFonts w:asciiTheme="minorHAnsi" w:hAnsiTheme="minorHAnsi" w:cs="Arial"/>
          <w:sz w:val="22"/>
          <w:szCs w:val="22"/>
        </w:rPr>
        <w:t xml:space="preserve"> Santiago de Chile</w:t>
      </w:r>
      <w:r w:rsidR="00117D2E" w:rsidRPr="00AB149C">
        <w:rPr>
          <w:rFonts w:asciiTheme="minorHAnsi" w:hAnsiTheme="minorHAnsi" w:cs="Arial"/>
          <w:sz w:val="22"/>
          <w:szCs w:val="22"/>
        </w:rPr>
        <w:t>: CEPAL</w:t>
      </w:r>
      <w:r w:rsidRPr="00AB149C">
        <w:rPr>
          <w:rFonts w:asciiTheme="minorHAnsi" w:hAnsiTheme="minorHAnsi" w:cs="Arial"/>
          <w:sz w:val="22"/>
          <w:szCs w:val="22"/>
        </w:rPr>
        <w:t xml:space="preserve">. </w:t>
      </w:r>
    </w:p>
    <w:p w:rsidR="00EC2ADB" w:rsidRPr="00AB149C" w:rsidRDefault="00EC2ADB" w:rsidP="00AB149C">
      <w:pPr>
        <w:pStyle w:val="Prrafodelista"/>
        <w:numPr>
          <w:ilvl w:val="0"/>
          <w:numId w:val="7"/>
        </w:numPr>
        <w:autoSpaceDE w:val="0"/>
        <w:autoSpaceDN w:val="0"/>
        <w:adjustRightInd w:val="0"/>
        <w:spacing w:after="120"/>
        <w:ind w:left="426" w:hanging="426"/>
        <w:contextualSpacing w:val="0"/>
        <w:jc w:val="both"/>
        <w:rPr>
          <w:rFonts w:asciiTheme="minorHAnsi" w:hAnsiTheme="minorHAnsi" w:cs="Arial"/>
          <w:bCs/>
          <w:sz w:val="22"/>
          <w:szCs w:val="22"/>
        </w:rPr>
      </w:pPr>
      <w:r w:rsidRPr="00AB149C">
        <w:rPr>
          <w:rFonts w:asciiTheme="minorHAnsi" w:hAnsiTheme="minorHAnsi" w:cs="Arial"/>
          <w:iCs/>
          <w:sz w:val="22"/>
          <w:szCs w:val="22"/>
        </w:rPr>
        <w:t xml:space="preserve">CONCORD. Perspectiva de Género y temas transversales: la promoción de la equidad de género, 2005. </w:t>
      </w:r>
      <w:r w:rsidR="00CC2A14" w:rsidRPr="00AB149C">
        <w:rPr>
          <w:rFonts w:asciiTheme="minorHAnsi" w:hAnsiTheme="minorHAnsi" w:cs="Arial"/>
          <w:iCs/>
          <w:sz w:val="22"/>
          <w:szCs w:val="22"/>
        </w:rPr>
        <w:t>Disponible e</w:t>
      </w:r>
      <w:r w:rsidRPr="00AB149C">
        <w:rPr>
          <w:rFonts w:asciiTheme="minorHAnsi" w:hAnsiTheme="minorHAnsi" w:cs="Arial"/>
          <w:iCs/>
          <w:sz w:val="22"/>
          <w:szCs w:val="22"/>
        </w:rPr>
        <w:t>n</w:t>
      </w:r>
      <w:r w:rsidR="00CC2A14" w:rsidRPr="00AB149C">
        <w:rPr>
          <w:rFonts w:asciiTheme="minorHAnsi" w:hAnsiTheme="minorHAnsi" w:cs="Arial"/>
          <w:iCs/>
          <w:sz w:val="22"/>
          <w:szCs w:val="22"/>
        </w:rPr>
        <w:t xml:space="preserve"> web</w:t>
      </w:r>
      <w:r w:rsidRPr="00AB149C">
        <w:rPr>
          <w:rFonts w:asciiTheme="minorHAnsi" w:hAnsiTheme="minorHAnsi" w:cs="Arial"/>
          <w:iCs/>
          <w:sz w:val="22"/>
          <w:szCs w:val="22"/>
        </w:rPr>
        <w:t xml:space="preserve">: </w:t>
      </w:r>
      <w:hyperlink r:id="rId11" w:history="1">
        <w:r w:rsidRPr="00AB149C">
          <w:rPr>
            <w:rStyle w:val="Hipervnculo"/>
            <w:rFonts w:asciiTheme="minorHAnsi" w:hAnsiTheme="minorHAnsi" w:cs="Arial"/>
            <w:iCs/>
            <w:sz w:val="22"/>
            <w:szCs w:val="22"/>
          </w:rPr>
          <w:t>http://</w:t>
        </w:r>
        <w:r w:rsidRPr="00AB149C">
          <w:rPr>
            <w:rStyle w:val="Hipervnculo"/>
            <w:rFonts w:asciiTheme="minorHAnsi" w:hAnsiTheme="minorHAnsi" w:cs="Arial"/>
            <w:sz w:val="22"/>
            <w:szCs w:val="22"/>
          </w:rPr>
          <w:t>www.congde.org/ant/documentos/PosicionGeneroCONCORD.doc</w:t>
        </w:r>
      </w:hyperlink>
      <w:r w:rsidRPr="00AB149C">
        <w:rPr>
          <w:rFonts w:asciiTheme="minorHAnsi" w:hAnsiTheme="minorHAnsi" w:cs="Arial"/>
          <w:iCs/>
          <w:sz w:val="22"/>
          <w:szCs w:val="22"/>
        </w:rPr>
        <w:t xml:space="preserve"> </w:t>
      </w:r>
      <w:r w:rsidRPr="00AB149C">
        <w:rPr>
          <w:rFonts w:asciiTheme="minorHAnsi" w:hAnsiTheme="minorHAnsi" w:cs="Arial"/>
          <w:bCs/>
          <w:sz w:val="22"/>
          <w:szCs w:val="22"/>
        </w:rPr>
        <w:t>[Consulta</w:t>
      </w:r>
      <w:r w:rsidR="00CC2A14" w:rsidRPr="00AB149C">
        <w:rPr>
          <w:rFonts w:asciiTheme="minorHAnsi" w:hAnsiTheme="minorHAnsi" w:cs="Arial"/>
          <w:bCs/>
          <w:sz w:val="22"/>
          <w:szCs w:val="22"/>
        </w:rPr>
        <w:t>:</w:t>
      </w:r>
      <w:r w:rsidRPr="00AB149C">
        <w:rPr>
          <w:rFonts w:asciiTheme="minorHAnsi" w:hAnsiTheme="minorHAnsi" w:cs="Arial"/>
          <w:bCs/>
          <w:sz w:val="22"/>
          <w:szCs w:val="22"/>
        </w:rPr>
        <w:t xml:space="preserve"> 20 de mayo de 2015]</w:t>
      </w:r>
    </w:p>
    <w:p w:rsidR="00DE4E68" w:rsidRPr="00AB149C" w:rsidRDefault="00DE4E68" w:rsidP="00AB149C">
      <w:pPr>
        <w:pStyle w:val="Prrafodelista"/>
        <w:numPr>
          <w:ilvl w:val="0"/>
          <w:numId w:val="7"/>
        </w:numPr>
        <w:spacing w:after="120"/>
        <w:ind w:left="426" w:hanging="426"/>
        <w:contextualSpacing w:val="0"/>
        <w:jc w:val="both"/>
        <w:rPr>
          <w:rFonts w:asciiTheme="minorHAnsi" w:hAnsiTheme="minorHAnsi" w:cs="Arial"/>
          <w:iCs/>
          <w:sz w:val="22"/>
          <w:szCs w:val="22"/>
        </w:rPr>
      </w:pPr>
      <w:r w:rsidRPr="00AB149C">
        <w:rPr>
          <w:rFonts w:asciiTheme="minorHAnsi" w:hAnsiTheme="minorHAnsi" w:cs="Arial"/>
          <w:iCs/>
          <w:sz w:val="22"/>
          <w:szCs w:val="22"/>
        </w:rPr>
        <w:t>Espinosa, Julia. 2005. Guía para programas y proyectos de salud sexual y reproductiva en África. Madrid: AECI.</w:t>
      </w:r>
    </w:p>
    <w:p w:rsidR="00DE4868" w:rsidRPr="00AB149C" w:rsidRDefault="00DE4868" w:rsidP="00AB149C">
      <w:pPr>
        <w:pStyle w:val="Prrafodelista"/>
        <w:numPr>
          <w:ilvl w:val="0"/>
          <w:numId w:val="7"/>
        </w:numPr>
        <w:spacing w:after="120"/>
        <w:ind w:left="426" w:hanging="426"/>
        <w:contextualSpacing w:val="0"/>
        <w:jc w:val="both"/>
        <w:rPr>
          <w:rFonts w:asciiTheme="minorHAnsi" w:hAnsiTheme="minorHAnsi"/>
          <w:sz w:val="22"/>
          <w:szCs w:val="22"/>
        </w:rPr>
      </w:pPr>
      <w:r w:rsidRPr="00AB149C">
        <w:rPr>
          <w:rFonts w:asciiTheme="minorHAnsi" w:hAnsiTheme="minorHAnsi"/>
          <w:sz w:val="22"/>
          <w:szCs w:val="22"/>
        </w:rPr>
        <w:t xml:space="preserve">García, Evangelina. 2008. Políticas de igualdad, equidad y </w:t>
      </w:r>
      <w:proofErr w:type="spellStart"/>
      <w:r w:rsidRPr="00AB149C">
        <w:rPr>
          <w:rFonts w:asciiTheme="minorHAnsi" w:hAnsiTheme="minorHAnsi"/>
          <w:sz w:val="22"/>
          <w:szCs w:val="22"/>
        </w:rPr>
        <w:t>gender</w:t>
      </w:r>
      <w:proofErr w:type="spellEnd"/>
      <w:r w:rsidRPr="00AB149C">
        <w:rPr>
          <w:rFonts w:asciiTheme="minorHAnsi" w:hAnsiTheme="minorHAnsi"/>
          <w:sz w:val="22"/>
          <w:szCs w:val="22"/>
        </w:rPr>
        <w:t xml:space="preserve"> </w:t>
      </w:r>
      <w:proofErr w:type="spellStart"/>
      <w:r w:rsidRPr="00AB149C">
        <w:rPr>
          <w:rFonts w:asciiTheme="minorHAnsi" w:hAnsiTheme="minorHAnsi"/>
          <w:sz w:val="22"/>
          <w:szCs w:val="22"/>
        </w:rPr>
        <w:t>mainstreaming</w:t>
      </w:r>
      <w:proofErr w:type="spellEnd"/>
      <w:r w:rsidRPr="00AB149C">
        <w:rPr>
          <w:rFonts w:asciiTheme="minorHAnsi" w:hAnsiTheme="minorHAnsi"/>
          <w:sz w:val="22"/>
          <w:szCs w:val="22"/>
        </w:rPr>
        <w:t>. ¿De qué estamos hablando? Marco conceptual. San Salvador: PNUD.</w:t>
      </w:r>
    </w:p>
    <w:p w:rsidR="00EC2ADB" w:rsidRPr="00AB149C" w:rsidRDefault="00117D2E" w:rsidP="00AB149C">
      <w:pPr>
        <w:pStyle w:val="Prrafodelista"/>
        <w:numPr>
          <w:ilvl w:val="0"/>
          <w:numId w:val="7"/>
        </w:numPr>
        <w:tabs>
          <w:tab w:val="num" w:pos="720"/>
        </w:tabs>
        <w:autoSpaceDE w:val="0"/>
        <w:autoSpaceDN w:val="0"/>
        <w:adjustRightInd w:val="0"/>
        <w:spacing w:after="120"/>
        <w:ind w:left="426" w:hanging="426"/>
        <w:contextualSpacing w:val="0"/>
        <w:jc w:val="both"/>
        <w:rPr>
          <w:rFonts w:asciiTheme="minorHAnsi" w:hAnsiTheme="minorHAnsi"/>
          <w:sz w:val="22"/>
          <w:szCs w:val="22"/>
        </w:rPr>
      </w:pPr>
      <w:r w:rsidRPr="00AB149C">
        <w:rPr>
          <w:rFonts w:asciiTheme="minorHAnsi" w:hAnsiTheme="minorHAnsi" w:cs="Arial"/>
          <w:bCs/>
          <w:sz w:val="22"/>
          <w:szCs w:val="22"/>
        </w:rPr>
        <w:t xml:space="preserve">García, Evangelina. </w:t>
      </w:r>
      <w:r w:rsidR="00EC2ADB" w:rsidRPr="00AB149C">
        <w:rPr>
          <w:rFonts w:asciiTheme="minorHAnsi" w:hAnsiTheme="minorHAnsi" w:cs="Arial"/>
          <w:bCs/>
          <w:sz w:val="22"/>
          <w:szCs w:val="22"/>
        </w:rPr>
        <w:t>2012. La participación política de las mujeres en Venezuela: Situación actual y estrategias para su ampliación. Caracas</w:t>
      </w:r>
      <w:r w:rsidRPr="00AB149C">
        <w:rPr>
          <w:rFonts w:asciiTheme="minorHAnsi" w:hAnsiTheme="minorHAnsi" w:cs="Arial"/>
          <w:bCs/>
          <w:sz w:val="22"/>
          <w:szCs w:val="22"/>
        </w:rPr>
        <w:t>:</w:t>
      </w:r>
      <w:r w:rsidR="00EC2ADB" w:rsidRPr="00AB149C">
        <w:rPr>
          <w:rFonts w:asciiTheme="minorHAnsi" w:hAnsiTheme="minorHAnsi" w:cs="Arial"/>
          <w:bCs/>
          <w:sz w:val="22"/>
          <w:szCs w:val="22"/>
        </w:rPr>
        <w:t xml:space="preserve"> Fundación Friedrich Ebert.</w:t>
      </w:r>
    </w:p>
    <w:p w:rsidR="00EC2ADB" w:rsidRPr="00AB149C" w:rsidRDefault="00EC2ADB" w:rsidP="00AB149C">
      <w:pPr>
        <w:pStyle w:val="Prrafodelista"/>
        <w:numPr>
          <w:ilvl w:val="0"/>
          <w:numId w:val="7"/>
        </w:numPr>
        <w:autoSpaceDE w:val="0"/>
        <w:autoSpaceDN w:val="0"/>
        <w:adjustRightInd w:val="0"/>
        <w:spacing w:after="120"/>
        <w:ind w:left="426" w:hanging="426"/>
        <w:contextualSpacing w:val="0"/>
        <w:jc w:val="both"/>
        <w:rPr>
          <w:rFonts w:asciiTheme="minorHAnsi" w:hAnsiTheme="minorHAnsi" w:cs="Arial"/>
          <w:sz w:val="22"/>
          <w:szCs w:val="22"/>
        </w:rPr>
      </w:pPr>
      <w:proofErr w:type="spellStart"/>
      <w:r w:rsidRPr="00AB149C">
        <w:rPr>
          <w:rFonts w:asciiTheme="minorHAnsi" w:hAnsiTheme="minorHAnsi" w:cs="Arial"/>
          <w:sz w:val="22"/>
          <w:szCs w:val="22"/>
        </w:rPr>
        <w:t>Guisán</w:t>
      </w:r>
      <w:proofErr w:type="spellEnd"/>
      <w:r w:rsidRPr="00AB149C">
        <w:rPr>
          <w:rFonts w:asciiTheme="minorHAnsi" w:hAnsiTheme="minorHAnsi" w:cs="Arial"/>
          <w:sz w:val="22"/>
          <w:szCs w:val="22"/>
        </w:rPr>
        <w:t>, M</w:t>
      </w:r>
      <w:r w:rsidR="00117D2E" w:rsidRPr="00AB149C">
        <w:rPr>
          <w:rFonts w:asciiTheme="minorHAnsi" w:hAnsiTheme="minorHAnsi" w:cs="Arial"/>
          <w:sz w:val="22"/>
          <w:szCs w:val="22"/>
        </w:rPr>
        <w:t xml:space="preserve">aría </w:t>
      </w:r>
      <w:r w:rsidRPr="00AB149C">
        <w:rPr>
          <w:rFonts w:asciiTheme="minorHAnsi" w:hAnsiTheme="minorHAnsi" w:cs="Arial"/>
          <w:sz w:val="22"/>
          <w:szCs w:val="22"/>
        </w:rPr>
        <w:t xml:space="preserve">C. </w:t>
      </w:r>
      <w:r w:rsidR="00117D2E" w:rsidRPr="00AB149C">
        <w:rPr>
          <w:rFonts w:asciiTheme="minorHAnsi" w:hAnsiTheme="minorHAnsi" w:cs="Arial"/>
          <w:sz w:val="22"/>
          <w:szCs w:val="22"/>
        </w:rPr>
        <w:t>2010. “</w:t>
      </w:r>
      <w:r w:rsidRPr="00AB149C">
        <w:rPr>
          <w:rFonts w:asciiTheme="minorHAnsi" w:hAnsiTheme="minorHAnsi" w:cs="Arial"/>
          <w:sz w:val="22"/>
          <w:szCs w:val="22"/>
        </w:rPr>
        <w:t>Participación laboral, política, económica y social de las mujeres en Europa y Norteamérica</w:t>
      </w:r>
      <w:r w:rsidR="00117D2E" w:rsidRPr="00AB149C">
        <w:rPr>
          <w:rFonts w:asciiTheme="minorHAnsi" w:hAnsiTheme="minorHAnsi" w:cs="Arial"/>
          <w:sz w:val="22"/>
          <w:szCs w:val="22"/>
        </w:rPr>
        <w:t>”,</w:t>
      </w:r>
      <w:r w:rsidRPr="00AB149C">
        <w:rPr>
          <w:rFonts w:asciiTheme="minorHAnsi" w:hAnsiTheme="minorHAnsi" w:cs="Arial"/>
          <w:sz w:val="22"/>
          <w:szCs w:val="22"/>
        </w:rPr>
        <w:t xml:space="preserve"> </w:t>
      </w:r>
      <w:r w:rsidRPr="00AB149C">
        <w:rPr>
          <w:rFonts w:asciiTheme="minorHAnsi" w:hAnsiTheme="minorHAnsi" w:cs="Arial"/>
          <w:i/>
          <w:sz w:val="22"/>
          <w:szCs w:val="22"/>
        </w:rPr>
        <w:t>Revista Galega de Economía</w:t>
      </w:r>
      <w:r w:rsidRPr="00AB149C">
        <w:rPr>
          <w:rFonts w:asciiTheme="minorHAnsi" w:hAnsiTheme="minorHAnsi" w:cs="Arial"/>
          <w:sz w:val="22"/>
          <w:szCs w:val="22"/>
        </w:rPr>
        <w:t>, 19, (2)</w:t>
      </w:r>
      <w:r w:rsidR="00117D2E" w:rsidRPr="00AB149C">
        <w:rPr>
          <w:rFonts w:asciiTheme="minorHAnsi" w:hAnsiTheme="minorHAnsi" w:cs="Arial"/>
          <w:sz w:val="22"/>
          <w:szCs w:val="22"/>
        </w:rPr>
        <w:t>:</w:t>
      </w:r>
      <w:r w:rsidRPr="00AB149C">
        <w:rPr>
          <w:rFonts w:asciiTheme="minorHAnsi" w:hAnsiTheme="minorHAnsi" w:cs="Arial"/>
          <w:sz w:val="22"/>
          <w:szCs w:val="22"/>
        </w:rPr>
        <w:t xml:space="preserve"> 1-13.</w:t>
      </w:r>
    </w:p>
    <w:p w:rsidR="009D3336" w:rsidRDefault="00EC2ADB" w:rsidP="009D3336">
      <w:pPr>
        <w:pStyle w:val="Prrafodelista"/>
        <w:numPr>
          <w:ilvl w:val="0"/>
          <w:numId w:val="7"/>
        </w:numPr>
        <w:autoSpaceDE w:val="0"/>
        <w:autoSpaceDN w:val="0"/>
        <w:adjustRightInd w:val="0"/>
        <w:spacing w:after="120"/>
        <w:ind w:left="426" w:hanging="426"/>
        <w:contextualSpacing w:val="0"/>
        <w:jc w:val="both"/>
        <w:rPr>
          <w:rFonts w:asciiTheme="minorHAnsi" w:hAnsiTheme="minorHAnsi" w:cs="Arial"/>
          <w:sz w:val="22"/>
          <w:szCs w:val="22"/>
        </w:rPr>
      </w:pPr>
      <w:r w:rsidRPr="00AB149C">
        <w:rPr>
          <w:rFonts w:asciiTheme="minorHAnsi" w:hAnsiTheme="minorHAnsi" w:cs="Arial"/>
          <w:sz w:val="22"/>
          <w:szCs w:val="22"/>
        </w:rPr>
        <w:t>Lamelas, N</w:t>
      </w:r>
      <w:r w:rsidR="00117D2E" w:rsidRPr="00AB149C">
        <w:rPr>
          <w:rFonts w:asciiTheme="minorHAnsi" w:hAnsiTheme="minorHAnsi" w:cs="Arial"/>
          <w:sz w:val="22"/>
          <w:szCs w:val="22"/>
        </w:rPr>
        <w:t>élida</w:t>
      </w:r>
      <w:r w:rsidRPr="00AB149C">
        <w:rPr>
          <w:rFonts w:asciiTheme="minorHAnsi" w:hAnsiTheme="minorHAnsi" w:cs="Arial"/>
          <w:sz w:val="22"/>
          <w:szCs w:val="22"/>
        </w:rPr>
        <w:t xml:space="preserve"> y Aguayo, E</w:t>
      </w:r>
      <w:r w:rsidR="00117D2E" w:rsidRPr="00AB149C">
        <w:rPr>
          <w:rFonts w:asciiTheme="minorHAnsi" w:hAnsiTheme="minorHAnsi" w:cs="Arial"/>
          <w:sz w:val="22"/>
          <w:szCs w:val="22"/>
        </w:rPr>
        <w:t>va</w:t>
      </w:r>
      <w:r w:rsidRPr="00AB149C">
        <w:rPr>
          <w:rFonts w:asciiTheme="minorHAnsi" w:hAnsiTheme="minorHAnsi" w:cs="Arial"/>
          <w:sz w:val="22"/>
          <w:szCs w:val="22"/>
        </w:rPr>
        <w:t xml:space="preserve">. </w:t>
      </w:r>
      <w:r w:rsidR="00F52295" w:rsidRPr="00AB149C">
        <w:rPr>
          <w:rFonts w:asciiTheme="minorHAnsi" w:hAnsiTheme="minorHAnsi" w:cs="Arial"/>
          <w:sz w:val="22"/>
          <w:szCs w:val="22"/>
        </w:rPr>
        <w:t>2010. “</w:t>
      </w:r>
      <w:r w:rsidRPr="00AB149C">
        <w:rPr>
          <w:rFonts w:asciiTheme="minorHAnsi" w:hAnsiTheme="minorHAnsi" w:cs="Arial"/>
          <w:sz w:val="22"/>
          <w:szCs w:val="22"/>
        </w:rPr>
        <w:t>Desigualdad</w:t>
      </w:r>
      <w:r w:rsidR="00117D2E" w:rsidRPr="00AB149C">
        <w:rPr>
          <w:rFonts w:asciiTheme="minorHAnsi" w:hAnsiTheme="minorHAnsi" w:cs="Arial"/>
          <w:sz w:val="22"/>
          <w:szCs w:val="22"/>
        </w:rPr>
        <w:t xml:space="preserve"> de género en L</w:t>
      </w:r>
      <w:r w:rsidRPr="00AB149C">
        <w:rPr>
          <w:rFonts w:asciiTheme="minorHAnsi" w:hAnsiTheme="minorHAnsi" w:cs="Arial"/>
          <w:sz w:val="22"/>
          <w:szCs w:val="22"/>
        </w:rPr>
        <w:t>atinoamérica desde la perspectiva de los indicadores de desarrollo humano</w:t>
      </w:r>
      <w:r w:rsidR="00F52295" w:rsidRPr="00AB149C">
        <w:rPr>
          <w:rFonts w:asciiTheme="minorHAnsi" w:hAnsiTheme="minorHAnsi" w:cs="Arial"/>
          <w:sz w:val="22"/>
          <w:szCs w:val="22"/>
        </w:rPr>
        <w:t>”,</w:t>
      </w:r>
      <w:r w:rsidRPr="00AB149C">
        <w:rPr>
          <w:rFonts w:asciiTheme="minorHAnsi" w:hAnsiTheme="minorHAnsi" w:cs="Arial"/>
          <w:sz w:val="22"/>
          <w:szCs w:val="22"/>
        </w:rPr>
        <w:t xml:space="preserve"> </w:t>
      </w:r>
      <w:r w:rsidRPr="00AB149C">
        <w:rPr>
          <w:rFonts w:asciiTheme="minorHAnsi" w:hAnsiTheme="minorHAnsi" w:cs="Arial"/>
          <w:i/>
          <w:sz w:val="22"/>
          <w:szCs w:val="22"/>
        </w:rPr>
        <w:t>Revista Galega de Economía,</w:t>
      </w:r>
      <w:r w:rsidRPr="00AB149C">
        <w:rPr>
          <w:rFonts w:asciiTheme="minorHAnsi" w:hAnsiTheme="minorHAnsi" w:cs="Arial"/>
          <w:sz w:val="22"/>
          <w:szCs w:val="22"/>
        </w:rPr>
        <w:t xml:space="preserve"> 19, (2)</w:t>
      </w:r>
      <w:r w:rsidR="00F52295" w:rsidRPr="00AB149C">
        <w:rPr>
          <w:rFonts w:asciiTheme="minorHAnsi" w:hAnsiTheme="minorHAnsi" w:cs="Arial"/>
          <w:sz w:val="22"/>
          <w:szCs w:val="22"/>
        </w:rPr>
        <w:t>:</w:t>
      </w:r>
      <w:r w:rsidRPr="00AB149C">
        <w:rPr>
          <w:rFonts w:asciiTheme="minorHAnsi" w:hAnsiTheme="minorHAnsi" w:cs="Arial"/>
          <w:sz w:val="22"/>
          <w:szCs w:val="22"/>
        </w:rPr>
        <w:t xml:space="preserve"> 1-15.</w:t>
      </w:r>
      <w:r w:rsidR="009D3336">
        <w:rPr>
          <w:rFonts w:asciiTheme="minorHAnsi" w:hAnsiTheme="minorHAnsi" w:cs="Arial"/>
          <w:sz w:val="22"/>
          <w:szCs w:val="22"/>
        </w:rPr>
        <w:t xml:space="preserve"> </w:t>
      </w:r>
    </w:p>
    <w:p w:rsidR="009D3336" w:rsidRPr="009D3336" w:rsidRDefault="009D3336" w:rsidP="009D3336">
      <w:pPr>
        <w:pStyle w:val="Prrafodelista"/>
        <w:numPr>
          <w:ilvl w:val="0"/>
          <w:numId w:val="7"/>
        </w:numPr>
        <w:autoSpaceDE w:val="0"/>
        <w:autoSpaceDN w:val="0"/>
        <w:adjustRightInd w:val="0"/>
        <w:spacing w:after="120"/>
        <w:ind w:left="426" w:hanging="426"/>
        <w:contextualSpacing w:val="0"/>
        <w:jc w:val="both"/>
        <w:rPr>
          <w:rFonts w:asciiTheme="minorHAnsi" w:hAnsiTheme="minorHAnsi" w:cs="Arial"/>
          <w:sz w:val="22"/>
          <w:szCs w:val="22"/>
        </w:rPr>
      </w:pPr>
      <w:r w:rsidRPr="009D3336">
        <w:rPr>
          <w:rFonts w:asciiTheme="minorHAnsi" w:hAnsiTheme="minorHAnsi" w:cs="Arial"/>
          <w:sz w:val="22"/>
          <w:szCs w:val="22"/>
        </w:rPr>
        <w:t xml:space="preserve">Larrañaga,  </w:t>
      </w:r>
      <w:proofErr w:type="spellStart"/>
      <w:r w:rsidRPr="009D3336">
        <w:rPr>
          <w:rFonts w:asciiTheme="minorHAnsi" w:hAnsiTheme="minorHAnsi" w:cs="Arial"/>
          <w:sz w:val="22"/>
          <w:szCs w:val="22"/>
        </w:rPr>
        <w:t>Mertxe</w:t>
      </w:r>
      <w:proofErr w:type="spellEnd"/>
      <w:r w:rsidRPr="009D3336">
        <w:rPr>
          <w:rFonts w:asciiTheme="minorHAnsi" w:hAnsiTheme="minorHAnsi" w:cs="Arial"/>
          <w:sz w:val="22"/>
          <w:szCs w:val="22"/>
        </w:rPr>
        <w:t xml:space="preserve"> y </w:t>
      </w:r>
      <w:proofErr w:type="spellStart"/>
      <w:r w:rsidRPr="009D3336">
        <w:rPr>
          <w:rFonts w:asciiTheme="minorHAnsi" w:hAnsiTheme="minorHAnsi" w:cs="Arial"/>
          <w:sz w:val="22"/>
          <w:szCs w:val="22"/>
        </w:rPr>
        <w:t>Jubeto</w:t>
      </w:r>
      <w:proofErr w:type="spellEnd"/>
      <w:r w:rsidRPr="009D3336">
        <w:rPr>
          <w:rFonts w:asciiTheme="minorHAnsi" w:hAnsiTheme="minorHAnsi" w:cs="Arial"/>
          <w:sz w:val="22"/>
          <w:szCs w:val="22"/>
        </w:rPr>
        <w:t xml:space="preserve">, Yolanda. 2011. El Desarrollo Humano Local: aportes desde la equidad de género. Bilbao: </w:t>
      </w:r>
      <w:proofErr w:type="spellStart"/>
      <w:r w:rsidRPr="009D3336">
        <w:rPr>
          <w:rFonts w:asciiTheme="minorHAnsi" w:hAnsiTheme="minorHAnsi" w:cs="Arial"/>
          <w:sz w:val="22"/>
          <w:szCs w:val="22"/>
        </w:rPr>
        <w:t>Hegoa</w:t>
      </w:r>
      <w:proofErr w:type="spellEnd"/>
    </w:p>
    <w:p w:rsidR="009D0026" w:rsidRDefault="009D0026" w:rsidP="009D0026">
      <w:pPr>
        <w:pStyle w:val="Prrafodelista"/>
        <w:numPr>
          <w:ilvl w:val="0"/>
          <w:numId w:val="7"/>
        </w:numPr>
        <w:tabs>
          <w:tab w:val="num" w:pos="720"/>
        </w:tabs>
        <w:autoSpaceDE w:val="0"/>
        <w:autoSpaceDN w:val="0"/>
        <w:adjustRightInd w:val="0"/>
        <w:spacing w:after="120"/>
        <w:ind w:left="426" w:hanging="426"/>
        <w:contextualSpacing w:val="0"/>
        <w:jc w:val="both"/>
        <w:rPr>
          <w:rFonts w:asciiTheme="minorHAnsi" w:hAnsiTheme="minorHAnsi" w:cs="Arial"/>
          <w:sz w:val="22"/>
          <w:szCs w:val="22"/>
        </w:rPr>
      </w:pPr>
      <w:r w:rsidRPr="00AB149C">
        <w:rPr>
          <w:rFonts w:asciiTheme="minorHAnsi" w:hAnsiTheme="minorHAnsi" w:cs="Arial"/>
          <w:sz w:val="22"/>
          <w:szCs w:val="22"/>
        </w:rPr>
        <w:t>Naciones Unidas 20</w:t>
      </w:r>
      <w:r>
        <w:rPr>
          <w:rFonts w:asciiTheme="minorHAnsi" w:hAnsiTheme="minorHAnsi" w:cs="Arial"/>
          <w:sz w:val="22"/>
          <w:szCs w:val="22"/>
        </w:rPr>
        <w:t>05</w:t>
      </w:r>
      <w:r w:rsidRPr="00AB149C">
        <w:rPr>
          <w:rFonts w:asciiTheme="minorHAnsi" w:hAnsiTheme="minorHAnsi" w:cs="Arial"/>
          <w:sz w:val="22"/>
          <w:szCs w:val="22"/>
        </w:rPr>
        <w:t>. Objetivos de Desarrollo del Milenio. Informe de 2</w:t>
      </w:r>
      <w:r>
        <w:rPr>
          <w:rFonts w:asciiTheme="minorHAnsi" w:hAnsiTheme="minorHAnsi" w:cs="Arial"/>
          <w:sz w:val="22"/>
          <w:szCs w:val="22"/>
        </w:rPr>
        <w:t>005</w:t>
      </w:r>
      <w:r w:rsidRPr="00AB149C">
        <w:rPr>
          <w:rFonts w:asciiTheme="minorHAnsi" w:hAnsiTheme="minorHAnsi" w:cs="Arial"/>
          <w:sz w:val="22"/>
          <w:szCs w:val="22"/>
        </w:rPr>
        <w:t>. Nueva York: Naciones Unidas.</w:t>
      </w:r>
    </w:p>
    <w:p w:rsidR="009D0026" w:rsidRPr="00AB149C" w:rsidRDefault="009D0026" w:rsidP="009D0026">
      <w:pPr>
        <w:pStyle w:val="Prrafodelista"/>
        <w:numPr>
          <w:ilvl w:val="0"/>
          <w:numId w:val="7"/>
        </w:numPr>
        <w:tabs>
          <w:tab w:val="num" w:pos="720"/>
        </w:tabs>
        <w:autoSpaceDE w:val="0"/>
        <w:autoSpaceDN w:val="0"/>
        <w:adjustRightInd w:val="0"/>
        <w:spacing w:after="120"/>
        <w:ind w:left="426" w:hanging="426"/>
        <w:contextualSpacing w:val="0"/>
        <w:jc w:val="both"/>
        <w:rPr>
          <w:rFonts w:asciiTheme="minorHAnsi" w:hAnsiTheme="minorHAnsi" w:cs="Arial"/>
          <w:sz w:val="22"/>
          <w:szCs w:val="22"/>
        </w:rPr>
      </w:pPr>
      <w:r w:rsidRPr="00AB149C">
        <w:rPr>
          <w:rFonts w:asciiTheme="minorHAnsi" w:hAnsiTheme="minorHAnsi" w:cs="Arial"/>
          <w:sz w:val="22"/>
          <w:szCs w:val="22"/>
        </w:rPr>
        <w:t>Naciones Unidas 201</w:t>
      </w:r>
      <w:r>
        <w:rPr>
          <w:rFonts w:asciiTheme="minorHAnsi" w:hAnsiTheme="minorHAnsi" w:cs="Arial"/>
          <w:sz w:val="22"/>
          <w:szCs w:val="22"/>
        </w:rPr>
        <w:t>0</w:t>
      </w:r>
      <w:r w:rsidRPr="00AB149C">
        <w:rPr>
          <w:rFonts w:asciiTheme="minorHAnsi" w:hAnsiTheme="minorHAnsi" w:cs="Arial"/>
          <w:sz w:val="22"/>
          <w:szCs w:val="22"/>
        </w:rPr>
        <w:t>. Objetivos de Desarrollo del Milenio. Informe 2</w:t>
      </w:r>
      <w:r>
        <w:rPr>
          <w:rFonts w:asciiTheme="minorHAnsi" w:hAnsiTheme="minorHAnsi" w:cs="Arial"/>
          <w:sz w:val="22"/>
          <w:szCs w:val="22"/>
        </w:rPr>
        <w:t>0</w:t>
      </w:r>
      <w:r w:rsidRPr="00AB149C">
        <w:rPr>
          <w:rFonts w:asciiTheme="minorHAnsi" w:hAnsiTheme="minorHAnsi" w:cs="Arial"/>
          <w:sz w:val="22"/>
          <w:szCs w:val="22"/>
        </w:rPr>
        <w:t>10. Nueva York: Naciones Unidas.</w:t>
      </w:r>
    </w:p>
    <w:p w:rsidR="009D0026" w:rsidRPr="00AB149C" w:rsidRDefault="009D0026" w:rsidP="009D0026">
      <w:pPr>
        <w:pStyle w:val="Prrafodelista"/>
        <w:numPr>
          <w:ilvl w:val="0"/>
          <w:numId w:val="7"/>
        </w:numPr>
        <w:tabs>
          <w:tab w:val="num" w:pos="720"/>
        </w:tabs>
        <w:autoSpaceDE w:val="0"/>
        <w:autoSpaceDN w:val="0"/>
        <w:adjustRightInd w:val="0"/>
        <w:spacing w:after="120"/>
        <w:ind w:left="426" w:hanging="426"/>
        <w:contextualSpacing w:val="0"/>
        <w:jc w:val="both"/>
        <w:rPr>
          <w:rFonts w:asciiTheme="minorHAnsi" w:hAnsiTheme="minorHAnsi" w:cs="Arial"/>
          <w:sz w:val="22"/>
          <w:szCs w:val="22"/>
        </w:rPr>
      </w:pPr>
      <w:r w:rsidRPr="00AB149C">
        <w:rPr>
          <w:rFonts w:asciiTheme="minorHAnsi" w:hAnsiTheme="minorHAnsi" w:cs="Arial"/>
          <w:sz w:val="22"/>
          <w:szCs w:val="22"/>
        </w:rPr>
        <w:t>Naciones Unidas 201</w:t>
      </w:r>
      <w:r>
        <w:rPr>
          <w:rFonts w:asciiTheme="minorHAnsi" w:hAnsiTheme="minorHAnsi" w:cs="Arial"/>
          <w:sz w:val="22"/>
          <w:szCs w:val="22"/>
        </w:rPr>
        <w:t>2</w:t>
      </w:r>
      <w:r w:rsidRPr="00AB149C">
        <w:rPr>
          <w:rFonts w:asciiTheme="minorHAnsi" w:hAnsiTheme="minorHAnsi" w:cs="Arial"/>
          <w:sz w:val="22"/>
          <w:szCs w:val="22"/>
        </w:rPr>
        <w:t>. Objetivos de Desarrollo del Milenio. Informe de 210</w:t>
      </w:r>
      <w:r>
        <w:rPr>
          <w:rFonts w:asciiTheme="minorHAnsi" w:hAnsiTheme="minorHAnsi" w:cs="Arial"/>
          <w:sz w:val="22"/>
          <w:szCs w:val="22"/>
        </w:rPr>
        <w:t>2</w:t>
      </w:r>
      <w:r w:rsidRPr="00AB149C">
        <w:rPr>
          <w:rFonts w:asciiTheme="minorHAnsi" w:hAnsiTheme="minorHAnsi" w:cs="Arial"/>
          <w:sz w:val="22"/>
          <w:szCs w:val="22"/>
        </w:rPr>
        <w:t>. Nueva York: Naciones Unidas.</w:t>
      </w:r>
    </w:p>
    <w:p w:rsidR="009D0026" w:rsidRPr="00AB149C" w:rsidRDefault="009D0026" w:rsidP="009D0026">
      <w:pPr>
        <w:pStyle w:val="Prrafodelista"/>
        <w:numPr>
          <w:ilvl w:val="0"/>
          <w:numId w:val="7"/>
        </w:numPr>
        <w:tabs>
          <w:tab w:val="num" w:pos="720"/>
        </w:tabs>
        <w:autoSpaceDE w:val="0"/>
        <w:autoSpaceDN w:val="0"/>
        <w:adjustRightInd w:val="0"/>
        <w:spacing w:after="120"/>
        <w:ind w:left="426" w:hanging="426"/>
        <w:contextualSpacing w:val="0"/>
        <w:jc w:val="both"/>
        <w:rPr>
          <w:rFonts w:asciiTheme="minorHAnsi" w:hAnsiTheme="minorHAnsi" w:cs="Arial"/>
          <w:sz w:val="22"/>
          <w:szCs w:val="22"/>
        </w:rPr>
      </w:pPr>
      <w:r w:rsidRPr="00AB149C">
        <w:rPr>
          <w:rFonts w:asciiTheme="minorHAnsi" w:hAnsiTheme="minorHAnsi" w:cs="Arial"/>
          <w:sz w:val="22"/>
          <w:szCs w:val="22"/>
        </w:rPr>
        <w:lastRenderedPageBreak/>
        <w:t>Naciones Unidas 201</w:t>
      </w:r>
      <w:r>
        <w:rPr>
          <w:rFonts w:asciiTheme="minorHAnsi" w:hAnsiTheme="minorHAnsi" w:cs="Arial"/>
          <w:sz w:val="22"/>
          <w:szCs w:val="22"/>
        </w:rPr>
        <w:t>3</w:t>
      </w:r>
      <w:r w:rsidRPr="00AB149C">
        <w:rPr>
          <w:rFonts w:asciiTheme="minorHAnsi" w:hAnsiTheme="minorHAnsi" w:cs="Arial"/>
          <w:sz w:val="22"/>
          <w:szCs w:val="22"/>
        </w:rPr>
        <w:t>. Objetivos de Desarrollo del Milenio. Informe de 210</w:t>
      </w:r>
      <w:r>
        <w:rPr>
          <w:rFonts w:asciiTheme="minorHAnsi" w:hAnsiTheme="minorHAnsi" w:cs="Arial"/>
          <w:sz w:val="22"/>
          <w:szCs w:val="22"/>
        </w:rPr>
        <w:t>3</w:t>
      </w:r>
      <w:r w:rsidRPr="00AB149C">
        <w:rPr>
          <w:rFonts w:asciiTheme="minorHAnsi" w:hAnsiTheme="minorHAnsi" w:cs="Arial"/>
          <w:sz w:val="22"/>
          <w:szCs w:val="22"/>
        </w:rPr>
        <w:t>. Nueva York: Naciones Unidas.</w:t>
      </w:r>
    </w:p>
    <w:p w:rsidR="00792907" w:rsidRPr="00AB149C" w:rsidRDefault="00117D2E" w:rsidP="00AB149C">
      <w:pPr>
        <w:pStyle w:val="Prrafodelista"/>
        <w:numPr>
          <w:ilvl w:val="0"/>
          <w:numId w:val="7"/>
        </w:numPr>
        <w:tabs>
          <w:tab w:val="num" w:pos="720"/>
        </w:tabs>
        <w:autoSpaceDE w:val="0"/>
        <w:autoSpaceDN w:val="0"/>
        <w:adjustRightInd w:val="0"/>
        <w:spacing w:after="120"/>
        <w:ind w:left="426" w:hanging="426"/>
        <w:contextualSpacing w:val="0"/>
        <w:jc w:val="both"/>
        <w:rPr>
          <w:rFonts w:asciiTheme="minorHAnsi" w:hAnsiTheme="minorHAnsi" w:cs="Arial"/>
          <w:sz w:val="22"/>
          <w:szCs w:val="22"/>
        </w:rPr>
      </w:pPr>
      <w:r w:rsidRPr="00AB149C">
        <w:rPr>
          <w:rFonts w:asciiTheme="minorHAnsi" w:hAnsiTheme="minorHAnsi" w:cs="Arial"/>
          <w:sz w:val="22"/>
          <w:szCs w:val="22"/>
        </w:rPr>
        <w:t xml:space="preserve">Naciones Unidas </w:t>
      </w:r>
      <w:r w:rsidR="00792907" w:rsidRPr="00AB149C">
        <w:rPr>
          <w:rFonts w:asciiTheme="minorHAnsi" w:hAnsiTheme="minorHAnsi" w:cs="Arial"/>
          <w:sz w:val="22"/>
          <w:szCs w:val="22"/>
        </w:rPr>
        <w:t>2014. Objetivos de Desarrollo del Milenio. Informe de 2104. Nueva York: Naciones Unidas.</w:t>
      </w:r>
    </w:p>
    <w:p w:rsidR="00F67B9D" w:rsidRPr="00AB149C" w:rsidRDefault="00F67B9D" w:rsidP="00AB149C">
      <w:pPr>
        <w:pStyle w:val="Prrafodelista"/>
        <w:numPr>
          <w:ilvl w:val="0"/>
          <w:numId w:val="7"/>
        </w:numPr>
        <w:spacing w:after="120"/>
        <w:ind w:left="426" w:hanging="426"/>
        <w:contextualSpacing w:val="0"/>
        <w:jc w:val="both"/>
        <w:rPr>
          <w:rFonts w:asciiTheme="minorHAnsi" w:hAnsiTheme="minorHAnsi"/>
          <w:sz w:val="22"/>
          <w:szCs w:val="22"/>
        </w:rPr>
      </w:pPr>
      <w:r w:rsidRPr="00AB149C">
        <w:rPr>
          <w:rFonts w:asciiTheme="minorHAnsi" w:hAnsiTheme="minorHAnsi" w:cs="Arial"/>
          <w:sz w:val="22"/>
          <w:szCs w:val="22"/>
        </w:rPr>
        <w:t xml:space="preserve">Naciones Unidas 2014. Informe de síntesis del Secretario General sobre la agenda de desarrollo sostenible después de 2015. Disponible en web: </w:t>
      </w:r>
      <w:hyperlink r:id="rId12" w:history="1">
        <w:r w:rsidRPr="00AB149C">
          <w:rPr>
            <w:rStyle w:val="Hipervnculo"/>
            <w:rFonts w:asciiTheme="minorHAnsi" w:hAnsiTheme="minorHAnsi"/>
            <w:sz w:val="22"/>
            <w:szCs w:val="22"/>
          </w:rPr>
          <w:t>http://www.un.org/en/development/desa/publications/files/2015/01/SynthesisReportSPA.pdf</w:t>
        </w:r>
      </w:hyperlink>
      <w:r w:rsidRPr="00AB149C">
        <w:rPr>
          <w:rFonts w:asciiTheme="minorHAnsi" w:hAnsiTheme="minorHAnsi"/>
          <w:sz w:val="22"/>
          <w:szCs w:val="22"/>
        </w:rPr>
        <w:t xml:space="preserve">. </w:t>
      </w:r>
      <w:r w:rsidRPr="00AB149C">
        <w:rPr>
          <w:rFonts w:asciiTheme="minorHAnsi" w:hAnsiTheme="minorHAnsi" w:cs="Arial"/>
          <w:bCs/>
          <w:sz w:val="22"/>
          <w:szCs w:val="22"/>
        </w:rPr>
        <w:t>[</w:t>
      </w:r>
      <w:r w:rsidRPr="00AB149C">
        <w:rPr>
          <w:rFonts w:asciiTheme="minorHAnsi" w:hAnsiTheme="minorHAnsi"/>
          <w:sz w:val="22"/>
          <w:szCs w:val="22"/>
        </w:rPr>
        <w:t>Consulta: 8 de mayo de 2015</w:t>
      </w:r>
      <w:r w:rsidRPr="00AB149C">
        <w:rPr>
          <w:rFonts w:asciiTheme="minorHAnsi" w:hAnsiTheme="minorHAnsi" w:cs="Arial"/>
          <w:bCs/>
          <w:sz w:val="22"/>
          <w:szCs w:val="22"/>
        </w:rPr>
        <w:t>]</w:t>
      </w:r>
    </w:p>
    <w:p w:rsidR="00F67B9D" w:rsidRPr="00AB149C" w:rsidRDefault="00F67B9D" w:rsidP="00AB149C">
      <w:pPr>
        <w:pStyle w:val="Prrafodelista"/>
        <w:numPr>
          <w:ilvl w:val="0"/>
          <w:numId w:val="7"/>
        </w:numPr>
        <w:autoSpaceDE w:val="0"/>
        <w:autoSpaceDN w:val="0"/>
        <w:adjustRightInd w:val="0"/>
        <w:spacing w:after="120"/>
        <w:ind w:left="426" w:hanging="426"/>
        <w:contextualSpacing w:val="0"/>
        <w:rPr>
          <w:rFonts w:asciiTheme="minorHAnsi" w:hAnsiTheme="minorHAnsi"/>
          <w:sz w:val="22"/>
          <w:szCs w:val="22"/>
        </w:rPr>
      </w:pPr>
      <w:r w:rsidRPr="00AB149C">
        <w:rPr>
          <w:rStyle w:val="A5"/>
          <w:rFonts w:asciiTheme="minorHAnsi" w:hAnsiTheme="minorHAnsi"/>
          <w:sz w:val="22"/>
          <w:szCs w:val="22"/>
          <w:u w:val="none"/>
        </w:rPr>
        <w:t xml:space="preserve">Naciones Unidas 2014a. Informe del Grupo de Trabajo Abierto de la Asamblea General sobre los Objetivos de Desarrollo Sostenible. Disponible en web: </w:t>
      </w:r>
      <w:hyperlink r:id="rId13" w:history="1">
        <w:r w:rsidRPr="00AB149C">
          <w:rPr>
            <w:rStyle w:val="Hipervnculo"/>
            <w:rFonts w:asciiTheme="minorHAnsi" w:hAnsiTheme="minorHAnsi"/>
            <w:sz w:val="22"/>
            <w:szCs w:val="22"/>
          </w:rPr>
          <w:t>http://www.un.org/ga/search/view_doc.asp?symbol=A/68/970&amp;referer=http://sustainabledevelopment.un.org/index.php?menu=1549&amp;Lang=S</w:t>
        </w:r>
      </w:hyperlink>
      <w:r w:rsidRPr="00AB149C">
        <w:rPr>
          <w:rStyle w:val="Hipervnculo"/>
          <w:rFonts w:asciiTheme="minorHAnsi" w:hAnsiTheme="minorHAnsi"/>
          <w:sz w:val="22"/>
          <w:szCs w:val="22"/>
        </w:rPr>
        <w:t xml:space="preserve"> </w:t>
      </w:r>
      <w:r w:rsidRPr="00AB149C">
        <w:rPr>
          <w:rFonts w:asciiTheme="minorHAnsi" w:hAnsiTheme="minorHAnsi"/>
          <w:sz w:val="22"/>
          <w:szCs w:val="22"/>
        </w:rPr>
        <w:t xml:space="preserve"> </w:t>
      </w:r>
      <w:r w:rsidRPr="00AB149C">
        <w:rPr>
          <w:rFonts w:asciiTheme="minorHAnsi" w:hAnsiTheme="minorHAnsi" w:cs="Arial"/>
          <w:bCs/>
          <w:sz w:val="22"/>
          <w:szCs w:val="22"/>
        </w:rPr>
        <w:t>[</w:t>
      </w:r>
      <w:r w:rsidRPr="00AB149C">
        <w:rPr>
          <w:rFonts w:asciiTheme="minorHAnsi" w:hAnsiTheme="minorHAnsi"/>
          <w:sz w:val="22"/>
          <w:szCs w:val="22"/>
        </w:rPr>
        <w:t>Consulta: 11 de mayo de 2015</w:t>
      </w:r>
      <w:r w:rsidRPr="00AB149C">
        <w:rPr>
          <w:rFonts w:asciiTheme="minorHAnsi" w:hAnsiTheme="minorHAnsi" w:cs="Arial"/>
          <w:bCs/>
          <w:sz w:val="22"/>
          <w:szCs w:val="22"/>
        </w:rPr>
        <w:t>]</w:t>
      </w:r>
    </w:p>
    <w:p w:rsidR="00EC2ADB" w:rsidRPr="00AB149C" w:rsidRDefault="00EC2ADB" w:rsidP="00AB149C">
      <w:pPr>
        <w:pStyle w:val="Prrafodelista"/>
        <w:numPr>
          <w:ilvl w:val="0"/>
          <w:numId w:val="7"/>
        </w:numPr>
        <w:tabs>
          <w:tab w:val="num" w:pos="720"/>
        </w:tabs>
        <w:autoSpaceDE w:val="0"/>
        <w:autoSpaceDN w:val="0"/>
        <w:adjustRightInd w:val="0"/>
        <w:spacing w:after="120"/>
        <w:ind w:left="426" w:hanging="426"/>
        <w:contextualSpacing w:val="0"/>
        <w:jc w:val="both"/>
        <w:rPr>
          <w:rFonts w:asciiTheme="minorHAnsi" w:hAnsiTheme="minorHAnsi" w:cs="Arial"/>
          <w:sz w:val="22"/>
          <w:szCs w:val="22"/>
        </w:rPr>
      </w:pPr>
      <w:r w:rsidRPr="00AB149C">
        <w:rPr>
          <w:rFonts w:asciiTheme="minorHAnsi" w:hAnsiTheme="minorHAnsi" w:cs="Arial"/>
          <w:sz w:val="22"/>
          <w:szCs w:val="22"/>
        </w:rPr>
        <w:t>Observatorio de igualdad de género de América Latina y el Caribe (OIG). Comisión Económica para América Latina y el Caribe (CEPAL) 2011. Informe anual 2011 El salto de la autonomía De los márgenes al centro. Disponible en</w:t>
      </w:r>
      <w:r w:rsidR="00CC2A14" w:rsidRPr="00AB149C">
        <w:rPr>
          <w:rFonts w:asciiTheme="minorHAnsi" w:hAnsiTheme="minorHAnsi" w:cs="Arial"/>
          <w:sz w:val="22"/>
          <w:szCs w:val="22"/>
        </w:rPr>
        <w:t xml:space="preserve"> web</w:t>
      </w:r>
      <w:r w:rsidRPr="00AB149C">
        <w:rPr>
          <w:rFonts w:asciiTheme="minorHAnsi" w:hAnsiTheme="minorHAnsi" w:cs="Arial"/>
          <w:sz w:val="22"/>
          <w:szCs w:val="22"/>
        </w:rPr>
        <w:t xml:space="preserve">: </w:t>
      </w:r>
      <w:hyperlink r:id="rId14" w:history="1">
        <w:r w:rsidRPr="00AB149C">
          <w:rPr>
            <w:rStyle w:val="Hipervnculo"/>
            <w:rFonts w:asciiTheme="minorHAnsi" w:hAnsiTheme="minorHAnsi" w:cs="Arial"/>
            <w:sz w:val="22"/>
            <w:szCs w:val="22"/>
          </w:rPr>
          <w:t>http://www.cepal.org/oig/</w:t>
        </w:r>
      </w:hyperlink>
      <w:r w:rsidRPr="00AB149C">
        <w:rPr>
          <w:rFonts w:asciiTheme="minorHAnsi" w:hAnsiTheme="minorHAnsi" w:cs="Arial"/>
          <w:sz w:val="22"/>
          <w:szCs w:val="22"/>
        </w:rPr>
        <w:t xml:space="preserve"> </w:t>
      </w:r>
      <w:r w:rsidR="00CC2A14" w:rsidRPr="00AB149C">
        <w:rPr>
          <w:rFonts w:asciiTheme="minorHAnsi" w:hAnsiTheme="minorHAnsi" w:cs="Arial"/>
          <w:bCs/>
          <w:sz w:val="22"/>
          <w:szCs w:val="22"/>
        </w:rPr>
        <w:t>[</w:t>
      </w:r>
      <w:r w:rsidRPr="00AB149C">
        <w:rPr>
          <w:rFonts w:asciiTheme="minorHAnsi" w:hAnsiTheme="minorHAnsi" w:cs="Arial"/>
          <w:sz w:val="22"/>
          <w:szCs w:val="22"/>
        </w:rPr>
        <w:t>Consulta: 14</w:t>
      </w:r>
      <w:r w:rsidR="00CC2A14" w:rsidRPr="00AB149C">
        <w:rPr>
          <w:rFonts w:asciiTheme="minorHAnsi" w:hAnsiTheme="minorHAnsi" w:cs="Arial"/>
          <w:sz w:val="22"/>
          <w:szCs w:val="22"/>
        </w:rPr>
        <w:t xml:space="preserve"> de mayo de 2015</w:t>
      </w:r>
      <w:r w:rsidR="00CC2A14" w:rsidRPr="00AB149C">
        <w:rPr>
          <w:rFonts w:asciiTheme="minorHAnsi" w:hAnsiTheme="minorHAnsi" w:cs="Arial"/>
          <w:bCs/>
          <w:sz w:val="22"/>
          <w:szCs w:val="22"/>
        </w:rPr>
        <w:t>]</w:t>
      </w:r>
    </w:p>
    <w:p w:rsidR="00F67B9D" w:rsidRPr="00AB149C" w:rsidRDefault="00F67B9D" w:rsidP="00AB149C">
      <w:pPr>
        <w:pStyle w:val="Prrafodelista"/>
        <w:numPr>
          <w:ilvl w:val="0"/>
          <w:numId w:val="7"/>
        </w:numPr>
        <w:spacing w:after="120"/>
        <w:ind w:left="426" w:hanging="426"/>
        <w:contextualSpacing w:val="0"/>
        <w:jc w:val="both"/>
        <w:rPr>
          <w:rFonts w:asciiTheme="minorHAnsi" w:hAnsiTheme="minorHAnsi"/>
          <w:sz w:val="22"/>
          <w:szCs w:val="22"/>
        </w:rPr>
      </w:pPr>
      <w:r w:rsidRPr="00AB149C">
        <w:rPr>
          <w:rFonts w:asciiTheme="minorHAnsi" w:hAnsiTheme="minorHAnsi"/>
          <w:sz w:val="22"/>
          <w:szCs w:val="22"/>
        </w:rPr>
        <w:t xml:space="preserve">ONU Mujeres 2013. </w:t>
      </w:r>
      <w:r w:rsidRPr="00AB149C">
        <w:rPr>
          <w:rStyle w:val="A5"/>
          <w:rFonts w:asciiTheme="minorHAnsi" w:hAnsiTheme="minorHAnsi"/>
          <w:sz w:val="22"/>
          <w:szCs w:val="22"/>
          <w:u w:val="none"/>
        </w:rPr>
        <w:t xml:space="preserve">Un objetivo transformador e independiente para lograr la igualdad de género, los derechos y el empoderamiento de las mujeres: imperativos y componentes claves. Disponible en web: </w:t>
      </w:r>
      <w:hyperlink r:id="rId15" w:history="1">
        <w:r w:rsidRPr="00AB149C">
          <w:rPr>
            <w:rStyle w:val="Hipervnculo"/>
            <w:rFonts w:asciiTheme="minorHAnsi" w:hAnsiTheme="minorHAnsi"/>
            <w:sz w:val="22"/>
            <w:szCs w:val="22"/>
          </w:rPr>
          <w:t>http://www.unwomen.org/es/what-we-do/post-2015</w:t>
        </w:r>
      </w:hyperlink>
      <w:r w:rsidRPr="00AB149C">
        <w:rPr>
          <w:rFonts w:asciiTheme="minorHAnsi" w:hAnsiTheme="minorHAnsi"/>
          <w:sz w:val="22"/>
          <w:szCs w:val="22"/>
        </w:rPr>
        <w:t xml:space="preserve"> </w:t>
      </w:r>
      <w:r w:rsidRPr="00AB149C">
        <w:rPr>
          <w:rFonts w:asciiTheme="minorHAnsi" w:hAnsiTheme="minorHAnsi" w:cs="Arial"/>
          <w:bCs/>
          <w:sz w:val="22"/>
          <w:szCs w:val="22"/>
        </w:rPr>
        <w:t>[</w:t>
      </w:r>
      <w:r w:rsidRPr="00AB149C">
        <w:rPr>
          <w:rFonts w:asciiTheme="minorHAnsi" w:hAnsiTheme="minorHAnsi"/>
          <w:sz w:val="22"/>
          <w:szCs w:val="22"/>
        </w:rPr>
        <w:t>Consulta: 8 de mayo de 2015</w:t>
      </w:r>
      <w:r w:rsidRPr="00AB149C">
        <w:rPr>
          <w:rFonts w:asciiTheme="minorHAnsi" w:hAnsiTheme="minorHAnsi" w:cs="Arial"/>
          <w:bCs/>
          <w:sz w:val="22"/>
          <w:szCs w:val="22"/>
        </w:rPr>
        <w:t>]</w:t>
      </w:r>
    </w:p>
    <w:p w:rsidR="00EC2ADB" w:rsidRPr="00AB149C" w:rsidRDefault="00D42E56" w:rsidP="00AB149C">
      <w:pPr>
        <w:pStyle w:val="Prrafodelista"/>
        <w:widowControl w:val="0"/>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20"/>
        <w:ind w:left="426" w:hanging="426"/>
        <w:contextualSpacing w:val="0"/>
        <w:jc w:val="both"/>
        <w:rPr>
          <w:rFonts w:asciiTheme="minorHAnsi" w:hAnsiTheme="minorHAnsi" w:cs="Arial"/>
          <w:sz w:val="22"/>
          <w:szCs w:val="22"/>
        </w:rPr>
      </w:pPr>
      <w:r w:rsidRPr="00AB149C">
        <w:rPr>
          <w:rFonts w:asciiTheme="minorHAnsi" w:hAnsiTheme="minorHAnsi" w:cs="Arial"/>
          <w:sz w:val="22"/>
          <w:szCs w:val="22"/>
        </w:rPr>
        <w:t>PNUD (</w:t>
      </w:r>
      <w:r w:rsidR="00EC2ADB" w:rsidRPr="00AB149C">
        <w:rPr>
          <w:rFonts w:asciiTheme="minorHAnsi" w:hAnsiTheme="minorHAnsi" w:cs="Arial"/>
          <w:sz w:val="22"/>
          <w:szCs w:val="22"/>
        </w:rPr>
        <w:t>Programa de Nac</w:t>
      </w:r>
      <w:r w:rsidRPr="00AB149C">
        <w:rPr>
          <w:rFonts w:asciiTheme="minorHAnsi" w:hAnsiTheme="minorHAnsi" w:cs="Arial"/>
          <w:sz w:val="22"/>
          <w:szCs w:val="22"/>
        </w:rPr>
        <w:t>iones Unidas para el Desarrollo</w:t>
      </w:r>
      <w:r w:rsidR="00EC2ADB" w:rsidRPr="00AB149C">
        <w:rPr>
          <w:rFonts w:asciiTheme="minorHAnsi" w:hAnsiTheme="minorHAnsi" w:cs="Arial"/>
          <w:sz w:val="22"/>
          <w:szCs w:val="22"/>
        </w:rPr>
        <w:t>) 1995. Informe sobre Desarrollo Humano</w:t>
      </w:r>
      <w:r w:rsidRPr="00AB149C">
        <w:rPr>
          <w:rFonts w:asciiTheme="minorHAnsi" w:hAnsiTheme="minorHAnsi" w:cs="Arial"/>
          <w:sz w:val="22"/>
          <w:szCs w:val="22"/>
        </w:rPr>
        <w:t xml:space="preserve"> </w:t>
      </w:r>
      <w:r w:rsidR="00EC2ADB" w:rsidRPr="00AB149C">
        <w:rPr>
          <w:rFonts w:asciiTheme="minorHAnsi" w:hAnsiTheme="minorHAnsi" w:cs="Arial"/>
          <w:sz w:val="22"/>
          <w:szCs w:val="22"/>
        </w:rPr>
        <w:t>1995. México: PNUD.</w:t>
      </w:r>
    </w:p>
    <w:p w:rsidR="00C14249" w:rsidRPr="00AB149C" w:rsidRDefault="00C14249" w:rsidP="00AB149C">
      <w:pPr>
        <w:pStyle w:val="Prrafodelista"/>
        <w:numPr>
          <w:ilvl w:val="0"/>
          <w:numId w:val="7"/>
        </w:numPr>
        <w:spacing w:after="120"/>
        <w:ind w:left="426" w:hanging="426"/>
        <w:contextualSpacing w:val="0"/>
        <w:jc w:val="both"/>
        <w:rPr>
          <w:rFonts w:asciiTheme="minorHAnsi" w:hAnsiTheme="minorHAnsi" w:cs="Arial"/>
          <w:sz w:val="22"/>
          <w:szCs w:val="22"/>
        </w:rPr>
      </w:pPr>
      <w:r w:rsidRPr="00AB149C">
        <w:rPr>
          <w:rFonts w:asciiTheme="minorHAnsi" w:hAnsiTheme="minorHAnsi" w:cs="Arial"/>
          <w:sz w:val="22"/>
          <w:szCs w:val="22"/>
        </w:rPr>
        <w:t>PNUD (Programa de Naciones Unidas para el Desarrollo) 2000. Informe sobre Desarrollo Humano 2000. Nueva York: PNUD.</w:t>
      </w:r>
    </w:p>
    <w:p w:rsidR="00EC2ADB" w:rsidRPr="00AB149C" w:rsidRDefault="00D42E56" w:rsidP="00AB149C">
      <w:pPr>
        <w:pStyle w:val="Prrafodelista"/>
        <w:numPr>
          <w:ilvl w:val="0"/>
          <w:numId w:val="7"/>
        </w:numPr>
        <w:spacing w:after="120"/>
        <w:ind w:left="426" w:hanging="426"/>
        <w:contextualSpacing w:val="0"/>
        <w:jc w:val="both"/>
        <w:rPr>
          <w:rFonts w:asciiTheme="minorHAnsi" w:hAnsiTheme="minorHAnsi" w:cs="Arial"/>
          <w:sz w:val="22"/>
          <w:szCs w:val="22"/>
        </w:rPr>
      </w:pPr>
      <w:r w:rsidRPr="00AB149C">
        <w:rPr>
          <w:rFonts w:asciiTheme="minorHAnsi" w:hAnsiTheme="minorHAnsi" w:cs="Arial"/>
          <w:sz w:val="22"/>
          <w:szCs w:val="22"/>
        </w:rPr>
        <w:t>PNUD (Programa de Naciones Unidas para el Desarrollo) 2014. Informe sobre Desarrollo Humano 2014. Nueva York: PNUD.</w:t>
      </w:r>
    </w:p>
    <w:p w:rsidR="004426B7" w:rsidRPr="00AB149C" w:rsidRDefault="004426B7" w:rsidP="00AB149C">
      <w:pPr>
        <w:pStyle w:val="Prrafodelista"/>
        <w:numPr>
          <w:ilvl w:val="0"/>
          <w:numId w:val="7"/>
        </w:numPr>
        <w:spacing w:after="120"/>
        <w:ind w:left="426" w:hanging="426"/>
        <w:contextualSpacing w:val="0"/>
        <w:jc w:val="both"/>
        <w:rPr>
          <w:rFonts w:asciiTheme="minorHAnsi" w:hAnsiTheme="minorHAnsi" w:cs="Arial"/>
          <w:sz w:val="22"/>
          <w:szCs w:val="22"/>
        </w:rPr>
      </w:pPr>
      <w:r w:rsidRPr="00AB149C">
        <w:rPr>
          <w:rFonts w:asciiTheme="minorHAnsi" w:hAnsiTheme="minorHAnsi" w:cs="Arial"/>
          <w:sz w:val="22"/>
          <w:szCs w:val="22"/>
        </w:rPr>
        <w:t xml:space="preserve">San Miguel, Nava. 2008. Estrategia “Género en Desarrollo” de la Cooperación Española. Madrid: Ministerio de Asuntos Exteriores y Cooperación. </w:t>
      </w:r>
    </w:p>
    <w:p w:rsidR="009D3336" w:rsidRPr="009D3336" w:rsidRDefault="00D42E56" w:rsidP="002A5B34">
      <w:pPr>
        <w:pStyle w:val="Default"/>
        <w:numPr>
          <w:ilvl w:val="0"/>
          <w:numId w:val="7"/>
        </w:numPr>
        <w:spacing w:after="120"/>
        <w:ind w:left="425" w:hanging="425"/>
        <w:jc w:val="both"/>
        <w:rPr>
          <w:rFonts w:cs="Arial"/>
          <w:lang w:val="es-ES"/>
        </w:rPr>
      </w:pPr>
      <w:r w:rsidRPr="009D3336">
        <w:rPr>
          <w:rFonts w:asciiTheme="minorHAnsi" w:hAnsiTheme="minorHAnsi" w:cs="Arial"/>
          <w:color w:val="auto"/>
          <w:sz w:val="22"/>
          <w:szCs w:val="22"/>
          <w:lang w:val="es-CO"/>
        </w:rPr>
        <w:t>UIP (Unión Interparlamentaria)</w:t>
      </w:r>
      <w:r w:rsidR="00012195" w:rsidRPr="009D3336">
        <w:rPr>
          <w:rFonts w:asciiTheme="minorHAnsi" w:hAnsiTheme="minorHAnsi" w:cs="Arial"/>
          <w:color w:val="auto"/>
          <w:sz w:val="22"/>
          <w:szCs w:val="22"/>
          <w:lang w:val="es-CO"/>
        </w:rPr>
        <w:t xml:space="preserve"> 2015</w:t>
      </w:r>
      <w:r w:rsidRPr="009D3336">
        <w:rPr>
          <w:rFonts w:asciiTheme="minorHAnsi" w:hAnsiTheme="minorHAnsi" w:cs="Arial"/>
          <w:color w:val="auto"/>
          <w:sz w:val="22"/>
          <w:szCs w:val="22"/>
          <w:lang w:val="es-CO"/>
        </w:rPr>
        <w:t xml:space="preserve">. </w:t>
      </w:r>
      <w:r w:rsidRPr="009D3336">
        <w:rPr>
          <w:rFonts w:asciiTheme="minorHAnsi" w:hAnsiTheme="minorHAnsi" w:cs="Arial"/>
          <w:sz w:val="22"/>
          <w:szCs w:val="22"/>
          <w:lang w:val="es-ES"/>
        </w:rPr>
        <w:t>Las mujeres en el parlamento: una perspectiva de 20 años. Disponible en</w:t>
      </w:r>
      <w:r w:rsidR="00CC2A14" w:rsidRPr="009D3336">
        <w:rPr>
          <w:rFonts w:asciiTheme="minorHAnsi" w:hAnsiTheme="minorHAnsi" w:cs="Arial"/>
          <w:sz w:val="22"/>
          <w:szCs w:val="22"/>
          <w:lang w:val="es-ES"/>
        </w:rPr>
        <w:t xml:space="preserve"> web</w:t>
      </w:r>
      <w:r w:rsidRPr="009D3336">
        <w:rPr>
          <w:rFonts w:asciiTheme="minorHAnsi" w:hAnsiTheme="minorHAnsi" w:cs="Arial"/>
          <w:sz w:val="22"/>
          <w:szCs w:val="22"/>
          <w:lang w:val="es-ES"/>
        </w:rPr>
        <w:t xml:space="preserve">: </w:t>
      </w:r>
      <w:hyperlink r:id="rId16" w:history="1">
        <w:r w:rsidRPr="009D3336">
          <w:rPr>
            <w:rStyle w:val="Hipervnculo"/>
            <w:rFonts w:asciiTheme="minorHAnsi" w:hAnsiTheme="minorHAnsi"/>
            <w:sz w:val="22"/>
            <w:szCs w:val="22"/>
            <w:lang w:val="es-ES"/>
          </w:rPr>
          <w:t>http://www.ipu.org/pdf/publications/WIP20Y-sp.pdf</w:t>
        </w:r>
      </w:hyperlink>
      <w:r w:rsidRPr="009D3336">
        <w:rPr>
          <w:rFonts w:asciiTheme="minorHAnsi" w:hAnsiTheme="minorHAnsi"/>
          <w:sz w:val="22"/>
          <w:szCs w:val="22"/>
          <w:lang w:val="es-ES"/>
        </w:rPr>
        <w:t xml:space="preserve">. </w:t>
      </w:r>
      <w:r w:rsidR="00CC2A14" w:rsidRPr="009D3336">
        <w:rPr>
          <w:rFonts w:asciiTheme="minorHAnsi" w:hAnsiTheme="minorHAnsi" w:cs="Arial"/>
          <w:bCs/>
          <w:sz w:val="22"/>
          <w:szCs w:val="22"/>
          <w:lang w:val="es-ES"/>
        </w:rPr>
        <w:t>[</w:t>
      </w:r>
      <w:r w:rsidRPr="009D3336">
        <w:rPr>
          <w:rFonts w:asciiTheme="minorHAnsi" w:hAnsiTheme="minorHAnsi"/>
          <w:sz w:val="22"/>
          <w:szCs w:val="22"/>
          <w:lang w:val="es-ES"/>
        </w:rPr>
        <w:t>Consulta</w:t>
      </w:r>
      <w:r w:rsidR="00CC2A14" w:rsidRPr="009D3336">
        <w:rPr>
          <w:rFonts w:asciiTheme="minorHAnsi" w:hAnsiTheme="minorHAnsi"/>
          <w:sz w:val="22"/>
          <w:szCs w:val="22"/>
          <w:lang w:val="es-ES"/>
        </w:rPr>
        <w:t>:</w:t>
      </w:r>
      <w:r w:rsidRPr="009D3336">
        <w:rPr>
          <w:rFonts w:asciiTheme="minorHAnsi" w:hAnsiTheme="minorHAnsi"/>
          <w:sz w:val="22"/>
          <w:szCs w:val="22"/>
          <w:lang w:val="es-ES"/>
        </w:rPr>
        <w:t xml:space="preserve"> 8 de mayo de 2015</w:t>
      </w:r>
      <w:r w:rsidR="00CC2A14" w:rsidRPr="009D3336">
        <w:rPr>
          <w:rFonts w:asciiTheme="minorHAnsi" w:hAnsiTheme="minorHAnsi" w:cs="Arial"/>
          <w:bCs/>
          <w:sz w:val="22"/>
          <w:szCs w:val="22"/>
          <w:lang w:val="es-ES"/>
        </w:rPr>
        <w:t>]</w:t>
      </w:r>
    </w:p>
    <w:p w:rsidR="009D3336" w:rsidRPr="009D3336" w:rsidRDefault="009D3336" w:rsidP="002A5B34">
      <w:pPr>
        <w:pStyle w:val="Default"/>
        <w:numPr>
          <w:ilvl w:val="0"/>
          <w:numId w:val="7"/>
        </w:numPr>
        <w:spacing w:after="120"/>
        <w:ind w:left="425" w:hanging="425"/>
        <w:jc w:val="both"/>
        <w:rPr>
          <w:rFonts w:asciiTheme="minorHAnsi" w:hAnsiTheme="minorHAnsi" w:cs="Arial"/>
          <w:color w:val="auto"/>
          <w:sz w:val="22"/>
          <w:szCs w:val="22"/>
          <w:lang w:val="es-CO"/>
        </w:rPr>
      </w:pPr>
      <w:r w:rsidRPr="009D3336">
        <w:rPr>
          <w:rFonts w:asciiTheme="minorHAnsi" w:hAnsiTheme="minorHAnsi" w:cs="Arial"/>
          <w:color w:val="auto"/>
          <w:sz w:val="22"/>
          <w:szCs w:val="22"/>
          <w:lang w:val="es-CO"/>
        </w:rPr>
        <w:t xml:space="preserve">Zabala, </w:t>
      </w:r>
      <w:proofErr w:type="spellStart"/>
      <w:r w:rsidRPr="009D3336">
        <w:rPr>
          <w:rFonts w:asciiTheme="minorHAnsi" w:hAnsiTheme="minorHAnsi" w:cs="Arial"/>
          <w:color w:val="auto"/>
          <w:sz w:val="22"/>
          <w:szCs w:val="22"/>
          <w:lang w:val="es-CO"/>
        </w:rPr>
        <w:t>Idoye</w:t>
      </w:r>
      <w:proofErr w:type="spellEnd"/>
      <w:r w:rsidRPr="009D3336">
        <w:rPr>
          <w:rFonts w:asciiTheme="minorHAnsi" w:hAnsiTheme="minorHAnsi" w:cs="Arial"/>
          <w:color w:val="auto"/>
          <w:sz w:val="22"/>
          <w:szCs w:val="22"/>
          <w:lang w:val="es-CO"/>
        </w:rPr>
        <w:t xml:space="preserve">. 2010. </w:t>
      </w:r>
      <w:r>
        <w:rPr>
          <w:rFonts w:asciiTheme="minorHAnsi" w:hAnsiTheme="minorHAnsi" w:cs="Arial"/>
          <w:color w:val="auto"/>
          <w:sz w:val="22"/>
          <w:szCs w:val="22"/>
          <w:lang w:val="es-CO"/>
        </w:rPr>
        <w:t>“</w:t>
      </w:r>
      <w:r w:rsidRPr="009D3336">
        <w:rPr>
          <w:rFonts w:asciiTheme="minorHAnsi" w:hAnsiTheme="minorHAnsi" w:cs="Arial"/>
          <w:color w:val="auto"/>
          <w:sz w:val="22"/>
          <w:szCs w:val="22"/>
          <w:lang w:val="es-CO"/>
        </w:rPr>
        <w:t>Estrategias alternativas en los debates sobre género y desarrollo</w:t>
      </w:r>
      <w:r>
        <w:rPr>
          <w:rFonts w:asciiTheme="minorHAnsi" w:hAnsiTheme="minorHAnsi" w:cs="Arial"/>
          <w:color w:val="auto"/>
          <w:sz w:val="22"/>
          <w:szCs w:val="22"/>
          <w:lang w:val="es-CO"/>
        </w:rPr>
        <w:t>”,</w:t>
      </w:r>
      <w:r w:rsidRPr="009D3336">
        <w:rPr>
          <w:rFonts w:asciiTheme="minorHAnsi" w:hAnsiTheme="minorHAnsi" w:cs="Arial"/>
          <w:color w:val="auto"/>
          <w:sz w:val="22"/>
          <w:szCs w:val="22"/>
          <w:lang w:val="es-CO"/>
        </w:rPr>
        <w:t xml:space="preserve"> </w:t>
      </w:r>
      <w:r w:rsidRPr="009D3336">
        <w:rPr>
          <w:rFonts w:asciiTheme="minorHAnsi" w:hAnsiTheme="minorHAnsi" w:cs="Arial"/>
          <w:i/>
          <w:color w:val="auto"/>
          <w:sz w:val="22"/>
          <w:szCs w:val="22"/>
          <w:lang w:val="es-CO"/>
        </w:rPr>
        <w:t>Revista de Economía Crítica</w:t>
      </w:r>
      <w:r w:rsidRPr="009D3336">
        <w:rPr>
          <w:rFonts w:asciiTheme="minorHAnsi" w:hAnsiTheme="minorHAnsi" w:cs="Arial"/>
          <w:color w:val="auto"/>
          <w:sz w:val="22"/>
          <w:szCs w:val="22"/>
          <w:lang w:val="es-CO"/>
        </w:rPr>
        <w:t>, 9: 75-89.</w:t>
      </w:r>
    </w:p>
    <w:sectPr w:rsidR="009D3336" w:rsidRPr="009D333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7F4" w:rsidRDefault="00BF57F4" w:rsidP="00D53FD7">
      <w:pPr>
        <w:spacing w:after="0" w:line="240" w:lineRule="auto"/>
      </w:pPr>
      <w:r>
        <w:separator/>
      </w:r>
    </w:p>
  </w:endnote>
  <w:endnote w:type="continuationSeparator" w:id="0">
    <w:p w:rsidR="00BF57F4" w:rsidRDefault="00BF57F4" w:rsidP="00D53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vers LT Std 45 Light">
    <w:altName w:val="Univers LT Std 45 Light"/>
    <w:panose1 w:val="00000000000000000000"/>
    <w:charset w:val="00"/>
    <w:family w:val="swiss"/>
    <w:notTrueType/>
    <w:pitch w:val="default"/>
    <w:sig w:usb0="00000003" w:usb1="00000000" w:usb2="00000000" w:usb3="00000000" w:csb0="00000001" w:csb1="00000000"/>
  </w:font>
  <w:font w:name="Whitney Book">
    <w:altName w:val="Whitney Book"/>
    <w:panose1 w:val="00000000000000000000"/>
    <w:charset w:val="00"/>
    <w:family w:val="swiss"/>
    <w:notTrueType/>
    <w:pitch w:val="default"/>
    <w:sig w:usb0="00000003" w:usb1="00000000" w:usb2="00000000" w:usb3="00000000" w:csb0="00000001" w:csb1="00000000"/>
  </w:font>
  <w:font w:name="Gotham">
    <w:altName w:val="Gotham"/>
    <w:panose1 w:val="00000000000000000000"/>
    <w:charset w:val="00"/>
    <w:family w:val="swiss"/>
    <w:notTrueType/>
    <w:pitch w:val="default"/>
    <w:sig w:usb0="00000003" w:usb1="00000000" w:usb2="00000000" w:usb3="00000000" w:csb0="00000001" w:csb1="00000000"/>
  </w:font>
  <w:font w:name="The Sans Light">
    <w:altName w:val="The Sans Light"/>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Narrow">
    <w:panose1 w:val="00000000000000000000"/>
    <w:charset w:val="00"/>
    <w:family w:val="auto"/>
    <w:notTrueType/>
    <w:pitch w:val="default"/>
    <w:sig w:usb0="00000003" w:usb1="00000000" w:usb2="00000000" w:usb3="00000000" w:csb0="00000001" w:csb1="00000000"/>
  </w:font>
  <w:font w:name="UniversLTStd-LightCn">
    <w:panose1 w:val="00000000000000000000"/>
    <w:charset w:val="00"/>
    <w:family w:val="swiss"/>
    <w:notTrueType/>
    <w:pitch w:val="default"/>
    <w:sig w:usb0="00000003" w:usb1="00000000" w:usb2="00000000" w:usb3="00000000" w:csb0="00000001" w:csb1="00000000"/>
  </w:font>
  <w:font w:name="Whitney Semibold">
    <w:altName w:val="Whitney Semi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7435286"/>
      <w:docPartObj>
        <w:docPartGallery w:val="Page Numbers (Bottom of Page)"/>
        <w:docPartUnique/>
      </w:docPartObj>
    </w:sdtPr>
    <w:sdtEndPr/>
    <w:sdtContent>
      <w:p w:rsidR="00055F99" w:rsidRDefault="00055F99">
        <w:pPr>
          <w:pStyle w:val="Piedepgina"/>
          <w:jc w:val="center"/>
        </w:pPr>
        <w:r>
          <w:fldChar w:fldCharType="begin"/>
        </w:r>
        <w:r>
          <w:instrText>PAGE   \* MERGEFORMAT</w:instrText>
        </w:r>
        <w:r>
          <w:fldChar w:fldCharType="separate"/>
        </w:r>
        <w:r w:rsidR="007B5B9F" w:rsidRPr="007B5B9F">
          <w:rPr>
            <w:noProof/>
            <w:lang w:val="es-ES"/>
          </w:rPr>
          <w:t>15</w:t>
        </w:r>
        <w:r>
          <w:fldChar w:fldCharType="end"/>
        </w:r>
      </w:p>
    </w:sdtContent>
  </w:sdt>
  <w:p w:rsidR="00055F99" w:rsidRDefault="00055F9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7F4" w:rsidRDefault="00BF57F4" w:rsidP="00D53FD7">
      <w:pPr>
        <w:spacing w:after="0" w:line="240" w:lineRule="auto"/>
      </w:pPr>
      <w:r>
        <w:separator/>
      </w:r>
    </w:p>
  </w:footnote>
  <w:footnote w:type="continuationSeparator" w:id="0">
    <w:p w:rsidR="00BF57F4" w:rsidRDefault="00BF57F4" w:rsidP="00D53FD7">
      <w:pPr>
        <w:spacing w:after="0" w:line="240" w:lineRule="auto"/>
      </w:pPr>
      <w:r>
        <w:continuationSeparator/>
      </w:r>
    </w:p>
  </w:footnote>
  <w:footnote w:id="1">
    <w:p w:rsidR="00055F99" w:rsidRPr="00D53FD7" w:rsidRDefault="00055F99" w:rsidP="00D53FD7">
      <w:pPr>
        <w:pStyle w:val="Textonotapie"/>
        <w:jc w:val="both"/>
        <w:rPr>
          <w:lang w:val="es-ES"/>
        </w:rPr>
      </w:pPr>
      <w:r>
        <w:rPr>
          <w:rStyle w:val="Refdenotaalpie"/>
        </w:rPr>
        <w:footnoteRef/>
      </w:r>
      <w:r>
        <w:t xml:space="preserve"> </w:t>
      </w:r>
      <w:r w:rsidRPr="00D53FD7">
        <w:rPr>
          <w:rFonts w:cs="Arial"/>
          <w:sz w:val="18"/>
          <w:szCs w:val="18"/>
        </w:rPr>
        <w:t>El Programa de Naciones Unidas para el Desarrollo (PNUD) crea en 1990 el Índice de Desarrollo Humano (IDH) para medir el progreso de un país. Para medir el IDH considera la vida larga y saludable (esperanza de vida); la adquisición de conocimientos (nivel educativo); y el acceso a los recursos para un nivel de vida decoroso (PIB real-paridad de poder adquisitivo). Posteriormente se crea el Índice de Desarrollo relacionado con la Mujer (IDM) que mide el grado de adelanto incorporando la desigualdad hombre-mujer y el Índice de Potenciación de la Mujer (IPM) que se centra en la participación de las mujeres en la vida económica y política y en la adopción de decisiones. En la actualidad el PNUD utiliza el Índice de Desigualdad de Género (IDG), índice compuesto que mide la pérdida de logros debido a la desigualdad entre hombres y mujeres en tres dimensiones del desarrollo humano: salud reproductiva, empoderamiento y mercado laboral. Cada año el PNUD elabora un Informe mundial y cataloga los países en función del IDH y del  IDG</w:t>
      </w:r>
      <w:r>
        <w:rPr>
          <w:rFonts w:cs="Arial"/>
          <w:sz w:val="18"/>
          <w:szCs w:val="18"/>
        </w:rPr>
        <w:t>.</w:t>
      </w:r>
    </w:p>
  </w:footnote>
  <w:footnote w:id="2">
    <w:p w:rsidR="00055F99" w:rsidRPr="004863AD" w:rsidRDefault="00055F99" w:rsidP="00A100FD">
      <w:pPr>
        <w:pStyle w:val="Textonotapie"/>
        <w:jc w:val="both"/>
        <w:rPr>
          <w:rFonts w:ascii="Arial" w:hAnsi="Arial" w:cs="Arial"/>
        </w:rPr>
      </w:pPr>
      <w:r w:rsidRPr="004863AD">
        <w:rPr>
          <w:rStyle w:val="Refdenotaalpie"/>
          <w:rFonts w:ascii="Arial" w:hAnsi="Arial" w:cs="Arial"/>
        </w:rPr>
        <w:footnoteRef/>
      </w:r>
      <w:r w:rsidRPr="004863AD">
        <w:rPr>
          <w:rFonts w:ascii="Arial" w:hAnsi="Arial" w:cs="Arial"/>
        </w:rPr>
        <w:t xml:space="preserve"> </w:t>
      </w:r>
      <w:r w:rsidRPr="00A100FD">
        <w:rPr>
          <w:rFonts w:cs="Arial"/>
          <w:sz w:val="18"/>
          <w:szCs w:val="18"/>
        </w:rPr>
        <w:t>CONCORD (</w:t>
      </w:r>
      <w:proofErr w:type="spellStart"/>
      <w:r w:rsidRPr="00A100FD">
        <w:rPr>
          <w:rFonts w:cs="Arial"/>
          <w:sz w:val="18"/>
          <w:szCs w:val="18"/>
        </w:rPr>
        <w:t>European</w:t>
      </w:r>
      <w:proofErr w:type="spellEnd"/>
      <w:r w:rsidRPr="00A100FD">
        <w:rPr>
          <w:rFonts w:cs="Arial"/>
          <w:sz w:val="18"/>
          <w:szCs w:val="18"/>
        </w:rPr>
        <w:t xml:space="preserve"> NGO </w:t>
      </w:r>
      <w:proofErr w:type="spellStart"/>
      <w:r w:rsidRPr="00A100FD">
        <w:rPr>
          <w:rFonts w:cs="Arial"/>
          <w:sz w:val="18"/>
          <w:szCs w:val="18"/>
        </w:rPr>
        <w:t>confederation</w:t>
      </w:r>
      <w:proofErr w:type="spellEnd"/>
      <w:r w:rsidRPr="00A100FD">
        <w:rPr>
          <w:rFonts w:cs="Arial"/>
          <w:sz w:val="18"/>
          <w:szCs w:val="18"/>
        </w:rPr>
        <w:t xml:space="preserve"> </w:t>
      </w:r>
      <w:proofErr w:type="spellStart"/>
      <w:r w:rsidRPr="00A100FD">
        <w:rPr>
          <w:rFonts w:cs="Arial"/>
          <w:sz w:val="18"/>
          <w:szCs w:val="18"/>
        </w:rPr>
        <w:t>for</w:t>
      </w:r>
      <w:proofErr w:type="spellEnd"/>
      <w:r w:rsidRPr="00A100FD">
        <w:rPr>
          <w:rFonts w:cs="Arial"/>
          <w:sz w:val="18"/>
          <w:szCs w:val="18"/>
        </w:rPr>
        <w:t xml:space="preserve"> </w:t>
      </w:r>
      <w:proofErr w:type="spellStart"/>
      <w:r w:rsidRPr="00A100FD">
        <w:rPr>
          <w:rFonts w:cs="Arial"/>
          <w:sz w:val="18"/>
          <w:szCs w:val="18"/>
        </w:rPr>
        <w:t>relief</w:t>
      </w:r>
      <w:proofErr w:type="spellEnd"/>
      <w:r w:rsidRPr="00A100FD">
        <w:rPr>
          <w:rFonts w:cs="Arial"/>
          <w:sz w:val="18"/>
          <w:szCs w:val="18"/>
        </w:rPr>
        <w:t xml:space="preserve"> and </w:t>
      </w:r>
      <w:proofErr w:type="spellStart"/>
      <w:r w:rsidRPr="00A100FD">
        <w:rPr>
          <w:rFonts w:cs="Arial"/>
          <w:sz w:val="18"/>
          <w:szCs w:val="18"/>
        </w:rPr>
        <w:t>development</w:t>
      </w:r>
      <w:proofErr w:type="spellEnd"/>
      <w:r w:rsidRPr="00A100FD">
        <w:rPr>
          <w:rFonts w:cs="Arial"/>
          <w:sz w:val="18"/>
          <w:szCs w:val="18"/>
        </w:rPr>
        <w:t>) es la confederación europea de ONG de cooperación para el desarrollo</w:t>
      </w:r>
      <w:r w:rsidRPr="004863AD">
        <w:rPr>
          <w:rFonts w:ascii="Arial" w:hAnsi="Arial" w:cs="Arial"/>
        </w:rPr>
        <w:t>.</w:t>
      </w:r>
    </w:p>
  </w:footnote>
  <w:footnote w:id="3">
    <w:p w:rsidR="00055F99" w:rsidRPr="004863AD" w:rsidRDefault="00055F99" w:rsidP="00A100FD">
      <w:pPr>
        <w:pStyle w:val="Textonotapie"/>
        <w:jc w:val="both"/>
        <w:rPr>
          <w:rFonts w:ascii="Arial" w:hAnsi="Arial" w:cs="Arial"/>
        </w:rPr>
      </w:pPr>
      <w:r>
        <w:rPr>
          <w:rStyle w:val="Refdenotaalpie"/>
        </w:rPr>
        <w:footnoteRef/>
      </w:r>
      <w:r>
        <w:t xml:space="preserve"> </w:t>
      </w:r>
      <w:r w:rsidRPr="00A100FD">
        <w:rPr>
          <w:rFonts w:cs="Arial"/>
          <w:sz w:val="18"/>
          <w:szCs w:val="18"/>
        </w:rPr>
        <w:t xml:space="preserve">Según el Fondo de Población de Naciones Unidas (FNUAP 2005), la salud sexual y  reproductiva se define como </w:t>
      </w:r>
      <w:r w:rsidRPr="00A100FD">
        <w:rPr>
          <w:rFonts w:cs="Arial"/>
          <w:i/>
          <w:sz w:val="18"/>
          <w:szCs w:val="18"/>
        </w:rPr>
        <w:t>“un estado de bienestar físico, mental y social y no de mera ausencia de enfermedad o dolencia, en todos los aspectos relacionados con el sistema reproductivo y sus funciones y procesos. Entraña además la capacidad de disfrutar de una vida sexual satisfactoria y sin riesgos y de procrear, y la libertad para decidir hacerlo o no hacerlo, cuándo y con qué frecuencia”</w:t>
      </w:r>
      <w:r w:rsidRPr="00A100FD">
        <w:rPr>
          <w:rFonts w:cs="Arial"/>
          <w:sz w:val="18"/>
          <w:szCs w:val="18"/>
        </w:rPr>
        <w:t>.  Esta definición fue consensuada en 1994 en la Conferencia Internacional sobre Población y Desarrollo de Naciones Unidas celebrada en El Cairo</w:t>
      </w:r>
      <w:r w:rsidRPr="004863AD">
        <w:rPr>
          <w:rFonts w:ascii="Arial" w:hAnsi="Arial" w:cs="Arial"/>
        </w:rPr>
        <w:t>.</w:t>
      </w:r>
    </w:p>
  </w:footnote>
  <w:footnote w:id="4">
    <w:p w:rsidR="00055F99" w:rsidRPr="00A100FD" w:rsidRDefault="00055F99" w:rsidP="00A100FD">
      <w:pPr>
        <w:autoSpaceDE w:val="0"/>
        <w:autoSpaceDN w:val="0"/>
        <w:adjustRightInd w:val="0"/>
        <w:spacing w:after="0" w:line="240" w:lineRule="auto"/>
        <w:jc w:val="both"/>
        <w:rPr>
          <w:rFonts w:cs="Arial"/>
          <w:sz w:val="18"/>
          <w:szCs w:val="18"/>
        </w:rPr>
      </w:pPr>
      <w:r w:rsidRPr="004863AD">
        <w:rPr>
          <w:rStyle w:val="Refdenotaalpie"/>
          <w:rFonts w:ascii="Arial" w:hAnsi="Arial" w:cs="Arial"/>
          <w:sz w:val="20"/>
          <w:szCs w:val="20"/>
        </w:rPr>
        <w:footnoteRef/>
      </w:r>
      <w:r w:rsidRPr="004863AD">
        <w:rPr>
          <w:rFonts w:ascii="Arial" w:hAnsi="Arial" w:cs="Arial"/>
          <w:sz w:val="20"/>
          <w:szCs w:val="20"/>
        </w:rPr>
        <w:t xml:space="preserve"> </w:t>
      </w:r>
      <w:r w:rsidRPr="00A100FD">
        <w:rPr>
          <w:rFonts w:cs="Arial"/>
          <w:sz w:val="18"/>
          <w:szCs w:val="18"/>
        </w:rPr>
        <w:t>Tasa de mortalidad materna: proporción entre la cantidad de muertes maternas y la cantidad de nacidos vivos en un año determinado, expresada por cada 100.000 nacidos vivos.</w:t>
      </w:r>
    </w:p>
    <w:p w:rsidR="00055F99" w:rsidRPr="00A100FD" w:rsidRDefault="00055F99" w:rsidP="00A100FD">
      <w:pPr>
        <w:autoSpaceDE w:val="0"/>
        <w:autoSpaceDN w:val="0"/>
        <w:adjustRightInd w:val="0"/>
        <w:spacing w:after="0" w:line="240" w:lineRule="auto"/>
        <w:jc w:val="both"/>
        <w:rPr>
          <w:rFonts w:cs="Arial"/>
          <w:sz w:val="18"/>
          <w:szCs w:val="18"/>
        </w:rPr>
      </w:pPr>
      <w:r w:rsidRPr="00A100FD">
        <w:rPr>
          <w:rFonts w:cs="Arial"/>
          <w:sz w:val="18"/>
          <w:szCs w:val="18"/>
        </w:rPr>
        <w:t>Tasa de fecundidad adolescente: cantidad de nacimientos de mujeres entre 15 y 19 años, expresados cada 1.000 mujeres de esa misma edad.</w:t>
      </w:r>
    </w:p>
    <w:p w:rsidR="00055F99" w:rsidRPr="00A100FD" w:rsidRDefault="00055F99" w:rsidP="00A100FD">
      <w:pPr>
        <w:autoSpaceDE w:val="0"/>
        <w:autoSpaceDN w:val="0"/>
        <w:adjustRightInd w:val="0"/>
        <w:spacing w:after="0" w:line="240" w:lineRule="auto"/>
        <w:jc w:val="both"/>
        <w:rPr>
          <w:rFonts w:cs="Arial"/>
          <w:sz w:val="18"/>
          <w:szCs w:val="18"/>
        </w:rPr>
      </w:pPr>
      <w:r w:rsidRPr="00A100FD">
        <w:rPr>
          <w:rFonts w:cs="Arial"/>
          <w:sz w:val="18"/>
          <w:szCs w:val="18"/>
        </w:rPr>
        <w:t>Tasa de uso de anticonceptivos: porcentaje de mujeres en edad reproductiva (entre 15 y 49 años) que usa o cuya pareja usa alguna forma de anticonceptivo, ya sea moderno o tradicional.</w:t>
      </w:r>
    </w:p>
    <w:p w:rsidR="00055F99" w:rsidRPr="00A100FD" w:rsidRDefault="00055F99" w:rsidP="00A100FD">
      <w:pPr>
        <w:autoSpaceDE w:val="0"/>
        <w:autoSpaceDN w:val="0"/>
        <w:adjustRightInd w:val="0"/>
        <w:spacing w:after="0" w:line="240" w:lineRule="auto"/>
        <w:jc w:val="both"/>
        <w:rPr>
          <w:rFonts w:cs="Arial"/>
          <w:sz w:val="18"/>
          <w:szCs w:val="18"/>
        </w:rPr>
      </w:pPr>
      <w:r w:rsidRPr="00A100FD">
        <w:rPr>
          <w:rFonts w:cs="Arial"/>
          <w:sz w:val="18"/>
          <w:szCs w:val="18"/>
        </w:rPr>
        <w:t>Partos atendidos por personal sanitario: porcentaje de partos atendidos por personal sanitario (médicos, enfermeras y comadronas) capacitado para ofrecer los cuidados, el control y la orientación que requiere una mujer durante el embarazo, el parto y el post-parto; para atender un parto sin ayuda; y para atender a un recién nacido.</w:t>
      </w:r>
    </w:p>
    <w:p w:rsidR="00055F99" w:rsidRPr="004863AD" w:rsidRDefault="00055F99" w:rsidP="00A100FD">
      <w:pPr>
        <w:autoSpaceDE w:val="0"/>
        <w:autoSpaceDN w:val="0"/>
        <w:adjustRightInd w:val="0"/>
        <w:spacing w:after="0" w:line="240" w:lineRule="auto"/>
        <w:jc w:val="both"/>
        <w:rPr>
          <w:rFonts w:ascii="Arial" w:hAnsi="Arial" w:cs="Arial"/>
          <w:sz w:val="20"/>
          <w:szCs w:val="20"/>
        </w:rPr>
      </w:pPr>
      <w:r w:rsidRPr="00A100FD">
        <w:rPr>
          <w:rFonts w:cs="Arial"/>
          <w:sz w:val="18"/>
          <w:szCs w:val="18"/>
        </w:rPr>
        <w:t>Tasa de fecundidad total: cantidad de hijos que tendría cada mujer si viviera hasta el fin de su edad reproductiva y tuviera hijos en cada edad según las tasas vigentes de fecundidad específicas para esa edad.</w:t>
      </w:r>
    </w:p>
  </w:footnote>
  <w:footnote w:id="5">
    <w:p w:rsidR="00055F99" w:rsidRPr="00FC4C08" w:rsidRDefault="00055F99" w:rsidP="00FC4C08">
      <w:pPr>
        <w:autoSpaceDE w:val="0"/>
        <w:autoSpaceDN w:val="0"/>
        <w:adjustRightInd w:val="0"/>
        <w:spacing w:after="0" w:line="240" w:lineRule="auto"/>
        <w:jc w:val="both"/>
        <w:rPr>
          <w:rFonts w:cs="Arial"/>
          <w:sz w:val="18"/>
          <w:szCs w:val="18"/>
        </w:rPr>
      </w:pPr>
      <w:r>
        <w:rPr>
          <w:rStyle w:val="Refdenotaalpie"/>
        </w:rPr>
        <w:footnoteRef/>
      </w:r>
      <w:r>
        <w:t xml:space="preserve"> </w:t>
      </w:r>
      <w:r w:rsidRPr="00FC4C08">
        <w:rPr>
          <w:rFonts w:cs="Arial"/>
          <w:sz w:val="18"/>
          <w:szCs w:val="18"/>
        </w:rPr>
        <w:t>Tasa de participación en la fuerza de trabajo: porcentaje de la población económicamente activa del país que participa en el mercado laboral, ya sea trabajando o buscando trabajo, expresado como porcentaje de la población económicamente activa.</w:t>
      </w:r>
    </w:p>
  </w:footnote>
  <w:footnote w:id="6">
    <w:p w:rsidR="00055F99" w:rsidRPr="005601DA" w:rsidRDefault="00055F99" w:rsidP="005601DA">
      <w:pPr>
        <w:autoSpaceDE w:val="0"/>
        <w:autoSpaceDN w:val="0"/>
        <w:adjustRightInd w:val="0"/>
        <w:spacing w:after="0" w:line="240" w:lineRule="auto"/>
        <w:jc w:val="both"/>
        <w:rPr>
          <w:sz w:val="18"/>
          <w:szCs w:val="18"/>
          <w:lang w:val="es-ES"/>
        </w:rPr>
      </w:pPr>
      <w:r>
        <w:rPr>
          <w:rStyle w:val="Refdenotaalpie"/>
        </w:rPr>
        <w:footnoteRef/>
      </w:r>
      <w:r>
        <w:t xml:space="preserve"> </w:t>
      </w:r>
      <w:r w:rsidRPr="005601DA">
        <w:rPr>
          <w:sz w:val="18"/>
          <w:szCs w:val="18"/>
          <w:lang w:val="es-ES"/>
        </w:rPr>
        <w:t xml:space="preserve">Los cinco “cambios transformadores” son: </w:t>
      </w:r>
      <w:r w:rsidRPr="005601DA">
        <w:rPr>
          <w:rFonts w:cs="Times New Roman"/>
          <w:sz w:val="18"/>
          <w:szCs w:val="18"/>
          <w:lang w:val="es-ES"/>
        </w:rPr>
        <w:t>1</w:t>
      </w:r>
      <w:r w:rsidRPr="005601DA">
        <w:rPr>
          <w:sz w:val="18"/>
          <w:szCs w:val="18"/>
          <w:lang w:val="es-ES"/>
        </w:rPr>
        <w:t>) no dejar a nadie atrás; 2) hacer del desarrollo sostenible el elemento central de la agenda; 3) transformar las economías con el fin de crear empleos y promover un crecimiento inclusivo; 4) consolidar la paz y crear instituciones públicas eficaces, abiertas y responsables; y 5) forjar una nueva alianza mundial</w:t>
      </w:r>
    </w:p>
    <w:p w:rsidR="00055F99" w:rsidRPr="005601DA" w:rsidRDefault="00055F99" w:rsidP="005601DA">
      <w:pPr>
        <w:autoSpaceDE w:val="0"/>
        <w:autoSpaceDN w:val="0"/>
        <w:adjustRightInd w:val="0"/>
        <w:spacing w:after="0" w:line="240" w:lineRule="auto"/>
        <w:jc w:val="both"/>
        <w:rPr>
          <w:sz w:val="18"/>
          <w:szCs w:val="18"/>
          <w:lang w:val="es-ES"/>
        </w:rPr>
      </w:pPr>
    </w:p>
    <w:p w:rsidR="00055F99" w:rsidRPr="005601DA" w:rsidRDefault="00055F99">
      <w:pPr>
        <w:pStyle w:val="Textonotapie"/>
        <w:rPr>
          <w:lang w:val="es-ES"/>
        </w:rPr>
      </w:pPr>
    </w:p>
  </w:footnote>
  <w:footnote w:id="7">
    <w:p w:rsidR="00055F99" w:rsidRPr="00980C6E" w:rsidRDefault="00055F99" w:rsidP="00980C6E">
      <w:pPr>
        <w:autoSpaceDE w:val="0"/>
        <w:autoSpaceDN w:val="0"/>
        <w:adjustRightInd w:val="0"/>
        <w:spacing w:after="0" w:line="240" w:lineRule="auto"/>
        <w:jc w:val="both"/>
        <w:rPr>
          <w:sz w:val="18"/>
          <w:szCs w:val="18"/>
        </w:rPr>
      </w:pPr>
      <w:r>
        <w:rPr>
          <w:rStyle w:val="Refdenotaalpie"/>
        </w:rPr>
        <w:footnoteRef/>
      </w:r>
      <w:r>
        <w:t xml:space="preserve"> </w:t>
      </w:r>
      <w:r w:rsidRPr="00980C6E">
        <w:rPr>
          <w:sz w:val="18"/>
          <w:szCs w:val="18"/>
          <w:lang w:val="es-ES"/>
        </w:rPr>
        <w:t>Los ODS son</w:t>
      </w:r>
      <w:r>
        <w:rPr>
          <w:lang w:val="es-ES"/>
        </w:rPr>
        <w:t xml:space="preserve">: </w:t>
      </w:r>
      <w:r w:rsidRPr="00980C6E">
        <w:rPr>
          <w:sz w:val="18"/>
          <w:szCs w:val="18"/>
        </w:rPr>
        <w:t xml:space="preserve">1. Poner fin a la pobreza en todas sus formas en todo el mundo; 2. Poner fin al hambre, lograr la seguridad alimentaria y la mejora de la nutrición y promover la agricultura sostenible; 3. Garantizar una vida sana y promover el bienestar para todos en todas las edades; 4. Garantizar una educación inclusiva, equitativa y de calidad y promover oportunidades de aprendizaje durante toda la vida para todos; 5. Lograr la igualdad entre los géneros y el empoderamiento de todas las mujeres y niñas; 6. Garantizar la disponibilidad de agua y su ordenación sostenible y el saneamiento para todos; 7. Garantizar el acceso a una energía asequible, segura, sostenible y moderna para todos; 8. Promover el crecimiento económico sostenido, inclusivo y sostenible, el empleo pleno y productivo y el trabajo decente para todos; 9. Construir infraestructura </w:t>
      </w:r>
      <w:proofErr w:type="spellStart"/>
      <w:r w:rsidRPr="00980C6E">
        <w:rPr>
          <w:sz w:val="18"/>
          <w:szCs w:val="18"/>
        </w:rPr>
        <w:t>resiliente</w:t>
      </w:r>
      <w:proofErr w:type="spellEnd"/>
      <w:r w:rsidRPr="00980C6E">
        <w:rPr>
          <w:sz w:val="18"/>
          <w:szCs w:val="18"/>
        </w:rPr>
        <w:t xml:space="preserve">, promover la industrialización inclusiva y sostenible y fomentar la innovación; 10. Reducir la desigualdad en y entre los países; 11. Lograr que las ciudades y los asentamientos humanos sean inclusivos, seguros, </w:t>
      </w:r>
      <w:proofErr w:type="spellStart"/>
      <w:r w:rsidRPr="00980C6E">
        <w:rPr>
          <w:sz w:val="18"/>
          <w:szCs w:val="18"/>
        </w:rPr>
        <w:t>resilientes</w:t>
      </w:r>
      <w:proofErr w:type="spellEnd"/>
      <w:r w:rsidRPr="00980C6E">
        <w:rPr>
          <w:sz w:val="18"/>
          <w:szCs w:val="18"/>
        </w:rPr>
        <w:t xml:space="preserve"> y sostenibles; 12. Garantizar modalidades de consumo y producción sostenibles; 13. Adoptar medidas urgentes para combatir el cambio climático y sus efectos; 14. Conservar y utilizar en forma sostenible los océanos, los mares y los recursos marinos para el desarrollo sostenible; 15. Proteger, restablecer y promover el uso sostenible de los ecosistemas terrestres, efectuar una ordenación sostenible de los bosques, luchar contra la desertificación, detener y revertir la degradación de las tierras y poner freno a la pérdida de la diversidad biológica; 16. Promover sociedades pacíficas e inclusivas para el desarrollo sostenible, facilitar el acceso a la justicia para todos y crear instituciones eficaces, responsables e inclusivas a todos los niveles; 17. Fortalecer los medios de ejecución y revitalizar la alianza mundial para el desarrollo sostenible</w:t>
      </w:r>
    </w:p>
    <w:p w:rsidR="00055F99" w:rsidRPr="00980C6E" w:rsidRDefault="00055F99">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nsid w:val="015F468F"/>
    <w:multiLevelType w:val="multilevel"/>
    <w:tmpl w:val="3432A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214918"/>
    <w:multiLevelType w:val="hybridMultilevel"/>
    <w:tmpl w:val="E138D1C0"/>
    <w:lvl w:ilvl="0" w:tplc="B87E714E">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9E04F26"/>
    <w:multiLevelType w:val="hybridMultilevel"/>
    <w:tmpl w:val="3E1661D4"/>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nsid w:val="536E78B9"/>
    <w:multiLevelType w:val="hybridMultilevel"/>
    <w:tmpl w:val="23C6CF84"/>
    <w:lvl w:ilvl="0" w:tplc="B87E714E">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5223911"/>
    <w:multiLevelType w:val="hybridMultilevel"/>
    <w:tmpl w:val="6C69A13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5A59433F"/>
    <w:multiLevelType w:val="hybridMultilevel"/>
    <w:tmpl w:val="FB8610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3"/>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667"/>
    <w:rsid w:val="00006A5A"/>
    <w:rsid w:val="00012195"/>
    <w:rsid w:val="000349CA"/>
    <w:rsid w:val="0004250D"/>
    <w:rsid w:val="0005401D"/>
    <w:rsid w:val="00055F99"/>
    <w:rsid w:val="00061F04"/>
    <w:rsid w:val="000B374F"/>
    <w:rsid w:val="000E6046"/>
    <w:rsid w:val="000F768E"/>
    <w:rsid w:val="00117D2E"/>
    <w:rsid w:val="00175B94"/>
    <w:rsid w:val="001D6EE5"/>
    <w:rsid w:val="001E1976"/>
    <w:rsid w:val="001E2F96"/>
    <w:rsid w:val="001F10B6"/>
    <w:rsid w:val="001F7F67"/>
    <w:rsid w:val="00213A82"/>
    <w:rsid w:val="00236C71"/>
    <w:rsid w:val="00240793"/>
    <w:rsid w:val="00276AE4"/>
    <w:rsid w:val="002A3986"/>
    <w:rsid w:val="002A5B34"/>
    <w:rsid w:val="002C5486"/>
    <w:rsid w:val="002E43A0"/>
    <w:rsid w:val="002E767D"/>
    <w:rsid w:val="002F3E5E"/>
    <w:rsid w:val="00315E04"/>
    <w:rsid w:val="003266C9"/>
    <w:rsid w:val="00392AF4"/>
    <w:rsid w:val="003A5703"/>
    <w:rsid w:val="003B342C"/>
    <w:rsid w:val="003B43CE"/>
    <w:rsid w:val="003D6DB5"/>
    <w:rsid w:val="003F17C5"/>
    <w:rsid w:val="003F39A9"/>
    <w:rsid w:val="00410947"/>
    <w:rsid w:val="0042176F"/>
    <w:rsid w:val="004426B7"/>
    <w:rsid w:val="004523BA"/>
    <w:rsid w:val="004818C4"/>
    <w:rsid w:val="0049599A"/>
    <w:rsid w:val="004A3FC4"/>
    <w:rsid w:val="004D38B8"/>
    <w:rsid w:val="004F109E"/>
    <w:rsid w:val="00530FA0"/>
    <w:rsid w:val="005601DA"/>
    <w:rsid w:val="005738E0"/>
    <w:rsid w:val="005851E6"/>
    <w:rsid w:val="0058567A"/>
    <w:rsid w:val="005B203D"/>
    <w:rsid w:val="005B6034"/>
    <w:rsid w:val="0065266A"/>
    <w:rsid w:val="00680AAA"/>
    <w:rsid w:val="00682E66"/>
    <w:rsid w:val="0069375F"/>
    <w:rsid w:val="006A5E71"/>
    <w:rsid w:val="006B1162"/>
    <w:rsid w:val="006C0491"/>
    <w:rsid w:val="006F40AA"/>
    <w:rsid w:val="006F4528"/>
    <w:rsid w:val="006F7878"/>
    <w:rsid w:val="00712E06"/>
    <w:rsid w:val="00723AB5"/>
    <w:rsid w:val="00730855"/>
    <w:rsid w:val="007854D7"/>
    <w:rsid w:val="00792907"/>
    <w:rsid w:val="007A455F"/>
    <w:rsid w:val="007B3E96"/>
    <w:rsid w:val="007B5B9F"/>
    <w:rsid w:val="007F7918"/>
    <w:rsid w:val="00823B6C"/>
    <w:rsid w:val="00850689"/>
    <w:rsid w:val="00881667"/>
    <w:rsid w:val="008A5467"/>
    <w:rsid w:val="00916441"/>
    <w:rsid w:val="009478A0"/>
    <w:rsid w:val="00952DAB"/>
    <w:rsid w:val="009539B0"/>
    <w:rsid w:val="00973B90"/>
    <w:rsid w:val="00980C6E"/>
    <w:rsid w:val="00983BC9"/>
    <w:rsid w:val="0099269E"/>
    <w:rsid w:val="009A6D2A"/>
    <w:rsid w:val="009B0678"/>
    <w:rsid w:val="009B2F20"/>
    <w:rsid w:val="009B3B2B"/>
    <w:rsid w:val="009C59B0"/>
    <w:rsid w:val="009D0026"/>
    <w:rsid w:val="009D3336"/>
    <w:rsid w:val="00A100FD"/>
    <w:rsid w:val="00A37DBA"/>
    <w:rsid w:val="00A7223E"/>
    <w:rsid w:val="00AA2BA5"/>
    <w:rsid w:val="00AB149C"/>
    <w:rsid w:val="00AE256B"/>
    <w:rsid w:val="00AE79F0"/>
    <w:rsid w:val="00B40EAC"/>
    <w:rsid w:val="00BB1DAE"/>
    <w:rsid w:val="00BC4F73"/>
    <w:rsid w:val="00BE3BF8"/>
    <w:rsid w:val="00BF2641"/>
    <w:rsid w:val="00BF57F4"/>
    <w:rsid w:val="00BF70C2"/>
    <w:rsid w:val="00C01C64"/>
    <w:rsid w:val="00C14249"/>
    <w:rsid w:val="00C853AA"/>
    <w:rsid w:val="00CC2A14"/>
    <w:rsid w:val="00CE06AB"/>
    <w:rsid w:val="00D04127"/>
    <w:rsid w:val="00D404AE"/>
    <w:rsid w:val="00D42E56"/>
    <w:rsid w:val="00D53FD7"/>
    <w:rsid w:val="00D624B0"/>
    <w:rsid w:val="00DA0127"/>
    <w:rsid w:val="00DA730A"/>
    <w:rsid w:val="00DA787A"/>
    <w:rsid w:val="00DB5896"/>
    <w:rsid w:val="00DC4C4C"/>
    <w:rsid w:val="00DE4868"/>
    <w:rsid w:val="00DE4E68"/>
    <w:rsid w:val="00E67B72"/>
    <w:rsid w:val="00EA0115"/>
    <w:rsid w:val="00EA322C"/>
    <w:rsid w:val="00EA7EFA"/>
    <w:rsid w:val="00EC2ADB"/>
    <w:rsid w:val="00EF3ADE"/>
    <w:rsid w:val="00EF3E4F"/>
    <w:rsid w:val="00F06650"/>
    <w:rsid w:val="00F52295"/>
    <w:rsid w:val="00F639D9"/>
    <w:rsid w:val="00F67B9D"/>
    <w:rsid w:val="00FA36AD"/>
    <w:rsid w:val="00FB634B"/>
    <w:rsid w:val="00FC4695"/>
    <w:rsid w:val="00FC4C08"/>
    <w:rsid w:val="00FF069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CO"/>
    </w:rPr>
  </w:style>
  <w:style w:type="paragraph" w:styleId="Ttulo3">
    <w:name w:val="heading 3"/>
    <w:basedOn w:val="Normal"/>
    <w:link w:val="Ttulo3Car"/>
    <w:uiPriority w:val="9"/>
    <w:qFormat/>
    <w:rsid w:val="005738E0"/>
    <w:pPr>
      <w:spacing w:before="100" w:beforeAutospacing="1" w:after="100" w:afterAutospacing="1" w:line="240" w:lineRule="auto"/>
      <w:outlineLvl w:val="2"/>
    </w:pPr>
    <w:rPr>
      <w:rFonts w:ascii="Times New Roman" w:eastAsia="Times New Roman" w:hAnsi="Times New Roman" w:cs="Times New Roman"/>
      <w:b/>
      <w:bCs/>
      <w:sz w:val="27"/>
      <w:szCs w:val="27"/>
      <w:lang w:val="fr-FR" w:eastAsia="fr-F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5738E0"/>
    <w:rPr>
      <w:rFonts w:ascii="Times New Roman" w:eastAsia="Times New Roman" w:hAnsi="Times New Roman" w:cs="Times New Roman"/>
      <w:b/>
      <w:bCs/>
      <w:sz w:val="27"/>
      <w:szCs w:val="27"/>
      <w:lang w:eastAsia="fr-FR"/>
    </w:rPr>
  </w:style>
  <w:style w:type="character" w:styleId="Hipervnculo">
    <w:name w:val="Hyperlink"/>
    <w:basedOn w:val="Fuentedeprrafopredeter"/>
    <w:unhideWhenUsed/>
    <w:rsid w:val="005738E0"/>
    <w:rPr>
      <w:color w:val="0000FF"/>
      <w:u w:val="single"/>
    </w:rPr>
  </w:style>
  <w:style w:type="character" w:customStyle="1" w:styleId="mw-headline">
    <w:name w:val="mw-headline"/>
    <w:basedOn w:val="Fuentedeprrafopredeter"/>
    <w:rsid w:val="005738E0"/>
  </w:style>
  <w:style w:type="character" w:customStyle="1" w:styleId="mw-editsection1">
    <w:name w:val="mw-editsection1"/>
    <w:basedOn w:val="Fuentedeprrafopredeter"/>
    <w:rsid w:val="005738E0"/>
  </w:style>
  <w:style w:type="character" w:customStyle="1" w:styleId="mw-editsection-bracket">
    <w:name w:val="mw-editsection-bracket"/>
    <w:basedOn w:val="Fuentedeprrafopredeter"/>
    <w:rsid w:val="005738E0"/>
  </w:style>
  <w:style w:type="table" w:styleId="Tablaconcuadrcula">
    <w:name w:val="Table Grid"/>
    <w:basedOn w:val="Tablanormal"/>
    <w:uiPriority w:val="59"/>
    <w:rsid w:val="007854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Fuentedeprrafopredeter"/>
    <w:rsid w:val="006A5E71"/>
  </w:style>
  <w:style w:type="character" w:styleId="nfasis">
    <w:name w:val="Emphasis"/>
    <w:basedOn w:val="Fuentedeprrafopredeter"/>
    <w:uiPriority w:val="20"/>
    <w:qFormat/>
    <w:rsid w:val="006A5E71"/>
    <w:rPr>
      <w:i/>
      <w:iCs/>
    </w:rPr>
  </w:style>
  <w:style w:type="character" w:styleId="Refdenotaalpie">
    <w:name w:val="footnote reference"/>
    <w:basedOn w:val="Fuentedeprrafopredeter"/>
    <w:semiHidden/>
    <w:rsid w:val="00D53FD7"/>
    <w:rPr>
      <w:vertAlign w:val="superscript"/>
    </w:rPr>
  </w:style>
  <w:style w:type="paragraph" w:styleId="Textonotapie">
    <w:name w:val="footnote text"/>
    <w:basedOn w:val="Normal"/>
    <w:link w:val="TextonotapieCar"/>
    <w:semiHidden/>
    <w:unhideWhenUsed/>
    <w:rsid w:val="00D53FD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53FD7"/>
    <w:rPr>
      <w:sz w:val="20"/>
      <w:szCs w:val="20"/>
      <w:lang w:val="es-CO"/>
    </w:rPr>
  </w:style>
  <w:style w:type="paragraph" w:styleId="Prrafodelista">
    <w:name w:val="List Paragraph"/>
    <w:basedOn w:val="Normal"/>
    <w:uiPriority w:val="34"/>
    <w:qFormat/>
    <w:rsid w:val="00EC2ADB"/>
    <w:pPr>
      <w:spacing w:after="0" w:line="240" w:lineRule="auto"/>
      <w:ind w:left="720"/>
      <w:contextualSpacing/>
    </w:pPr>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AE256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E256B"/>
    <w:rPr>
      <w:lang w:val="es-CO"/>
    </w:rPr>
  </w:style>
  <w:style w:type="paragraph" w:styleId="Piedepgina">
    <w:name w:val="footer"/>
    <w:basedOn w:val="Normal"/>
    <w:link w:val="PiedepginaCar"/>
    <w:uiPriority w:val="99"/>
    <w:unhideWhenUsed/>
    <w:rsid w:val="00AE256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E256B"/>
    <w:rPr>
      <w:lang w:val="es-CO"/>
    </w:rPr>
  </w:style>
  <w:style w:type="paragraph" w:customStyle="1" w:styleId="Default">
    <w:name w:val="Default"/>
    <w:rsid w:val="00FC4695"/>
    <w:pPr>
      <w:autoSpaceDE w:val="0"/>
      <w:autoSpaceDN w:val="0"/>
      <w:adjustRightInd w:val="0"/>
      <w:spacing w:after="0" w:line="240" w:lineRule="auto"/>
    </w:pPr>
    <w:rPr>
      <w:rFonts w:ascii="Univers LT Std 45 Light" w:hAnsi="Univers LT Std 45 Light" w:cs="Univers LT Std 45 Light"/>
      <w:color w:val="000000"/>
      <w:sz w:val="24"/>
      <w:szCs w:val="24"/>
    </w:rPr>
  </w:style>
  <w:style w:type="paragraph" w:customStyle="1" w:styleId="Pa5">
    <w:name w:val="Pa5"/>
    <w:basedOn w:val="Default"/>
    <w:next w:val="Default"/>
    <w:uiPriority w:val="99"/>
    <w:rsid w:val="0005401D"/>
    <w:pPr>
      <w:spacing w:line="181" w:lineRule="atLeast"/>
    </w:pPr>
    <w:rPr>
      <w:rFonts w:ascii="Whitney Book" w:hAnsi="Whitney Book" w:cstheme="minorBidi"/>
      <w:color w:val="auto"/>
    </w:rPr>
  </w:style>
  <w:style w:type="character" w:customStyle="1" w:styleId="A5">
    <w:name w:val="A5"/>
    <w:uiPriority w:val="99"/>
    <w:rsid w:val="00D624B0"/>
    <w:rPr>
      <w:rFonts w:cs="Gotham"/>
      <w:color w:val="000000"/>
      <w:sz w:val="44"/>
      <w:szCs w:val="44"/>
      <w:u w:val="single"/>
    </w:rPr>
  </w:style>
  <w:style w:type="paragraph" w:customStyle="1" w:styleId="Pa18">
    <w:name w:val="Pa18"/>
    <w:basedOn w:val="Default"/>
    <w:next w:val="Default"/>
    <w:uiPriority w:val="99"/>
    <w:rsid w:val="00D624B0"/>
    <w:pPr>
      <w:spacing w:line="191" w:lineRule="atLeast"/>
    </w:pPr>
    <w:rPr>
      <w:rFonts w:ascii="The Sans Light" w:hAnsi="The Sans Light" w:cstheme="minorBidi"/>
      <w:color w:val="auto"/>
      <w:lang w:val="es-ES"/>
    </w:rPr>
  </w:style>
  <w:style w:type="paragraph" w:styleId="NormalWeb">
    <w:name w:val="Normal (Web)"/>
    <w:basedOn w:val="Normal"/>
    <w:uiPriority w:val="99"/>
    <w:semiHidden/>
    <w:unhideWhenUsed/>
    <w:rsid w:val="00CC2A14"/>
    <w:pPr>
      <w:spacing w:before="240" w:after="240" w:line="240" w:lineRule="auto"/>
    </w:pPr>
    <w:rPr>
      <w:rFonts w:ascii="Georgia" w:eastAsia="Times New Roman" w:hAnsi="Georgia" w:cs="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CO"/>
    </w:rPr>
  </w:style>
  <w:style w:type="paragraph" w:styleId="Ttulo3">
    <w:name w:val="heading 3"/>
    <w:basedOn w:val="Normal"/>
    <w:link w:val="Ttulo3Car"/>
    <w:uiPriority w:val="9"/>
    <w:qFormat/>
    <w:rsid w:val="005738E0"/>
    <w:pPr>
      <w:spacing w:before="100" w:beforeAutospacing="1" w:after="100" w:afterAutospacing="1" w:line="240" w:lineRule="auto"/>
      <w:outlineLvl w:val="2"/>
    </w:pPr>
    <w:rPr>
      <w:rFonts w:ascii="Times New Roman" w:eastAsia="Times New Roman" w:hAnsi="Times New Roman" w:cs="Times New Roman"/>
      <w:b/>
      <w:bCs/>
      <w:sz w:val="27"/>
      <w:szCs w:val="27"/>
      <w:lang w:val="fr-FR" w:eastAsia="fr-F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5738E0"/>
    <w:rPr>
      <w:rFonts w:ascii="Times New Roman" w:eastAsia="Times New Roman" w:hAnsi="Times New Roman" w:cs="Times New Roman"/>
      <w:b/>
      <w:bCs/>
      <w:sz w:val="27"/>
      <w:szCs w:val="27"/>
      <w:lang w:eastAsia="fr-FR"/>
    </w:rPr>
  </w:style>
  <w:style w:type="character" w:styleId="Hipervnculo">
    <w:name w:val="Hyperlink"/>
    <w:basedOn w:val="Fuentedeprrafopredeter"/>
    <w:unhideWhenUsed/>
    <w:rsid w:val="005738E0"/>
    <w:rPr>
      <w:color w:val="0000FF"/>
      <w:u w:val="single"/>
    </w:rPr>
  </w:style>
  <w:style w:type="character" w:customStyle="1" w:styleId="mw-headline">
    <w:name w:val="mw-headline"/>
    <w:basedOn w:val="Fuentedeprrafopredeter"/>
    <w:rsid w:val="005738E0"/>
  </w:style>
  <w:style w:type="character" w:customStyle="1" w:styleId="mw-editsection1">
    <w:name w:val="mw-editsection1"/>
    <w:basedOn w:val="Fuentedeprrafopredeter"/>
    <w:rsid w:val="005738E0"/>
  </w:style>
  <w:style w:type="character" w:customStyle="1" w:styleId="mw-editsection-bracket">
    <w:name w:val="mw-editsection-bracket"/>
    <w:basedOn w:val="Fuentedeprrafopredeter"/>
    <w:rsid w:val="005738E0"/>
  </w:style>
  <w:style w:type="table" w:styleId="Tablaconcuadrcula">
    <w:name w:val="Table Grid"/>
    <w:basedOn w:val="Tablanormal"/>
    <w:uiPriority w:val="59"/>
    <w:rsid w:val="007854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Fuentedeprrafopredeter"/>
    <w:rsid w:val="006A5E71"/>
  </w:style>
  <w:style w:type="character" w:styleId="nfasis">
    <w:name w:val="Emphasis"/>
    <w:basedOn w:val="Fuentedeprrafopredeter"/>
    <w:uiPriority w:val="20"/>
    <w:qFormat/>
    <w:rsid w:val="006A5E71"/>
    <w:rPr>
      <w:i/>
      <w:iCs/>
    </w:rPr>
  </w:style>
  <w:style w:type="character" w:styleId="Refdenotaalpie">
    <w:name w:val="footnote reference"/>
    <w:basedOn w:val="Fuentedeprrafopredeter"/>
    <w:semiHidden/>
    <w:rsid w:val="00D53FD7"/>
    <w:rPr>
      <w:vertAlign w:val="superscript"/>
    </w:rPr>
  </w:style>
  <w:style w:type="paragraph" w:styleId="Textonotapie">
    <w:name w:val="footnote text"/>
    <w:basedOn w:val="Normal"/>
    <w:link w:val="TextonotapieCar"/>
    <w:semiHidden/>
    <w:unhideWhenUsed/>
    <w:rsid w:val="00D53FD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53FD7"/>
    <w:rPr>
      <w:sz w:val="20"/>
      <w:szCs w:val="20"/>
      <w:lang w:val="es-CO"/>
    </w:rPr>
  </w:style>
  <w:style w:type="paragraph" w:styleId="Prrafodelista">
    <w:name w:val="List Paragraph"/>
    <w:basedOn w:val="Normal"/>
    <w:uiPriority w:val="34"/>
    <w:qFormat/>
    <w:rsid w:val="00EC2ADB"/>
    <w:pPr>
      <w:spacing w:after="0" w:line="240" w:lineRule="auto"/>
      <w:ind w:left="720"/>
      <w:contextualSpacing/>
    </w:pPr>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AE256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E256B"/>
    <w:rPr>
      <w:lang w:val="es-CO"/>
    </w:rPr>
  </w:style>
  <w:style w:type="paragraph" w:styleId="Piedepgina">
    <w:name w:val="footer"/>
    <w:basedOn w:val="Normal"/>
    <w:link w:val="PiedepginaCar"/>
    <w:uiPriority w:val="99"/>
    <w:unhideWhenUsed/>
    <w:rsid w:val="00AE256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E256B"/>
    <w:rPr>
      <w:lang w:val="es-CO"/>
    </w:rPr>
  </w:style>
  <w:style w:type="paragraph" w:customStyle="1" w:styleId="Default">
    <w:name w:val="Default"/>
    <w:rsid w:val="00FC4695"/>
    <w:pPr>
      <w:autoSpaceDE w:val="0"/>
      <w:autoSpaceDN w:val="0"/>
      <w:adjustRightInd w:val="0"/>
      <w:spacing w:after="0" w:line="240" w:lineRule="auto"/>
    </w:pPr>
    <w:rPr>
      <w:rFonts w:ascii="Univers LT Std 45 Light" w:hAnsi="Univers LT Std 45 Light" w:cs="Univers LT Std 45 Light"/>
      <w:color w:val="000000"/>
      <w:sz w:val="24"/>
      <w:szCs w:val="24"/>
    </w:rPr>
  </w:style>
  <w:style w:type="paragraph" w:customStyle="1" w:styleId="Pa5">
    <w:name w:val="Pa5"/>
    <w:basedOn w:val="Default"/>
    <w:next w:val="Default"/>
    <w:uiPriority w:val="99"/>
    <w:rsid w:val="0005401D"/>
    <w:pPr>
      <w:spacing w:line="181" w:lineRule="atLeast"/>
    </w:pPr>
    <w:rPr>
      <w:rFonts w:ascii="Whitney Book" w:hAnsi="Whitney Book" w:cstheme="minorBidi"/>
      <w:color w:val="auto"/>
    </w:rPr>
  </w:style>
  <w:style w:type="character" w:customStyle="1" w:styleId="A5">
    <w:name w:val="A5"/>
    <w:uiPriority w:val="99"/>
    <w:rsid w:val="00D624B0"/>
    <w:rPr>
      <w:rFonts w:cs="Gotham"/>
      <w:color w:val="000000"/>
      <w:sz w:val="44"/>
      <w:szCs w:val="44"/>
      <w:u w:val="single"/>
    </w:rPr>
  </w:style>
  <w:style w:type="paragraph" w:customStyle="1" w:styleId="Pa18">
    <w:name w:val="Pa18"/>
    <w:basedOn w:val="Default"/>
    <w:next w:val="Default"/>
    <w:uiPriority w:val="99"/>
    <w:rsid w:val="00D624B0"/>
    <w:pPr>
      <w:spacing w:line="191" w:lineRule="atLeast"/>
    </w:pPr>
    <w:rPr>
      <w:rFonts w:ascii="The Sans Light" w:hAnsi="The Sans Light" w:cstheme="minorBidi"/>
      <w:color w:val="auto"/>
      <w:lang w:val="es-ES"/>
    </w:rPr>
  </w:style>
  <w:style w:type="paragraph" w:styleId="NormalWeb">
    <w:name w:val="Normal (Web)"/>
    <w:basedOn w:val="Normal"/>
    <w:uiPriority w:val="99"/>
    <w:semiHidden/>
    <w:unhideWhenUsed/>
    <w:rsid w:val="00CC2A14"/>
    <w:pPr>
      <w:spacing w:before="240" w:after="240" w:line="240" w:lineRule="auto"/>
    </w:pPr>
    <w:rPr>
      <w:rFonts w:ascii="Georgia" w:eastAsia="Times New Roman" w:hAnsi="Georgia"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844403">
      <w:bodyDiv w:val="1"/>
      <w:marLeft w:val="0"/>
      <w:marRight w:val="0"/>
      <w:marTop w:val="0"/>
      <w:marBottom w:val="0"/>
      <w:divBdr>
        <w:top w:val="none" w:sz="0" w:space="0" w:color="auto"/>
        <w:left w:val="none" w:sz="0" w:space="0" w:color="auto"/>
        <w:bottom w:val="none" w:sz="0" w:space="0" w:color="auto"/>
        <w:right w:val="none" w:sz="0" w:space="0" w:color="auto"/>
      </w:divBdr>
      <w:divsChild>
        <w:div w:id="1864172479">
          <w:marLeft w:val="0"/>
          <w:marRight w:val="0"/>
          <w:marTop w:val="0"/>
          <w:marBottom w:val="0"/>
          <w:divBdr>
            <w:top w:val="none" w:sz="0" w:space="0" w:color="auto"/>
            <w:left w:val="none" w:sz="0" w:space="0" w:color="auto"/>
            <w:bottom w:val="none" w:sz="0" w:space="0" w:color="auto"/>
            <w:right w:val="none" w:sz="0" w:space="0" w:color="auto"/>
          </w:divBdr>
          <w:divsChild>
            <w:div w:id="632058174">
              <w:marLeft w:val="0"/>
              <w:marRight w:val="0"/>
              <w:marTop w:val="0"/>
              <w:marBottom w:val="0"/>
              <w:divBdr>
                <w:top w:val="none" w:sz="0" w:space="0" w:color="auto"/>
                <w:left w:val="none" w:sz="0" w:space="0" w:color="auto"/>
                <w:bottom w:val="none" w:sz="0" w:space="0" w:color="auto"/>
                <w:right w:val="none" w:sz="0" w:space="0" w:color="auto"/>
              </w:divBdr>
              <w:divsChild>
                <w:div w:id="210063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404557">
      <w:bodyDiv w:val="1"/>
      <w:marLeft w:val="0"/>
      <w:marRight w:val="0"/>
      <w:marTop w:val="0"/>
      <w:marBottom w:val="0"/>
      <w:divBdr>
        <w:top w:val="none" w:sz="0" w:space="0" w:color="auto"/>
        <w:left w:val="none" w:sz="0" w:space="0" w:color="auto"/>
        <w:bottom w:val="none" w:sz="0" w:space="0" w:color="auto"/>
        <w:right w:val="none" w:sz="0" w:space="0" w:color="auto"/>
      </w:divBdr>
    </w:div>
    <w:div w:id="1622758335">
      <w:bodyDiv w:val="1"/>
      <w:marLeft w:val="0"/>
      <w:marRight w:val="0"/>
      <w:marTop w:val="0"/>
      <w:marBottom w:val="0"/>
      <w:divBdr>
        <w:top w:val="none" w:sz="0" w:space="0" w:color="auto"/>
        <w:left w:val="none" w:sz="0" w:space="0" w:color="auto"/>
        <w:bottom w:val="none" w:sz="0" w:space="0" w:color="auto"/>
        <w:right w:val="none" w:sz="0" w:space="0" w:color="auto"/>
      </w:divBdr>
      <w:divsChild>
        <w:div w:id="1436515136">
          <w:marLeft w:val="10"/>
          <w:marRight w:val="-100"/>
          <w:marTop w:val="0"/>
          <w:marBottom w:val="0"/>
          <w:divBdr>
            <w:top w:val="none" w:sz="0" w:space="0" w:color="auto"/>
            <w:left w:val="none" w:sz="0" w:space="0" w:color="auto"/>
            <w:bottom w:val="none" w:sz="0" w:space="0" w:color="auto"/>
            <w:right w:val="single" w:sz="6" w:space="0" w:color="EBDCC5"/>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n.org/ga/search/view_doc.asp?symbol=A/68/970&amp;referer=http://sustainabledevelopment.un.org/index.php?menu=1549&amp;Lang=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n.org/en/development/desa/publications/files/2015/01/SynthesisReportSPA.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ipu.org/pdf/publications/WIP20Y-sp.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gde.org/ant/documentos/PosicionGeneroCONCORD.doc" TargetMode="External"/><Relationship Id="rId5" Type="http://schemas.openxmlformats.org/officeDocument/2006/relationships/settings" Target="settings.xml"/><Relationship Id="rId15" Type="http://schemas.openxmlformats.org/officeDocument/2006/relationships/hyperlink" Target="http://www.unwomen.org/es/what-we-do/post-2015" TargetMode="External"/><Relationship Id="rId10" Type="http://schemas.openxmlformats.org/officeDocument/2006/relationships/hyperlink" Target="http://www.undp.org/spanish/mdg/goal3.shtml"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undp.org/spanish/mdg/goal3.shtml" TargetMode="External"/><Relationship Id="rId14" Type="http://schemas.openxmlformats.org/officeDocument/2006/relationships/hyperlink" Target="http://www.cepal.org/oi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DE1FE-3CEE-47D9-9BFB-9DDB19530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6995</Words>
  <Characters>38478</Characters>
  <Application>Microsoft Office Word</Application>
  <DocSecurity>0</DocSecurity>
  <Lines>320</Lines>
  <Paragraphs>90</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Univeristé Sorbonne Nouvelle - Paris 3</Company>
  <LinksUpToDate>false</LinksUpToDate>
  <CharactersWithSpaces>45383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ihb</dc:creator>
  <cp:lastModifiedBy>UJA</cp:lastModifiedBy>
  <cp:revision>2</cp:revision>
  <dcterms:created xsi:type="dcterms:W3CDTF">2015-06-16T08:16:00Z</dcterms:created>
  <dcterms:modified xsi:type="dcterms:W3CDTF">2015-06-16T08:16:00Z</dcterms:modified>
</cp:coreProperties>
</file>