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6B9" w:rsidRDefault="004E06B9">
      <w:pPr>
        <w:jc w:val="center"/>
        <w:rPr>
          <w:rFonts w:ascii="Times New Roman" w:hAnsi="Times New Roman" w:cs="Times New Roman"/>
          <w:b/>
          <w:bCs/>
          <w:sz w:val="32"/>
          <w:szCs w:val="32"/>
        </w:rPr>
      </w:pPr>
      <w:r>
        <w:rPr>
          <w:rFonts w:ascii="Times New Roman" w:hAnsi="Times New Roman" w:cs="Times New Roman"/>
          <w:b/>
          <w:bCs/>
          <w:sz w:val="32"/>
          <w:szCs w:val="32"/>
        </w:rPr>
        <w:t xml:space="preserve">Hacia una tipología de contranarrativas frente al extremismo violento </w:t>
      </w:r>
    </w:p>
    <w:p w:rsidR="004E06B9" w:rsidRDefault="004E06B9">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Towards a typology of counter-narratives against violent extremism</w:t>
      </w:r>
    </w:p>
    <w:p w:rsidR="004E06B9" w:rsidRDefault="004E06B9">
      <w:pPr>
        <w:jc w:val="center"/>
        <w:rPr>
          <w:rFonts w:ascii="Times New Roman" w:hAnsi="Times New Roman" w:cs="Times New Roman"/>
          <w:b/>
          <w:bCs/>
          <w:sz w:val="32"/>
          <w:szCs w:val="32"/>
          <w:lang w:val="en-US"/>
        </w:rPr>
      </w:pPr>
    </w:p>
    <w:p w:rsidR="004E06B9" w:rsidRDefault="004E06B9">
      <w:pPr>
        <w:jc w:val="center"/>
        <w:rPr>
          <w:rFonts w:ascii="Times New Roman" w:hAnsi="Times New Roman" w:cs="Times New Roman"/>
          <w:sz w:val="24"/>
          <w:szCs w:val="24"/>
        </w:rPr>
      </w:pPr>
      <w:r>
        <w:rPr>
          <w:rFonts w:ascii="Times New Roman" w:hAnsi="Times New Roman" w:cs="Times New Roman"/>
          <w:sz w:val="24"/>
          <w:szCs w:val="24"/>
        </w:rPr>
        <w:t>Enric Miravitllas Pous</w:t>
      </w:r>
    </w:p>
    <w:p w:rsidR="004E06B9" w:rsidRDefault="004E06B9">
      <w:pPr>
        <w:jc w:val="center"/>
        <w:rPr>
          <w:rFonts w:ascii="Times New Roman" w:hAnsi="Times New Roman" w:cs="Times New Roman"/>
          <w:sz w:val="24"/>
          <w:szCs w:val="24"/>
        </w:rPr>
      </w:pPr>
      <w:r>
        <w:rPr>
          <w:rFonts w:ascii="Times New Roman" w:hAnsi="Times New Roman" w:cs="Times New Roman"/>
          <w:sz w:val="24"/>
          <w:szCs w:val="24"/>
        </w:rPr>
        <w:t>Universitat de Barcelona</w:t>
      </w:r>
    </w:p>
    <w:p w:rsidR="004E06B9" w:rsidRDefault="004E06B9">
      <w:pPr>
        <w:jc w:val="both"/>
        <w:rPr>
          <w:rFonts w:ascii="Times New Roman" w:hAnsi="Times New Roman" w:cs="Times New Roman"/>
          <w:b/>
          <w:bCs/>
          <w:sz w:val="32"/>
          <w:szCs w:val="32"/>
        </w:rPr>
      </w:pP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sectPr w:rsidR="004E06B9">
          <w:footerReference w:type="default" r:id="rId7"/>
          <w:pgSz w:w="12240" w:h="15840"/>
          <w:pgMar w:top="1417" w:right="1440" w:bottom="1417" w:left="1440" w:header="720" w:footer="720" w:gutter="0"/>
          <w:cols w:space="720"/>
        </w:sectPr>
      </w:pPr>
    </w:p>
    <w:p w:rsidR="004E06B9" w:rsidRDefault="004E06B9">
      <w:pPr>
        <w:jc w:val="both"/>
        <w:rPr>
          <w:rFonts w:ascii="Times New Roman" w:hAnsi="Times New Roman" w:cs="Times New Roman"/>
          <w:sz w:val="18"/>
          <w:szCs w:val="18"/>
        </w:rPr>
      </w:pPr>
      <w:r>
        <w:rPr>
          <w:rFonts w:ascii="Times New Roman" w:hAnsi="Times New Roman" w:cs="Times New Roman"/>
          <w:sz w:val="18"/>
          <w:szCs w:val="18"/>
        </w:rPr>
        <w:t>Resumen</w:t>
      </w:r>
    </w:p>
    <w:p w:rsidR="004E06B9" w:rsidRDefault="004E06B9">
      <w:pPr>
        <w:jc w:val="both"/>
        <w:rPr>
          <w:rFonts w:ascii="Times New Roman" w:hAnsi="Times New Roman" w:cs="Times New Roman"/>
          <w:sz w:val="18"/>
          <w:szCs w:val="18"/>
        </w:rPr>
      </w:pPr>
    </w:p>
    <w:p w:rsidR="004E06B9" w:rsidRDefault="004E06B9">
      <w:pPr>
        <w:jc w:val="both"/>
        <w:rPr>
          <w:rFonts w:ascii="Times New Roman" w:hAnsi="Times New Roman" w:cs="Times New Roman"/>
          <w:sz w:val="18"/>
          <w:szCs w:val="18"/>
        </w:rPr>
      </w:pPr>
      <w:r>
        <w:rPr>
          <w:rFonts w:ascii="Times New Roman" w:hAnsi="Times New Roman" w:cs="Times New Roman"/>
          <w:sz w:val="18"/>
          <w:szCs w:val="18"/>
        </w:rPr>
        <w:t>Ante el fracaso de las políticas de contraterrorismo exclusivamente coercitivas, el diseño de contranarrativas ha emergido como un nuevo instrumento para afectar la capacidad de reclutamiento y reducir las bases de apoyo de grupos extremistas violentos.</w:t>
      </w:r>
    </w:p>
    <w:p w:rsidR="004E06B9" w:rsidRDefault="004E06B9">
      <w:pPr>
        <w:jc w:val="both"/>
        <w:rPr>
          <w:rFonts w:ascii="Times New Roman" w:hAnsi="Times New Roman" w:cs="Times New Roman"/>
          <w:sz w:val="18"/>
          <w:szCs w:val="18"/>
        </w:rPr>
      </w:pPr>
    </w:p>
    <w:p w:rsidR="004E06B9" w:rsidRDefault="004E06B9">
      <w:pPr>
        <w:jc w:val="both"/>
        <w:rPr>
          <w:rFonts w:ascii="Times New Roman" w:hAnsi="Times New Roman" w:cs="Times New Roman"/>
          <w:sz w:val="18"/>
          <w:szCs w:val="18"/>
        </w:rPr>
      </w:pPr>
      <w:r>
        <w:rPr>
          <w:rFonts w:ascii="Times New Roman" w:hAnsi="Times New Roman" w:cs="Times New Roman"/>
          <w:sz w:val="18"/>
          <w:szCs w:val="18"/>
        </w:rPr>
        <w:t>Las contranarrativas son relatos que pretenden erosionar la legitimidad de narrativas extremistas de carácter violento (NEV). Ya sea directa o indirectamente, los contradiscursos buscan reducir el grado de aceptación de relatos que son extremos desde el punto de vista ideológico y que plantean un conflicto a resolver mediante el uso de la fuerza.</w:t>
      </w:r>
    </w:p>
    <w:p w:rsidR="004E06B9" w:rsidRDefault="004E06B9">
      <w:pPr>
        <w:jc w:val="both"/>
        <w:rPr>
          <w:rFonts w:ascii="Times New Roman" w:hAnsi="Times New Roman" w:cs="Times New Roman"/>
          <w:sz w:val="18"/>
          <w:szCs w:val="18"/>
        </w:rPr>
      </w:pPr>
    </w:p>
    <w:p w:rsidR="004E06B9" w:rsidRDefault="004E06B9">
      <w:pPr>
        <w:jc w:val="both"/>
        <w:rPr>
          <w:rFonts w:ascii="Times New Roman" w:hAnsi="Times New Roman" w:cs="Times New Roman"/>
          <w:sz w:val="18"/>
          <w:szCs w:val="18"/>
        </w:rPr>
      </w:pPr>
      <w:r>
        <w:rPr>
          <w:rFonts w:ascii="Times New Roman" w:hAnsi="Times New Roman" w:cs="Times New Roman"/>
          <w:sz w:val="18"/>
          <w:szCs w:val="18"/>
        </w:rPr>
        <w:t>Existen tres tipos ideales de contranarrativas: la comunicación estratégica gubernamental, las narrativas alternativas y las narrativas de choque.</w:t>
      </w:r>
    </w:p>
    <w:p w:rsidR="004E06B9" w:rsidRDefault="004E06B9">
      <w:pPr>
        <w:jc w:val="both"/>
        <w:rPr>
          <w:rFonts w:ascii="Times New Roman" w:hAnsi="Times New Roman" w:cs="Times New Roman"/>
          <w:sz w:val="18"/>
          <w:szCs w:val="18"/>
        </w:rPr>
      </w:pPr>
    </w:p>
    <w:p w:rsidR="004E06B9" w:rsidRDefault="004E06B9">
      <w:pPr>
        <w:jc w:val="both"/>
        <w:rPr>
          <w:rFonts w:ascii="Times New Roman" w:hAnsi="Times New Roman" w:cs="Times New Roman"/>
          <w:sz w:val="18"/>
          <w:szCs w:val="18"/>
        </w:rPr>
      </w:pPr>
      <w:r>
        <w:rPr>
          <w:rFonts w:ascii="Times New Roman" w:hAnsi="Times New Roman" w:cs="Times New Roman"/>
          <w:sz w:val="18"/>
          <w:szCs w:val="18"/>
        </w:rPr>
        <w:t>La comunicación estratégica gubernamental es una contranarrativa en la que su promotor (el gobierno) trata de informar a la ciudadanía de sus acciones respecto al extremismo violento y a los conflictos que éste invoca para justificar su existencia. Las narrativas alternativas son conjuntos de historias que forman un relato alternativo al planteado por la NEV y cuyo objetivo es reducir la legitimidad del discurso violento incrementando la aceptación de un segundo que se presenta como opción. Finalmente, las narrativas de choque buscan reducir el grado de aceptación de una NEV entrando en conflicto directo con su sistema de historias: deconstruyen, desacreditan y/o desmitifican los mensajes de la narrativa adversaria, al tiempo que deslegitiman a sus narradores.</w:t>
      </w:r>
    </w:p>
    <w:p w:rsidR="004E06B9" w:rsidRDefault="004E06B9">
      <w:pPr>
        <w:jc w:val="both"/>
        <w:rPr>
          <w:rFonts w:ascii="Times New Roman" w:hAnsi="Times New Roman" w:cs="Times New Roman"/>
          <w:sz w:val="18"/>
          <w:szCs w:val="18"/>
        </w:rPr>
      </w:pPr>
    </w:p>
    <w:p w:rsidR="004E06B9" w:rsidRDefault="004E06B9">
      <w:pPr>
        <w:jc w:val="both"/>
        <w:rPr>
          <w:rFonts w:ascii="Times New Roman" w:hAnsi="Times New Roman" w:cs="Times New Roman"/>
          <w:sz w:val="18"/>
          <w:szCs w:val="18"/>
        </w:rPr>
      </w:pPr>
      <w:r>
        <w:rPr>
          <w:rFonts w:ascii="Times New Roman" w:hAnsi="Times New Roman" w:cs="Times New Roman"/>
          <w:sz w:val="18"/>
          <w:szCs w:val="18"/>
        </w:rPr>
        <w:t>Palabras clave: narrativas, contranarrativas, extremismo, violencia política, terrorismo, contraterrorismo</w:t>
      </w:r>
    </w:p>
    <w:p w:rsidR="004E06B9" w:rsidRDefault="004E06B9">
      <w:pPr>
        <w:jc w:val="both"/>
        <w:rPr>
          <w:rFonts w:ascii="Times New Roman" w:hAnsi="Times New Roman" w:cs="Times New Roman"/>
          <w:sz w:val="18"/>
          <w:szCs w:val="18"/>
        </w:rPr>
      </w:pPr>
    </w:p>
    <w:p w:rsidR="004E06B9" w:rsidRDefault="004E06B9">
      <w:pPr>
        <w:jc w:val="both"/>
        <w:rPr>
          <w:rFonts w:ascii="Times New Roman" w:hAnsi="Times New Roman" w:cs="Times New Roman"/>
          <w:sz w:val="18"/>
          <w:szCs w:val="18"/>
          <w:lang w:val="en-US"/>
        </w:rPr>
      </w:pPr>
      <w:r>
        <w:rPr>
          <w:rFonts w:ascii="Times New Roman" w:hAnsi="Times New Roman" w:cs="Times New Roman"/>
          <w:sz w:val="18"/>
          <w:szCs w:val="18"/>
          <w:lang w:val="en-US"/>
        </w:rPr>
        <w:t>Abstract</w:t>
      </w:r>
    </w:p>
    <w:p w:rsidR="004E06B9" w:rsidRDefault="004E06B9">
      <w:pPr>
        <w:jc w:val="both"/>
        <w:rPr>
          <w:rFonts w:ascii="Times New Roman" w:hAnsi="Times New Roman" w:cs="Times New Roman"/>
          <w:sz w:val="18"/>
          <w:szCs w:val="18"/>
          <w:lang w:val="en-US"/>
        </w:rPr>
      </w:pPr>
    </w:p>
    <w:p w:rsidR="004E06B9" w:rsidRDefault="004E06B9">
      <w:pPr>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Given the failure of exclusively coercive counterterrorism policies, the design of counter-narratives has emerged as a new tool to affect the ability to recruit and reduce the support bases of violent extremist groups. </w:t>
      </w:r>
    </w:p>
    <w:p w:rsidR="004E06B9" w:rsidRDefault="004E06B9">
      <w:pPr>
        <w:jc w:val="both"/>
        <w:rPr>
          <w:rFonts w:ascii="Times New Roman" w:hAnsi="Times New Roman" w:cs="Times New Roman"/>
          <w:sz w:val="18"/>
          <w:szCs w:val="18"/>
          <w:lang w:val="en-US"/>
        </w:rPr>
      </w:pPr>
    </w:p>
    <w:p w:rsidR="004E06B9" w:rsidRDefault="004E06B9">
      <w:pPr>
        <w:jc w:val="both"/>
        <w:rPr>
          <w:rFonts w:ascii="Times New Roman" w:hAnsi="Times New Roman" w:cs="Times New Roman"/>
          <w:sz w:val="18"/>
          <w:szCs w:val="18"/>
          <w:lang w:val="en-US"/>
        </w:rPr>
      </w:pPr>
      <w:r>
        <w:rPr>
          <w:rFonts w:ascii="Times New Roman" w:hAnsi="Times New Roman" w:cs="Times New Roman"/>
          <w:sz w:val="18"/>
          <w:szCs w:val="18"/>
          <w:lang w:val="en-US"/>
        </w:rPr>
        <w:t>Counter-narratives are stories that seek to erode the legitimacy of violent extremist narratives (VEN). Whether directly or indirectly, the counter-discourses intend to reduce the degree of acceptance of stories which are extreme from an ideological perspective and which pose a conflict to be solved by the use of force.</w:t>
      </w:r>
    </w:p>
    <w:p w:rsidR="004E06B9" w:rsidRDefault="004E06B9">
      <w:pPr>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 </w:t>
      </w:r>
    </w:p>
    <w:p w:rsidR="004E06B9" w:rsidRDefault="004E06B9">
      <w:pPr>
        <w:jc w:val="both"/>
        <w:rPr>
          <w:rFonts w:ascii="Times New Roman" w:hAnsi="Times New Roman" w:cs="Times New Roman"/>
          <w:sz w:val="18"/>
          <w:szCs w:val="18"/>
          <w:lang w:val="en-US"/>
        </w:rPr>
      </w:pPr>
      <w:r>
        <w:rPr>
          <w:rFonts w:ascii="Times New Roman" w:hAnsi="Times New Roman" w:cs="Times New Roman"/>
          <w:sz w:val="18"/>
          <w:szCs w:val="18"/>
          <w:lang w:val="en-US"/>
        </w:rPr>
        <w:t xml:space="preserve">There are three ideal types of counter-narratives: government strategic communications, alternative narratives and shock narratives. </w:t>
      </w:r>
    </w:p>
    <w:p w:rsidR="004E06B9" w:rsidRDefault="004E06B9">
      <w:pPr>
        <w:jc w:val="both"/>
        <w:rPr>
          <w:rFonts w:ascii="Times New Roman" w:hAnsi="Times New Roman" w:cs="Times New Roman"/>
          <w:sz w:val="18"/>
          <w:szCs w:val="18"/>
          <w:lang w:val="en-US"/>
        </w:rPr>
      </w:pPr>
    </w:p>
    <w:p w:rsidR="004E06B9" w:rsidRDefault="004E06B9">
      <w:pPr>
        <w:jc w:val="both"/>
        <w:rPr>
          <w:rFonts w:ascii="Times New Roman" w:hAnsi="Times New Roman" w:cs="Times New Roman"/>
          <w:sz w:val="18"/>
          <w:szCs w:val="18"/>
          <w:lang w:val="en-US"/>
        </w:rPr>
      </w:pPr>
      <w:r>
        <w:rPr>
          <w:rFonts w:ascii="Times New Roman" w:hAnsi="Times New Roman" w:cs="Times New Roman"/>
          <w:sz w:val="18"/>
          <w:szCs w:val="18"/>
          <w:lang w:val="en-US"/>
        </w:rPr>
        <w:t>Government strategic communications is a counter-narrative in which its promoter (government) aims to report citizens about actions on violent extremism and conflicts that the latter invokes to justify its existence. Alternative narratives are collections of stories that are an alternative to the one raised by VEN and which aim to reduce legitimacy of violent speech enhancing acceptance of a second one to be presented as an option. The shock narratives seek to reduce the degree of acceptance of a VEN coming into direct conflict with its system of stories: they deconstruct, debunk and/or demystify messages of the opposing narrative, while at the same time delegitimizing their narrators.</w:t>
      </w:r>
    </w:p>
    <w:p w:rsidR="004E06B9" w:rsidRDefault="004E06B9">
      <w:pPr>
        <w:jc w:val="both"/>
        <w:rPr>
          <w:rFonts w:ascii="Times New Roman" w:hAnsi="Times New Roman" w:cs="Times New Roman"/>
          <w:sz w:val="18"/>
          <w:szCs w:val="18"/>
          <w:lang w:val="en-US"/>
        </w:rPr>
      </w:pPr>
    </w:p>
    <w:p w:rsidR="004E06B9" w:rsidRDefault="004E06B9">
      <w:pPr>
        <w:jc w:val="both"/>
        <w:rPr>
          <w:rFonts w:ascii="Times New Roman" w:hAnsi="Times New Roman" w:cs="Times New Roman"/>
          <w:sz w:val="18"/>
          <w:szCs w:val="18"/>
          <w:lang w:val="en-US"/>
        </w:rPr>
      </w:pPr>
      <w:r>
        <w:rPr>
          <w:rFonts w:ascii="Times New Roman" w:hAnsi="Times New Roman" w:cs="Times New Roman"/>
          <w:sz w:val="18"/>
          <w:szCs w:val="18"/>
          <w:lang w:val="en-US"/>
        </w:rPr>
        <w:t>Keywords: narratives, counter-narratives, extremism, political violence, terrorism, counterterrorism</w:t>
      </w:r>
    </w:p>
    <w:p w:rsidR="004E06B9" w:rsidRDefault="004E06B9">
      <w:pPr>
        <w:jc w:val="both"/>
        <w:rPr>
          <w:rFonts w:ascii="Times New Roman" w:hAnsi="Times New Roman" w:cs="Times New Roman"/>
          <w:sz w:val="24"/>
          <w:szCs w:val="24"/>
          <w:lang w:val="en-US"/>
        </w:rPr>
        <w:sectPr w:rsidR="004E06B9">
          <w:type w:val="continuous"/>
          <w:pgSz w:w="12240" w:h="15840"/>
          <w:pgMar w:top="1417" w:right="1440" w:bottom="1417" w:left="1440" w:header="720" w:footer="720" w:gutter="0"/>
          <w:cols w:num="2" w:space="720"/>
        </w:sectPr>
      </w:pPr>
    </w:p>
    <w:p w:rsidR="004E06B9" w:rsidRDefault="004E06B9">
      <w:pPr>
        <w:jc w:val="both"/>
        <w:rPr>
          <w:rFonts w:ascii="Times New Roman" w:hAnsi="Times New Roman" w:cs="Times New Roman"/>
          <w:sz w:val="24"/>
          <w:szCs w:val="24"/>
          <w:lang w:val="en-US"/>
        </w:rPr>
      </w:pPr>
    </w:p>
    <w:p w:rsidR="004E06B9" w:rsidRDefault="004E06B9">
      <w:pPr>
        <w:jc w:val="both"/>
        <w:rPr>
          <w:rFonts w:ascii="Times New Roman" w:hAnsi="Times New Roman" w:cs="Times New Roman"/>
          <w:sz w:val="24"/>
          <w:szCs w:val="24"/>
          <w:lang w:val="en-US"/>
        </w:rPr>
      </w:pPr>
    </w:p>
    <w:p w:rsidR="004E06B9" w:rsidRDefault="004E06B9">
      <w:pPr>
        <w:jc w:val="both"/>
        <w:rPr>
          <w:rFonts w:ascii="Times New Roman" w:hAnsi="Times New Roman" w:cs="Times New Roman"/>
          <w:sz w:val="24"/>
          <w:szCs w:val="24"/>
          <w:lang w:val="en-US"/>
        </w:rPr>
      </w:pPr>
    </w:p>
    <w:p w:rsidR="004E06B9" w:rsidRDefault="004E06B9">
      <w:pPr>
        <w:jc w:val="both"/>
        <w:rPr>
          <w:rFonts w:ascii="Times New Roman" w:hAnsi="Times New Roman" w:cs="Times New Roman"/>
          <w:sz w:val="24"/>
          <w:szCs w:val="24"/>
          <w:lang w:val="en-US"/>
        </w:rPr>
      </w:pPr>
    </w:p>
    <w:p w:rsidR="004E06B9" w:rsidRDefault="004E06B9">
      <w:pPr>
        <w:jc w:val="both"/>
        <w:rPr>
          <w:rFonts w:ascii="Times New Roman" w:hAnsi="Times New Roman" w:cs="Times New Roman"/>
          <w:sz w:val="24"/>
          <w:szCs w:val="24"/>
          <w:lang w:val="en-US"/>
        </w:rPr>
      </w:pPr>
    </w:p>
    <w:p w:rsidR="004E06B9" w:rsidRDefault="004E06B9">
      <w:pPr>
        <w:jc w:val="both"/>
        <w:rPr>
          <w:rFonts w:ascii="Times New Roman" w:hAnsi="Times New Roman" w:cs="Times New Roman"/>
          <w:sz w:val="24"/>
          <w:szCs w:val="24"/>
        </w:rPr>
      </w:pPr>
      <w:r>
        <w:rPr>
          <w:rFonts w:ascii="Times New Roman" w:hAnsi="Times New Roman" w:cs="Times New Roman"/>
          <w:b/>
          <w:bCs/>
          <w:sz w:val="24"/>
          <w:szCs w:val="24"/>
        </w:rPr>
        <w:t>Introducción</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Las narrativas extremistas de carácter violento (NEV) favorecen el proceso de radicalización de individuos que finalmente acaban uniéndose a organizaciones de esa naturaleza. Ésta es la conclusión de mínimos que emerge de la revisión de la literatura acerca de la relación entre discursos extremistas y violencia política en los últimos años. Algunos autores van más allá y afirman que las NEV juegan un papel fundamental no sólo en la radicalización de los individuos, sino en el nacimiento, desarrollo y transformación de organizaciones terroristas (Casebeer y Russell, 2005: 6-8; Casebeer, 2008: 658-660).</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Las narrativas son sistemas coherentes de historias relacionadas entre sí por medio de la aspiración retórica de resolver un conflicto (Halverson et al, 2011: 14). Su versión extremista y violenta (las NEV), especialmente cuando ésta se propaga a través de internet, preocupa a un número creciente de gobiernos. Briggs y Feve (2013) ofrecen tres ejemplos recientes de individuos que, antes de cometer actos terroristas, habrían experimentado procesos de radicalización narrativa a través de la red: Tamerlan Tsarnaev, responsable del atentado de Boston, habría visionado y compartido con regularidad vídeos de sermones de predicadores radicales; Anders Breivik, responsable de la masacre de Utoya y Oslo, habría sido influenciado por blogueros de extrema derecha; y Arid Uka, quien disparó a personal de servicios de Estados Unidos en Frankfurt, habría sido persuadido a través de vídeos de propaganda </w:t>
      </w:r>
      <w:r>
        <w:rPr>
          <w:rFonts w:ascii="Times New Roman" w:hAnsi="Times New Roman" w:cs="Times New Roman"/>
          <w:i/>
          <w:iCs/>
          <w:sz w:val="24"/>
          <w:szCs w:val="24"/>
        </w:rPr>
        <w:t>yihadista</w:t>
      </w:r>
      <w:r>
        <w:rPr>
          <w:rFonts w:ascii="Times New Roman" w:hAnsi="Times New Roman" w:cs="Times New Roman"/>
          <w:sz w:val="24"/>
          <w:szCs w:val="24"/>
        </w:rPr>
        <w:t>.</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Sin embargo, no podemos discernir en qué medida estos tres terroristas (ni ningún otro) radicalizaron su comportamiento a consecuencia de la interiorización de un discurso violento. Hasta la fecha, no ha sido posible aislar los efectos de las narrativas de otros mecanismos de radicalización. De hecho, ni siquiera sabemos cómo se combinan y cómo intervienen el resto de mecanismos (Leuprecht et al, 2010). Eso sí, la mayor parte de investigadores y practicantes del campo del contraterrorismo coinciden en afirmar que los relatos extremistas con fines retórico-ideológicos aceleran la implicación en actos violentos de los individuos que les son vulnerables. Buena muestra de ello es que numerosas organizaciones extremistas de base religiosa, étnica o nacional realizan un uso intensivo de internet y de las redes sociales con el objetivo declarado de "difundir sus objetivos o sus actividades". Al-Shabab publica a través de twitter actualizaciones de sus atentados en tiempo real. La English Defence League usa Facebook para coordinar a sus activistas y para difundir notas de prensa y declaraciones de sus líderes</w:t>
      </w:r>
      <w:r>
        <w:rPr>
          <w:rStyle w:val="FootnoteReference"/>
          <w:sz w:val="24"/>
          <w:szCs w:val="24"/>
        </w:rPr>
        <w:footnoteReference w:id="1"/>
      </w:r>
      <w:r>
        <w:rPr>
          <w:rFonts w:ascii="Times New Roman" w:hAnsi="Times New Roman" w:cs="Times New Roman"/>
          <w:sz w:val="24"/>
          <w:szCs w:val="24"/>
        </w:rPr>
        <w:t>. La comunidad supremacista blanca Stormfront dispone de un foro virtual con un gran número de seguidores</w:t>
      </w:r>
      <w:r>
        <w:rPr>
          <w:rStyle w:val="FootnoteReference"/>
          <w:sz w:val="24"/>
          <w:szCs w:val="24"/>
        </w:rPr>
        <w:footnoteReference w:id="2"/>
      </w:r>
      <w:r>
        <w:rPr>
          <w:rFonts w:ascii="Times New Roman" w:hAnsi="Times New Roman" w:cs="Times New Roman"/>
          <w:sz w:val="24"/>
          <w:szCs w:val="24"/>
        </w:rPr>
        <w:t>.</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Algunos gobiernos, través de sus sistemas institucionales de seguridad e inteligencia, han comenzado a reconocer la importancia de las NEV en el reclutamiento de individuos para la comisión de actos de violencia política. Se calcula que al menos doce Estados han desarrollado programas para contrarrestar ideologías violentas o, más concretamente, han implementado medidas para combatir el uso de internet con fines extremistas (Briggs y Feve, 2013: 12). No obstante, los resultados en general no han sido satisfactorios. Implementar medidas restrictivas para impedir la difusión de este tipo de narrativas a través de la red (cierre de páginas, filtraje de contenidos, sabotaje de vínculos), se ha revelado como una estrategia escasamente eficaz. Primeramente porque las NEV, a pesar de ser diseñadas por los líderes de movimientos violentos, son reexplicadas y reconstruidas por quienes las difunden constantemente: sus seguidores (Archetti, 2013: 10). En consecuencia, es difícil delimitar con precisión qué es una NEV, qué no lo es y quiénes son sus emisores originales. En segundo lugar, porque la rapidez con la que es posible cargar nuevos datos en internet hace inviable un bloqueo sostenido de contenidos. Si tenemos en cuenta que cada minuto se cargan 100 horas de vídeo en la plataforma Youtube y que cada día se suben 300 millones de imágenes en la red social Facebook, impedir el acceso a un vídeo o a una fotografía no garantiza en absoluto su posterior redifusión.</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En este escenario, y ante el fracaso de las estrategias exclusivamente coercitivas (militares o policiales) a la hora de neutralizar la amenaza planteada por grupos extremistas violentos, el diseño de contranarrativas ha emergido como un nuevo instrumento para afectar su capacidad de reclutamiento y reducir sus bases de apoyo. Un instrumento que consiste en un conjunto de historias cuyo objetivo inmediato es disminuir el grado de aceptación de una NEV entre sus seguidores. Así, se traslada el conflicto con los grupos extremistas a al terreno de las ideas, a la pugna por la legitimidad de uno u otro relato como marco interpretativo de cadenas de acontecimientos. Una estrategia que no es nuevo y sobre el que ya habían experimentado británicos y estadounidenses en sus intervenciones militares en Malasia y Vietnam, bajo la formulación de una "batalla de las ideas" para ganar los "corazones y mentes" de la población local.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La investigación sobre contranarrativas se ha incrementado notablemente en los últimos años. Desde 2001, las contranarrativas han ido ganando aceptación en paralelo a la necesidad de explorar "otras formas de hacer frente a Al-Qaeda que no sean el poder militar, la interrupción de atentados por medio de inteligencia, los arrestos policiales y las condenas judiciales" (Schmid, 2014: 27) Numerosos autores han escrito sobre la necesidad de construir una contranarrativa que enfrente la narrativa de Al-Qaeda o -en términos más genéricos- del extremismo islamista. Sin embargo, el avance en la creación de conocimiento sobre contranarrativas se ha frenado en los últimos tiempos. Tal como apunta Schmid (2014), la profusión de conferencias sobre el tema, sin que las más recientes tomen en consideración las conclusiones de las anteriores, ha llevado a un estancamiento del estado de conocimiento. Abundan los autores que se aproximan al estudio de las contranarrativas desde el mismo punto de partida, presentando como resultado conclusiones similares. El debate acerca de los principios que deben guiar la articulación de contranarrativas, que ha centrado gran parte de la atención de los investigadores en la última década, no parece evolucionar hacia la creación de ejemplos empíricos construidos desde la academia, ni tampoco hacia la necesaria discusión metodológica sobre la medición de su impacto.</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El presente artículo pretende contribuir a superar en parte esta situación, al intentar avanzar hacia una metodología para la construcción de contranarrativas en entornos concretos. Para ello, partiremos de algunos de los más recientes y relevantes artículos escritos sobre el estado de la cuestión e intentaremos profundizar sobre sus conclusiones. En concreto, nos centraremos en desarrollar conceptualmente los modelos de contranarrativas recogidos por RAN@ (2012), Briggs y Feve (2013) y Schmid (2014): la comunicación estratégica gubernamental, las narrativas alternativas y las narrativas de choque</w:t>
      </w:r>
      <w:r>
        <w:rPr>
          <w:rStyle w:val="FootnoteReference"/>
          <w:sz w:val="24"/>
          <w:szCs w:val="24"/>
        </w:rPr>
        <w:footnoteReference w:id="3"/>
      </w:r>
      <w:r>
        <w:rPr>
          <w:rFonts w:ascii="Times New Roman" w:hAnsi="Times New Roman" w:cs="Times New Roman"/>
          <w:sz w:val="24"/>
          <w:szCs w:val="24"/>
        </w:rPr>
        <w:t>. Entendemos que el desarrollo de una tipología de contranarrativas es un paso imprescindible para implementar acciones específicas y mesurables en este campo. Hasta la fecha existen algunos programas que la literatura califica de contranarrativas pero que han sido desarrollados bajo un marco teórico inexistente o muy débil</w:t>
      </w:r>
      <w:r>
        <w:rPr>
          <w:rStyle w:val="FootnoteReference"/>
          <w:sz w:val="24"/>
          <w:szCs w:val="24"/>
        </w:rPr>
        <w:footnoteReference w:id="4"/>
      </w:r>
      <w:r>
        <w:rPr>
          <w:rFonts w:ascii="Times New Roman" w:hAnsi="Times New Roman" w:cs="Times New Roman"/>
          <w:sz w:val="24"/>
          <w:szCs w:val="24"/>
        </w:rPr>
        <w:t>. Nuestro objetivo en esta comunicación es triple: primero, proponer una definición operativa de los tres tipos de contranarrativas; segundo, identificar y sistematizar las características propias de cada uno; finalmente, plantear algunas consideraciones acerca de los programas que están implementando contranarrativas en la actualidad.</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b/>
          <w:bCs/>
          <w:sz w:val="24"/>
          <w:szCs w:val="24"/>
        </w:rPr>
        <w:t>1. Tipos de contranarrativas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Las contranarrativas son relatos que pretenden erosionar la legitimidad de una NEV. Ya sea directa o indirectamente, los contradiscursos buscan reducir el grado de aceptación</w:t>
      </w:r>
      <w:r>
        <w:rPr>
          <w:rStyle w:val="FootnoteReference"/>
          <w:sz w:val="24"/>
          <w:szCs w:val="24"/>
        </w:rPr>
        <w:footnoteReference w:id="5"/>
      </w:r>
      <w:r>
        <w:rPr>
          <w:rFonts w:ascii="Times New Roman" w:hAnsi="Times New Roman" w:cs="Times New Roman"/>
          <w:sz w:val="24"/>
          <w:szCs w:val="24"/>
        </w:rPr>
        <w:t xml:space="preserve"> de relatos que son extremos desde el punto de vista ideológico y que plantean un conflicto a resolver por medios violentos. Así, se pretende reducir el atractivo de una NEV y afectar su capacidad como instrumento tanto para reclutar nuevos miembros de organizaciones violentas como para preservar la vinculación de los existentes.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En la presente comunicación trataremos de reconstruir los tres tipos de contranarrativas (comunicación estratégica gubernamental, narrativas alternativas y narrativas de choque)  a partir del análisis de cinco preguntas clave: qué pretenden conseguir (objetivos), quién es responsable de su puesta en práctica (promotor), quiénes las transmiten (narradores), a quiénes van dirigidas (destinatarios) y cómo se vehiculan (formas de difusión).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Cada uno de estos tipos ideales presenta objetivos diferentes, según si se trata de construir una narrativa propia o de poner en cuestión la narrativa adversaria; puede ser promovido por actores distintos: gobierno, organizaciones de la sociedad civil o ambos; tiene narradores diversos: entre otros, representantes gubernamentales, expertos, autoridades religiosas, ex-terroristas o supervivientes de atentados; se dirige a diferentes tipos de destinatarios, que pueden ordenarse de menor a mayor nivel de radicalización narrativa de acuerdo con la pirámide establecida por Leuprecht (2010)</w:t>
      </w:r>
      <w:r>
        <w:rPr>
          <w:rStyle w:val="FootnoteReference"/>
          <w:sz w:val="24"/>
          <w:szCs w:val="24"/>
        </w:rPr>
        <w:footnoteReference w:id="6"/>
      </w:r>
      <w:r>
        <w:rPr>
          <w:rFonts w:ascii="Times New Roman" w:hAnsi="Times New Roman" w:cs="Times New Roman"/>
          <w:sz w:val="24"/>
          <w:szCs w:val="24"/>
        </w:rPr>
        <w:t>; y finalmente tiene formas de difusión diferentes, desde la creación de plataformas para el diálogo y el intercambio de experiencias hasta la creación de páginas web, pasando por la implementación de programas de desradicalización o la promoción de mensajes a través de las redes sociales, por citar algunos ejemplos.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b/>
          <w:bCs/>
          <w:sz w:val="24"/>
          <w:szCs w:val="24"/>
        </w:rPr>
      </w:pPr>
      <w:r>
        <w:rPr>
          <w:rFonts w:ascii="Times New Roman" w:hAnsi="Times New Roman" w:cs="Times New Roman"/>
          <w:b/>
          <w:bCs/>
          <w:i/>
          <w:iCs/>
          <w:sz w:val="24"/>
          <w:szCs w:val="24"/>
        </w:rPr>
        <w:t>1.1 Comunicación estratégica gubernamental</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Podemos definir la comunicación estratégica gubernamental como aquella contranarrativa en la que su promotor (el gobierno) trata de informar a la ciudadanía de sus acciones respecto al extremismo violento y a los conflictos que éste invoca para justificar su existencia. El objetivo principal del conjunto de acciones comunicativas que se encuadran bajo este concepto es incrementar el apoyo de la opinión pública a las posiciones y políticas gubernamentales, para aislar y luego reducir las bases de apoyo de la NEV adversaria.</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1.1.1 Objetivos y promotor</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En la comunicación estratégica, las posiciones y políticas del gobierno deben ser articuladas de forma lo más clara posible y dirigirse fundamentalmente a sectores clave de la población (por ejemplo, una minoría religiosa, étnica o nacional). Se trata de aumentar la resonancia de aquellas medidas gubernamentales que puedan contribuir a establecer o restablecer relaciones entre el gobierno y sectores vulnerables a las NEV. Además, este tipo de contranarrativa pretende corregir informaciones erróneas, inexactas o inciertas sobre la acción de gobierno contra el extremismo violento. El ejecutivo se esfuerza así para que sus acciones sean comprendidas y para que sus medidas contra el extremismo violento (por ejemplo: ilegalizaciones, detenciones, redadas) sean respaldadas mayoritariamente por el grupo de referencia de la NEV.</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Algunos autores consideran poco eficaz la articulación de contranarrativas distintas a la comunicación estratégica gubernamental. Para De Graaf (2009:9), ir más allá de distinguir "hecho de ficción" y de neutralizar "mitos y leyendas" de la narrativa adversaria tiene pocos resultados, por lo que los gobiernos no deben embarcarse en contranarrativas ofensivas (narrativas de choque). Archetti (2010: 20) sostiene que construir un relato distinto al de Al-Qaeda (una narrativa alternativa), especialmente acerca de sus mitos fundacionales, es poco realista por la falta de credibilidad de Occidente en los países de mayoría musulmana. En este sentido, la autora aboga por que los gobiernos centren su atención en ser coherentes con su propio discurso y descarten reescribir las NEV presentando una narrativa "que suene mejor".</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1.1.2 Narradores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El </w:t>
      </w:r>
      <w:r>
        <w:rPr>
          <w:rFonts w:ascii="Times New Roman" w:hAnsi="Times New Roman" w:cs="Times New Roman"/>
          <w:i/>
          <w:iCs/>
          <w:sz w:val="24"/>
          <w:szCs w:val="24"/>
        </w:rPr>
        <w:t>ethos</w:t>
      </w:r>
      <w:r>
        <w:rPr>
          <w:rFonts w:ascii="Times New Roman" w:hAnsi="Times New Roman" w:cs="Times New Roman"/>
          <w:sz w:val="24"/>
          <w:szCs w:val="24"/>
        </w:rPr>
        <w:t xml:space="preserve"> o alineamiento narrativo es un elemento de importancia fundamental en la comunicación estratégica. El relato transmitido a través de los representantes gubernamentales no debe presentar contradicciones o inconsistencias en función de quién sea su narrador. En este sentido, los gobiernos deben centrar su atención en coordinar el mensaje que transmiten a la ciudadanía, tal y como han reconocido EEUU y Reino Unido con la creación de órganos con esa misión. Y más importante aún, la narrativa del gobierno sobre el extremismo violento debe ser coherente con las acciones (coercitivas o no) que el ejecutivo emprenda para neutralizar su capacidad operativa. Tal como apunta Schmid (2010, 55) a propósito de la narrativa del extremismo islamista, "la contranarrativa de los gobiernos occidentales sólo ganará credibilidad cuando desaparezca la diferencia entre la política declarativa y la realpolitik con respecto a las políticas hacia el Mundo árabe y musulmán e Israel". La falta de sintonía entre las posiciones y políticas gubernamentales enunciadas y su despliegue en la arena política amenaza con reforzar la NEV cuya legitimidad se busca erosionar. Hay que tener en cuenta que las organizaciones extremistas violentas buscan capitalizar las malas prácticas de los Estados a la hora de garantizar el orden público y el cumplimiento de la ley. Tampoco debe olvidarse que, en ocasiones, los partidos en la oposición pretenden sacar rédito político de la confrontación entre el gobierno y los grupos extremistas y violentos (De Graaf, 2009: 9). En estos casos, nace una pugna a tres bandas que contribuye a polarizar a la opinión pública y que perjudica el objetivo de reducir la aceptación de la NEV.</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La claridad expositiva, la veracidad y la transparencia del mensaje constituyen un requisito esencial de la comunicación estratégica. El mensaje transmitido debe aspirar a ser unívoco, veraz y transparente con la acción gubernamental, para no dar pie a segundas interpretaciones o desmentidos que el extremismo violento pueda aprovechar para laminar la legitimidad del relato del ejecutivo. Los gobiernos deben ser conscientes que los mensajes acerca de sus medidas pueden tener efectos no intencionados que terminen por distorsionar su propósito original, situación que los defensores de las NEV a menudo intentarán provocar. Para sortear esta situación, los gobiernos deberán evitar prácticas como la manipulación de los datos acerca del conflicto invocado por los extremistas violentos, la creación de historias infundadas acerca de miembros o errores de sus grupos o el encubrimiento o dulcificación de los fracasos de las medidas gubernamentales contra ellos. Cualquiera de estas situaciones puede situar al gobierno en una posición defensiva que le lleve a un cruce de desmentidos con los defensores de la NEV, lo que no favorece la pérdida de legitimidad de ésta última. Baste recordar el ejemplo del ataque de Al-Shabab al centro comercial Westgate de Nairobi, en el que la milicia desmintió -en diversas ocasiones a lo largo del atentado a través de su cuenta de Twitter- informaciones poco contrastadas difundidas por el gobierno keniata.</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Un reto a superar por la comunicación estratégica es el de compatibilizar la necesidad de transmitir información basada en hechos (aquello que está haciendo el gobierno respecto al extremismo violento y a los conflictos o carencias que lo justifican) con el imperativo de apelar a los instintos emocionales de los diferentes públicos-objetivo. La mayor parte de mensajes gubernamentales tienden a justificar su robustez mediante una lógica racional que se presenta como superior a la de los violentos. Una lógica que impregna la descripción de las posiciones y políticas, la corrección de informaciones erróneas y el rechazo de mitos y teorías conspiratorias (Briggs y Feve, 2013: 16 y 17). En contraposición, los promotores de las NEV se valen de diversos medios para apelar a las emociones de la audiencia con el fin que ésta haga suyos sus principales enunciados. En este sentido, conviene destacar el enorme progreso de los grupos extremistas violentos en la elaboración de materiales de difusión -sobre todo, audiovisuales- confeccionados con un alto grado de profesionalidad y que se propagan por la red a una gran velocidad. Los vídeos de algunas organizaciones </w:t>
      </w:r>
      <w:r>
        <w:rPr>
          <w:rFonts w:ascii="Times New Roman" w:hAnsi="Times New Roman" w:cs="Times New Roman"/>
          <w:i/>
          <w:iCs/>
          <w:sz w:val="24"/>
          <w:szCs w:val="24"/>
        </w:rPr>
        <w:t>yihadistas</w:t>
      </w:r>
      <w:r>
        <w:rPr>
          <w:rFonts w:ascii="Times New Roman" w:hAnsi="Times New Roman" w:cs="Times New Roman"/>
          <w:sz w:val="24"/>
          <w:szCs w:val="24"/>
        </w:rPr>
        <w:t xml:space="preserve"> -como por ejemplo el Estado Islámico- presentan una gran calidad técnica y un notable atractivo para los grupos vulnerables a sus mensajes. La comunicación estratégica deberá incorporar esta capacidad si quiere ser competitiva frente a las NEV.</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1.1.3 Destinatarios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El destinatario de la narrativa gubernamental son los individuos "neutrales" a una NEV, además de sus "simpatizantes". Aunque es imposible dirigir cualquier tipo de narrativa hacia un colectivo concreto sin que sus mensajes sean recibidos por el resto, la comunicación estratégica se orienta específicamente y en primer lugar a conseguir la aceptación de las personas que no comparten ninguno de los elementos narrativos fundamentales de una NEV. Esto es, por un lado, los ciudadanos que no suscriben un relato violento pero que presentan un riesgo de suscribirlo en el futuro ya que forman parte del grupo social/comunidad de referencia de éste. Por ejemplo, la comunidad musulmana residente en cualquier Estado europeo será mayoritariamente neutral al mismo tiempo que vulnerable a los mensajes de la narrativa del extremismo islamista. Por otro lado, la comunicación estratégica se dirige a la ciudadanía que ni hace suya la NEV ni le es vulnerable, con el fin de mantenerla informada sobre la acción de gobierno frente al extremismo violento e impedir que crezca en su seno la sensación de inoperancia del ejecutivo.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En segundo lugar, la contranarrativa gubernamental tiene como objetivo aquel segmento de población que simpatiza con la NEV. Las personas que suscriben el enunciado según el cual “el grupo al que yo pertenezco está siendo atacado” reciben un mensaje que explica la acción de gobierno de forma transparente y que desmiente indirectamente intenciones y voluntades que los grupos violentos le puedan atribuir.</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1.1.4 Formas de difusión</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La difusión de la comunicación estratégica requiere la creación de unidades de apoyo dentro de la administración gubernamental. Unidades que se encarguen, como es el caso de la Research, Information and Communications Unit (RICU) en el Reino Unido o el Center for Strategic Counterterrorism Communications (CSCC) en los EEUU, de coordinar las actividades comunicativas del gobierno dirigidas a erosionar la influencia del extremismo violento. Ambos centros, de carácter interdepartamental e interdisciplinar y nacidos en 2007 y 2010 respectivamente, tratan de dar coherencia y robustez al mensaje gubernamental a través de diversas vías, entre las que destacamos: la investigación del impacto de las NEV (por ejemplo, de la narrativa de Al-Shabab en Somalia) o de los colectivos vulnerables a sus mensajes (véase, el papel de los blogs en la radicalización de jóvenes musulmanes); el asesoramiento a otras agencias o departamentos gubernamentales sobre comunicación y extremismo violento; la creación de "kits de herramientas" comunicativas dirigidas a representantes gubernamentales (para contrarrestar, entre otros, el mensaje de Ansar-el Dine y Al-Qaeda en el Magreb Islámico); el diseño de campañas comunicativas online y offline (por ejemplo, la elaboración de un documental sobre la comunidad musulmana en el Reino Unido); y finalmente, las acciones de comunicación digital para difundir las posiciones del gobierno, hacer frente a la desinformación y reducir así la influencia de las NEV.</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Entre todas las acciones desarrolladas por RICU y CSCC, destaca especialmente la mencionada en último lugar y que desarrolla el centro estadounidense a través de su Equipo de Divulgación digital. Este equipo, formado por veinte personas (diecisiete analistas con conocimiento oral y escrito de árabe, urdu o somali y tres productores de contenidos audiovisuales), trabaja para "contraponer hechos y análisis objetivos con los argumentos a menudo cargados de conspiración y emociones de los críticos con EEUU, con la esperanza de que los lectores en línea tendrán una nueva mirada para sus opiniones sobre EEUU" (Briggs y Feve, 2013: 39). En concreto, esta unidad del CSCC actúa a través de internet (redes sociales, youtube y cualquier tipo de plataforma que presente una NEV -web, blog, foro-) para corregir la desinformación acerca del gobierno estadounidense. El Equipo de Divulgación expone mensajes, vídeos o imágenes que ofrecen la versión del gobierno acerca de sus posiciones y políticas, especialmente en asuntos exteriores y seguridad (a menudo relacionados con las causas invocadas por el extremismo violento). En muchos casos, el equipo establece un diálogo directo, en lengua extranjera y público -firmando sus aportaciones como Departamento de Estado- en los propios foros o blogs donde se promueve la adhesión a las NEV. Desde su creación en 2006 -la unidad es anterior al CSCC-, el Equipo de Divulgación ha registrado 17.000 interacciones (Briggs y Feve, 2013: 40).</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b/>
          <w:bCs/>
          <w:sz w:val="24"/>
          <w:szCs w:val="24"/>
        </w:rPr>
      </w:pPr>
      <w:r>
        <w:rPr>
          <w:rFonts w:ascii="Times New Roman" w:hAnsi="Times New Roman" w:cs="Times New Roman"/>
          <w:b/>
          <w:bCs/>
          <w:i/>
          <w:iCs/>
          <w:sz w:val="24"/>
          <w:szCs w:val="24"/>
        </w:rPr>
        <w:t>1.2 Narrativas alternativas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Bajo este concepto se engloban los conjuntos de historias que forman un relato alternativo al planteado por la NEV. Su objetivo es reducir la legitimidad del discurso violento incrementando la aceptación de un segundo que se presenta como opción. Se busca así disminuir indirectamente el número de seguidores potenciales o reales de una NEV, ya sea aislándolos o atrayéndolos hacia un nuevo relato que no cuestiona directamente los principales enunciados de la narrativa. Un discurso más orientado hacia explicar "aquello de lo que estamos a favor" antes que "aquello de lo que estamos en contra". En términos aplicados, se trata de ofrecer una interpretación distinta sobre los mitos fundacionales de una NEV o bien plantear una estructura nueva del relato violento. Y es que "cuando faltan las narrativas alternativas, los extremistas ocupan los espacios vacíos que éstas dejan" (Soufan et al, 2013: 13).</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1.2.1 Objetivos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Si partimos de la aproximación de Halverson (2010) y Quiggin (2009) a la narrativa del extremismo islamista, podemos construir una narrativa alternativa de acuerdo con el siguiente procedimiento: primero, deben seleccionarse los principales mitos fundacionales de la NEV, que Halverson tilda de "metanarrativas" y Quiggin califica simplemente de "temas"; seguidamente, es necesario identificar cuál es la interpretación extremista de los mismos; tercero, debe construirse un relato menos extremo y más moderado a partir de esos mitos u otros distintos.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Sobre este último punto no existe consenso: algunos autores sostienen que las narrativas alternativas deben plantearse como una versión distinta de los mitos de la adversaria y otros plantean que hay que hacerlo desde los propios. Los autores del primer grupo -véase los dos anteriormente mencionados- asumen en su análisis del discurso extremista islamista que los países occidentales no disponen de credibilidad suficiente en los estados de mayoría musulmana para proyectar una narrativa en función de los mitos fundacionales de su propia cultura. El segundo grupo, en el que destacan Schmid y Al Raffie, sí consideran viable esta posibilidad. El primero apuesta por crear una narrativa basada en normas y valores occidentales: entre otros, democracia, separación entre religión y Estado, regla de la mayoría con garantías para las minorías, libertad de expresión o libertad religiosa (Schmid, 2014: 30). Al Raffie refuerza la opinión de Schmid al sostener que los gobiernos occidentales se han equivocado al reforzar el discurso islamista para contener el </w:t>
      </w:r>
      <w:r>
        <w:rPr>
          <w:rFonts w:ascii="Times New Roman" w:hAnsi="Times New Roman" w:cs="Times New Roman"/>
          <w:i/>
          <w:iCs/>
          <w:sz w:val="24"/>
          <w:szCs w:val="24"/>
        </w:rPr>
        <w:t>yihadista</w:t>
      </w:r>
      <w:r>
        <w:rPr>
          <w:rFonts w:ascii="Times New Roman" w:hAnsi="Times New Roman" w:cs="Times New Roman"/>
          <w:sz w:val="24"/>
          <w:szCs w:val="24"/>
        </w:rPr>
        <w:t>. Según la autora, hacerlo ha tenido el efecto contrario al deseado: la narrativa alternativa propuesta ha espoleado la NEV (Al Raffie, 2012: 26).</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Se construya a partir de los mitos propios o de los del adversario, es crucial que este tipo de narrativas sea creíble y compatible en el entorno sociocultural de la NEV. Así, habrá que poner atención en usar "los mismos matices culturales y dialectales que las organizaciones terroristas manipulan a menudo para conseguir ventaja" (Pizzuto, 2013: 3). Dicho de otra forma, la narrativa alternativa deberá ser compatible con los valores y normas públicas y culturales del grupo al que la NEV afirma defender (Schmid, 2014: 29), para evitar ser vista como mera propaganda o como una expresión de superioridad cultural.</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Por otro lado, es posible crear una narrativa alternativa diseñando un patrón de historia distinto que incluya una introducción, un clímax y un desenlace nuevos. Por ejemplo, consideramos que la NEV de Al-Qaeda tiene una estructura triangular como ésta (Quiggin, 2009: 23):</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1. Los musulmanes están siendo atacados por Occidente (introducción); </w:t>
      </w: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2. Sólo Al-Qaeda y sus seguidores están luchando contra los opresores del Islam (desarrollo -climax); </w:t>
      </w: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3. Si no apoyas a Al-Qaeda, entonces estás apoyando a los opresores (desenlace/reto);</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podemos plantear una estructura distinta a esta narrativa sin desacreditar de forma directa su relato:</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1. La mayor parte de Estados del mundo consideran que la libertad religiosa es un derecho fundamental. Sin embargo, estos estados no pueden sino actuar contra cualquier grupo que -religioso o no- practique el terrorismo o pretenda conseguir objetivos políticos por medios violentos.</w:t>
      </w: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2. Al-Qaeda es un grupo terrorista que pretende conseguir objetivos políticos por medios violentos.</w:t>
      </w: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3. Quienes le apoyan deben tener en cuenta que el Islam, según las principales autoridades académicas y religiosas de la comunidad musulmana, rechaza el terrorismo y el concepto de yihad entendido en su acepción violenta como "guerra santa contra los infieles".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Una narrativa alternativa viene a llenar el vacío dejado por las políticas de contraterrorismo que no toman en cuenta la necesidad de proyectar una visión de la sociedad más allá del extremismo violento. "Esta es la esencia de la resiliencia real (frente al terrorismo): ni centrarse en la respuesta ni en la recuperación, ni incluso en el objetivo de prepararse y prevenir, sino en aquello de lo que estamos a favor en ausencia de todas las adversidades" (Durodié, 2013: 29).</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Las narrativas de choque (ver siguiente apartado) son a menudo percibidas como reactivas y defensivas entre las personas vulnerables a las NEV. Para este colectivo, quienes las promueven no pretenden otra cosa que responder a un ataque del que pretenden defenderse. Los relatos alternativos no presentan </w:t>
      </w:r>
      <w:r>
        <w:rPr>
          <w:rFonts w:ascii="Times New Roman" w:hAnsi="Times New Roman" w:cs="Times New Roman"/>
          <w:i/>
          <w:iCs/>
          <w:sz w:val="24"/>
          <w:szCs w:val="24"/>
        </w:rPr>
        <w:t>a priori</w:t>
      </w:r>
      <w:r>
        <w:rPr>
          <w:rFonts w:ascii="Times New Roman" w:hAnsi="Times New Roman" w:cs="Times New Roman"/>
          <w:sz w:val="24"/>
          <w:szCs w:val="24"/>
        </w:rPr>
        <w:t xml:space="preserve"> esa desventaja. Este tipo de narrativas son proactivas y buscan  entre otras cosas crear puentes de diálogo con los seguidores del relato adversario. En suma, tratan de crear espacios de encuentro en los que haya voces constructivas y críticas de todas las partes que tengan interés en solucionar los problemas estructurales que han hecho emerger organizaciones extremistas violentas (Schmid, 2014: 30).</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El conflicto que evocan todas las historias de una NEV, así como el desenlace que ésta plantee, deben ser respondidos por la narrativa alternativa con una solución "mejor" que la del relato violento. Para los autores que defienden esta posición (Segell, 2011; Casebeer y Russell, 2005; Ran@ Working Group, 2012), la narrativa alternativa no debería empeorar las expectativas de solución de de las causas subyacentes del conflicto expuesto por la NEV, ni tampoco endurecer el camino individual para contribuir a su solución. Para otros, la construcción de un relato alternativo "no se apoya necesariamente en mensajes positivos sino más bien en un mensaje realista que intenta utilizar la compatibilidad para incrementar la aceptación del contenido (Pizzuto, 2013: 5)</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1.2.2 Promotor</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Los relatos alternativos pueden ser promovidos desde el gobierno o desde la sociedad civil. Sin embargo, si lo que pretendemos es crear, incrementar o mantener nuestra conexión con el colectivo destinatario, debemos garantizar que la narrativa alternativa se despliega bajo "una separación e independencia estrictas de la influencia y manipulación del gobierno" (Pizzuto, 2013: 3). La desconfianza hacia el gobierno por parte de audiencias clave puede limitar la eficacia de una narrativa alternativa promovida desde el gobierno al minar su credibilidad. De hecho, dos proyectos alternarrativos con estrechos vínculos gubernamentales en el Reino Unido, Radical Middle Way y Quilliam Foundation, han visto cómo sus intenciones en su lucha contra el extremismo han sido cuestionadas por sectores relevantes de la comunidad islámica británica (Briggs y Feve, 2014: 22). Sobre otros dos proyectos, impulsados por el Mando Militar Estadounidense en Africa-AFRICOM (Sabahi/Magharebia) pesan acusaciones similares -en este caso, de favorecer intereses americanos en la región. Así pues, parece aconsejable optar por entidades de la sociedad civil (a concretar en cada caso) como transmisoras de las narrativas alternativas, considerando que los gobiernos deben limitarse a actuar como facilitadores de proyectos de esta naturaleza. Los ejecutivos deben abstenerse de instrumentalizar proyectos alternarrativos en su propio interés. Su papel puede ser el de ofrecer financiación (financiera o en especie), capacitación (formación técnica para el despliegue de narrativas alternativas) o el de poner en contacto organizaciones no gubernamentales con otras entidades con objetivos similares o incluso con potenciales inversores.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i/>
          <w:iCs/>
          <w:sz w:val="24"/>
          <w:szCs w:val="24"/>
        </w:rPr>
      </w:pPr>
      <w:r>
        <w:rPr>
          <w:rFonts w:ascii="Times New Roman" w:hAnsi="Times New Roman" w:cs="Times New Roman"/>
          <w:i/>
          <w:iCs/>
          <w:sz w:val="24"/>
          <w:szCs w:val="24"/>
        </w:rPr>
        <w:t>1.2.3 Narradores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Los narradores de los relatos alternativos pueden ser de perfil muy variado. Desde la ciudadanía de base (clave en los proyectos Hours Against Hate, My Fellow American, Viral Peace Program); a expertos, autoridades religiosas y personajes públicos (Radical Middle Way, My Jihad); pasando por periodistas (Sabahi/Magharebia). La credibilidad es un factor decisivo para narrar un relato alternativo. La capacidad técnica para vehicularlo se puede adquirir mediante formación específica a corto plazo -cuestión sobre la que ya trabajan algunos gobiernos-. Otras capacidades, como el liderazgo, el prestigio social, el expertise o la notoriedad, constituyen un requisito previo indispensable.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Por ejemplo, si consideramos la NEV del extremismo islamista, los jóvenes musulmanes residentes en Estados occidentales están llamados a jugar un papel clave como propagadores de un relato alternativo según el cual "existen otras soluciones a los problemas de los musulmanes en el mundo que no pasan por la </w:t>
      </w:r>
      <w:r>
        <w:rPr>
          <w:rFonts w:ascii="Times New Roman" w:hAnsi="Times New Roman" w:cs="Times New Roman"/>
          <w:i/>
          <w:iCs/>
          <w:sz w:val="24"/>
          <w:szCs w:val="24"/>
        </w:rPr>
        <w:t>yihad</w:t>
      </w:r>
      <w:r>
        <w:rPr>
          <w:rFonts w:ascii="Times New Roman" w:hAnsi="Times New Roman" w:cs="Times New Roman"/>
          <w:sz w:val="24"/>
          <w:szCs w:val="24"/>
        </w:rPr>
        <w:t xml:space="preserve"> como la entienden los extremistas". En este caso, los Estados de acogida pueden desempeñar una función preventiva muy importante a medio plazo. Al identificar la siguiente generación de líderes comunitarios, la administración puede tratar de sensibilizarlos para que tomen consciencia de la importancia de hacer frente al extremismo violento.</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1.2.4 Destinatarios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El destinatario principal de una narrativa alternativa cualquiera lo forman, al igual que en la comunicación estratégica, los neutrales y los simpatizantes a/de la NEV cuya legitimidad se pretende erosionar. Entre los primeros, se cuenta la "mayoría silenciosa" de personas que no es vulnerable a la NEV pero que al adoptar el discurso alternativo contribuye -como mínimo- a acotar el número de los seguidores de la narrativa violenta. También se dirige a aquellos que son vulnerables al discurso violento a pesar de no suscribirlo. La narrativa alternativa les ofrece una referencia distinta a la de la NEV que aspira a funcionar como un mecanismo de prevención ante potenciales radicalizaciones. Entre los segundos se pretende atraer a aquellos que, encontrándose en el nivel inicial de radicalización narrativa, pueden ver con buenos ojos un discurso más moderado que se plantea como opción a la NEV.</w:t>
      </w:r>
    </w:p>
    <w:p w:rsidR="004E06B9" w:rsidRDefault="004E06B9">
      <w:pPr>
        <w:jc w:val="both"/>
        <w:rPr>
          <w:rFonts w:ascii="Times New Roman" w:hAnsi="Times New Roman" w:cs="Times New Roman"/>
          <w:i/>
          <w:iCs/>
          <w:sz w:val="24"/>
          <w:szCs w:val="24"/>
        </w:rPr>
      </w:pPr>
    </w:p>
    <w:p w:rsidR="004E06B9" w:rsidRDefault="004E06B9">
      <w:pPr>
        <w:jc w:val="both"/>
        <w:rPr>
          <w:rFonts w:ascii="Times New Roman" w:hAnsi="Times New Roman" w:cs="Times New Roman"/>
          <w:sz w:val="24"/>
          <w:szCs w:val="24"/>
        </w:rPr>
      </w:pPr>
      <w:bookmarkStart w:id="0" w:name="_GoBack"/>
      <w:bookmarkEnd w:id="0"/>
      <w:r>
        <w:rPr>
          <w:rFonts w:ascii="Times New Roman" w:hAnsi="Times New Roman" w:cs="Times New Roman"/>
          <w:i/>
          <w:iCs/>
          <w:sz w:val="24"/>
          <w:szCs w:val="24"/>
        </w:rPr>
        <w:t>1.2.5 Formas de difusión</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Las formas de difusión de las narrativas alternativas son, al igual que sus narradores, diversas. Entre los ejemplos empíricos de los que disponemos, encontramos los siguientes (Briggs y Feve, 2013: 42-47):</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1. programas de sensibilización dirigidos a la "mayoría silenciosa" (Hours Against Hate, My Fellow American): se trata de acciones que buscan movilizar a la ciudadanía contra el extremismo violento mediante un mensaje positivo: dedicar un tiempo a hacer algo por una persona "que no se parece a ti, que no reza como tú y que no vive como tú", o un documental con vídeos sobre experiencias relacionales positivas entre estadounidenses no musulmanes y musulmanes.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My Fellow American es un programa que pretende combatir los prejuicios de los estadounidenses acerca de aquellos que profesan el Islam como religión. En este sentido, se busca presentar un discurso alternativo al que justifica el uso de la violencia contra unos musulmanes que son "vilificados como el Otro" por la narrativa extrema opuesta al </w:t>
      </w:r>
      <w:r>
        <w:rPr>
          <w:rFonts w:ascii="Times New Roman" w:hAnsi="Times New Roman" w:cs="Times New Roman"/>
          <w:i/>
          <w:iCs/>
          <w:sz w:val="24"/>
          <w:szCs w:val="24"/>
        </w:rPr>
        <w:t>yihadismo</w:t>
      </w:r>
      <w:r>
        <w:rPr>
          <w:rFonts w:ascii="Times New Roman" w:hAnsi="Times New Roman" w:cs="Times New Roman"/>
          <w:sz w:val="24"/>
          <w:szCs w:val="24"/>
        </w:rPr>
        <w:t>. En términos cuantitativos, el impacto de este programa ha sido notable. De todos los ejemplos empíricos de contranarrativas, los vídeos de My Fellow American son los que presentan una cifra más alta de visualizaciones en Youtube (1,3 millones desde 2011). No ocurre lo mismo con Hours Against Hate, cuyo impacto en Youtube y en las demás redes sociales ha sido más bien modesto. Al margen de los resultados  la campaña en sí, su visibilidad en Twitter y Facebook ha sido muy limitada.</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2. programas de sensibilización dirigidos a colectivos de simpatizantes y neutrales vulnerables al extremismo violento (Radical Middle Way, My Jihad): son proyectos que reclaman la recuperación de una interpretación religiosa distinta y más moderada del Islam que la planteada por el extremismo islamista. Pese a su juventud como programa (2012), My Jihad no ha conseguido arraigar con fuerza en las redes sociales. Teniendo en cuenta que su público objetivo es la población "extremista musulmana y antimusulmana" en EEUU, sus seguidores en Twitter son escasos y sus "me gusta" en Facebook no alcanzan las 10.000 unidades. Debe reconocerse, eso sí, el dinamismo de su hashtag #myjihad, que es usado a diario por una decena de personas. Radical Middle Way ha desarrollado 170 eventos desde 2005 y sus programas han contado con la participación de 75.000 usuarios (en el Reino Unido y otros estados). Sin embargo, quizás por sus lazos con la administración británica, su presencia en las redes sociales es débil. Sólo llega a ser destacable el volumen de descargas de sus vídeos en Youtube (1,4 millones desde 2006), que queda lejos de la media anual conseguida por My Fellow American.</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3. programas de información alternativa (Sabahi/Magharebia): se trata de medios de comunicación, en este caso impulsados por el ejército estadounidense bajo la forma de páginas web. Ofrecen información general acerca de las regiones de África Oriental y del Magreb en lenguas locales (entre otras árabe, somali y suajili) poniendo el acento en noticias relacionadas con extremismo, terrorismo y contraterrorismo. Sabahi y Magharebia afirman tener como objetivo presentar "una cobertura rigurosa, equilibrada y con visión de futuro sobre acontecimientos" en ambas regiones. Sin embargo, considerando que estamos ante medios de comunicación de masas, su impacto es limitado (la web de Sabahi recibe 4.000 visitantes diarios) y su audiencia se autoselecciona entre los ya suscriben su relato alternativo, por lo que no se alcanza el objetivo de llegar a simpatizantes y vulnerables a las NEV. Un caso que muestra que las páginas web de nueva creación, como vehículo de difusión de  contranarrativas (sean éstas del tipo que sean), corren el riesgo de atraer exclusivamente a un público moderado y tener un impacto muy escaso sobre aquellos sobre quienes se quiere intervenir.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4. programas de capacitación (Viral Peace, My Canada): se trata de programas de capacitación promovidos por desde los gobiernos pero de implementación descentralizada. Su objetivo es formar a activistas y líderes comunitarios (sobre todo, en herramientas 2.0) para que estos se convieran en altavoces de una narrativa alternativa a las NEV. My Canada funcionó entre 2009 y 2011, por lo que su presencia en las redes sociales es nula. Viral Peace tiene una visibilidad más que discreta (102 seguidores en Twitter) y 341 "me gusta" en Facebook.</w:t>
      </w:r>
    </w:p>
    <w:p w:rsidR="004E06B9" w:rsidRDefault="004E06B9">
      <w:pPr>
        <w:jc w:val="both"/>
        <w:rPr>
          <w:rFonts w:ascii="Times New Roman" w:hAnsi="Times New Roman" w:cs="Times New Roman"/>
          <w:i/>
          <w:iCs/>
          <w:sz w:val="24"/>
          <w:szCs w:val="24"/>
        </w:rPr>
      </w:pPr>
      <w:r>
        <w:rPr>
          <w:rFonts w:ascii="Times New Roman" w:hAnsi="Times New Roman" w:cs="Times New Roman"/>
          <w:i/>
          <w:iCs/>
          <w:sz w:val="24"/>
          <w:szCs w:val="24"/>
        </w:rPr>
        <w:t xml:space="preserve"> </w:t>
      </w:r>
    </w:p>
    <w:p w:rsidR="004E06B9" w:rsidRDefault="004E06B9">
      <w:pPr>
        <w:jc w:val="both"/>
        <w:rPr>
          <w:rFonts w:ascii="Times New Roman" w:hAnsi="Times New Roman" w:cs="Times New Roman"/>
          <w:b/>
          <w:bCs/>
          <w:sz w:val="24"/>
          <w:szCs w:val="24"/>
        </w:rPr>
      </w:pPr>
      <w:r>
        <w:rPr>
          <w:rFonts w:ascii="Times New Roman" w:hAnsi="Times New Roman" w:cs="Times New Roman"/>
          <w:b/>
          <w:bCs/>
          <w:i/>
          <w:iCs/>
          <w:sz w:val="24"/>
          <w:szCs w:val="24"/>
        </w:rPr>
        <w:t>1.3 Las narrativas de choque</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El último modelo de contranarrativas son las narrativas de choque. Este tipo de contranarrativas busca reducir el grado de aceptación de una NEV entrando en conflicto directo con su sistema de historias. La narrativa de choque pretende deconstruir, desacreditar y/o desmitificar los mensajes de la narrativa adversaria, al tiempo que deslegitimar a sus narradores. Ya sea a través de la ideología, de la lógica, de los hechos o del humor, una narrativa de choque tiene por objeto "plantar la semilla de la duda" (Briggs y Feve, 2013: 8) entre aquellos que suscriben una NEV con tal de disminuir su nivel de radicalización narrativa.</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1.3.1 Objetivos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Si revisamos la literatura reciente, podemos identificar al menos siete objetivos discursivos de una narrativa de choque:</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1. Erosionar el marco intelectual de la ideología extremista violenta. Una narrativa de choque puede orientarse a cuestionar asunciones, creencias y significados que se encuentran tras una NEV (Schmid, 2010: 53). Esto es, demostrar que el mensaje subyacente del discurso que se pretende enfrentar "bien es incorrecto, bien descansa sobre un malentendido o bien se apoya sobre un engaño malicioso" (Benard, 2011: 111). Esta estrategia ha concentrado la mayor parte de esfuerzos de los últimos años.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A la práctica, si queremos erosionar el marco intelectual de una ideología extremista violenta, podemos llevar a cabo tres tipos de acciones narrativas: en primer lugar, desacreditar los mitos fundacionales de la narrativa adversaria; segundo, negar los enunciados que configuran la estructura narrativa del relato; finalmente, neutralizar la acción de determinados recursos discursivos que utilizan las NEV para arraigar su relato.</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Las narrativas violentas se asientan sobre mitos fundacionales que provocan emociones y que son creados y propagados por canales no racionales. Un mito como el de los “soldados de Dios que luchan contra los infieles” se transmite no a través de un proceso lógico o deliberativo, sino por medio de un adoctrinamiento que invoca reacciones afectivas y de proximidad hacia el mito en cuestión. Los mitos fundacionales de una narrativa violenta pueden ser deconstruidos y criticados sin necesariamente proponer ninguna alternativa: por ejemplo, podemos negar que nosotros seamos los antagonistas, “los infieles” contra los que hay que luchar. O podemos lanzar mensajes negativos sobre los mitos de la narrativa adversaria, esperando que la propagación de esa imagen amenazadora llame la atención de sus seguidores sobre nuestros argumentos y provoque cambios en su comportamiento político (La Marca, 2012: 45-46).</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Por otro lado, podemos negar o descalificar los enunciados que forman la introducción, el clímax y el desenlace de la NEV que pretendemos enfrentar. Siguiendo el ejemplo anterior, consistiría en un relato que afirmaría lo siguiente:</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1. Los musulmanes no están siendo atacados por Occidente. Occidente no tiene nada contra el Islam ni contra ninguna religión que se exprese de forma pacífica y no violenta (introducción)</w:t>
      </w: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2. Al-Qaeda y sus seguidores no están luchando contra los opresores del Islam sino contra los propios musulmanes que son objeto frecuente de sus atentados (desarrollo -clímax); </w:t>
      </w: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3. Apoyar a Al-Qaeda no es un deber del buen musulmán. La mayor parte de musulmanes no apoyan a Al-Qaeda y condenan firmemente sus actos violentos (desenlace/reto);</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Otra forma de desgastar el marco intelectual de las NEV consiste en eliminar los efectos que provocados por algunos recursos discursivos. En este caso se trata de neutralizar analogías, compresiones temporales, conceptos binarios, arquetipos o cualquier otro recurso que contribuya a sostener su aceptación (Halverson et al, 2011: 196-204).</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2. Cuestionar la eficacia del extremismo violento para lograr los objetivos que persigue. Esta estrategia consiste en disputar la inevitabilidad del éxito del extremismo violento en la consecución de sus metas. Se trata de demostrar que los objetivos planteados nunca serán logrados porque son inalcanzables o porque no lo merecen por ser considerados ilegítimos. O que, incluso si fueran alcanzados, sus seguidores "no estarían contentos con la clase de mundo y sociedad que resultaría de su victoria" (Benard, 2011: 111), fuera esta un califato islámico regido por la sharia, un Estado independiente y libre de dominación externa o una nación pura en términos raciales que defendiera su superior naturaleza frente al resto.</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Algunos autores recomiendan cuestionar la ineficacia del extremismo violento exagerando sus errores, especialmente si tienen que ver con actos violentos. El propósito en este caso es demostrar la escasa competencia de los extremistas en el desarrollo de acciones que deberían conducir hacia los objetivos pretendidos, y generar dudas acerca de la validez del uso de la violencia. Incluso algunos autores van más allá y recalcan la necesidad de inventar, en caso de que no existieran o no se tuviera acceso a ellas, historias acerca de errores o malas prácticas de los grupos extremistas violentos (Bernard, 2011). Sin embargo, la creación de historias ficticias tiene, al margen de otras consideraciones éticas, un riesgo evidente en su potencial descubrimiento por parte del adversario narrativo. Su publicación comprometería seriamente la aceptación de nuestra narrativa de choque y la credibilidad de sus narradores y de su promotor.</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3. Deslegitimar los medios usados por el extremismo violento en la persecución de sus objetivos.  Otra estrategia consiste en presentar los actos de los grupos extremistas violentos como contradictorios con los elementos fundamentales de su narrativa. Así, se presiona para hacer emerger inconsistencias del discurso a partir del cuestionamiento doctrinal de las acciones practicadas. Este el caso, por ejemplo, de las historias que niegan la justificación del suicidio como acto de devoción religiosa por parte del Islam. O de las que niegan la validez de la interpretación violenta del término yihad como "guerra santa contra los infieles".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Una variante de esta estrategia consiste en resaltar el alcance indiscriminado de los medios usados por los grupos extremistas. Es decir, construir historias que muestren cómo los métodos violentos practicados por el extremismo se aplican de forma indiscriminada, sin distinguir entre combatientes y población civil. Incluso es posible ir un paso más allá y diseñar relatos que destaquen el impacto negativo que los actos extremistas tienen sobre el colectivo que la NEV afirma defender. Así, no sólo se trataría de presentar los medios usados como "injustificados", "mezquinos" o "inmorales", sino también como "contraproducentes" en relación al interés del grupo social de referencia. Por ejemplo, si se da visibilidad a las acciones violentas de Al-Qaeda en las que resultan víctimas personas de confesión musulmana, se contribuye a reducir la credibilidad de Al-Qaeda como organización que defiende a la </w:t>
      </w:r>
      <w:r>
        <w:rPr>
          <w:rFonts w:ascii="Times New Roman" w:hAnsi="Times New Roman" w:cs="Times New Roman"/>
          <w:i/>
          <w:iCs/>
          <w:sz w:val="24"/>
          <w:szCs w:val="24"/>
        </w:rPr>
        <w:t>umma</w:t>
      </w:r>
      <w:r>
        <w:rPr>
          <w:rFonts w:ascii="Times New Roman" w:hAnsi="Times New Roman" w:cs="Times New Roman"/>
          <w:sz w:val="24"/>
          <w:szCs w:val="24"/>
        </w:rPr>
        <w:t xml:space="preserve"> del ataque de Occidente.</w:t>
      </w: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 </w:t>
      </w: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4. Socavar la credibilidad de los líderes del extremismo violento y/o de sus narradores. Las narrativas de choque pueden orientarse a desgastar la aceptación de quienes tienen posiciones de liderazgo en grupos violentos o de quienes propagan sus mensajes bajo la forma de una NEV.  Se trata de presentarles ante sus seguidores como "poco fiables, deshonestos, escasamente acertados o ineptos" (Benard, 2011) utilizando evidencia acerca de malas prácticas individuales. Corrupción, enriquecimiento desproporcionado, negocios ilegales o conductas inmorales constituyen praxis que pueden usarse para minar la credibilidad tanto de líderes extremistas como de propagadores de una NEV. Las pruebas visuales de fácil difusión a través de internet son especialmente útiles a este fin. Incluso estando vagamente apoyadas por hechos, las acusaciones pueden ser efectivas. "Ponen al líder [o al narrador] a la defensiva, obligándole a responder y a desmentir" (Benard, 2011: 112). Una situación que siembra dudas entre quienes se encuentran en estadios iniciales de radicalización narrativa.</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6. Incidir sobre aquellos temas que incrementan la división interna en el seno del extremismo violento. Esta estrategia narrativa pretende presentar los desacuerdos entre líderes y/o narradores del extremismo violento (aunque sean mínimos) como grandes disputas doctrinales o metodológicas" (Schmid, 2010: 54). El objetivo es "politizar las diferencias que la ideología trata de suavizar" (Schmid, 2010: 53). Así, se espolea la división ideológica para dañar la coherencia de los mensajes de la NEV y reducir su atractivo ante sus seguidores reales o potenciales. Una estrategia que entraña sus riesgos por al menos dos factores. Primero, al igual que el resto de estrategias pero si cabe con mayor facilidad, puede ser neutralizada por la narrativa adversaria al descubrir su propósito al público al que se dirige. En segundo lugar, magnificar los desacuerdos internos puede resultar en una nueva distribución de poder en el seno del extremismo violento que incremente -y no reduzca- el atractivo de la NEV.</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6. Erosionar el prestigio social de participar en grupos extremistas violentos. El reconocimiento social que despiertan entre los colectivos más radicalizados quienes toman parte en actos violentos puede verse afectado por la difusión de historias acerca de sus víctimas o sobre quienes abandonan la militancia violenta. Esta es una estrategia narrativa orientada a reducir el número de quienes justifican la violencia  y quienes la consideran un deber moral.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Las historias contadas por "desertores", antiguos </w:t>
      </w:r>
      <w:r>
        <w:rPr>
          <w:rFonts w:ascii="Times New Roman" w:hAnsi="Times New Roman" w:cs="Times New Roman"/>
          <w:i/>
          <w:iCs/>
          <w:sz w:val="24"/>
          <w:szCs w:val="24"/>
        </w:rPr>
        <w:t>insiders</w:t>
      </w:r>
      <w:r>
        <w:rPr>
          <w:rFonts w:ascii="Times New Roman" w:hAnsi="Times New Roman" w:cs="Times New Roman"/>
          <w:sz w:val="24"/>
          <w:szCs w:val="24"/>
        </w:rPr>
        <w:t xml:space="preserve"> decepcionados con su organización, con los líderes de ésta o con la vida diaria del combatiente, gozan de mayor credibilidad que un </w:t>
      </w:r>
      <w:r>
        <w:rPr>
          <w:rFonts w:ascii="Times New Roman" w:hAnsi="Times New Roman" w:cs="Times New Roman"/>
          <w:i/>
          <w:iCs/>
          <w:sz w:val="24"/>
          <w:szCs w:val="24"/>
        </w:rPr>
        <w:t>outsider</w:t>
      </w:r>
      <w:r>
        <w:rPr>
          <w:rFonts w:ascii="Times New Roman" w:hAnsi="Times New Roman" w:cs="Times New Roman"/>
          <w:sz w:val="24"/>
          <w:szCs w:val="24"/>
        </w:rPr>
        <w:t xml:space="preserve"> a la hora de restar atractivo a la NEV y a la experiencia de formar parte de una organización violenta. Por esta razón, su testimonio es relevante para contrarrestar la imagen que la NEV propaga acerca de quienes participan activamente en grupos extremistas violentos: la imagen de una élite que vive de una forma emocionante, que inspira respeto y admiración entre sus seguidores y miedo entre sus adversarios.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Las historias protagonizadas por víctimas de acciones violentas actúan en la misma dirección, al presentar las consecuencias humanas del extremismo. Sus vivencias tienen el efecto de restar prestigio la vida del combatiente, al destacar el aspecto más inaceptable que la NEV intenta ocultar.</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7. Afectar la relación entre los seguidores de una NEV y el extremismo violento. Las narrativas de choque pueden orientarse a debilitar el vínculo entre quienes suscriben una narrativa violenta y quienes practican la violencia en su nombre y en el de otros. Esto puede hacerse centrando la atención en calificar o descalificar los motivos que empujan a los seguidores de una NEV a justificar directa o indirectamente la existencia del extremismo violento. Por un lado, los seguidores pueden ser presentados como víctimas de unas organizaciones que los instrumentalizan para la consecución de sus fines. Así, su juventud, su idealismo, su ingenuidad o incluso sus problemas personales serían explotados para atraerlos hacia la NEV. Por otro lado, y en contraste con la empatía del enfoque anterior, los seguidores pueden ser caracterizados de una forma más agresiva como "criminales que fingen tener una ideología o como personas sin escrúpulos que no se preocupan del sufrimiento que generan".</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i/>
          <w:iCs/>
          <w:sz w:val="24"/>
          <w:szCs w:val="24"/>
        </w:rPr>
      </w:pPr>
      <w:r>
        <w:rPr>
          <w:rFonts w:ascii="Times New Roman" w:hAnsi="Times New Roman" w:cs="Times New Roman"/>
          <w:i/>
          <w:iCs/>
          <w:sz w:val="24"/>
          <w:szCs w:val="24"/>
        </w:rPr>
        <w:t>1.3.2 Promotor</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Las narrativas de choque pueden ser impulsadas por el gobierno o desde la sociedad civil. Sin embargo, este tipo de contranarrativa será más eficaz cuando, al igual que en el caso de las narrativas alternativas, el gobierno se limite a actuar como "facilitador" tanto en su diseño como en su difusión. La credibilidad de los ejecutivos se reduce cuando intentan desafiar directamente la legitimidad de una NEV. Si se trata de reducir su aceptación entre personas que la suscriben en alguna medida, las organizaciones de la sociedad civil tienen más recursos para ser escuchadas.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1.3.3 Narradores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La selección del narrador tiene una importancia fundamental en la difusión de un relato de choque. Quienes ya han asumido de forma parcial o total un discurso violento, solamente escucharán a un tipo determinado de actores a los que reconozcan una elevada credibilidad, autoridad y autenticidad. Tres tipos de actores pueden reunir estos requisitos: antiguos terroristas o extremistas violentos, sus víctimas o supervivientes, o líderes comunitarios, religiosos o políticos.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Los ex-terroristas o ex-extremistas están a menudo dotados de los atributos necesarios para difundir una narrativa de choque, pero su papel será visto en ocasiones con enfado o con sospecha por quienes se encuentran más profundamente radicalizados. Su abandono de la violencia, y en especial las razones que les llevaron a tomar esa decisión, "ofrecen un contramensaje extremadamente poderoso" (Soufan et al, 2013: 14) tal como demuestra su implicación en la construcción de paz en Irlanda del Norte.</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Las víctimas de actos terroristas o del extremismo violento también pueden operar como narradores de este tipo de relato. Los supervivientes tienen la capacidad de representar las consecuencias humanas de los actos extremistas violentos, despojando de heroísmo y de </w:t>
      </w:r>
      <w:r>
        <w:rPr>
          <w:rFonts w:ascii="Times New Roman" w:hAnsi="Times New Roman" w:cs="Times New Roman"/>
          <w:i/>
          <w:iCs/>
          <w:sz w:val="24"/>
          <w:szCs w:val="24"/>
        </w:rPr>
        <w:t>glamour</w:t>
      </w:r>
      <w:r>
        <w:rPr>
          <w:rFonts w:ascii="Times New Roman" w:hAnsi="Times New Roman" w:cs="Times New Roman"/>
          <w:sz w:val="24"/>
          <w:szCs w:val="24"/>
        </w:rPr>
        <w:t xml:space="preserve"> a quienes los cometen.</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Finalmente, algunos líderes de naturaleza diversa (religiosa, comunitaria, política) disponen de características personales que los hacen creíbles y auténticos. Su carisma, prestigio, erudición o su capacidad de liderazgo les conceden el ascendente necesario para hacer llegar sus mensajes a colectivos radicalizados. En el caso de la NEV de raíz islamista, algunos estudios han concluido que los líderes religiosos pueden jugar un papel relevante no sólo en la difusión de contramensajes sino también a la hora de rehabilitar extremistas (Soufan et al, 2013: 14).</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1.3.4 Destinatarios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A diferencia de lo que ocurría en las contranarrativas anteriores, en las que los colectivos vulnerables eran también público objetivo, en esta variante el destinatario lo forman exclusivamente individuos que ya se encuentran inmersos en procesos de radicalización narrativa en cualquiera de sus tres estadios: simpatizante, justificador o moral. Esto es, personas que entienden que el grupo del que forman parte (religioso, nacional, étnico, territorial) está siendo atacado ("simpatizante"); individuos que, además de lo anterior, suscriben que la violencia en defensa de este grupo está justificada ("justificador"); y finalmente, personas que están de acuerdo con las dos afirmaciones anteriores y una tercera según la cual "actuar de forma violenta en defensa del grupo atacado constituye un deber moral de todo el que forma parte de él".</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i/>
          <w:iCs/>
          <w:sz w:val="24"/>
          <w:szCs w:val="24"/>
        </w:rPr>
        <w:t>1.3.5 Formas de difusión</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Hasta la fecha, los programas que han implementado narrativas de choque pueden agruparse en cuatro categorías: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A) Programas de creación de redes e intercambio de experiencias. Son acciones que promueven el trabajo en red para el diseño e implementación de narrativas de choque. Ya sean formadas por expertos (RAN Working Group on the Internet and Social Media, Ran@), por víctimas del extremismo (Global Survivors Network, GSN) o por víctimas y antiguos extremistas o ex-terroristas al mismo tiempo (Against Violent Extremism, AVE), estas iniciativas sitúan en el centro la necesidad de compartir prácticas y experiencias en este campo. Ran@ es un grupo de trabajo creado por la Comisión Europea que promueve el diseño de respuestas al extremismo a través la red. Está copresidido por Google Ideas y el Institute of Strategic Dialogue y fue fundado en 2011. GSN es una plataforma de víctimas del terrorismo que difunde su testimonio para restar atractivo a las NEV. Sus experiencias han sido recogidas en material audiovisual (incluso un documental de GSN legó a ser nominado para los premios Oscar), pero su presencia en las redes sociales es muy limitada: desde su nacimiento en 2008-09, 368 “me gusta” en Facebook y 213 seguidores en Twitter</w:t>
      </w:r>
      <w:r>
        <w:rPr>
          <w:rStyle w:val="FootnoteReference"/>
          <w:sz w:val="24"/>
          <w:szCs w:val="24"/>
        </w:rPr>
        <w:footnoteReference w:id="7"/>
      </w:r>
      <w:r>
        <w:rPr>
          <w:rFonts w:ascii="Times New Roman" w:hAnsi="Times New Roman" w:cs="Times New Roman"/>
          <w:sz w:val="24"/>
          <w:szCs w:val="24"/>
        </w:rPr>
        <w:t>. AVE es una organización que reúne a 301 extremistas y 159 víctimas del extremismo con el fin de que intercambien iniciativas y buenas prácticas para enfrentar las NEV. AVE promueve el contacto entre sus miembros de su red y el sector privado para impulsar financiación de proyectos. Fundada en 2012, está gestionada por el Institute of Strategic Dialogue con el apoyo de Google Ideas.</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B) Programas que despliegan narrativas de choque contra el extremismo islamista. Se trata de iniciativas que cuestionan la interpretación religiosa del Islam practicada por el extremismo islamista. Fatwa on Terrorism es un proyecto nacido en 2010 que difunde un pronunciamiento religioso de un erudito y estudioso del Islam, Muhammad Tahir-ul-Qadri. El texto –que contraviene buena parte de los presupuestos ideológicos de Al-Qaeda- niega que el Islam ampare o justifique el terrorismo como forma de lucha. Su presencia ha sido destacable en Facebook (25.181 “me gusta” desde 2010) y no tanto en el resto de redes sociales. Al Sakina es una entidad financiada por el Ministerio de Asuntos religiosos de Arabia Saudí. Dispone de una “Sección científica” formada por religiosos y psicólogos que establece diálogos directos con extremistas. En estos contactos, el equipo de Al-Sakina responde a cuestiones religiosas y al mismo tiempo pone en cuestión los fundamentos del relato islamista violento.</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C) Programas de apoyo a la desradicalización de individuos de extrema derecha. Son acciones que promueven el abandono de la violencia de personas que forman parte de grupos de extrema derecha o derecha radical. EXIT Deutschland ofrece apoyo online y offline a individuos que deseen dejar movimientos neo-nazis. Dispone de un servicio de asesoría y orientación para acompañar el proceso de desvinculación. Desde 2000, esta organización ha promovido la desradicalización de 500 personas, con una reincidencia de tan solo el 3%. Sus vídeos tienen un número elevado de descargas (43.710 desde 2011). Exit Fryshuset es una organización muy parecida a la anterior. Sin embargo, además del asesoramiento offline, su equipo de antiguos extremistas –buenos conocedores del movimiento de extrema derecha sueco- entra en contacto online con extremistas a través de foros en los que éstos interactúan frecuentemente. En estos contactos, Exit Fryshuset intenta que los participantes se libren progresivamente del pensamiento binario para poder sembrar dudas acerca de la proximidad hacia la NEV.</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rPr>
      </w:pPr>
      <w:r>
        <w:rPr>
          <w:rFonts w:ascii="Times New Roman" w:hAnsi="Times New Roman" w:cs="Times New Roman"/>
          <w:sz w:val="24"/>
          <w:szCs w:val="24"/>
        </w:rPr>
        <w:t xml:space="preserve">D) Programas de capacitación de jóvenes en riesgo de radicalización. Son proyectos que promueven la adquisición de competencias entre jóvenes y adolescentes para que estén preparados para rechazar las NEV. Strategy to Reach, Empower and Educate Teenagers (STREET) es un proyecto que tiene una acción especialmente dedicada a desconstruir la propaganda de Al-Qaeda (textos o material audiovisual) para hacer menos visible su discurso entre los jóvenes. Los mentores que ofrecen este tipo de talleres combinan una gran credibilidad “de calle” con un buen conocimiento del Islam como religión. El Deconstruction Program de STREET es muy parecido al trabajo que realiza Bold Creative. Esta última entidad busca formar jóvenes para mejorar su resiliencia online y para ampliar su capacidad de nalizar críticamente contenidos (extremistas o no). </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b/>
          <w:bCs/>
          <w:sz w:val="24"/>
          <w:szCs w:val="24"/>
        </w:rPr>
      </w:pPr>
    </w:p>
    <w:p w:rsidR="004E06B9" w:rsidRDefault="004E06B9">
      <w:pPr>
        <w:jc w:val="both"/>
        <w:rPr>
          <w:rFonts w:ascii="Times New Roman" w:hAnsi="Times New Roman" w:cs="Times New Roman"/>
          <w:b/>
          <w:bCs/>
          <w:sz w:val="24"/>
          <w:szCs w:val="24"/>
        </w:rPr>
      </w:pPr>
      <w:r>
        <w:rPr>
          <w:rFonts w:ascii="Times New Roman" w:hAnsi="Times New Roman" w:cs="Times New Roman"/>
          <w:b/>
          <w:bCs/>
          <w:sz w:val="24"/>
          <w:szCs w:val="24"/>
        </w:rPr>
        <w:t>Bibliografía</w:t>
      </w:r>
    </w:p>
    <w:p w:rsidR="004E06B9" w:rsidRDefault="004E06B9">
      <w:pPr>
        <w:jc w:val="both"/>
        <w:rPr>
          <w:rFonts w:ascii="Times New Roman" w:hAnsi="Times New Roman" w:cs="Times New Roman"/>
          <w:sz w:val="24"/>
          <w:szCs w:val="24"/>
        </w:rPr>
      </w:pP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AL RAFFIE, D. (2012), "Whose Hearts and Minds? Narratives and Counter-Narratives of Salafi Jihadism" en Journal of Terrorism Research, vol. 3, Issue 2: 13-31</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ARCHETTI, C. (2013), “Narrative Wars: Understanding Terrorism in the Era of Global Interconnectedness” en MISKIMMON, A., O’LOUGHLIN, B. Y ROSELLE, L. (eds) Forging the World: Strategic Narratives and International Relations (Ann Arbor: University of Michigan Press)</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ARCHETTI, C. (2010), “Terrorism, Communication, and the War of Ideas: Al-Qaida’s Strategic Narrative as a Brand,” University of Salford</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BENARD, C. (2011), "The Mechanics of De-Legitimization" en FENSTERMACHER, L. Y LEVENTHAL, T.,  Countering Violent Extremism Scientific Methods &amp; Strategies, Air Force Research Laboratory, Wright-Patterson AFB,OH,45433, 41, 106-110</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BRIGGS, N. Y FEVE, J. (2013), “Review of Programs to Counter Narratives of Violent Extremism What Works And What Are The Implications For Government?” en Institute for Strategic Dialogue</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CASEBEER, W.D. (2008), "Identity, Culture And Stories: Empathy And The War On Terrorism" en Minnesota journal of law, science &amp; technology 9(2): 653-688</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CASEBEER, W.D. y RUSSELL, J.A. (2005), “Storytelling and Terrorism: Towards a Comprehensive 'Counter-Narrative Strategy'” en Strategic Insights, IV(3): 1-17</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DURODIÉ, B. (2013), “War on Terror or a Search for Meaning?” en Looking Back, Looking Forward: Perspectives on Terrorism and Responses to It, Strategic Multi-layer Assessment Occasional White Paper, Department of Defense</w:t>
      </w:r>
    </w:p>
    <w:p w:rsidR="004E06B9" w:rsidRDefault="004E06B9">
      <w:pPr>
        <w:jc w:val="both"/>
        <w:rPr>
          <w:rFonts w:ascii="Times New Roman" w:hAnsi="Times New Roman" w:cs="Times New Roman"/>
          <w:sz w:val="24"/>
          <w:szCs w:val="24"/>
          <w:lang w:val="en-GB"/>
        </w:rPr>
      </w:pPr>
      <w:r>
        <w:rPr>
          <w:rFonts w:ascii="Times New Roman" w:hAnsi="Times New Roman" w:cs="Times New Roman"/>
          <w:sz w:val="24"/>
          <w:szCs w:val="24"/>
          <w:lang w:val="en-GB"/>
        </w:rPr>
        <w:t>DE GRAAF, B., (2009), “Counter-Narratives and the Unrehearsed Stories Counter-Terrorists Unwittingly Produce”, en Perspectives on Terrorism, vol.3 n.2: 5-11</w:t>
      </w:r>
    </w:p>
    <w:p w:rsidR="004E06B9" w:rsidRDefault="004E06B9">
      <w:pPr>
        <w:jc w:val="both"/>
        <w:rPr>
          <w:rFonts w:ascii="Times New Roman" w:hAnsi="Times New Roman" w:cs="Times New Roman"/>
          <w:sz w:val="24"/>
          <w:szCs w:val="24"/>
          <w:lang w:val="en-GB"/>
        </w:rPr>
      </w:pPr>
      <w:r>
        <w:rPr>
          <w:rFonts w:ascii="Times New Roman" w:hAnsi="Times New Roman" w:cs="Times New Roman"/>
          <w:sz w:val="24"/>
          <w:szCs w:val="24"/>
          <w:lang w:val="en-GB"/>
        </w:rPr>
        <w:t>HALVERSON, J.R., GOODALL, H.L. Y CORMAN, S. (2011), Master Narratives of Islamist Extremism, New York, Palgrave Macmillan</w:t>
      </w:r>
    </w:p>
    <w:p w:rsidR="004E06B9" w:rsidRDefault="004E06B9">
      <w:pPr>
        <w:jc w:val="both"/>
        <w:rPr>
          <w:rFonts w:ascii="Times New Roman" w:hAnsi="Times New Roman" w:cs="Times New Roman"/>
          <w:sz w:val="24"/>
          <w:szCs w:val="24"/>
          <w:lang w:val="en-GB"/>
        </w:rPr>
      </w:pPr>
      <w:r>
        <w:rPr>
          <w:rFonts w:ascii="Times New Roman" w:hAnsi="Times New Roman" w:cs="Times New Roman"/>
          <w:sz w:val="24"/>
          <w:szCs w:val="24"/>
          <w:lang w:val="en-GB"/>
        </w:rPr>
        <w:t>HALVERSON, J.R. (2010), “A Counter-Narrative for Iranian Tyranny”, report 1002, Consortium for Strategic Communication, Arizona State University</w:t>
      </w:r>
    </w:p>
    <w:p w:rsidR="004E06B9" w:rsidRDefault="004E06B9">
      <w:pPr>
        <w:jc w:val="both"/>
        <w:rPr>
          <w:rFonts w:ascii="Times New Roman" w:hAnsi="Times New Roman" w:cs="Times New Roman"/>
          <w:sz w:val="24"/>
          <w:szCs w:val="24"/>
          <w:lang w:val="en-GB"/>
        </w:rPr>
      </w:pPr>
      <w:r>
        <w:rPr>
          <w:rFonts w:ascii="Times New Roman" w:hAnsi="Times New Roman" w:cs="Times New Roman"/>
          <w:sz w:val="24"/>
          <w:szCs w:val="24"/>
          <w:lang w:val="en-GB"/>
        </w:rPr>
        <w:t>LA MARCA, M. (2012), “Defeating al-Qaeda in the ‘Battle of Ideas’: The Case for a U.S. Counter-Narrative”, Department of Political Science, Duke University</w:t>
      </w:r>
    </w:p>
    <w:p w:rsidR="004E06B9" w:rsidRDefault="004E06B9">
      <w:pPr>
        <w:jc w:val="both"/>
        <w:rPr>
          <w:rFonts w:ascii="Times New Roman" w:hAnsi="Times New Roman" w:cs="Times New Roman"/>
          <w:sz w:val="24"/>
          <w:szCs w:val="24"/>
          <w:lang w:val="en-GB"/>
        </w:rPr>
      </w:pPr>
      <w:r>
        <w:rPr>
          <w:rFonts w:ascii="Times New Roman" w:hAnsi="Times New Roman" w:cs="Times New Roman"/>
          <w:sz w:val="24"/>
          <w:szCs w:val="24"/>
          <w:lang w:val="en-GB"/>
        </w:rPr>
        <w:t>LEUPRECHT, C., HATALEY, T., MOSKALENKO, S. Y MCCAULEY, C. (2010), "Narratives and Counter-Narratives for Global Jihad: Opinion versus Action" en AKERBOOM, E. (Coord.),  Countering Violent Extremist Narratives, National Coordinator for Counterterrorism (NCTb), Leiden University (The Hague), 58-71</w:t>
      </w:r>
    </w:p>
    <w:p w:rsidR="004E06B9" w:rsidRDefault="004E06B9">
      <w:pPr>
        <w:jc w:val="both"/>
        <w:rPr>
          <w:rFonts w:ascii="Times New Roman" w:hAnsi="Times New Roman" w:cs="Times New Roman"/>
          <w:sz w:val="24"/>
          <w:szCs w:val="24"/>
          <w:lang w:val="en-GB"/>
        </w:rPr>
      </w:pPr>
      <w:r>
        <w:rPr>
          <w:rFonts w:ascii="Times New Roman" w:hAnsi="Times New Roman" w:cs="Times New Roman"/>
          <w:sz w:val="24"/>
          <w:szCs w:val="24"/>
          <w:lang w:val="en-GB"/>
        </w:rPr>
        <w:t>PIZZUTO, M. (2013), “Alter-Messaging: The Credible, Sustainable Counterterrorism Strategy” en Center on Global Counterterrorism Cooperation</w:t>
      </w:r>
    </w:p>
    <w:p w:rsidR="004E06B9" w:rsidRDefault="004E06B9">
      <w:pPr>
        <w:jc w:val="both"/>
        <w:rPr>
          <w:rFonts w:ascii="Times New Roman" w:hAnsi="Times New Roman" w:cs="Times New Roman"/>
          <w:sz w:val="24"/>
          <w:szCs w:val="24"/>
          <w:lang w:val="en-GB"/>
        </w:rPr>
      </w:pPr>
      <w:r>
        <w:rPr>
          <w:rFonts w:ascii="Times New Roman" w:hAnsi="Times New Roman" w:cs="Times New Roman"/>
          <w:sz w:val="24"/>
          <w:szCs w:val="24"/>
          <w:lang w:val="en-GB"/>
        </w:rPr>
        <w:t>QUIGGIN, T. (2009), “Understanding al-Qaeda’s Ideology for Counter-Narrative Work” en Perspectives on Terrorism, vol.7 n.2: 141-146</w:t>
      </w:r>
    </w:p>
    <w:p w:rsidR="004E06B9" w:rsidRDefault="004E06B9">
      <w:pPr>
        <w:jc w:val="both"/>
        <w:rPr>
          <w:rFonts w:ascii="Times New Roman" w:hAnsi="Times New Roman" w:cs="Times New Roman"/>
          <w:sz w:val="24"/>
          <w:szCs w:val="24"/>
          <w:lang w:val="en-GB"/>
        </w:rPr>
      </w:pPr>
      <w:r>
        <w:rPr>
          <w:rFonts w:ascii="Times New Roman" w:hAnsi="Times New Roman" w:cs="Times New Roman"/>
          <w:sz w:val="24"/>
          <w:szCs w:val="24"/>
          <w:lang w:val="en-GB"/>
        </w:rPr>
        <w:t>RAN @ WORKING GROUP (2012), “Proposed Policy Recommendations For The High Level Conference”, Comisión Europea</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SEGELL, G.M. (2011), “Creating Intelligence: Information Operations in Iraq” en BM Letaba View, London</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SCHMID, A.P. (2014), “Al Qaeda’s “Single Narrative” and Attempts to Develop Counter-Narratives”, research paper en ICCT – The Hague</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SCHMID, A.P. (2010), "The Importance of Countering Al-Qaeda’s ‘Single Narrative’" en AKERBOOM, E. (Coord.),  Countering Violent Extremist Narratives, National Coordinator for Counterterrorism (NCTb), Leiden University (The Hague), 46-57</w:t>
      </w:r>
    </w:p>
    <w:p w:rsidR="004E06B9" w:rsidRDefault="004E06B9">
      <w:pPr>
        <w:jc w:val="both"/>
        <w:rPr>
          <w:rFonts w:ascii="Times New Roman" w:hAnsi="Times New Roman" w:cs="Times New Roman"/>
          <w:sz w:val="24"/>
          <w:szCs w:val="24"/>
          <w:lang w:val="en-US"/>
        </w:rPr>
      </w:pPr>
      <w:r>
        <w:rPr>
          <w:rFonts w:ascii="Times New Roman" w:hAnsi="Times New Roman" w:cs="Times New Roman"/>
          <w:sz w:val="24"/>
          <w:szCs w:val="24"/>
          <w:lang w:val="en-US"/>
        </w:rPr>
        <w:t>SOUFAN, A., (2013) (coord.), Countering Violent Extremism: the Counter Narrative Study, Qatar International Academy for Security Studies</w:t>
      </w:r>
    </w:p>
    <w:p w:rsidR="004E06B9" w:rsidRDefault="004E06B9">
      <w:pPr>
        <w:jc w:val="both"/>
        <w:rPr>
          <w:rFonts w:ascii="Times New Roman" w:hAnsi="Times New Roman" w:cs="Times New Roman"/>
          <w:sz w:val="24"/>
          <w:szCs w:val="24"/>
          <w:lang w:val="it-IT"/>
        </w:rPr>
      </w:pPr>
      <w:r>
        <w:rPr>
          <w:rFonts w:ascii="Times New Roman" w:hAnsi="Times New Roman" w:cs="Times New Roman"/>
          <w:sz w:val="24"/>
          <w:szCs w:val="24"/>
          <w:lang w:val="it-IT"/>
        </w:rPr>
        <w:t>(QIASS)</w:t>
      </w:r>
    </w:p>
    <w:p w:rsidR="004E06B9" w:rsidRDefault="004E06B9">
      <w:pPr>
        <w:jc w:val="both"/>
        <w:rPr>
          <w:rFonts w:ascii="Times New Roman" w:hAnsi="Times New Roman" w:cs="Times New Roman"/>
          <w:sz w:val="24"/>
          <w:szCs w:val="24"/>
          <w:lang w:val="it-IT"/>
        </w:rPr>
      </w:pPr>
    </w:p>
    <w:p w:rsidR="004E06B9" w:rsidRDefault="004E06B9">
      <w:pPr>
        <w:jc w:val="both"/>
        <w:rPr>
          <w:rFonts w:ascii="Times New Roman" w:hAnsi="Times New Roman" w:cs="Times New Roman"/>
          <w:sz w:val="24"/>
          <w:szCs w:val="24"/>
          <w:lang w:val="it-IT"/>
        </w:rPr>
      </w:pPr>
    </w:p>
    <w:p w:rsidR="004E06B9" w:rsidRDefault="004E06B9">
      <w:pPr>
        <w:jc w:val="both"/>
        <w:rPr>
          <w:rFonts w:ascii="Times New Roman" w:hAnsi="Times New Roman" w:cs="Times New Roman"/>
          <w:sz w:val="24"/>
          <w:szCs w:val="24"/>
          <w:lang w:val="it-IT"/>
        </w:rPr>
      </w:pPr>
    </w:p>
    <w:p w:rsidR="004E06B9" w:rsidRDefault="004E06B9">
      <w:pPr>
        <w:jc w:val="both"/>
        <w:rPr>
          <w:rFonts w:ascii="Times New Roman" w:hAnsi="Times New Roman" w:cs="Times New Roman"/>
          <w:sz w:val="24"/>
          <w:szCs w:val="24"/>
          <w:lang w:val="it-IT"/>
        </w:rPr>
      </w:pPr>
    </w:p>
    <w:p w:rsidR="004E06B9" w:rsidRDefault="004E06B9">
      <w:pPr>
        <w:jc w:val="both"/>
        <w:rPr>
          <w:lang w:val="it-IT"/>
        </w:rPr>
      </w:pPr>
    </w:p>
    <w:p w:rsidR="004E06B9" w:rsidRDefault="004E06B9">
      <w:pPr>
        <w:rPr>
          <w:lang w:val="it-IT"/>
        </w:rPr>
      </w:pPr>
    </w:p>
    <w:sectPr w:rsidR="004E06B9" w:rsidSect="004E06B9">
      <w:type w:val="continuous"/>
      <w:pgSz w:w="12240" w:h="15840"/>
      <w:pgMar w:top="1417" w:right="1440" w:bottom="1417"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6B9" w:rsidRDefault="004E06B9">
      <w:pPr>
        <w:spacing w:line="240" w:lineRule="auto"/>
      </w:pPr>
      <w:r>
        <w:separator/>
      </w:r>
    </w:p>
  </w:endnote>
  <w:endnote w:type="continuationSeparator" w:id="0">
    <w:p w:rsidR="004E06B9" w:rsidRDefault="004E06B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6B9" w:rsidRDefault="004E06B9">
    <w:pPr>
      <w:pStyle w:val="Footer"/>
      <w:jc w:val="center"/>
    </w:pPr>
    <w:fldSimple w:instr="PAGE   \* MERGEFORMAT">
      <w:r>
        <w:rPr>
          <w:noProof/>
        </w:rPr>
        <w:t>1</w:t>
      </w:r>
    </w:fldSimple>
  </w:p>
  <w:p w:rsidR="004E06B9" w:rsidRDefault="004E06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6B9" w:rsidRDefault="004E06B9">
      <w:pPr>
        <w:spacing w:line="240" w:lineRule="auto"/>
      </w:pPr>
      <w:r>
        <w:separator/>
      </w:r>
    </w:p>
  </w:footnote>
  <w:footnote w:type="continuationSeparator" w:id="0">
    <w:p w:rsidR="004E06B9" w:rsidRDefault="004E06B9">
      <w:pPr>
        <w:spacing w:line="240" w:lineRule="auto"/>
      </w:pPr>
      <w:r>
        <w:continuationSeparator/>
      </w:r>
    </w:p>
  </w:footnote>
  <w:footnote w:id="1">
    <w:p w:rsidR="004E06B9" w:rsidRDefault="004E06B9">
      <w:pPr>
        <w:pStyle w:val="FootnoteText"/>
      </w:pPr>
      <w:r>
        <w:rPr>
          <w:rStyle w:val="FootnoteReference"/>
          <w:rFonts w:ascii="Arial" w:hAnsi="Arial" w:cs="Arial"/>
          <w:sz w:val="18"/>
          <w:szCs w:val="18"/>
        </w:rPr>
        <w:footnoteRef/>
      </w:r>
      <w:r>
        <w:rPr>
          <w:sz w:val="18"/>
          <w:szCs w:val="18"/>
        </w:rPr>
        <w:t xml:space="preserve"> 175.506 "me gusta" en esta red social (7.10.2014, https://www.facebook.com/pages/EDL-English-Defence-League/238696516197018)</w:t>
      </w:r>
    </w:p>
  </w:footnote>
  <w:footnote w:id="2">
    <w:p w:rsidR="004E06B9" w:rsidRDefault="004E06B9">
      <w:pPr>
        <w:pStyle w:val="FootnoteText"/>
      </w:pPr>
      <w:r>
        <w:rPr>
          <w:rStyle w:val="FootnoteReference"/>
          <w:rFonts w:ascii="Arial" w:hAnsi="Arial" w:cs="Arial"/>
          <w:sz w:val="18"/>
          <w:szCs w:val="18"/>
        </w:rPr>
        <w:footnoteRef/>
      </w:r>
      <w:r>
        <w:rPr>
          <w:sz w:val="18"/>
          <w:szCs w:val="18"/>
        </w:rPr>
        <w:t xml:space="preserve"> 292.744 miembros registrados y 3,5 millones de visitas en los últimos tres meses (7.10.2014, https://www.stormfront.org/forum/)</w:t>
      </w:r>
    </w:p>
  </w:footnote>
  <w:footnote w:id="3">
    <w:p w:rsidR="004E06B9" w:rsidRDefault="004E06B9">
      <w:pPr>
        <w:pStyle w:val="FootnoteText"/>
      </w:pPr>
      <w:r>
        <w:rPr>
          <w:rStyle w:val="FootnoteReference"/>
          <w:rFonts w:ascii="Arial" w:hAnsi="Arial" w:cs="Arial"/>
          <w:sz w:val="18"/>
          <w:szCs w:val="18"/>
        </w:rPr>
        <w:footnoteRef/>
      </w:r>
      <w:r>
        <w:rPr>
          <w:sz w:val="18"/>
          <w:szCs w:val="18"/>
        </w:rPr>
        <w:t xml:space="preserve"> para los autores nombrados, las narrativas de choque son conocidas como "contranarrativas". Dado que esta nomenclatura se solapa con un concepto más amplio y que la incluye (estos autores se refieren a los tres tipos de relatos como "espectro de contranarrativas"), hemos considerado oportuno sustituirla </w:t>
      </w:r>
    </w:p>
  </w:footnote>
  <w:footnote w:id="4">
    <w:p w:rsidR="004E06B9" w:rsidRDefault="004E06B9">
      <w:pPr>
        <w:pStyle w:val="FootnoteText"/>
      </w:pPr>
      <w:r>
        <w:rPr>
          <w:rStyle w:val="FootnoteReference"/>
          <w:rFonts w:ascii="Arial" w:hAnsi="Arial" w:cs="Arial"/>
          <w:sz w:val="18"/>
          <w:szCs w:val="18"/>
        </w:rPr>
        <w:footnoteRef/>
      </w:r>
      <w:r>
        <w:rPr>
          <w:sz w:val="18"/>
          <w:szCs w:val="18"/>
        </w:rPr>
        <w:t xml:space="preserve"> Hasta el punto que ninguno de estos programas se identifica a sí mismo como contranarrativa. Algunos de ellos se refieren a sus actividades utilizando el concepto “desradicalización”</w:t>
      </w:r>
    </w:p>
  </w:footnote>
  <w:footnote w:id="5">
    <w:p w:rsidR="004E06B9" w:rsidRDefault="004E06B9">
      <w:pPr>
        <w:pStyle w:val="FootnoteText"/>
      </w:pPr>
      <w:r>
        <w:rPr>
          <w:rStyle w:val="FootnoteReference"/>
          <w:rFonts w:ascii="Arial" w:hAnsi="Arial" w:cs="Arial"/>
          <w:sz w:val="18"/>
          <w:szCs w:val="18"/>
        </w:rPr>
        <w:footnoteRef/>
      </w:r>
      <w:r>
        <w:rPr>
          <w:sz w:val="18"/>
          <w:szCs w:val="18"/>
        </w:rPr>
        <w:t xml:space="preserve"> por grado de aceptación entenderemos el número de seguidores de una narrativa en cualquiera de sus niveles: simpatizante, justificador, moral. El grado de aceptación puede capturarse a través de encuesta, tal como muestra Leuprecht et al (2010)</w:t>
      </w:r>
    </w:p>
  </w:footnote>
  <w:footnote w:id="6">
    <w:p w:rsidR="004E06B9" w:rsidRDefault="004E06B9">
      <w:pPr>
        <w:pStyle w:val="FootnoteText"/>
      </w:pPr>
      <w:r>
        <w:rPr>
          <w:rStyle w:val="FootnoteReference"/>
          <w:rFonts w:ascii="Arial" w:hAnsi="Arial" w:cs="Arial"/>
          <w:sz w:val="18"/>
          <w:szCs w:val="18"/>
        </w:rPr>
        <w:footnoteRef/>
      </w:r>
      <w:r>
        <w:rPr>
          <w:sz w:val="18"/>
          <w:szCs w:val="18"/>
        </w:rPr>
        <w:t xml:space="preserve"> La radicalización narrativa es un proceso que puede representarse como una pirámide de radicalización que comprende diversas capas, en función de la intensidad con la que cada individuo comparte la narrativa violenta. En la base de la pirámide se encuentran los individuos neutrales, que son los más numerosos y que no comparten ninguno de los elementos fundamentales de la narrativa violenta; por encima de esta capa hallamos a los simpatizantes, quienes se identifican exclusivamente con el primer elemento narrativo: (“el grupo al que yo pertenezco está siendo atacado”); en una capa superior se sitúan los justificadores, que además de asumir la primera premisa narrativa legitiman el uso de la violencia por parte de otros (“la organización violenta X defiende a todos los miembros de mi grupo por lo que sus acciones están justificadas); finalmente, en el vértice de la pirámide encontramos a los menos numerosos individuos morales, que asumen los dos niveles narrativos anteriores y adicionalmente consideran una obligación moral apoyar y participar en las acciones violentas (“es un deber personal tomar partido en la defensa de los miembros de mi grupo”).</w:t>
      </w:r>
    </w:p>
  </w:footnote>
  <w:footnote w:id="7">
    <w:p w:rsidR="004E06B9" w:rsidRDefault="004E06B9">
      <w:pPr>
        <w:pStyle w:val="FootnoteText"/>
      </w:pPr>
      <w:r>
        <w:rPr>
          <w:rStyle w:val="FootnoteReference"/>
          <w:rFonts w:ascii="Arial" w:hAnsi="Arial" w:cs="Arial"/>
          <w:sz w:val="18"/>
          <w:szCs w:val="18"/>
        </w:rPr>
        <w:footnoteRef/>
      </w:r>
      <w:r>
        <w:rPr>
          <w:sz w:val="18"/>
          <w:szCs w:val="18"/>
        </w:rPr>
        <w:t xml:space="preserve"> Todos los datos que se ofrecen a continuación  han sido recogidos de las redes sociales el 18/09/2014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AC4793"/>
    <w:multiLevelType w:val="hybridMultilevel"/>
    <w:tmpl w:val="4650DEFA"/>
    <w:lvl w:ilvl="0" w:tplc="0C0A000F">
      <w:start w:val="1"/>
      <w:numFmt w:val="decimal"/>
      <w:lvlText w:val="%1."/>
      <w:lvlJc w:val="left"/>
      <w:pPr>
        <w:ind w:left="720" w:hanging="360"/>
      </w:pPr>
      <w:rPr>
        <w:rFonts w:ascii="Times New Roman" w:hAnsi="Times New Roman"/>
      </w:rPr>
    </w:lvl>
    <w:lvl w:ilvl="1" w:tplc="0C0A0019">
      <w:start w:val="1"/>
      <w:numFmt w:val="lowerLetter"/>
      <w:lvlText w:val="%2."/>
      <w:lvlJc w:val="left"/>
      <w:pPr>
        <w:ind w:left="1440" w:hanging="360"/>
      </w:pPr>
      <w:rPr>
        <w:rFonts w:ascii="Times New Roman" w:hAnsi="Times New Roman"/>
      </w:rPr>
    </w:lvl>
    <w:lvl w:ilvl="2" w:tplc="0C0A001B">
      <w:start w:val="1"/>
      <w:numFmt w:val="lowerRoman"/>
      <w:lvlText w:val="%3."/>
      <w:lvlJc w:val="right"/>
      <w:pPr>
        <w:ind w:left="2160" w:hanging="180"/>
      </w:pPr>
      <w:rPr>
        <w:rFonts w:ascii="Times New Roman" w:hAnsi="Times New Roman"/>
      </w:rPr>
    </w:lvl>
    <w:lvl w:ilvl="3" w:tplc="0C0A000F">
      <w:start w:val="1"/>
      <w:numFmt w:val="decimal"/>
      <w:lvlText w:val="%4."/>
      <w:lvlJc w:val="left"/>
      <w:pPr>
        <w:ind w:left="2880" w:hanging="360"/>
      </w:pPr>
      <w:rPr>
        <w:rFonts w:ascii="Times New Roman" w:hAnsi="Times New Roman"/>
      </w:rPr>
    </w:lvl>
    <w:lvl w:ilvl="4" w:tplc="0C0A0019">
      <w:start w:val="1"/>
      <w:numFmt w:val="lowerLetter"/>
      <w:lvlText w:val="%5."/>
      <w:lvlJc w:val="left"/>
      <w:pPr>
        <w:ind w:left="3600" w:hanging="360"/>
      </w:pPr>
      <w:rPr>
        <w:rFonts w:ascii="Times New Roman" w:hAnsi="Times New Roman"/>
      </w:rPr>
    </w:lvl>
    <w:lvl w:ilvl="5" w:tplc="0C0A001B">
      <w:start w:val="1"/>
      <w:numFmt w:val="lowerRoman"/>
      <w:lvlText w:val="%6."/>
      <w:lvlJc w:val="right"/>
      <w:pPr>
        <w:ind w:left="4320" w:hanging="180"/>
      </w:pPr>
      <w:rPr>
        <w:rFonts w:ascii="Times New Roman" w:hAnsi="Times New Roman"/>
      </w:rPr>
    </w:lvl>
    <w:lvl w:ilvl="6" w:tplc="0C0A000F">
      <w:start w:val="1"/>
      <w:numFmt w:val="decimal"/>
      <w:lvlText w:val="%7."/>
      <w:lvlJc w:val="left"/>
      <w:pPr>
        <w:ind w:left="5040" w:hanging="360"/>
      </w:pPr>
      <w:rPr>
        <w:rFonts w:ascii="Times New Roman" w:hAnsi="Times New Roman"/>
      </w:rPr>
    </w:lvl>
    <w:lvl w:ilvl="7" w:tplc="0C0A0019">
      <w:start w:val="1"/>
      <w:numFmt w:val="lowerLetter"/>
      <w:lvlText w:val="%8."/>
      <w:lvlJc w:val="left"/>
      <w:pPr>
        <w:ind w:left="5760" w:hanging="360"/>
      </w:pPr>
      <w:rPr>
        <w:rFonts w:ascii="Times New Roman" w:hAnsi="Times New Roman"/>
      </w:rPr>
    </w:lvl>
    <w:lvl w:ilvl="8" w:tplc="0C0A001B">
      <w:start w:val="1"/>
      <w:numFmt w:val="lowerRoman"/>
      <w:lvlText w:val="%9."/>
      <w:lvlJc w:val="right"/>
      <w:pPr>
        <w:ind w:left="6480" w:hanging="180"/>
      </w:pPr>
      <w:rPr>
        <w:rFonts w:ascii="Times New Roman" w:hAnsi="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06B9"/>
    <w:rsid w:val="004E06B9"/>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76" w:lineRule="auto"/>
    </w:pPr>
    <w:rPr>
      <w:rFonts w:ascii="Arial" w:hAnsi="Arial" w:cs="Arial"/>
      <w:color w:val="000000"/>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pPr>
      <w:spacing w:line="240" w:lineRule="auto"/>
    </w:pPr>
    <w:rPr>
      <w:sz w:val="20"/>
      <w:szCs w:val="20"/>
    </w:rPr>
  </w:style>
  <w:style w:type="character" w:customStyle="1" w:styleId="FootnoteTextChar">
    <w:name w:val="Footnote Text Char"/>
    <w:basedOn w:val="DefaultParagraphFont"/>
    <w:link w:val="FootnoteText"/>
    <w:uiPriority w:val="99"/>
    <w:rPr>
      <w:rFonts w:ascii="Arial" w:eastAsia="Times New Roman" w:hAnsi="Arial" w:cs="Arial"/>
      <w:color w:val="000000"/>
      <w:sz w:val="20"/>
      <w:szCs w:val="20"/>
      <w:lang w:eastAsia="es-ES"/>
    </w:rPr>
  </w:style>
  <w:style w:type="character" w:styleId="FootnoteReference">
    <w:name w:val="footnote reference"/>
    <w:basedOn w:val="DefaultParagraphFont"/>
    <w:uiPriority w:val="99"/>
    <w:rPr>
      <w:rFonts w:ascii="Times New Roman" w:hAnsi="Times New Roman" w:cs="Times New Roman"/>
      <w:vertAlign w:val="superscript"/>
    </w:r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252"/>
        <w:tab w:val="right" w:pos="8504"/>
      </w:tabs>
      <w:spacing w:line="240" w:lineRule="auto"/>
    </w:pPr>
  </w:style>
  <w:style w:type="character" w:customStyle="1" w:styleId="HeaderChar">
    <w:name w:val="Header Char"/>
    <w:basedOn w:val="DefaultParagraphFont"/>
    <w:link w:val="Header"/>
    <w:uiPriority w:val="99"/>
    <w:rPr>
      <w:rFonts w:ascii="Arial" w:eastAsia="Times New Roman" w:hAnsi="Arial" w:cs="Arial"/>
      <w:color w:val="000000"/>
      <w:sz w:val="20"/>
      <w:szCs w:val="20"/>
      <w:lang w:eastAsia="es-ES"/>
    </w:rPr>
  </w:style>
  <w:style w:type="paragraph" w:styleId="Footer">
    <w:name w:val="footer"/>
    <w:basedOn w:val="Normal"/>
    <w:link w:val="FooterChar"/>
    <w:uiPriority w:val="99"/>
    <w:pPr>
      <w:tabs>
        <w:tab w:val="center" w:pos="4252"/>
        <w:tab w:val="right" w:pos="8504"/>
      </w:tabs>
      <w:spacing w:line="240" w:lineRule="auto"/>
    </w:pPr>
  </w:style>
  <w:style w:type="character" w:customStyle="1" w:styleId="FooterChar">
    <w:name w:val="Footer Char"/>
    <w:basedOn w:val="DefaultParagraphFont"/>
    <w:link w:val="Footer"/>
    <w:uiPriority w:val="99"/>
    <w:rPr>
      <w:rFonts w:ascii="Arial" w:eastAsia="Times New Roman" w:hAnsi="Arial" w:cs="Arial"/>
      <w:color w:val="000000"/>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22</Pages>
  <Words>9019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Hacia una tipología de contranarrativas frente al extremismo violento </dc:title>
  <dc:subject/>
  <dc:creator>carol</dc:creator>
  <cp:keywords/>
  <dc:description/>
  <cp:lastModifiedBy>WINDOWS</cp:lastModifiedBy>
  <cp:revision>2</cp:revision>
  <dcterms:created xsi:type="dcterms:W3CDTF">2014-11-12T17:01:00Z</dcterms:created>
  <dcterms:modified xsi:type="dcterms:W3CDTF">2014-11-12T17:01:00Z</dcterms:modified>
</cp:coreProperties>
</file>