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99D" w:rsidRPr="00FE099D" w:rsidRDefault="00FE099D" w:rsidP="00FE099D">
      <w:pPr>
        <w:jc w:val="center"/>
        <w:rPr>
          <w:b/>
          <w:sz w:val="40"/>
          <w:szCs w:val="40"/>
        </w:rPr>
      </w:pPr>
      <w:r w:rsidRPr="00FE099D">
        <w:rPr>
          <w:b/>
          <w:sz w:val="40"/>
          <w:szCs w:val="40"/>
        </w:rPr>
        <w:t xml:space="preserve">Videojuegos y redes sociales; chicos y chicas. ¿El </w:t>
      </w:r>
      <w:proofErr w:type="spellStart"/>
      <w:r w:rsidRPr="00FE099D">
        <w:rPr>
          <w:b/>
          <w:sz w:val="40"/>
          <w:szCs w:val="40"/>
        </w:rPr>
        <w:t>ciberfeminismo</w:t>
      </w:r>
      <w:proofErr w:type="spellEnd"/>
      <w:r w:rsidRPr="00FE099D">
        <w:rPr>
          <w:b/>
          <w:sz w:val="40"/>
          <w:szCs w:val="40"/>
        </w:rPr>
        <w:t xml:space="preserve"> una apuesta diferente?</w:t>
      </w:r>
    </w:p>
    <w:p w:rsidR="00FE099D" w:rsidRDefault="00FE099D" w:rsidP="00FE099D"/>
    <w:p w:rsidR="00FE099D" w:rsidRDefault="00FE099D" w:rsidP="00FE099D"/>
    <w:p w:rsidR="00FE099D" w:rsidRDefault="00FE099D" w:rsidP="00FE099D">
      <w:r>
        <w:t xml:space="preserve">Estibaliz Linares </w:t>
      </w:r>
      <w:proofErr w:type="spellStart"/>
      <w:r>
        <w:t>Bahillo</w:t>
      </w:r>
      <w:proofErr w:type="spellEnd"/>
    </w:p>
    <w:p w:rsidR="00FE099D" w:rsidRDefault="00FE099D" w:rsidP="00FE099D">
      <w:r>
        <w:t>Universidad de Deusto</w:t>
      </w:r>
    </w:p>
    <w:p w:rsidR="00FE099D" w:rsidRDefault="004A1355" w:rsidP="00FE099D">
      <w:hyperlink r:id="rId9" w:history="1">
        <w:r w:rsidR="00FE099D" w:rsidRPr="00B437DF">
          <w:rPr>
            <w:rStyle w:val="Hipervnculo"/>
          </w:rPr>
          <w:t>estibaliz.linare@deusto.es</w:t>
        </w:r>
      </w:hyperlink>
      <w:r w:rsidR="00FE099D">
        <w:t xml:space="preserve"> </w:t>
      </w:r>
    </w:p>
    <w:p w:rsidR="00FE099D" w:rsidRDefault="00FE099D" w:rsidP="00FE099D"/>
    <w:p w:rsidR="00FE099D" w:rsidRPr="00FE099D" w:rsidRDefault="00FE099D" w:rsidP="00FE099D">
      <w:pPr>
        <w:jc w:val="both"/>
        <w:rPr>
          <w:u w:val="single"/>
        </w:rPr>
      </w:pPr>
      <w:r w:rsidRPr="00FE099D">
        <w:rPr>
          <w:u w:val="single"/>
        </w:rPr>
        <w:t>Resumen;</w:t>
      </w:r>
    </w:p>
    <w:p w:rsidR="00FE099D" w:rsidRDefault="00FE099D" w:rsidP="00FE099D">
      <w:pPr>
        <w:jc w:val="both"/>
      </w:pPr>
      <w:r w:rsidRPr="00E71DB2">
        <w:t xml:space="preserve">La comunicación que se pretende realizar utiliza una metodología teórica y una perspectiva </w:t>
      </w:r>
      <w:proofErr w:type="spellStart"/>
      <w:r w:rsidRPr="00E71DB2">
        <w:t>tecnofeminista</w:t>
      </w:r>
      <w:proofErr w:type="spellEnd"/>
      <w:r w:rsidRPr="00E71DB2">
        <w:t xml:space="preserve"> y de género con el objetivo de analizar la tercera brecha digital de género (entendida como los distintos usos que se dan de las tecnologías según el género) instaurada en la adolescencia de la CAE. Así, se pretende realizar una revisión teórica crítica sobre la democratización digital de las personas adolescentes para establecer pautas de actuación desde un </w:t>
      </w:r>
      <w:proofErr w:type="spellStart"/>
      <w:r w:rsidRPr="00E71DB2">
        <w:t>ciberfeminismo</w:t>
      </w:r>
      <w:proofErr w:type="spellEnd"/>
      <w:r w:rsidRPr="00E71DB2">
        <w:t xml:space="preserve"> "diferente", concreto y material; y poder prevenir los riesgos por razón de género que se dan a través de las redes sociales.</w:t>
      </w:r>
    </w:p>
    <w:p w:rsidR="00FE099D" w:rsidRPr="00FE099D" w:rsidRDefault="00FE099D" w:rsidP="00FE099D">
      <w:pPr>
        <w:jc w:val="both"/>
        <w:rPr>
          <w:u w:val="single"/>
        </w:rPr>
      </w:pPr>
      <w:r w:rsidRPr="00FE099D">
        <w:rPr>
          <w:u w:val="single"/>
        </w:rPr>
        <w:t>Palabras claves;</w:t>
      </w:r>
    </w:p>
    <w:p w:rsidR="00FE099D" w:rsidRDefault="00FE099D" w:rsidP="00FE099D">
      <w:pPr>
        <w:jc w:val="both"/>
      </w:pPr>
      <w:r>
        <w:t>A</w:t>
      </w:r>
      <w:r w:rsidRPr="00E71DB2">
        <w:t xml:space="preserve">dolescentes; género; brecha digital; </w:t>
      </w:r>
      <w:proofErr w:type="spellStart"/>
      <w:r w:rsidRPr="00E71DB2">
        <w:t>ciberfeminismo</w:t>
      </w:r>
      <w:proofErr w:type="spellEnd"/>
    </w:p>
    <w:p w:rsidR="00FE099D" w:rsidRDefault="00FE099D" w:rsidP="00E71DB2">
      <w:pPr>
        <w:spacing w:line="360" w:lineRule="auto"/>
        <w:jc w:val="both"/>
        <w:rPr>
          <w:b/>
          <w:sz w:val="24"/>
          <w:szCs w:val="24"/>
        </w:rPr>
      </w:pPr>
    </w:p>
    <w:p w:rsidR="00FE099D" w:rsidRDefault="00FE099D" w:rsidP="00E71DB2">
      <w:pPr>
        <w:spacing w:line="360" w:lineRule="auto"/>
        <w:jc w:val="both"/>
        <w:rPr>
          <w:b/>
          <w:sz w:val="24"/>
          <w:szCs w:val="24"/>
        </w:rPr>
      </w:pPr>
    </w:p>
    <w:p w:rsidR="00FE099D" w:rsidRPr="00FE099D" w:rsidRDefault="00FE099D" w:rsidP="00E71DB2">
      <w:pPr>
        <w:spacing w:line="360" w:lineRule="auto"/>
        <w:jc w:val="both"/>
        <w:rPr>
          <w:sz w:val="24"/>
          <w:szCs w:val="24"/>
          <w:u w:val="single"/>
        </w:rPr>
      </w:pPr>
      <w:r w:rsidRPr="00FE099D">
        <w:rPr>
          <w:sz w:val="24"/>
          <w:szCs w:val="24"/>
          <w:u w:val="single"/>
        </w:rPr>
        <w:t>*Nota biografía de la autora:</w:t>
      </w:r>
    </w:p>
    <w:p w:rsidR="00FE099D" w:rsidRPr="00FE099D" w:rsidRDefault="00FE099D" w:rsidP="00E71DB2">
      <w:pPr>
        <w:spacing w:line="360" w:lineRule="auto"/>
        <w:jc w:val="both"/>
      </w:pPr>
      <w:r w:rsidRPr="00FE099D">
        <w:t xml:space="preserve">Trabajadora Social y Máster en Intervención contra la Violencia contra las Mujeres. </w:t>
      </w:r>
      <w:r>
        <w:t>R</w:t>
      </w:r>
      <w:r w:rsidRPr="00FE099D">
        <w:t xml:space="preserve">ealizando el Doctorado de Derechos Humanos. Investigadora adscrita del equipo de valores de la universidad de Deusto y becaria </w:t>
      </w:r>
      <w:proofErr w:type="spellStart"/>
      <w:r w:rsidRPr="00FE099D">
        <w:t>predoctoral</w:t>
      </w:r>
      <w:proofErr w:type="spellEnd"/>
      <w:r w:rsidRPr="00FE099D">
        <w:t xml:space="preserve"> por el Gobierno Vasco. Formadora de talleres de prevención de violencia y coeducación para personas adolescentes. </w:t>
      </w:r>
      <w:proofErr w:type="spellStart"/>
      <w:r w:rsidRPr="00FE099D">
        <w:t>Lineas</w:t>
      </w:r>
      <w:proofErr w:type="spellEnd"/>
      <w:r w:rsidRPr="00FE099D">
        <w:t xml:space="preserve"> de investigación: adolescentes, género, prevención y T</w:t>
      </w:r>
      <w:r>
        <w:t xml:space="preserve">IC. </w:t>
      </w:r>
    </w:p>
    <w:p w:rsidR="00FE099D" w:rsidRDefault="00FE099D" w:rsidP="00E71DB2">
      <w:pPr>
        <w:spacing w:line="360" w:lineRule="auto"/>
        <w:jc w:val="both"/>
        <w:rPr>
          <w:b/>
          <w:sz w:val="24"/>
          <w:szCs w:val="24"/>
        </w:rPr>
        <w:sectPr w:rsidR="00FE099D">
          <w:pgSz w:w="11906" w:h="16838"/>
          <w:pgMar w:top="1417" w:right="1701" w:bottom="1417" w:left="1701" w:header="708" w:footer="708" w:gutter="0"/>
          <w:cols w:space="708"/>
          <w:docGrid w:linePitch="360"/>
        </w:sectPr>
      </w:pPr>
    </w:p>
    <w:p w:rsidR="00E71DB2" w:rsidRPr="00695B81" w:rsidRDefault="00E71DB2" w:rsidP="00E71DB2">
      <w:pPr>
        <w:spacing w:line="360" w:lineRule="auto"/>
        <w:jc w:val="both"/>
        <w:rPr>
          <w:b/>
          <w:sz w:val="24"/>
          <w:szCs w:val="24"/>
        </w:rPr>
      </w:pPr>
      <w:r w:rsidRPr="00695B81">
        <w:rPr>
          <w:b/>
          <w:sz w:val="24"/>
          <w:szCs w:val="24"/>
        </w:rPr>
        <w:lastRenderedPageBreak/>
        <w:t>Introducción</w:t>
      </w:r>
    </w:p>
    <w:p w:rsidR="00E71DB2" w:rsidRPr="00987CDA" w:rsidRDefault="00E71DB2" w:rsidP="00E71DB2">
      <w:pPr>
        <w:spacing w:line="360" w:lineRule="auto"/>
        <w:jc w:val="both"/>
      </w:pPr>
      <w:r w:rsidRPr="00987CDA">
        <w:t xml:space="preserve">En la actualidad nos sumergimos en una realidad social gobernada por los instrumentos tecnológicos. Nuestra forma de interactuar, comunicarnos y relacionarnos ha cambiado. La información y la comunicación son los elementos claves de nuestra sociedad, dando paso a una sociedad basada en la importancia del acceso a la información generado por otras personas, o lo que comúnmente se ha denominado como “sociedad de la información” caracterizada por la velocidad, la rapidez e instantaneidad </w:t>
      </w:r>
      <w:r w:rsidRPr="00987CDA">
        <w:rPr>
          <w:noProof/>
        </w:rPr>
        <w:t>(Intituto de la Mujer, 2008b,</w:t>
      </w:r>
      <w:r w:rsidRPr="00987CDA">
        <w:t xml:space="preserve"> Zafra, 2010</w:t>
      </w:r>
      <w:r w:rsidRPr="00987CDA">
        <w:rPr>
          <w:noProof/>
        </w:rPr>
        <w:t>)</w:t>
      </w:r>
      <w:r w:rsidRPr="00987CDA">
        <w:t>. Así, la sociedad de la información queda categóricamente condicionada por los aparatos electrónicos, o las TIC (tecnologías de la información y la comunicación)</w:t>
      </w:r>
      <w:r w:rsidRPr="00987CDA">
        <w:rPr>
          <w:vertAlign w:val="superscript"/>
        </w:rPr>
        <w:footnoteReference w:id="1"/>
      </w:r>
      <w:r w:rsidRPr="00987CDA">
        <w:t xml:space="preserve"> </w:t>
      </w:r>
      <w:sdt>
        <w:sdtPr>
          <w:id w:val="680086988"/>
          <w:citation/>
        </w:sdtPr>
        <w:sdtEndPr/>
        <w:sdtContent>
          <w:r w:rsidRPr="00987CDA">
            <w:fldChar w:fldCharType="begin"/>
          </w:r>
          <w:r w:rsidRPr="00987CDA">
            <w:instrText xml:space="preserve"> CITATION Cas051 \l 3082 </w:instrText>
          </w:r>
          <w:r w:rsidRPr="00987CDA">
            <w:fldChar w:fldCharType="separate"/>
          </w:r>
          <w:r>
            <w:rPr>
              <w:noProof/>
            </w:rPr>
            <w:t>(Castells, 2005)</w:t>
          </w:r>
          <w:r w:rsidRPr="00987CDA">
            <w:fldChar w:fldCharType="end"/>
          </w:r>
        </w:sdtContent>
      </w:sdt>
      <w:r w:rsidRPr="00987CDA">
        <w:t xml:space="preserve">. </w:t>
      </w:r>
    </w:p>
    <w:p w:rsidR="00E71DB2" w:rsidRPr="00987CDA" w:rsidRDefault="00E71DB2" w:rsidP="00E71DB2">
      <w:pPr>
        <w:spacing w:line="360" w:lineRule="auto"/>
        <w:jc w:val="both"/>
      </w:pPr>
      <w:r w:rsidRPr="00987CDA">
        <w:t>Es indudable que estas TIC nos han revestido de comodidades, posibilidades y avances tecnológicos. Hemos aprendido a gestionar otro mundo lleno de oportunidades para el desarrollo individual y comunitario. Pero este desarrollo tecnológico, social y cultural, también ha traído riesgos digitales marcados por condicionamientos tradicionales provenientes del mundo “real” u “off line” (</w:t>
      </w:r>
      <w:r w:rsidRPr="00987CDA">
        <w:rPr>
          <w:noProof/>
        </w:rPr>
        <w:t>Zafra, 2005a, 2010; Wajcman, 2004)</w:t>
      </w:r>
      <w:r w:rsidRPr="00987CDA">
        <w:t xml:space="preserve">.De esta manera, las identidades tradicionalmente conocidas quedan transformadas, mientras que otras se mantienen, como es el caso del sistema patriarcal y la dominación masculina </w:t>
      </w:r>
      <w:r w:rsidRPr="00987CDA">
        <w:rPr>
          <w:noProof/>
        </w:rPr>
        <w:t xml:space="preserve">(Bourdieu, 1999; </w:t>
      </w:r>
      <w:r w:rsidRPr="00987CDA">
        <w:t xml:space="preserve">García &amp; </w:t>
      </w:r>
      <w:proofErr w:type="spellStart"/>
      <w:r w:rsidRPr="00987CDA">
        <w:t>Nuñez</w:t>
      </w:r>
      <w:proofErr w:type="spellEnd"/>
      <w:r w:rsidRPr="00987CDA">
        <w:t xml:space="preserve">, 2008). </w:t>
      </w:r>
    </w:p>
    <w:p w:rsidR="00E71DB2" w:rsidRPr="00987CDA" w:rsidRDefault="00E71DB2" w:rsidP="00E71DB2">
      <w:pPr>
        <w:spacing w:line="360" w:lineRule="auto"/>
        <w:jc w:val="both"/>
      </w:pPr>
      <w:r w:rsidRPr="00987CDA">
        <w:t>Del mismo modo, somos conscientes de que nos encontramos en una etapa postmoderna en la que la imagen ha adquirido una especial importancia, nos valoramos a través de la mirada ajena, y con ello el mundo virtual corpóreo capta el protagonismo en nuestras vidas, como dice una investi</w:t>
      </w:r>
      <w:r>
        <w:t>gación de Gobierno Vasco (2013)</w:t>
      </w:r>
      <w:r w:rsidRPr="00987CDA">
        <w:t xml:space="preserve"> nos encontramos ante un “escaparate social virtual”. </w:t>
      </w:r>
    </w:p>
    <w:p w:rsidR="00E71DB2" w:rsidRPr="00987CDA" w:rsidRDefault="00E71DB2" w:rsidP="00E71DB2">
      <w:pPr>
        <w:spacing w:line="360" w:lineRule="auto"/>
        <w:jc w:val="both"/>
        <w:rPr>
          <w:noProof/>
        </w:rPr>
      </w:pPr>
      <w:r w:rsidRPr="00987CDA">
        <w:t xml:space="preserve">En este contexto descrito la construcción de género se convierte en uno de los principales focos de atención y objeto de estudio de muchas autoras y autores, ya que debido a estos cambios tecnológicos muchas de estas fuentes se plantean el papel que desempeña la identidad de género </w:t>
      </w:r>
      <w:r w:rsidRPr="00987CDA">
        <w:rPr>
          <w:noProof/>
        </w:rPr>
        <w:t>(</w:t>
      </w:r>
      <w:r>
        <w:rPr>
          <w:noProof/>
        </w:rPr>
        <w:t xml:space="preserve">Turkle 1997; </w:t>
      </w:r>
      <w:r w:rsidRPr="00987CDA">
        <w:rPr>
          <w:noProof/>
        </w:rPr>
        <w:t xml:space="preserve">Alcañiz, 2001; Boix, Fraga, &amp; Sedón, 2001; Castaño &amp; Caprile, 2010a; Castaño, 2005, 2008; Zafra, 2005a,2005b, 2010; Díaz, 2001; Wajcman, 2004; Instituto de la mujer , 2008b; Haraway, 1991). </w:t>
      </w:r>
    </w:p>
    <w:p w:rsidR="00E71DB2" w:rsidRPr="00987CDA" w:rsidRDefault="00E71DB2" w:rsidP="00E71DB2">
      <w:pPr>
        <w:spacing w:line="360" w:lineRule="auto"/>
        <w:jc w:val="both"/>
      </w:pPr>
      <w:r w:rsidRPr="00987CDA">
        <w:rPr>
          <w:noProof/>
        </w:rPr>
        <w:t xml:space="preserve">Es evidente que la </w:t>
      </w:r>
      <w:r w:rsidRPr="008A62DB">
        <w:rPr>
          <w:noProof/>
        </w:rPr>
        <w:t xml:space="preserve">construcción del género en la era virtual y el devenir del la misma es interesante, y su análisis es necesario; pero el fin de la investigación que se pretende realizar </w:t>
      </w:r>
      <w:r w:rsidRPr="008A62DB">
        <w:rPr>
          <w:noProof/>
        </w:rPr>
        <w:lastRenderedPageBreak/>
        <w:t xml:space="preserve">quiere ir más allá, y situarse en uno de los momentos claves o vitales para la construcción del género: la adolescencia </w:t>
      </w:r>
      <w:r w:rsidRPr="008A62DB">
        <w:t>(Jiménez-</w:t>
      </w:r>
      <w:proofErr w:type="spellStart"/>
      <w:r w:rsidRPr="008A62DB">
        <w:t>Albiar</w:t>
      </w:r>
      <w:proofErr w:type="spellEnd"/>
      <w:r w:rsidR="00A4068E" w:rsidRPr="008A62DB">
        <w:t xml:space="preserve"> otras y otros, 2012</w:t>
      </w:r>
      <w:r w:rsidRPr="008A62DB">
        <w:t xml:space="preserve">; Vázquez, Estébanez, &amp; </w:t>
      </w:r>
      <w:proofErr w:type="spellStart"/>
      <w:r w:rsidRPr="008A62DB">
        <w:t>Herbón</w:t>
      </w:r>
      <w:proofErr w:type="spellEnd"/>
      <w:r w:rsidRPr="008A62DB">
        <w:t xml:space="preserve">, 2013; </w:t>
      </w:r>
      <w:r w:rsidRPr="008A62DB">
        <w:rPr>
          <w:noProof/>
        </w:rPr>
        <w:t>Tubert, 2008;</w:t>
      </w:r>
      <w:r w:rsidRPr="008A62DB">
        <w:t>).</w:t>
      </w:r>
    </w:p>
    <w:p w:rsidR="00E71DB2" w:rsidRPr="00987CDA" w:rsidRDefault="00E71DB2" w:rsidP="00E71DB2">
      <w:pPr>
        <w:spacing w:line="360" w:lineRule="auto"/>
        <w:jc w:val="both"/>
      </w:pPr>
      <w:r w:rsidRPr="00987CDA">
        <w:t>De esta manera, comprenderemos la adolescencia y el género como construcciones marcadas por el contexto sociocu</w:t>
      </w:r>
      <w:r>
        <w:t>ltural en el que se vive, y por ello</w:t>
      </w:r>
      <w:r w:rsidRPr="00987CDA">
        <w:t xml:space="preserve"> es preciso situar a la adolescencia, y al género dentro del contexto cultural tecnológico; ya que las TIC ya no son solo instrumentos habitualmente utilizados, sino elementos claves para su socialización, autoestima y, en definitiva, su construcción de género </w:t>
      </w:r>
      <w:r w:rsidRPr="00987CDA">
        <w:rPr>
          <w:noProof/>
        </w:rPr>
        <w:t>(Capdevila, y otros, 2008; Connell, 1995; Diverio, 2006; Emakunde, 2004; Valdemoro &amp; Peyró, 2009; Espín, 2011</w:t>
      </w:r>
      <w:r w:rsidR="004C5C65">
        <w:rPr>
          <w:noProof/>
        </w:rPr>
        <w:t xml:space="preserve">, </w:t>
      </w:r>
      <w:r w:rsidR="004C5C65" w:rsidRPr="00A4068E">
        <w:rPr>
          <w:noProof/>
        </w:rPr>
        <w:t>Tubert</w:t>
      </w:r>
      <w:r w:rsidR="00A4068E" w:rsidRPr="00A4068E">
        <w:rPr>
          <w:noProof/>
        </w:rPr>
        <w:t>, 2008</w:t>
      </w:r>
      <w:r w:rsidRPr="00987CDA">
        <w:rPr>
          <w:noProof/>
        </w:rPr>
        <w:t>)</w:t>
      </w:r>
      <w:r w:rsidRPr="00987CDA">
        <w:t xml:space="preserve">. </w:t>
      </w:r>
    </w:p>
    <w:p w:rsidR="00E71DB2" w:rsidRDefault="00E71DB2" w:rsidP="00E71DB2">
      <w:pPr>
        <w:spacing w:line="360" w:lineRule="auto"/>
        <w:jc w:val="both"/>
      </w:pPr>
      <w:r w:rsidRPr="00987CDA">
        <w:t xml:space="preserve">En esta ambivalencia propia de la sociedad de la información y dependencia </w:t>
      </w:r>
      <w:r>
        <w:t xml:space="preserve">de </w:t>
      </w:r>
      <w:r w:rsidRPr="00987CDA">
        <w:t xml:space="preserve">las TIC, las personas </w:t>
      </w:r>
      <w:r w:rsidR="00B73D62">
        <w:t>adolescentes</w:t>
      </w:r>
      <w:r w:rsidRPr="00987CDA">
        <w:t xml:space="preserve"> han creado un mundo virtual propio donde las construcciones de género obtienen relativa importancia, generando brecha</w:t>
      </w:r>
      <w:r>
        <w:t xml:space="preserve">s digitales por razón de género. Hasta ahora los estudios centraban su foco en dos brechas digitales, la primera </w:t>
      </w:r>
      <w:r w:rsidRPr="002C285F">
        <w:t>entendida</w:t>
      </w:r>
      <w:r>
        <w:t xml:space="preserve"> como la desigualdad en el acceso a las TIC, comprendiéndola como un problema de equipamiento estructural, que corresponde al capital económico de cada país, llegando a generar una brecha trasnacional donde las mujeres de países menos desarrollados, hablando tecnológicamente, se ven más excluidas que los hombres </w:t>
      </w:r>
      <w:r w:rsidRPr="001E5A38">
        <w:t>(Observatorio e-Igualdad, 2011; Merchán, 2014; Castaño, 2008)</w:t>
      </w:r>
      <w:r>
        <w:t xml:space="preserve">. </w:t>
      </w:r>
    </w:p>
    <w:p w:rsidR="00B73D62" w:rsidRDefault="00E71DB2" w:rsidP="00B73D62">
      <w:pPr>
        <w:spacing w:line="360" w:lineRule="auto"/>
        <w:jc w:val="both"/>
      </w:pPr>
      <w:r>
        <w:t xml:space="preserve">En cuanto a la segunda brecha digital, que ha sido el centro de estudio de diversas investigaciones, se la entendería como </w:t>
      </w:r>
      <w:r w:rsidRPr="002C285F">
        <w:t xml:space="preserve">la desigualdad entre mujeres y </w:t>
      </w:r>
      <w:proofErr w:type="gramStart"/>
      <w:r w:rsidRPr="002C285F">
        <w:t>hombres existente</w:t>
      </w:r>
      <w:proofErr w:type="gramEnd"/>
      <w:r w:rsidRPr="002C285F">
        <w:t xml:space="preserve"> en la intensidad, las habilidades y capacidades en el uso de las nuevas tecnologías, dificultando la integración de las mujeres en el mundo tecnológico</w:t>
      </w:r>
      <w:r>
        <w:t>. Esta segunda brecha sería uno de los principales retos de democratización tecnológica en los países tecnológicos, ya que la primera estaría superada</w:t>
      </w:r>
      <w:r w:rsidRPr="002C285F">
        <w:t xml:space="preserve"> </w:t>
      </w:r>
      <w:r>
        <w:rPr>
          <w:noProof/>
        </w:rPr>
        <w:t>(Observatorio e-Igualdad, 2011; Merchán, 2014; Castaño, 2008)</w:t>
      </w:r>
      <w:r w:rsidR="00B73D62">
        <w:rPr>
          <w:noProof/>
        </w:rPr>
        <w:t>.</w:t>
      </w:r>
      <w:r w:rsidR="00B73D62" w:rsidRPr="00B73D62">
        <w:t xml:space="preserve"> </w:t>
      </w:r>
      <w:r w:rsidR="00B73D62" w:rsidRPr="00116F50">
        <w:t>De hecho, según los datos aportados por el informe de INJUVE (2011:6-7): el 94% de las personas adolescentes entre 15-19 años utilizan Internet diariame</w:t>
      </w:r>
      <w:r w:rsidR="00B73D62">
        <w:t>nte, y la diferencia entre chico</w:t>
      </w:r>
      <w:r w:rsidR="00B73D62" w:rsidRPr="00116F50">
        <w:t>s y chicas</w:t>
      </w:r>
      <w:r w:rsidR="00B73D62">
        <w:t xml:space="preserve"> es mínima, siendo ligeramente </w:t>
      </w:r>
      <w:r w:rsidR="00B73D62" w:rsidRPr="00116F50">
        <w:t>más frecuente en chicos. También se comenta que la edad de inicio en ambos sexos serían los 15 años.</w:t>
      </w:r>
      <w:r w:rsidR="00B73D62">
        <w:t xml:space="preserve"> </w:t>
      </w:r>
    </w:p>
    <w:p w:rsidR="00B73D62" w:rsidRDefault="00E71DB2" w:rsidP="00B73D62">
      <w:pPr>
        <w:spacing w:line="360" w:lineRule="auto"/>
        <w:jc w:val="both"/>
      </w:pPr>
      <w:r>
        <w:t>En la sumersión del análisis de esta segunda brecha digital se han detectado otras relaciones complejas dentro de la vida virtual, la que requiere un análisis más profundo</w:t>
      </w:r>
      <w:r w:rsidR="00B73D62">
        <w:t xml:space="preserve"> y más cualitativo (Gil-</w:t>
      </w:r>
      <w:proofErr w:type="spellStart"/>
      <w:r w:rsidR="00B73D62">
        <w:t>Juáres</w:t>
      </w:r>
      <w:proofErr w:type="spellEnd"/>
      <w:r w:rsidR="00B73D62">
        <w:t xml:space="preserve">, </w:t>
      </w:r>
      <w:proofErr w:type="spellStart"/>
      <w:r w:rsidR="00B73D62">
        <w:t>Feliu</w:t>
      </w:r>
      <w:proofErr w:type="spellEnd"/>
      <w:r w:rsidR="00B73D62">
        <w:t xml:space="preserve"> y </w:t>
      </w:r>
      <w:proofErr w:type="spellStart"/>
      <w:r w:rsidR="00B73D62">
        <w:t>Vitores</w:t>
      </w:r>
      <w:proofErr w:type="spellEnd"/>
      <w:r w:rsidR="00B73D62">
        <w:t xml:space="preserve">, </w:t>
      </w:r>
      <w:r w:rsidR="00B73D62" w:rsidRPr="00A05179">
        <w:t>2012</w:t>
      </w:r>
      <w:r w:rsidR="00B73D62">
        <w:t xml:space="preserve">) </w:t>
      </w:r>
      <w:r>
        <w:t xml:space="preserve">, ya que nos encontraríamos ante una tercera brecha digital de género </w:t>
      </w:r>
      <w:r w:rsidRPr="00987CDA">
        <w:t>entendida como las distintas formas de utilización de las nuevas tecnologías según los sexos</w:t>
      </w:r>
      <w:r>
        <w:t>,</w:t>
      </w:r>
      <w:r w:rsidRPr="00987CDA">
        <w:t xml:space="preserve"> </w:t>
      </w:r>
      <w:r>
        <w:t xml:space="preserve">sustentada en patrones antiguos de relación y poderes asimétricos propios de </w:t>
      </w:r>
      <w:r>
        <w:lastRenderedPageBreak/>
        <w:t xml:space="preserve">nuestra tradición patriarcal </w:t>
      </w:r>
      <w:r w:rsidRPr="00987CDA">
        <w:t>(Gobierno Vasco, 2013)</w:t>
      </w:r>
      <w:r w:rsidR="00B73D62">
        <w:rPr>
          <w:rStyle w:val="Refdenotaalpie"/>
        </w:rPr>
        <w:footnoteReference w:id="2"/>
      </w:r>
      <w:r w:rsidRPr="00987CDA">
        <w:t xml:space="preserve">. </w:t>
      </w:r>
      <w:r w:rsidR="00B73D62">
        <w:t xml:space="preserve">Así, </w:t>
      </w:r>
      <w:r w:rsidR="00B73D62" w:rsidRPr="00A05179">
        <w:t>Jiménez-</w:t>
      </w:r>
      <w:proofErr w:type="spellStart"/>
      <w:r w:rsidR="00B73D62" w:rsidRPr="00A05179">
        <w:t>Albiar</w:t>
      </w:r>
      <w:proofErr w:type="spellEnd"/>
      <w:r w:rsidR="00B73D62" w:rsidRPr="00A05179">
        <w:t xml:space="preserve">, </w:t>
      </w:r>
      <w:r w:rsidR="00B73D62" w:rsidRPr="00A2790A">
        <w:t xml:space="preserve">y otros (2012), UCM (Universidad Complutense de Madrid) (2012) y </w:t>
      </w:r>
      <w:proofErr w:type="spellStart"/>
      <w:r w:rsidR="00B73D62" w:rsidRPr="00A2790A">
        <w:t>Diaz</w:t>
      </w:r>
      <w:proofErr w:type="spellEnd"/>
      <w:r w:rsidR="00B73D62" w:rsidRPr="00A2790A">
        <w:t xml:space="preserve"> (2001) señalan que aún siguen siendo mayoría los </w:t>
      </w:r>
      <w:proofErr w:type="spellStart"/>
      <w:r w:rsidR="00B73D62" w:rsidRPr="00A2790A">
        <w:t>videojugadores</w:t>
      </w:r>
      <w:proofErr w:type="spellEnd"/>
      <w:r w:rsidR="00B73D62" w:rsidRPr="00A2790A">
        <w:t>, mientr</w:t>
      </w:r>
      <w:r w:rsidR="00B73D62">
        <w:t>as que las grandes protagonistas en las redes sociales son ellas. De esta manera el Instituto de la M</w:t>
      </w:r>
      <w:r w:rsidR="00B73D62" w:rsidRPr="00C44E9C">
        <w:t>ujer (2004:74) señala que el 92% de los chicos encuestados utilizan los videojuegos, mientras que las chicas son un 75%. López (2010:307) comenta que el 38% de la población masculina española juega a este tipo de juegos frente al 18% de la población femenina</w:t>
      </w:r>
    </w:p>
    <w:p w:rsidR="00B73D62" w:rsidRDefault="00B73D62" w:rsidP="00B73D62">
      <w:pPr>
        <w:spacing w:line="360" w:lineRule="auto"/>
        <w:jc w:val="both"/>
      </w:pPr>
      <w:r>
        <w:t>Esta brecha es la menos conocida, y su vez la menos estudiada, aunque genera situaciones de discriminación y desigualdades, situaciones de agresión</w:t>
      </w:r>
      <w:r w:rsidRPr="00660483">
        <w:t xml:space="preserve"> a través de las tecnologías</w:t>
      </w:r>
      <w:r>
        <w:t xml:space="preserve"> </w:t>
      </w:r>
      <w:r w:rsidRPr="00660483">
        <w:t xml:space="preserve">(INTENCO, 2011; Gobierno Vasco, 2013; </w:t>
      </w:r>
      <w:proofErr w:type="spellStart"/>
      <w:r w:rsidRPr="00660483">
        <w:t>Buelga</w:t>
      </w:r>
      <w:proofErr w:type="spellEnd"/>
      <w:r w:rsidRPr="00660483">
        <w:t>, Cava</w:t>
      </w:r>
      <w:r>
        <w:t xml:space="preserve">, &amp; Musitu,:2010; </w:t>
      </w:r>
      <w:proofErr w:type="spellStart"/>
      <w:r>
        <w:t>Lenhart</w:t>
      </w:r>
      <w:proofErr w:type="spellEnd"/>
      <w:r>
        <w:t>: 2009</w:t>
      </w:r>
      <w:r w:rsidRPr="00660483">
        <w:t xml:space="preserve">; Cerezo-Ramírez: 2012; Gutiérrez, Vega, &amp; Rendón; 2013; </w:t>
      </w:r>
      <w:proofErr w:type="spellStart"/>
      <w:r w:rsidRPr="00660483">
        <w:t>Strassberg</w:t>
      </w:r>
      <w:proofErr w:type="spellEnd"/>
      <w:r w:rsidRPr="00660483">
        <w:t xml:space="preserve">, </w:t>
      </w:r>
      <w:proofErr w:type="spellStart"/>
      <w:r w:rsidRPr="00660483">
        <w:t>McKinnon</w:t>
      </w:r>
      <w:proofErr w:type="spellEnd"/>
      <w:r w:rsidRPr="00660483">
        <w:t xml:space="preserve">, </w:t>
      </w:r>
      <w:proofErr w:type="spellStart"/>
      <w:r w:rsidRPr="00660483">
        <w:t>Sustaíta</w:t>
      </w:r>
      <w:proofErr w:type="spellEnd"/>
      <w:r w:rsidRPr="00660483">
        <w:t xml:space="preserve">, &amp; </w:t>
      </w:r>
      <w:proofErr w:type="spellStart"/>
      <w:r w:rsidRPr="00660483">
        <w:t>Rullo</w:t>
      </w:r>
      <w:proofErr w:type="spellEnd"/>
      <w:r w:rsidRPr="00660483">
        <w:t>, 2012).</w:t>
      </w:r>
    </w:p>
    <w:p w:rsidR="00B73D62" w:rsidRPr="00F02B78" w:rsidRDefault="00F02B78" w:rsidP="00B73D62">
      <w:pPr>
        <w:spacing w:line="360" w:lineRule="auto"/>
        <w:jc w:val="both"/>
        <w:rPr>
          <w:i/>
        </w:rPr>
      </w:pPr>
      <w:r w:rsidRPr="00F02B78">
        <w:t xml:space="preserve">Por lo tanto, y con el fin de comprender esta realidad virtual y las relaciones que se crean entre las personas adolescentes y las TIC, y como gestionan la construcción de género en esta etapa, este proyecto tiene como objeto de estudio el </w:t>
      </w:r>
      <w:r w:rsidRPr="00F02B78">
        <w:rPr>
          <w:i/>
        </w:rPr>
        <w:t xml:space="preserve">análisis teórico de la tercera brecha digital de género de las personas adolescentes de CAE en el contexto educativo formal desde una perspectiva de género y </w:t>
      </w:r>
      <w:proofErr w:type="spellStart"/>
      <w:r w:rsidRPr="00F02B78">
        <w:rPr>
          <w:i/>
        </w:rPr>
        <w:t>tecnofeminista</w:t>
      </w:r>
      <w:proofErr w:type="spellEnd"/>
      <w:r w:rsidRPr="00F02B78">
        <w:rPr>
          <w:i/>
        </w:rPr>
        <w:t>.</w:t>
      </w:r>
    </w:p>
    <w:p w:rsidR="00B73D62" w:rsidRPr="00695B81" w:rsidRDefault="00695B81" w:rsidP="00695B81">
      <w:pPr>
        <w:pStyle w:val="Prrafodelista"/>
        <w:numPr>
          <w:ilvl w:val="0"/>
          <w:numId w:val="26"/>
        </w:numPr>
        <w:spacing w:line="360" w:lineRule="auto"/>
        <w:jc w:val="both"/>
        <w:rPr>
          <w:b/>
          <w:sz w:val="24"/>
          <w:szCs w:val="24"/>
        </w:rPr>
      </w:pPr>
      <w:r w:rsidRPr="00695B81">
        <w:rPr>
          <w:b/>
          <w:sz w:val="24"/>
          <w:szCs w:val="24"/>
        </w:rPr>
        <w:t>Tercera brecha digital en la CAE</w:t>
      </w:r>
    </w:p>
    <w:p w:rsidR="00B73D62" w:rsidRPr="007516BB" w:rsidRDefault="00F02B78" w:rsidP="00B73D62">
      <w:pPr>
        <w:spacing w:line="360" w:lineRule="auto"/>
        <w:jc w:val="both"/>
        <w:rPr>
          <w:rFonts w:ascii="Calibri" w:eastAsia="Calibri" w:hAnsi="Calibri" w:cs="Times New Roman"/>
        </w:rPr>
      </w:pPr>
      <w:r>
        <w:t xml:space="preserve">Centrándonos, por tanto, en el objeto de estudio de esta </w:t>
      </w:r>
      <w:r w:rsidR="002F640F">
        <w:t>comunicación</w:t>
      </w:r>
      <w:r>
        <w:t>, en el caso</w:t>
      </w:r>
      <w:r w:rsidR="00B73D62">
        <w:t xml:space="preserve"> de Euskadi esta brecha s</w:t>
      </w:r>
      <w:r w:rsidR="00B73D62" w:rsidRPr="007516BB">
        <w:t xml:space="preserve">e reafirma y según los datos recogidos por Gobierno Vasco (2013). </w:t>
      </w:r>
      <w:r w:rsidR="00B73D62" w:rsidRPr="007516BB">
        <w:rPr>
          <w:rFonts w:ascii="Calibri" w:eastAsia="Calibri" w:hAnsi="Calibri" w:cs="Times New Roman"/>
        </w:rPr>
        <w:t xml:space="preserve">Gobierno Vasco y </w:t>
      </w:r>
      <w:proofErr w:type="spellStart"/>
      <w:r w:rsidR="00B73D62" w:rsidRPr="007516BB">
        <w:rPr>
          <w:rFonts w:ascii="Calibri" w:eastAsia="Calibri" w:hAnsi="Calibri" w:cs="Times New Roman"/>
        </w:rPr>
        <w:t>Ararteko</w:t>
      </w:r>
      <w:proofErr w:type="spellEnd"/>
      <w:r w:rsidR="00B73D62" w:rsidRPr="007516BB">
        <w:rPr>
          <w:rFonts w:ascii="Calibri" w:eastAsia="Calibri" w:hAnsi="Calibri" w:cs="Times New Roman"/>
        </w:rPr>
        <w:t xml:space="preserve"> revela</w:t>
      </w:r>
      <w:r w:rsidR="00B73D62">
        <w:rPr>
          <w:rFonts w:ascii="Calibri" w:eastAsia="Calibri" w:hAnsi="Calibri" w:cs="Times New Roman"/>
        </w:rPr>
        <w:t>n en sus estudios</w:t>
      </w:r>
      <w:r w:rsidR="00B73D62" w:rsidRPr="007516BB">
        <w:rPr>
          <w:rFonts w:ascii="Calibri" w:eastAsia="Calibri" w:hAnsi="Calibri" w:cs="Times New Roman"/>
        </w:rPr>
        <w:t xml:space="preserve"> las siguientes cuestiones que se deben tener en cuenta: </w:t>
      </w:r>
    </w:p>
    <w:p w:rsidR="00B73D62" w:rsidRPr="008A62DB" w:rsidRDefault="00B73D62" w:rsidP="008A62DB">
      <w:pPr>
        <w:numPr>
          <w:ilvl w:val="0"/>
          <w:numId w:val="11"/>
        </w:numPr>
        <w:snapToGrid w:val="0"/>
        <w:spacing w:after="0" w:line="360" w:lineRule="auto"/>
        <w:contextualSpacing/>
        <w:jc w:val="both"/>
        <w:rPr>
          <w:rFonts w:ascii="Calibri" w:eastAsia="Calibri" w:hAnsi="Calibri" w:cs="Times New Roman"/>
        </w:rPr>
      </w:pPr>
      <w:r w:rsidRPr="008A62DB">
        <w:rPr>
          <w:rFonts w:ascii="Calibri" w:eastAsia="Calibri" w:hAnsi="Calibri" w:cs="Times New Roman"/>
        </w:rPr>
        <w:t>Las redes sociales son utilizadas mayoritariamente por las chicas. Además se utilizan de manera diferenciada. Las chicas cómo medio de comunic</w:t>
      </w:r>
      <w:r w:rsidR="008A62DB" w:rsidRPr="008A62DB">
        <w:rPr>
          <w:rFonts w:ascii="Calibri" w:eastAsia="Calibri" w:hAnsi="Calibri" w:cs="Times New Roman"/>
        </w:rPr>
        <w:t>ación, y los chicos cómo medio d</w:t>
      </w:r>
      <w:r w:rsidRPr="008A62DB">
        <w:rPr>
          <w:rFonts w:ascii="Calibri" w:eastAsia="Calibri" w:hAnsi="Calibri" w:cs="Times New Roman"/>
        </w:rPr>
        <w:t xml:space="preserve">e </w:t>
      </w:r>
      <w:proofErr w:type="spellStart"/>
      <w:r w:rsidRPr="008A62DB">
        <w:rPr>
          <w:rFonts w:ascii="Calibri" w:eastAsia="Calibri" w:hAnsi="Calibri" w:cs="Times New Roman"/>
        </w:rPr>
        <w:t>ligoteo</w:t>
      </w:r>
      <w:proofErr w:type="spellEnd"/>
      <w:r w:rsidRPr="008A62DB">
        <w:rPr>
          <w:rFonts w:ascii="Calibri" w:eastAsia="Calibri" w:hAnsi="Calibri" w:cs="Times New Roman"/>
        </w:rPr>
        <w:t>.</w:t>
      </w:r>
    </w:p>
    <w:p w:rsidR="00B73D62" w:rsidRPr="008A62DB" w:rsidRDefault="00B73D62" w:rsidP="008A62DB">
      <w:pPr>
        <w:numPr>
          <w:ilvl w:val="0"/>
          <w:numId w:val="11"/>
        </w:numPr>
        <w:snapToGrid w:val="0"/>
        <w:spacing w:after="0" w:line="360" w:lineRule="auto"/>
        <w:contextualSpacing/>
        <w:jc w:val="both"/>
        <w:rPr>
          <w:rFonts w:ascii="Calibri" w:eastAsia="Calibri" w:hAnsi="Calibri" w:cs="Times New Roman"/>
        </w:rPr>
      </w:pPr>
      <w:r w:rsidRPr="008A62DB">
        <w:rPr>
          <w:rFonts w:ascii="Calibri" w:eastAsia="Calibri" w:hAnsi="Calibri" w:cs="Times New Roman"/>
        </w:rPr>
        <w:t xml:space="preserve">En cambio, los chicos utilizan Internet como espacios de recreación y auto aprendizaje. </w:t>
      </w:r>
    </w:p>
    <w:p w:rsidR="00B73D62" w:rsidRDefault="00B73D62" w:rsidP="00B73D62">
      <w:pPr>
        <w:spacing w:line="360" w:lineRule="auto"/>
        <w:jc w:val="both"/>
      </w:pPr>
      <w:r w:rsidRPr="0056694A">
        <w:t xml:space="preserve">El informe </w:t>
      </w:r>
      <w:proofErr w:type="spellStart"/>
      <w:r w:rsidRPr="0056694A">
        <w:t>Ararteko</w:t>
      </w:r>
      <w:proofErr w:type="spellEnd"/>
      <w:r w:rsidRPr="0056694A">
        <w:t xml:space="preserve"> (2009:70) por su parte, recoge que según la AIMC (Asociación para la Investigación de los Medios de Comunicación</w:t>
      </w:r>
      <w:r w:rsidRPr="00C44E9C">
        <w:t xml:space="preserve">) en 2004 el 73,7% de la </w:t>
      </w:r>
      <w:r>
        <w:t>adolescencia</w:t>
      </w:r>
      <w:r w:rsidRPr="00C44E9C">
        <w:t xml:space="preserve"> entre los 8 y 13 años tenían algún tipo de videoconsola</w:t>
      </w:r>
      <w:proofErr w:type="gramStart"/>
      <w:r w:rsidRPr="00C44E9C">
        <w:t>..</w:t>
      </w:r>
      <w:proofErr w:type="gramEnd"/>
      <w:r w:rsidRPr="00C44E9C">
        <w:t xml:space="preserve"> Así, </w:t>
      </w:r>
      <w:proofErr w:type="spellStart"/>
      <w:r w:rsidRPr="00C44E9C">
        <w:t>Ararteko</w:t>
      </w:r>
      <w:proofErr w:type="spellEnd"/>
      <w:r w:rsidRPr="00C44E9C">
        <w:t xml:space="preserve"> (2009:70) resalta que las </w:t>
      </w:r>
      <w:r w:rsidRPr="007516BB">
        <w:t xml:space="preserve">adolescentes prefieren la televisión a los videojuegos, mientras que los jóvenes prefieren todo </w:t>
      </w:r>
      <w:r w:rsidRPr="007516BB">
        <w:lastRenderedPageBreak/>
        <w:t xml:space="preserve">lo contrario, y según el informe elaborado por </w:t>
      </w:r>
      <w:proofErr w:type="spellStart"/>
      <w:r w:rsidRPr="007516BB">
        <w:t>Emakunde</w:t>
      </w:r>
      <w:proofErr w:type="spellEnd"/>
      <w:r w:rsidRPr="007516BB">
        <w:t xml:space="preserve"> (2004: 83) asegura que el 11,3% de las personas jóvenes de Euskadi utilizan estos juegos diariamente, y es la tercera práctica más realizada tras la jornada escolar.</w:t>
      </w:r>
    </w:p>
    <w:p w:rsidR="00695B81" w:rsidRPr="00695B81" w:rsidRDefault="00695B81" w:rsidP="00695B81">
      <w:pPr>
        <w:pStyle w:val="Prrafodelista"/>
        <w:numPr>
          <w:ilvl w:val="0"/>
          <w:numId w:val="26"/>
        </w:numPr>
        <w:spacing w:line="360" w:lineRule="auto"/>
        <w:jc w:val="both"/>
        <w:rPr>
          <w:b/>
          <w:sz w:val="24"/>
          <w:szCs w:val="24"/>
        </w:rPr>
      </w:pPr>
      <w:r w:rsidRPr="00695B81">
        <w:rPr>
          <w:b/>
          <w:sz w:val="24"/>
          <w:szCs w:val="24"/>
        </w:rPr>
        <w:t>Canales digitales de la perpetuación de la tercera brecha digital de género</w:t>
      </w:r>
    </w:p>
    <w:p w:rsidR="00E71DB2" w:rsidRDefault="00E71DB2" w:rsidP="00E71DB2">
      <w:pPr>
        <w:spacing w:line="360" w:lineRule="auto"/>
        <w:jc w:val="both"/>
      </w:pPr>
      <w:r w:rsidRPr="0088615D">
        <w:t xml:space="preserve">Como vemos la tercera brecha digital se desarrolla a través de los </w:t>
      </w:r>
      <w:r>
        <w:t>canales</w:t>
      </w:r>
      <w:r w:rsidRPr="0088615D">
        <w:t xml:space="preserve"> tecnológicos,</w:t>
      </w:r>
      <w:r>
        <w:t xml:space="preserve"> y según cuál</w:t>
      </w:r>
      <w:r w:rsidRPr="0088615D">
        <w:t xml:space="preserve"> </w:t>
      </w:r>
      <w:r>
        <w:t>analicemos,</w:t>
      </w:r>
      <w:r w:rsidRPr="0088615D">
        <w:t xml:space="preserve"> vemos que la distribución y el uso que se da es diferente. Por este motivo, y con el objetivo de explorar como se teje esta brecha </w:t>
      </w:r>
      <w:r>
        <w:t xml:space="preserve">digital de género </w:t>
      </w:r>
      <w:r w:rsidRPr="0088615D">
        <w:t xml:space="preserve">se realizará un análisis por los </w:t>
      </w:r>
      <w:r>
        <w:t xml:space="preserve">canales </w:t>
      </w:r>
      <w:r w:rsidRPr="0088615D">
        <w:t xml:space="preserve">más utilizados por las y los adolescentes, qué recordemos que eran: </w:t>
      </w:r>
      <w:r>
        <w:t xml:space="preserve">los videojuegos, las redes sociales y las páginas web; siendo las más comunes las dos primeras y las TIC más utilizadas: los ordenadores y los teléfonos móviles. </w:t>
      </w:r>
    </w:p>
    <w:p w:rsidR="00E71DB2" w:rsidRPr="0088615D" w:rsidRDefault="00E71DB2" w:rsidP="00E71DB2">
      <w:pPr>
        <w:spacing w:line="360" w:lineRule="auto"/>
        <w:jc w:val="both"/>
      </w:pPr>
      <w:r>
        <w:t>Con este objetivo se realizará un recorrido</w:t>
      </w:r>
      <w:r w:rsidR="00F02B78">
        <w:t xml:space="preserve"> breve</w:t>
      </w:r>
      <w:r>
        <w:t xml:space="preserve"> por cada canal en e</w:t>
      </w:r>
      <w:r w:rsidR="00F02B78">
        <w:t>l</w:t>
      </w:r>
      <w:r>
        <w:t xml:space="preserve"> que primeramente se diferenciará quién lo utiliza, cómo lo utiliza y qué encontramos. </w:t>
      </w:r>
    </w:p>
    <w:p w:rsidR="00695B81" w:rsidRPr="00695B81" w:rsidRDefault="00695B81" w:rsidP="00695B81">
      <w:pPr>
        <w:pStyle w:val="Prrafodelista"/>
        <w:autoSpaceDE w:val="0"/>
        <w:autoSpaceDN w:val="0"/>
        <w:adjustRightInd w:val="0"/>
        <w:spacing w:after="0" w:line="360" w:lineRule="auto"/>
        <w:jc w:val="both"/>
        <w:rPr>
          <w:rFonts w:cs="Arial"/>
          <w:b/>
        </w:rPr>
      </w:pPr>
      <w:r w:rsidRPr="00695B81">
        <w:rPr>
          <w:rFonts w:cs="Arial"/>
          <w:b/>
        </w:rPr>
        <w:t>2.1 Los videojuegos, juegos para y de chicos</w:t>
      </w:r>
    </w:p>
    <w:p w:rsidR="00E71DB2" w:rsidRPr="0088615D" w:rsidRDefault="00E71DB2" w:rsidP="00E71DB2">
      <w:pPr>
        <w:autoSpaceDE w:val="0"/>
        <w:autoSpaceDN w:val="0"/>
        <w:adjustRightInd w:val="0"/>
        <w:spacing w:after="0" w:line="360" w:lineRule="auto"/>
        <w:contextualSpacing/>
        <w:jc w:val="both"/>
        <w:rPr>
          <w:rFonts w:cs="Arial"/>
        </w:rPr>
      </w:pPr>
      <w:r>
        <w:rPr>
          <w:rFonts w:cs="Arial"/>
        </w:rPr>
        <w:t xml:space="preserve">Si tuviéramos que analizar los juegos de la natividad digital según las diferencias en cuanto al género y sexo, deberíamos comenzar por las marcas comerciales, ya que ciertas </w:t>
      </w:r>
      <w:r w:rsidRPr="0088615D">
        <w:rPr>
          <w:rFonts w:cs="Arial"/>
        </w:rPr>
        <w:t xml:space="preserve">investigaciones, entre ellas </w:t>
      </w:r>
      <w:proofErr w:type="spellStart"/>
      <w:r w:rsidRPr="0088615D">
        <w:rPr>
          <w:rFonts w:cs="Arial"/>
        </w:rPr>
        <w:t>Ararteko</w:t>
      </w:r>
      <w:proofErr w:type="spellEnd"/>
      <w:r w:rsidRPr="0088615D">
        <w:rPr>
          <w:rFonts w:cs="Arial"/>
        </w:rPr>
        <w:t xml:space="preserve"> (2009: 180-181, 220-222) y el Instituto Andaluz de la Mujer (2005: 8), señalan que la gran diferencia incide en el tipo de videoconsola que se utiliza. </w:t>
      </w:r>
      <w:r>
        <w:rPr>
          <w:rFonts w:cs="Arial"/>
        </w:rPr>
        <w:t>El</w:t>
      </w:r>
      <w:r w:rsidRPr="0088615D">
        <w:rPr>
          <w:rFonts w:cs="Arial"/>
        </w:rPr>
        <w:t xml:space="preserve"> informe de </w:t>
      </w:r>
      <w:proofErr w:type="spellStart"/>
      <w:r w:rsidRPr="0088615D">
        <w:rPr>
          <w:rFonts w:cs="Arial"/>
        </w:rPr>
        <w:t>Ararteko</w:t>
      </w:r>
      <w:proofErr w:type="spellEnd"/>
      <w:r w:rsidRPr="0088615D">
        <w:rPr>
          <w:rFonts w:cs="Arial"/>
        </w:rPr>
        <w:t xml:space="preserve"> </w:t>
      </w:r>
      <w:r>
        <w:rPr>
          <w:rFonts w:cs="Arial"/>
        </w:rPr>
        <w:t xml:space="preserve">en concreto </w:t>
      </w:r>
      <w:r w:rsidRPr="0088615D">
        <w:rPr>
          <w:rFonts w:cs="Arial"/>
        </w:rPr>
        <w:t>señala que las</w:t>
      </w:r>
      <w:r>
        <w:rPr>
          <w:rFonts w:cs="Arial"/>
        </w:rPr>
        <w:t xml:space="preserve"> adolescentes entre todos los instrumentos, </w:t>
      </w:r>
      <w:r w:rsidRPr="0088615D">
        <w:rPr>
          <w:rFonts w:cs="Arial"/>
        </w:rPr>
        <w:t xml:space="preserve">prefieren </w:t>
      </w:r>
      <w:r>
        <w:rPr>
          <w:rFonts w:cs="Arial"/>
        </w:rPr>
        <w:t xml:space="preserve">primero </w:t>
      </w:r>
      <w:r w:rsidRPr="0088615D">
        <w:rPr>
          <w:rFonts w:cs="Arial"/>
        </w:rPr>
        <w:t xml:space="preserve">jugar </w:t>
      </w:r>
      <w:r>
        <w:rPr>
          <w:rFonts w:cs="Arial"/>
        </w:rPr>
        <w:t>con el ordenador (68.0%)</w:t>
      </w:r>
      <w:r w:rsidRPr="0088615D">
        <w:rPr>
          <w:rFonts w:cs="Arial"/>
        </w:rPr>
        <w:t xml:space="preserve"> antes que a la Play </w:t>
      </w:r>
      <w:proofErr w:type="spellStart"/>
      <w:r w:rsidRPr="0088615D">
        <w:rPr>
          <w:rFonts w:cs="Arial"/>
        </w:rPr>
        <w:t>Station</w:t>
      </w:r>
      <w:proofErr w:type="spellEnd"/>
      <w:r>
        <w:rPr>
          <w:rFonts w:cs="Arial"/>
        </w:rPr>
        <w:t xml:space="preserve"> (31.5%)</w:t>
      </w:r>
      <w:r w:rsidRPr="0088615D">
        <w:rPr>
          <w:rFonts w:cs="Arial"/>
        </w:rPr>
        <w:t xml:space="preserve">, mientras que los </w:t>
      </w:r>
      <w:r>
        <w:rPr>
          <w:rFonts w:cs="Arial"/>
        </w:rPr>
        <w:t xml:space="preserve">adolescentes juegan más a menudo con </w:t>
      </w:r>
      <w:r w:rsidRPr="0088615D">
        <w:rPr>
          <w:rFonts w:cs="Arial"/>
        </w:rPr>
        <w:t xml:space="preserve">la Play </w:t>
      </w:r>
      <w:proofErr w:type="spellStart"/>
      <w:r w:rsidRPr="0088615D">
        <w:rPr>
          <w:rFonts w:cs="Arial"/>
        </w:rPr>
        <w:t>Station</w:t>
      </w:r>
      <w:proofErr w:type="spellEnd"/>
      <w:r w:rsidRPr="0088615D">
        <w:rPr>
          <w:rFonts w:cs="Arial"/>
        </w:rPr>
        <w:t xml:space="preserve"> </w:t>
      </w:r>
      <w:r>
        <w:rPr>
          <w:rFonts w:cs="Arial"/>
        </w:rPr>
        <w:t>(76.6%) y el ordenador (61.7%)</w:t>
      </w:r>
      <w:r>
        <w:rPr>
          <w:rStyle w:val="Refdenotaalpie"/>
          <w:rFonts w:cs="Arial"/>
        </w:rPr>
        <w:footnoteReference w:id="3"/>
      </w:r>
      <w:r>
        <w:rPr>
          <w:rFonts w:cs="Arial"/>
        </w:rPr>
        <w:t>. En cuanto a la Nintendo se utiliza en menor medida por parte de las personas adolescentes, siendo en menos medida el uso por parte de los chicos (17.3%), que las chicas (24.1%). Respecto a  la frecuencia ellos son los que utilizan más a menudo los videojuegos (el 38% de los chicos utilizan estos juegos varias veces a las semana, frente al 20.2 %, y el 19% practicante todos los días, y las chicas en cambio solo un 8.4%)</w:t>
      </w:r>
    </w:p>
    <w:p w:rsidR="00E71DB2" w:rsidRPr="0088615D" w:rsidRDefault="00E71DB2" w:rsidP="00E71DB2">
      <w:pPr>
        <w:autoSpaceDE w:val="0"/>
        <w:autoSpaceDN w:val="0"/>
        <w:adjustRightInd w:val="0"/>
        <w:spacing w:after="0" w:line="360" w:lineRule="auto"/>
        <w:contextualSpacing/>
        <w:jc w:val="both"/>
        <w:rPr>
          <w:rFonts w:cs="Arial"/>
        </w:rPr>
      </w:pPr>
    </w:p>
    <w:p w:rsidR="00E71DB2" w:rsidRDefault="00A32E10" w:rsidP="00E71DB2">
      <w:pPr>
        <w:autoSpaceDE w:val="0"/>
        <w:autoSpaceDN w:val="0"/>
        <w:adjustRightInd w:val="0"/>
        <w:spacing w:after="0" w:line="360" w:lineRule="auto"/>
        <w:contextualSpacing/>
        <w:jc w:val="both"/>
        <w:rPr>
          <w:rFonts w:cs="Arial"/>
        </w:rPr>
      </w:pPr>
      <w:r>
        <w:rPr>
          <w:rFonts w:cs="Arial"/>
        </w:rPr>
        <w:t>De esta manera, m</w:t>
      </w:r>
      <w:r w:rsidR="00E71DB2" w:rsidRPr="0088615D">
        <w:rPr>
          <w:rFonts w:cs="Arial"/>
        </w:rPr>
        <w:t xml:space="preserve">ientras que la Play </w:t>
      </w:r>
      <w:proofErr w:type="spellStart"/>
      <w:r w:rsidR="00E71DB2" w:rsidRPr="0088615D">
        <w:rPr>
          <w:rFonts w:cs="Arial"/>
        </w:rPr>
        <w:t>Station</w:t>
      </w:r>
      <w:proofErr w:type="spellEnd"/>
      <w:r w:rsidR="00E71DB2" w:rsidRPr="0088615D">
        <w:rPr>
          <w:rFonts w:cs="Arial"/>
        </w:rPr>
        <w:t xml:space="preserve"> se ha dedicado propiamente a fabricar juegos vinculados a valores más próximos a los masculinos como la competitivid</w:t>
      </w:r>
      <w:r w:rsidR="00E71DB2">
        <w:rPr>
          <w:rFonts w:cs="Arial"/>
        </w:rPr>
        <w:t xml:space="preserve">ad, la violencia y los </w:t>
      </w:r>
      <w:r w:rsidR="00E71DB2">
        <w:rPr>
          <w:rFonts w:cs="Arial"/>
        </w:rPr>
        <w:lastRenderedPageBreak/>
        <w:t>deportes,</w:t>
      </w:r>
      <w:r w:rsidR="00B9391F">
        <w:rPr>
          <w:rFonts w:cs="Arial"/>
        </w:rPr>
        <w:t xml:space="preserve"> y</w:t>
      </w:r>
      <w:r w:rsidR="00E71DB2">
        <w:rPr>
          <w:rFonts w:cs="Arial"/>
        </w:rPr>
        <w:t xml:space="preserve"> </w:t>
      </w:r>
      <w:r w:rsidR="00E71DB2" w:rsidRPr="0088615D">
        <w:rPr>
          <w:rFonts w:cs="Arial"/>
        </w:rPr>
        <w:t>Nintendo</w:t>
      </w:r>
      <w:r w:rsidR="00B9391F">
        <w:rPr>
          <w:rFonts w:cs="Arial"/>
        </w:rPr>
        <w:t>, al contrario,</w:t>
      </w:r>
      <w:r w:rsidR="00E71DB2" w:rsidRPr="0088615D">
        <w:rPr>
          <w:rFonts w:cs="Arial"/>
        </w:rPr>
        <w:t xml:space="preserve"> ha creado videoconsolas y juegos de estrategia y de roles tipificados, como es el cuidados y la protección de animales, diseños de moda, juegos de simulación, de cocina… todo ello acompañado con un sin</w:t>
      </w:r>
      <w:r w:rsidR="00E71DB2">
        <w:rPr>
          <w:rFonts w:cs="Arial"/>
        </w:rPr>
        <w:t xml:space="preserve"> </w:t>
      </w:r>
      <w:r w:rsidR="00E71DB2" w:rsidRPr="0088615D">
        <w:rPr>
          <w:rFonts w:cs="Arial"/>
        </w:rPr>
        <w:t xml:space="preserve">fin de colores pasteles y de fantasía </w:t>
      </w:r>
      <w:r w:rsidR="00E71DB2" w:rsidRPr="005356FD">
        <w:rPr>
          <w:rFonts w:cs="Arial"/>
        </w:rPr>
        <w:t xml:space="preserve">que revisten las videoconsolas y los contenidos de los videojuegos, conocidos </w:t>
      </w:r>
      <w:r w:rsidR="00B9391F">
        <w:rPr>
          <w:rFonts w:cs="Arial"/>
        </w:rPr>
        <w:t>“</w:t>
      </w:r>
      <w:proofErr w:type="spellStart"/>
      <w:r w:rsidR="00B9391F">
        <w:rPr>
          <w:rFonts w:cs="Arial"/>
        </w:rPr>
        <w:t>pink</w:t>
      </w:r>
      <w:proofErr w:type="spellEnd"/>
      <w:r w:rsidR="00B9391F">
        <w:rPr>
          <w:rFonts w:cs="Arial"/>
        </w:rPr>
        <w:t xml:space="preserve"> </w:t>
      </w:r>
      <w:proofErr w:type="spellStart"/>
      <w:r w:rsidR="00B9391F">
        <w:rPr>
          <w:rFonts w:cs="Arial"/>
        </w:rPr>
        <w:t>games</w:t>
      </w:r>
      <w:proofErr w:type="spellEnd"/>
      <w:r w:rsidR="00B9391F">
        <w:rPr>
          <w:rFonts w:cs="Arial"/>
        </w:rPr>
        <w:t>”</w:t>
      </w:r>
      <w:r w:rsidR="00E71DB2" w:rsidRPr="005356FD">
        <w:rPr>
          <w:rFonts w:cs="Arial"/>
        </w:rPr>
        <w:t xml:space="preserve"> (</w:t>
      </w:r>
      <w:proofErr w:type="spellStart"/>
      <w:r w:rsidR="00E71DB2" w:rsidRPr="005356FD">
        <w:rPr>
          <w:rFonts w:cs="Arial"/>
        </w:rPr>
        <w:t>Ararteko</w:t>
      </w:r>
      <w:proofErr w:type="spellEnd"/>
      <w:r w:rsidR="00E71DB2" w:rsidRPr="005356FD">
        <w:rPr>
          <w:rFonts w:cs="Arial"/>
        </w:rPr>
        <w:t>, 2009:360</w:t>
      </w:r>
      <w:r w:rsidR="00B9391F">
        <w:t xml:space="preserve">; </w:t>
      </w:r>
      <w:r w:rsidR="00E71DB2" w:rsidRPr="005356FD">
        <w:t>Perales, Adam, &amp; García, 2008).</w:t>
      </w:r>
    </w:p>
    <w:p w:rsidR="00E71DB2" w:rsidRPr="0088615D" w:rsidRDefault="00E71DB2" w:rsidP="00E71DB2">
      <w:pPr>
        <w:autoSpaceDE w:val="0"/>
        <w:autoSpaceDN w:val="0"/>
        <w:adjustRightInd w:val="0"/>
        <w:spacing w:after="0" w:line="360" w:lineRule="auto"/>
        <w:contextualSpacing/>
        <w:jc w:val="both"/>
        <w:rPr>
          <w:rFonts w:cs="Arial"/>
        </w:rPr>
      </w:pPr>
    </w:p>
    <w:p w:rsidR="00E71DB2" w:rsidRPr="0088615D" w:rsidRDefault="00E71DB2" w:rsidP="00E71DB2">
      <w:pPr>
        <w:autoSpaceDE w:val="0"/>
        <w:autoSpaceDN w:val="0"/>
        <w:adjustRightInd w:val="0"/>
        <w:spacing w:after="0" w:line="360" w:lineRule="auto"/>
        <w:contextualSpacing/>
        <w:jc w:val="both"/>
        <w:rPr>
          <w:rFonts w:cs="Arial"/>
        </w:rPr>
      </w:pPr>
      <w:r w:rsidRPr="0088615D">
        <w:rPr>
          <w:rFonts w:cs="Arial"/>
        </w:rPr>
        <w:t xml:space="preserve">De esta manera, se han ido creando una serie de videojuegos propios para chicos y chicas. En las diferentes investigaciones, </w:t>
      </w:r>
      <w:r w:rsidR="00B9391F">
        <w:rPr>
          <w:rFonts w:cs="Arial"/>
        </w:rPr>
        <w:t>ya citadas, aparecen diferentes</w:t>
      </w:r>
      <w:r w:rsidRPr="0088615D">
        <w:rPr>
          <w:rFonts w:cs="Arial"/>
        </w:rPr>
        <w:t xml:space="preserve"> clasi</w:t>
      </w:r>
      <w:r w:rsidR="00B9391F">
        <w:rPr>
          <w:rFonts w:cs="Arial"/>
        </w:rPr>
        <w:t xml:space="preserve">ficaciones. Por tanto, </w:t>
      </w:r>
      <w:r w:rsidRPr="0088615D">
        <w:rPr>
          <w:rFonts w:cs="Arial"/>
        </w:rPr>
        <w:t xml:space="preserve">con el objetivo de resumir todas ellas, se optado por elaborar los siguientes esquemas, donde </w:t>
      </w:r>
      <w:r w:rsidR="00B9391F">
        <w:rPr>
          <w:rFonts w:cs="Arial"/>
        </w:rPr>
        <w:t>encontramos</w:t>
      </w:r>
      <w:r w:rsidRPr="0088615D">
        <w:rPr>
          <w:rFonts w:cs="Arial"/>
        </w:rPr>
        <w:t xml:space="preserve"> los juegos según al género que este dirigido:</w:t>
      </w:r>
    </w:p>
    <w:p w:rsidR="00E71DB2" w:rsidRPr="0088615D" w:rsidRDefault="00E71DB2" w:rsidP="00E71DB2">
      <w:pPr>
        <w:autoSpaceDE w:val="0"/>
        <w:autoSpaceDN w:val="0"/>
        <w:adjustRightInd w:val="0"/>
        <w:spacing w:after="0" w:line="360" w:lineRule="auto"/>
        <w:jc w:val="both"/>
        <w:rPr>
          <w:rFonts w:cs="Arial"/>
        </w:rPr>
      </w:pPr>
    </w:p>
    <w:p w:rsidR="00E71DB2" w:rsidRPr="0088615D" w:rsidRDefault="00C973BE" w:rsidP="00E71DB2">
      <w:pPr>
        <w:autoSpaceDE w:val="0"/>
        <w:autoSpaceDN w:val="0"/>
        <w:adjustRightInd w:val="0"/>
        <w:spacing w:after="0" w:line="360" w:lineRule="auto"/>
        <w:ind w:left="1080"/>
        <w:contextualSpacing/>
        <w:jc w:val="both"/>
        <w:rPr>
          <w:rFonts w:cs="Arial"/>
          <w:b/>
        </w:rPr>
      </w:pPr>
      <w:r>
        <w:rPr>
          <w:rFonts w:cs="Arial"/>
          <w:b/>
        </w:rPr>
        <w:t>Ilustración 1</w:t>
      </w:r>
      <w:r w:rsidR="00E71DB2" w:rsidRPr="0088615D">
        <w:rPr>
          <w:rFonts w:cs="Arial"/>
          <w:b/>
        </w:rPr>
        <w:t>. Clasificación de tipos de juego según al género la que este destinado</w:t>
      </w:r>
    </w:p>
    <w:p w:rsidR="00E71DB2" w:rsidRPr="0088615D" w:rsidRDefault="00E71DB2" w:rsidP="00E71DB2">
      <w:pPr>
        <w:autoSpaceDE w:val="0"/>
        <w:autoSpaceDN w:val="0"/>
        <w:adjustRightInd w:val="0"/>
        <w:spacing w:after="0" w:line="360" w:lineRule="auto"/>
        <w:jc w:val="both"/>
        <w:rPr>
          <w:rFonts w:cs="Arial"/>
        </w:rPr>
      </w:pPr>
      <w:r w:rsidRPr="0088615D">
        <w:rPr>
          <w:noProof/>
          <w:lang w:eastAsia="es-ES"/>
        </w:rPr>
        <w:drawing>
          <wp:inline distT="0" distB="0" distL="0" distR="0" wp14:anchorId="082A4D09" wp14:editId="59DA0F7C">
            <wp:extent cx="6092190" cy="3147060"/>
            <wp:effectExtent l="76200" t="0" r="99060" b="0"/>
            <wp:docPr id="4"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E71DB2" w:rsidRPr="0088615D" w:rsidRDefault="00E71DB2" w:rsidP="00E71DB2">
      <w:pPr>
        <w:autoSpaceDE w:val="0"/>
        <w:autoSpaceDN w:val="0"/>
        <w:adjustRightInd w:val="0"/>
        <w:spacing w:after="0" w:line="360" w:lineRule="auto"/>
        <w:ind w:left="720"/>
        <w:contextualSpacing/>
        <w:jc w:val="both"/>
        <w:rPr>
          <w:rFonts w:cs="Arial"/>
        </w:rPr>
      </w:pPr>
    </w:p>
    <w:p w:rsidR="00E71DB2" w:rsidRPr="00AA65ED" w:rsidRDefault="00E71DB2" w:rsidP="00AA65ED">
      <w:pPr>
        <w:spacing w:after="0"/>
        <w:ind w:left="851"/>
        <w:jc w:val="both"/>
        <w:rPr>
          <w:sz w:val="20"/>
          <w:szCs w:val="20"/>
        </w:rPr>
      </w:pPr>
      <w:r w:rsidRPr="00AA65ED">
        <w:rPr>
          <w:sz w:val="20"/>
          <w:szCs w:val="20"/>
        </w:rPr>
        <w:t xml:space="preserve">Fuente: Elaborado a partir de </w:t>
      </w:r>
      <w:proofErr w:type="spellStart"/>
      <w:r w:rsidRPr="00AA65ED">
        <w:rPr>
          <w:sz w:val="20"/>
          <w:szCs w:val="20"/>
        </w:rPr>
        <w:t>Ararteko</w:t>
      </w:r>
      <w:proofErr w:type="spellEnd"/>
      <w:r w:rsidRPr="00AA65ED">
        <w:rPr>
          <w:sz w:val="20"/>
          <w:szCs w:val="20"/>
        </w:rPr>
        <w:t xml:space="preserve"> (2009:361), Instituto de la mujer (2004: 30-35), Merchán (2014:81) y López (2010: 308-309)</w:t>
      </w:r>
      <w:r w:rsidRPr="00AA65ED">
        <w:rPr>
          <w:sz w:val="20"/>
          <w:szCs w:val="20"/>
          <w:vertAlign w:val="superscript"/>
        </w:rPr>
        <w:footnoteReference w:id="4"/>
      </w:r>
      <w:r w:rsidRPr="00AA65ED">
        <w:rPr>
          <w:sz w:val="20"/>
          <w:szCs w:val="20"/>
          <w:highlight w:val="green"/>
        </w:rPr>
        <w:t xml:space="preserve"> </w:t>
      </w:r>
    </w:p>
    <w:p w:rsidR="00E71DB2" w:rsidRPr="0088615D" w:rsidRDefault="00E71DB2" w:rsidP="00E71DB2">
      <w:pPr>
        <w:spacing w:after="0" w:line="360" w:lineRule="auto"/>
        <w:jc w:val="both"/>
      </w:pPr>
    </w:p>
    <w:p w:rsidR="00A32E10" w:rsidRDefault="00D65EA2" w:rsidP="003B4D78">
      <w:pPr>
        <w:spacing w:line="360" w:lineRule="auto"/>
        <w:jc w:val="both"/>
      </w:pPr>
      <w:r>
        <w:t>D</w:t>
      </w:r>
      <w:r w:rsidR="00FB17E2">
        <w:t>e lo</w:t>
      </w:r>
      <w:r w:rsidR="00E71DB2" w:rsidRPr="00123A8D">
        <w:t xml:space="preserve">s tres </w:t>
      </w:r>
      <w:r w:rsidR="00FB17E2">
        <w:t xml:space="preserve">bloques donde encontramos los videojuegos </w:t>
      </w:r>
      <w:r w:rsidR="00E71DB2" w:rsidRPr="00123A8D">
        <w:t>más vendidos y c</w:t>
      </w:r>
      <w:r w:rsidR="00FB17E2">
        <w:t>omercializados son los que están dirigidos al sector masculino</w:t>
      </w:r>
      <w:r>
        <w:t>, y entre ellos los más vendidos</w:t>
      </w:r>
      <w:r w:rsidR="00FB17E2">
        <w:t>, junto c</w:t>
      </w:r>
      <w:r>
        <w:t xml:space="preserve">on los </w:t>
      </w:r>
      <w:r>
        <w:lastRenderedPageBreak/>
        <w:t xml:space="preserve">deportivos, son los violentos </w:t>
      </w:r>
      <w:r w:rsidRPr="0088615D">
        <w:t>(</w:t>
      </w:r>
      <w:proofErr w:type="spellStart"/>
      <w:r w:rsidR="00A32E10" w:rsidRPr="00123A8D">
        <w:t>Carnag</w:t>
      </w:r>
      <w:r w:rsidR="00A32E10">
        <w:t>ey</w:t>
      </w:r>
      <w:proofErr w:type="spellEnd"/>
      <w:r w:rsidR="00A32E10">
        <w:t xml:space="preserve">, Anderson, &amp; </w:t>
      </w:r>
      <w:proofErr w:type="spellStart"/>
      <w:r w:rsidR="00A32E10">
        <w:t>Bushman</w:t>
      </w:r>
      <w:proofErr w:type="spellEnd"/>
      <w:r w:rsidR="00A32E10">
        <w:t xml:space="preserve">, 2006; </w:t>
      </w:r>
      <w:r w:rsidRPr="0088615D">
        <w:t>Instituto de la mujer, 2004: 90</w:t>
      </w:r>
      <w:r>
        <w:t xml:space="preserve">). </w:t>
      </w:r>
    </w:p>
    <w:p w:rsidR="00E71DB2" w:rsidRPr="0088615D" w:rsidRDefault="00A32E10" w:rsidP="00A32E10">
      <w:pPr>
        <w:spacing w:line="360" w:lineRule="auto"/>
        <w:jc w:val="both"/>
      </w:pPr>
      <w:r>
        <w:t>Ello ha que, como señalan varios</w:t>
      </w:r>
      <w:r w:rsidR="00FB17E2">
        <w:t xml:space="preserve"> estudios (Diez, 2009a: 60-62; Diez, 2009b: 44; </w:t>
      </w:r>
      <w:r w:rsidR="00FB17E2" w:rsidRPr="0088615D">
        <w:t>Instit</w:t>
      </w:r>
      <w:r w:rsidR="00FB17E2">
        <w:t xml:space="preserve">uto de la mujer, 2004: 330-338; </w:t>
      </w:r>
      <w:r w:rsidR="00FB17E2" w:rsidRPr="0088615D">
        <w:t xml:space="preserve">Instituto Andaluz </w:t>
      </w:r>
      <w:r w:rsidR="00FB17E2">
        <w:t xml:space="preserve">de la Mujer, 2005: 14-18; Instituto de la mujer, </w:t>
      </w:r>
      <w:r w:rsidR="00FB17E2" w:rsidRPr="0088615D">
        <w:t>2004: 339-352</w:t>
      </w:r>
      <w:r w:rsidR="00FB17E2">
        <w:t xml:space="preserve">; López, </w:t>
      </w:r>
      <w:r w:rsidR="00FB17E2" w:rsidRPr="0088615D">
        <w:t>2010: 313)</w:t>
      </w:r>
      <w:r>
        <w:t>, que se cree</w:t>
      </w:r>
      <w:r w:rsidR="00D65EA2">
        <w:t xml:space="preserve">n juegos </w:t>
      </w:r>
      <w:r w:rsidR="00FB17E2">
        <w:t xml:space="preserve">estereotipados </w:t>
      </w:r>
      <w:r w:rsidR="00D65EA2">
        <w:t xml:space="preserve">que utilizan un sexismo tanto explicito –perfiles </w:t>
      </w:r>
      <w:r w:rsidR="00FB17E2">
        <w:t>estereotipados, enmarca</w:t>
      </w:r>
      <w:r w:rsidR="00D65EA2">
        <w:t>do</w:t>
      </w:r>
      <w:r w:rsidR="00FB17E2">
        <w:t xml:space="preserve">s en el caso de los </w:t>
      </w:r>
      <w:r w:rsidR="00D65EA2">
        <w:t xml:space="preserve">femeninos como objetos sexuales, y en el caso de los </w:t>
      </w:r>
      <w:r w:rsidR="004E73F4">
        <w:t>masculinos como máxima</w:t>
      </w:r>
      <w:r w:rsidR="00D65EA2">
        <w:t xml:space="preserve"> </w:t>
      </w:r>
      <w:proofErr w:type="spellStart"/>
      <w:r w:rsidR="00D65EA2">
        <w:t>res</w:t>
      </w:r>
      <w:r w:rsidR="003B4D78">
        <w:t>presentatividad</w:t>
      </w:r>
      <w:proofErr w:type="spellEnd"/>
      <w:r w:rsidR="003B4D78">
        <w:t xml:space="preserve"> de la virilidad</w:t>
      </w:r>
      <w:r w:rsidR="004E73F4">
        <w:t>, siendo fuertes, rudos y agresivos</w:t>
      </w:r>
      <w:r w:rsidR="003B4D78">
        <w:t xml:space="preserve">- y un sexismo implícito- el </w:t>
      </w:r>
      <w:r w:rsidR="004E73F4">
        <w:t xml:space="preserve">propio contenido del videojuego, </w:t>
      </w:r>
      <w:r w:rsidR="003B4D78">
        <w:t>basa</w:t>
      </w:r>
      <w:r w:rsidR="004E73F4">
        <w:t>do</w:t>
      </w:r>
      <w:r w:rsidR="003B4D78">
        <w:t xml:space="preserve"> en </w:t>
      </w:r>
      <w:r w:rsidR="004E73F4">
        <w:t>el resarcimiento de</w:t>
      </w:r>
      <w:r w:rsidR="00E75B44">
        <w:t xml:space="preserve"> la “cultura macho” y en el elementos como “l</w:t>
      </w:r>
      <w:r w:rsidR="00E75B44" w:rsidRPr="0088615D">
        <w:t>a violencia c</w:t>
      </w:r>
      <w:r w:rsidR="00E75B44">
        <w:t>omo eje central del videojuego”, “l</w:t>
      </w:r>
      <w:r w:rsidR="00E75B44" w:rsidRPr="0088615D">
        <w:t>a competitiv</w:t>
      </w:r>
      <w:r w:rsidR="00E75B44">
        <w:t>idad y el triunfo como esencia”, “el m</w:t>
      </w:r>
      <w:r w:rsidR="00E75B44" w:rsidRPr="0088615D">
        <w:t>aniqueísmo ideológico</w:t>
      </w:r>
      <w:r w:rsidR="00E75B44">
        <w:t xml:space="preserve">, “el  racismo” y la “inmediatez y </w:t>
      </w:r>
      <w:proofErr w:type="spellStart"/>
      <w:r w:rsidR="00E75B44">
        <w:t>compulsividad</w:t>
      </w:r>
      <w:proofErr w:type="spellEnd"/>
      <w:r w:rsidR="00E75B44">
        <w:t>”</w:t>
      </w:r>
      <w:r w:rsidR="004E73F4">
        <w:t xml:space="preserve">. </w:t>
      </w:r>
      <w:r w:rsidR="00E71DB2" w:rsidRPr="0088615D">
        <w:t xml:space="preserve"> </w:t>
      </w:r>
    </w:p>
    <w:p w:rsidR="00E71DB2" w:rsidRPr="0088615D" w:rsidRDefault="00E71DB2" w:rsidP="00E71DB2">
      <w:pPr>
        <w:spacing w:line="360" w:lineRule="auto"/>
        <w:jc w:val="both"/>
      </w:pPr>
      <w:r w:rsidRPr="00E51FC9">
        <w:t xml:space="preserve">Todo ello </w:t>
      </w:r>
      <w:r w:rsidR="00A32E10">
        <w:t>condiciona a</w:t>
      </w:r>
      <w:r w:rsidRPr="00E51FC9">
        <w:t xml:space="preserve"> que el videojuego se conv</w:t>
      </w:r>
      <w:r w:rsidR="004E73F4">
        <w:t xml:space="preserve">ierta en un universo Dantesco, un </w:t>
      </w:r>
      <w:r w:rsidR="004E73F4" w:rsidRPr="00E51FC9">
        <w:t>proceso mítico clásico en el que el héroe o el dios debe salvar a la humanidad</w:t>
      </w:r>
      <w:r w:rsidR="004E73F4">
        <w:t>, siendo</w:t>
      </w:r>
      <w:r w:rsidRPr="00E51FC9">
        <w:t xml:space="preserve"> la supremacía masculina y la dominación el epicentro del videojuego feministas (</w:t>
      </w:r>
      <w:r>
        <w:t>Perales, Adam, &amp; García, 2008</w:t>
      </w:r>
      <w:r w:rsidR="004E73F4">
        <w:t xml:space="preserve">; </w:t>
      </w:r>
      <w:r w:rsidRPr="00E51FC9">
        <w:t>Zafr</w:t>
      </w:r>
      <w:r w:rsidR="004E73F4">
        <w:t xml:space="preserve">a, </w:t>
      </w:r>
      <w:r w:rsidRPr="00E51FC9">
        <w:t>2010:156)</w:t>
      </w:r>
      <w:r w:rsidR="004E73F4">
        <w:t>. Por tanto,</w:t>
      </w:r>
      <w:r w:rsidRPr="00E51FC9">
        <w:t xml:space="preserve"> </w:t>
      </w:r>
      <w:r w:rsidR="004E73F4">
        <w:t>l</w:t>
      </w:r>
      <w:r w:rsidR="004E73F4" w:rsidRPr="00B51857">
        <w:t>a cultura del videojuego queda atrapada en una categorización genérica, dificultando la inclusión de las m</w:t>
      </w:r>
      <w:r w:rsidR="004E73F4">
        <w:t>ujeres al mundo del videojuego (</w:t>
      </w:r>
      <w:r w:rsidR="004E73F4" w:rsidRPr="00B51857">
        <w:t>López, 2010: 309</w:t>
      </w:r>
      <w:r w:rsidR="004E73F4">
        <w:t>; Perales, Adam, &amp; García (2008)</w:t>
      </w:r>
    </w:p>
    <w:p w:rsidR="00695B81" w:rsidRPr="00695B81" w:rsidRDefault="00695B81" w:rsidP="00695B81">
      <w:pPr>
        <w:pStyle w:val="Prrafodelista"/>
        <w:spacing w:line="360" w:lineRule="auto"/>
        <w:jc w:val="both"/>
        <w:rPr>
          <w:b/>
        </w:rPr>
      </w:pPr>
      <w:r w:rsidRPr="00695B81">
        <w:rPr>
          <w:b/>
        </w:rPr>
        <w:t>2.2 Redes sociales, los escaparates sociales de las personas adolescentes</w:t>
      </w:r>
    </w:p>
    <w:p w:rsidR="00B9391F" w:rsidRDefault="00E71DB2" w:rsidP="00E71DB2">
      <w:pPr>
        <w:spacing w:line="360" w:lineRule="auto"/>
        <w:jc w:val="both"/>
      </w:pPr>
      <w:r>
        <w:t xml:space="preserve">A diferencia </w:t>
      </w:r>
      <w:r w:rsidR="004E73F4">
        <w:t>de lo que ocu</w:t>
      </w:r>
      <w:r w:rsidR="00A4068E">
        <w:t>r</w:t>
      </w:r>
      <w:r w:rsidR="004E73F4">
        <w:t>re</w:t>
      </w:r>
      <w:r>
        <w:t xml:space="preserve"> en el canal anterior, donde las diferencias estadísticas en cuanto al sexo eran notorias, en los siguientes dos canales no notamos tanta diferencia en cuanto al sexo, cómo en el modo de empleo por razón de género. Podemos decir que según el canal en el que nos encontremos, las diferencias que se instauran serán diferentes, pero que la reproducción de estereotipos se da de una manera u otra</w:t>
      </w:r>
      <w:r w:rsidR="00B9391F">
        <w:t xml:space="preserve">, como veremos a continuación. </w:t>
      </w:r>
    </w:p>
    <w:p w:rsidR="00B9391F" w:rsidRDefault="00E71DB2" w:rsidP="00E71DB2">
      <w:pPr>
        <w:spacing w:line="360" w:lineRule="auto"/>
        <w:jc w:val="both"/>
      </w:pPr>
      <w:r>
        <w:t xml:space="preserve">Según los estudios elaborados por </w:t>
      </w:r>
      <w:r w:rsidRPr="0088615D">
        <w:t>Jiménez-</w:t>
      </w:r>
      <w:proofErr w:type="spellStart"/>
      <w:r w:rsidRPr="0088615D">
        <w:t>Albiar</w:t>
      </w:r>
      <w:proofErr w:type="spellEnd"/>
      <w:r w:rsidRPr="0088615D">
        <w:t>, y otros (2012),</w:t>
      </w:r>
      <w:r>
        <w:t xml:space="preserve"> e </w:t>
      </w:r>
      <w:r w:rsidRPr="0088615D">
        <w:t xml:space="preserve">INJUVE </w:t>
      </w:r>
      <w:r>
        <w:t>(</w:t>
      </w:r>
      <w:r w:rsidRPr="0088615D">
        <w:t>2011, 11</w:t>
      </w:r>
      <w:r>
        <w:t>) las diferencias realmente en las redes sociales por cuestión de sexo, es mínima, y ambos sexos participa</w:t>
      </w:r>
      <w:r>
        <w:rPr>
          <w:rStyle w:val="Refdenotaalpie"/>
        </w:rPr>
        <w:footnoteReference w:id="5"/>
      </w:r>
      <w:r>
        <w:t xml:space="preserve">. Por tanto, nos gustaría dar más importancia al uso, relaciones y actividades </w:t>
      </w:r>
      <w:r w:rsidR="00B9391F">
        <w:t xml:space="preserve">que se realizan en las mismas. </w:t>
      </w:r>
    </w:p>
    <w:p w:rsidR="00E71DB2" w:rsidRPr="002276DE" w:rsidRDefault="00E71DB2" w:rsidP="00E71DB2">
      <w:pPr>
        <w:spacing w:line="360" w:lineRule="auto"/>
        <w:jc w:val="both"/>
      </w:pPr>
      <w:r w:rsidRPr="002276DE">
        <w:t xml:space="preserve">En esta era de “espejo público” las chicas jóvenes son las protagonistas, puesto que hacen un uso más activo de las redes sociales (Gobierno Vasco, 2013:16). Según estos trabajos, ellas prefieren comunicarse, “cotillear” y chatear, y ellos prefieren ver deportes, utilizar el </w:t>
      </w:r>
      <w:r w:rsidRPr="002276DE">
        <w:lastRenderedPageBreak/>
        <w:t xml:space="preserve">ordenador e Internet para explorar, aprender y jugar. Así, según el informe elaborado por INJUVE (2011: 13) las </w:t>
      </w:r>
      <w:r>
        <w:t>finalidades</w:t>
      </w:r>
      <w:r w:rsidRPr="002276DE">
        <w:t xml:space="preserve"> que más realizan según el sexo son:</w:t>
      </w:r>
    </w:p>
    <w:p w:rsidR="00B55134" w:rsidRPr="00B55134" w:rsidRDefault="00B55134" w:rsidP="00B55134">
      <w:pPr>
        <w:pStyle w:val="Epgrafe"/>
        <w:keepNext/>
        <w:rPr>
          <w:color w:val="auto"/>
          <w:sz w:val="22"/>
          <w:szCs w:val="22"/>
        </w:rPr>
      </w:pPr>
      <w:r w:rsidRPr="00B55134">
        <w:rPr>
          <w:color w:val="auto"/>
          <w:sz w:val="22"/>
          <w:szCs w:val="22"/>
        </w:rPr>
        <w:t>Tabla 1. Usos de las y los adolescentes de las redes sociales</w:t>
      </w:r>
    </w:p>
    <w:tbl>
      <w:tblPr>
        <w:tblStyle w:val="Tablaconcuadrcula"/>
        <w:tblW w:w="8657" w:type="dxa"/>
        <w:tblInd w:w="38" w:type="dxa"/>
        <w:tblBorders>
          <w:top w:val="single" w:sz="24" w:space="0" w:color="5F497A" w:themeColor="accent4" w:themeShade="BF"/>
          <w:left w:val="single" w:sz="24" w:space="0" w:color="5F497A" w:themeColor="accent4" w:themeShade="BF"/>
          <w:bottom w:val="single" w:sz="24" w:space="0" w:color="5F497A" w:themeColor="accent4" w:themeShade="BF"/>
          <w:right w:val="single" w:sz="24" w:space="0" w:color="5F497A" w:themeColor="accent4" w:themeShade="BF"/>
          <w:insideH w:val="single" w:sz="24" w:space="0" w:color="5F497A" w:themeColor="accent4" w:themeShade="BF"/>
          <w:insideV w:val="single" w:sz="24" w:space="0" w:color="5F497A" w:themeColor="accent4" w:themeShade="BF"/>
        </w:tblBorders>
        <w:tblLook w:val="04A0" w:firstRow="1" w:lastRow="0" w:firstColumn="1" w:lastColumn="0" w:noHBand="0" w:noVBand="1"/>
      </w:tblPr>
      <w:tblGrid>
        <w:gridCol w:w="6287"/>
        <w:gridCol w:w="1185"/>
        <w:gridCol w:w="1185"/>
      </w:tblGrid>
      <w:tr w:rsidR="00E71DB2" w:rsidRPr="002276DE" w:rsidTr="00AA65ED">
        <w:trPr>
          <w:trHeight w:val="383"/>
        </w:trPr>
        <w:tc>
          <w:tcPr>
            <w:tcW w:w="0" w:type="auto"/>
            <w:vMerge w:val="restart"/>
            <w:shd w:val="clear" w:color="auto" w:fill="E5DFEC" w:themeFill="accent4" w:themeFillTint="33"/>
          </w:tcPr>
          <w:p w:rsidR="00E71DB2" w:rsidRPr="00AA65ED" w:rsidRDefault="00E71DB2" w:rsidP="00E71DB2">
            <w:pPr>
              <w:spacing w:line="360" w:lineRule="auto"/>
              <w:jc w:val="center"/>
              <w:rPr>
                <w:b/>
                <w:color w:val="5F497A" w:themeColor="accent4" w:themeShade="BF"/>
              </w:rPr>
            </w:pPr>
            <w:r w:rsidRPr="00AA65ED">
              <w:rPr>
                <w:b/>
                <w:color w:val="5F497A" w:themeColor="accent4" w:themeShade="BF"/>
              </w:rPr>
              <w:t>Finalidades</w:t>
            </w:r>
          </w:p>
        </w:tc>
        <w:tc>
          <w:tcPr>
            <w:tcW w:w="0" w:type="auto"/>
            <w:gridSpan w:val="2"/>
            <w:shd w:val="clear" w:color="auto" w:fill="E5DFEC" w:themeFill="accent4" w:themeFillTint="33"/>
          </w:tcPr>
          <w:p w:rsidR="00E71DB2" w:rsidRPr="00AA65ED" w:rsidRDefault="00E71DB2" w:rsidP="00E71DB2">
            <w:pPr>
              <w:spacing w:line="360" w:lineRule="auto"/>
              <w:jc w:val="center"/>
              <w:rPr>
                <w:b/>
                <w:color w:val="5F497A" w:themeColor="accent4" w:themeShade="BF"/>
              </w:rPr>
            </w:pPr>
            <w:r w:rsidRPr="00AA65ED">
              <w:rPr>
                <w:b/>
                <w:color w:val="5F497A" w:themeColor="accent4" w:themeShade="BF"/>
              </w:rPr>
              <w:t>Adolescentes</w:t>
            </w:r>
          </w:p>
        </w:tc>
      </w:tr>
      <w:tr w:rsidR="00E71DB2" w:rsidRPr="002276DE" w:rsidTr="00AA65ED">
        <w:trPr>
          <w:trHeight w:val="137"/>
        </w:trPr>
        <w:tc>
          <w:tcPr>
            <w:tcW w:w="0" w:type="auto"/>
            <w:vMerge/>
            <w:shd w:val="clear" w:color="auto" w:fill="E5DFEC" w:themeFill="accent4" w:themeFillTint="33"/>
          </w:tcPr>
          <w:p w:rsidR="00E71DB2" w:rsidRPr="00AA65ED" w:rsidRDefault="00E71DB2" w:rsidP="00E71DB2">
            <w:pPr>
              <w:spacing w:line="360" w:lineRule="auto"/>
              <w:jc w:val="center"/>
              <w:rPr>
                <w:b/>
                <w:color w:val="5F497A" w:themeColor="accent4" w:themeShade="BF"/>
              </w:rPr>
            </w:pPr>
          </w:p>
        </w:tc>
        <w:tc>
          <w:tcPr>
            <w:tcW w:w="0" w:type="auto"/>
            <w:shd w:val="clear" w:color="auto" w:fill="E5DFEC" w:themeFill="accent4" w:themeFillTint="33"/>
          </w:tcPr>
          <w:p w:rsidR="00E71DB2" w:rsidRPr="00AA65ED" w:rsidRDefault="00E71DB2" w:rsidP="00E71DB2">
            <w:pPr>
              <w:spacing w:line="360" w:lineRule="auto"/>
              <w:jc w:val="center"/>
              <w:rPr>
                <w:b/>
                <w:color w:val="5F497A" w:themeColor="accent4" w:themeShade="BF"/>
              </w:rPr>
            </w:pPr>
            <w:r w:rsidRPr="00AA65ED">
              <w:rPr>
                <w:b/>
                <w:color w:val="5F497A" w:themeColor="accent4" w:themeShade="BF"/>
              </w:rPr>
              <w:t>LAS</w:t>
            </w:r>
          </w:p>
        </w:tc>
        <w:tc>
          <w:tcPr>
            <w:tcW w:w="0" w:type="auto"/>
            <w:shd w:val="clear" w:color="auto" w:fill="E5DFEC" w:themeFill="accent4" w:themeFillTint="33"/>
          </w:tcPr>
          <w:p w:rsidR="00E71DB2" w:rsidRPr="00AA65ED" w:rsidRDefault="00E71DB2" w:rsidP="00E71DB2">
            <w:pPr>
              <w:spacing w:line="360" w:lineRule="auto"/>
              <w:jc w:val="center"/>
              <w:rPr>
                <w:b/>
                <w:color w:val="5F497A" w:themeColor="accent4" w:themeShade="BF"/>
              </w:rPr>
            </w:pPr>
            <w:r w:rsidRPr="00AA65ED">
              <w:rPr>
                <w:b/>
                <w:color w:val="5F497A" w:themeColor="accent4" w:themeShade="BF"/>
              </w:rPr>
              <w:t>LOS</w:t>
            </w:r>
          </w:p>
        </w:tc>
      </w:tr>
      <w:tr w:rsidR="00E71DB2" w:rsidRPr="002276DE" w:rsidTr="00AA65ED">
        <w:trPr>
          <w:trHeight w:val="383"/>
        </w:trPr>
        <w:tc>
          <w:tcPr>
            <w:tcW w:w="0" w:type="auto"/>
          </w:tcPr>
          <w:p w:rsidR="00E71DB2" w:rsidRPr="002276DE" w:rsidRDefault="00E71DB2" w:rsidP="00E71DB2">
            <w:pPr>
              <w:spacing w:line="360" w:lineRule="auto"/>
              <w:jc w:val="both"/>
            </w:pPr>
            <w:r w:rsidRPr="002276DE">
              <w:t>Para mantener contacto frecuentemente</w:t>
            </w:r>
          </w:p>
        </w:tc>
        <w:tc>
          <w:tcPr>
            <w:tcW w:w="0" w:type="auto"/>
          </w:tcPr>
          <w:p w:rsidR="00E71DB2" w:rsidRPr="002276DE" w:rsidRDefault="00E71DB2" w:rsidP="00E71DB2">
            <w:pPr>
              <w:spacing w:line="360" w:lineRule="auto"/>
              <w:jc w:val="both"/>
            </w:pPr>
            <w:r w:rsidRPr="002276DE">
              <w:t xml:space="preserve">77.9%  </w:t>
            </w:r>
          </w:p>
        </w:tc>
        <w:tc>
          <w:tcPr>
            <w:tcW w:w="0" w:type="auto"/>
          </w:tcPr>
          <w:p w:rsidR="00E71DB2" w:rsidRPr="002276DE" w:rsidRDefault="00E71DB2" w:rsidP="00E71DB2">
            <w:pPr>
              <w:spacing w:line="360" w:lineRule="auto"/>
              <w:jc w:val="both"/>
            </w:pPr>
            <w:r w:rsidRPr="002276DE">
              <w:t>69.9%</w:t>
            </w:r>
          </w:p>
        </w:tc>
      </w:tr>
      <w:tr w:rsidR="00E71DB2" w:rsidRPr="002276DE" w:rsidTr="00AA65ED">
        <w:trPr>
          <w:trHeight w:val="367"/>
        </w:trPr>
        <w:tc>
          <w:tcPr>
            <w:tcW w:w="0" w:type="auto"/>
          </w:tcPr>
          <w:p w:rsidR="00E71DB2" w:rsidRPr="002276DE" w:rsidRDefault="00E71DB2" w:rsidP="00E71DB2">
            <w:pPr>
              <w:spacing w:line="360" w:lineRule="auto"/>
              <w:jc w:val="both"/>
            </w:pPr>
            <w:r w:rsidRPr="002276DE">
              <w:t>Compartir fotos y ver otras fotos</w:t>
            </w:r>
          </w:p>
        </w:tc>
        <w:tc>
          <w:tcPr>
            <w:tcW w:w="0" w:type="auto"/>
          </w:tcPr>
          <w:p w:rsidR="00E71DB2" w:rsidRPr="002276DE" w:rsidRDefault="00E71DB2" w:rsidP="00E71DB2">
            <w:pPr>
              <w:spacing w:line="360" w:lineRule="auto"/>
              <w:jc w:val="both"/>
            </w:pPr>
            <w:r w:rsidRPr="002276DE">
              <w:t>55.2%</w:t>
            </w:r>
          </w:p>
        </w:tc>
        <w:tc>
          <w:tcPr>
            <w:tcW w:w="0" w:type="auto"/>
          </w:tcPr>
          <w:p w:rsidR="00E71DB2" w:rsidRPr="002276DE" w:rsidRDefault="00E71DB2" w:rsidP="00E71DB2">
            <w:pPr>
              <w:spacing w:line="360" w:lineRule="auto"/>
              <w:jc w:val="both"/>
            </w:pPr>
            <w:r w:rsidRPr="002276DE">
              <w:t>47.8%</w:t>
            </w:r>
          </w:p>
        </w:tc>
      </w:tr>
      <w:tr w:rsidR="00E71DB2" w:rsidRPr="002276DE" w:rsidTr="00AA65ED">
        <w:trPr>
          <w:trHeight w:val="383"/>
        </w:trPr>
        <w:tc>
          <w:tcPr>
            <w:tcW w:w="0" w:type="auto"/>
          </w:tcPr>
          <w:p w:rsidR="00E71DB2" w:rsidRPr="002276DE" w:rsidRDefault="00E71DB2" w:rsidP="00E71DB2">
            <w:pPr>
              <w:spacing w:line="360" w:lineRule="auto"/>
              <w:jc w:val="both"/>
            </w:pPr>
            <w:r w:rsidRPr="002276DE">
              <w:t>Cotillear</w:t>
            </w:r>
          </w:p>
        </w:tc>
        <w:tc>
          <w:tcPr>
            <w:tcW w:w="0" w:type="auto"/>
          </w:tcPr>
          <w:p w:rsidR="00E71DB2" w:rsidRPr="002276DE" w:rsidRDefault="00E71DB2" w:rsidP="00E71DB2">
            <w:pPr>
              <w:spacing w:line="360" w:lineRule="auto"/>
              <w:jc w:val="both"/>
            </w:pPr>
            <w:r w:rsidRPr="002276DE">
              <w:t>41.7%</w:t>
            </w:r>
          </w:p>
        </w:tc>
        <w:tc>
          <w:tcPr>
            <w:tcW w:w="0" w:type="auto"/>
          </w:tcPr>
          <w:p w:rsidR="00E71DB2" w:rsidRPr="002276DE" w:rsidRDefault="00E71DB2" w:rsidP="00E71DB2">
            <w:pPr>
              <w:spacing w:line="360" w:lineRule="auto"/>
              <w:jc w:val="both"/>
            </w:pPr>
            <w:r w:rsidRPr="002276DE">
              <w:t>35.2%</w:t>
            </w:r>
          </w:p>
        </w:tc>
      </w:tr>
      <w:tr w:rsidR="00E71DB2" w:rsidRPr="002276DE" w:rsidTr="00AA65ED">
        <w:trPr>
          <w:trHeight w:val="383"/>
        </w:trPr>
        <w:tc>
          <w:tcPr>
            <w:tcW w:w="0" w:type="auto"/>
          </w:tcPr>
          <w:p w:rsidR="00E71DB2" w:rsidRPr="002276DE" w:rsidRDefault="00E71DB2" w:rsidP="00E71DB2">
            <w:pPr>
              <w:spacing w:line="360" w:lineRule="auto"/>
              <w:jc w:val="both"/>
            </w:pPr>
            <w:r w:rsidRPr="002276DE">
              <w:t>Para hacer nuevas amigas y nuevos amigos</w:t>
            </w:r>
          </w:p>
        </w:tc>
        <w:tc>
          <w:tcPr>
            <w:tcW w:w="0" w:type="auto"/>
          </w:tcPr>
          <w:p w:rsidR="00E71DB2" w:rsidRPr="002276DE" w:rsidRDefault="00E71DB2" w:rsidP="00E71DB2">
            <w:pPr>
              <w:spacing w:line="360" w:lineRule="auto"/>
              <w:jc w:val="both"/>
            </w:pPr>
            <w:r w:rsidRPr="002276DE">
              <w:t>15.4%</w:t>
            </w:r>
          </w:p>
        </w:tc>
        <w:tc>
          <w:tcPr>
            <w:tcW w:w="0" w:type="auto"/>
          </w:tcPr>
          <w:p w:rsidR="00E71DB2" w:rsidRPr="002276DE" w:rsidRDefault="00E71DB2" w:rsidP="00E71DB2">
            <w:pPr>
              <w:spacing w:line="360" w:lineRule="auto"/>
              <w:jc w:val="both"/>
            </w:pPr>
            <w:r w:rsidRPr="002276DE">
              <w:t>21.4%</w:t>
            </w:r>
          </w:p>
        </w:tc>
      </w:tr>
      <w:tr w:rsidR="00E71DB2" w:rsidRPr="002276DE" w:rsidTr="00AA65ED">
        <w:trPr>
          <w:trHeight w:val="367"/>
        </w:trPr>
        <w:tc>
          <w:tcPr>
            <w:tcW w:w="0" w:type="auto"/>
          </w:tcPr>
          <w:p w:rsidR="00E71DB2" w:rsidRPr="002276DE" w:rsidRDefault="00E71DB2" w:rsidP="00E71DB2">
            <w:pPr>
              <w:spacing w:line="360" w:lineRule="auto"/>
              <w:jc w:val="both"/>
            </w:pPr>
            <w:r w:rsidRPr="002276DE">
              <w:t>Estar al día de la información</w:t>
            </w:r>
          </w:p>
        </w:tc>
        <w:tc>
          <w:tcPr>
            <w:tcW w:w="0" w:type="auto"/>
          </w:tcPr>
          <w:p w:rsidR="00E71DB2" w:rsidRPr="002276DE" w:rsidRDefault="00E71DB2" w:rsidP="00E71DB2">
            <w:pPr>
              <w:spacing w:line="360" w:lineRule="auto"/>
              <w:jc w:val="both"/>
            </w:pPr>
            <w:r w:rsidRPr="002276DE">
              <w:t>22%</w:t>
            </w:r>
          </w:p>
        </w:tc>
        <w:tc>
          <w:tcPr>
            <w:tcW w:w="0" w:type="auto"/>
          </w:tcPr>
          <w:p w:rsidR="00E71DB2" w:rsidRPr="002276DE" w:rsidRDefault="00E71DB2" w:rsidP="00E71DB2">
            <w:pPr>
              <w:spacing w:line="360" w:lineRule="auto"/>
              <w:jc w:val="both"/>
            </w:pPr>
            <w:r w:rsidRPr="002276DE">
              <w:t>23.1%</w:t>
            </w:r>
          </w:p>
        </w:tc>
      </w:tr>
      <w:tr w:rsidR="00E71DB2" w:rsidRPr="002276DE" w:rsidTr="00AA65ED">
        <w:trPr>
          <w:trHeight w:val="383"/>
        </w:trPr>
        <w:tc>
          <w:tcPr>
            <w:tcW w:w="0" w:type="auto"/>
          </w:tcPr>
          <w:p w:rsidR="00E71DB2" w:rsidRPr="002276DE" w:rsidRDefault="00E71DB2" w:rsidP="00E71DB2">
            <w:pPr>
              <w:spacing w:line="360" w:lineRule="auto"/>
              <w:jc w:val="both"/>
            </w:pPr>
            <w:r w:rsidRPr="002276DE">
              <w:t>Divertirse, entretenerse, pasar el rato</w:t>
            </w:r>
          </w:p>
        </w:tc>
        <w:tc>
          <w:tcPr>
            <w:tcW w:w="0" w:type="auto"/>
          </w:tcPr>
          <w:p w:rsidR="00E71DB2" w:rsidRPr="002276DE" w:rsidRDefault="00E71DB2" w:rsidP="00E71DB2">
            <w:pPr>
              <w:spacing w:line="360" w:lineRule="auto"/>
              <w:jc w:val="both"/>
            </w:pPr>
            <w:r w:rsidRPr="002276DE">
              <w:t>24.9%</w:t>
            </w:r>
          </w:p>
        </w:tc>
        <w:tc>
          <w:tcPr>
            <w:tcW w:w="0" w:type="auto"/>
          </w:tcPr>
          <w:p w:rsidR="00E71DB2" w:rsidRPr="002276DE" w:rsidRDefault="00E71DB2" w:rsidP="00E71DB2">
            <w:pPr>
              <w:spacing w:line="360" w:lineRule="auto"/>
              <w:jc w:val="both"/>
            </w:pPr>
            <w:r w:rsidRPr="002276DE">
              <w:t>28.4%</w:t>
            </w:r>
          </w:p>
        </w:tc>
      </w:tr>
      <w:tr w:rsidR="00E71DB2" w:rsidRPr="002276DE" w:rsidTr="00AA65ED">
        <w:trPr>
          <w:trHeight w:val="383"/>
        </w:trPr>
        <w:tc>
          <w:tcPr>
            <w:tcW w:w="0" w:type="auto"/>
          </w:tcPr>
          <w:p w:rsidR="00E71DB2" w:rsidRPr="002276DE" w:rsidRDefault="00E71DB2" w:rsidP="00E71DB2">
            <w:pPr>
              <w:spacing w:line="360" w:lineRule="auto"/>
              <w:jc w:val="both"/>
            </w:pPr>
            <w:r w:rsidRPr="002276DE">
              <w:t>Ligar</w:t>
            </w:r>
          </w:p>
        </w:tc>
        <w:tc>
          <w:tcPr>
            <w:tcW w:w="0" w:type="auto"/>
          </w:tcPr>
          <w:p w:rsidR="00E71DB2" w:rsidRPr="002276DE" w:rsidRDefault="00E71DB2" w:rsidP="00E71DB2">
            <w:pPr>
              <w:spacing w:line="360" w:lineRule="auto"/>
              <w:jc w:val="both"/>
            </w:pPr>
            <w:r w:rsidRPr="002276DE">
              <w:t>6.5%</w:t>
            </w:r>
          </w:p>
        </w:tc>
        <w:tc>
          <w:tcPr>
            <w:tcW w:w="0" w:type="auto"/>
          </w:tcPr>
          <w:p w:rsidR="00E71DB2" w:rsidRPr="002276DE" w:rsidRDefault="00E71DB2" w:rsidP="00E71DB2">
            <w:pPr>
              <w:spacing w:line="360" w:lineRule="auto"/>
              <w:jc w:val="both"/>
            </w:pPr>
            <w:r w:rsidRPr="002276DE">
              <w:t>11.7%</w:t>
            </w:r>
          </w:p>
        </w:tc>
      </w:tr>
      <w:tr w:rsidR="00E71DB2" w:rsidRPr="002276DE" w:rsidTr="00AA65ED">
        <w:trPr>
          <w:trHeight w:val="383"/>
        </w:trPr>
        <w:tc>
          <w:tcPr>
            <w:tcW w:w="0" w:type="auto"/>
          </w:tcPr>
          <w:p w:rsidR="00E71DB2" w:rsidRPr="002276DE" w:rsidRDefault="00E71DB2" w:rsidP="00E71DB2">
            <w:pPr>
              <w:spacing w:line="360" w:lineRule="auto"/>
              <w:jc w:val="both"/>
            </w:pPr>
            <w:r w:rsidRPr="002276DE">
              <w:t>Comunicar los últimos actividades, planes</w:t>
            </w:r>
          </w:p>
        </w:tc>
        <w:tc>
          <w:tcPr>
            <w:tcW w:w="0" w:type="auto"/>
          </w:tcPr>
          <w:p w:rsidR="00E71DB2" w:rsidRPr="002276DE" w:rsidRDefault="00E71DB2" w:rsidP="00E71DB2">
            <w:pPr>
              <w:spacing w:line="360" w:lineRule="auto"/>
              <w:jc w:val="both"/>
            </w:pPr>
            <w:r w:rsidRPr="002276DE">
              <w:t>8.4%</w:t>
            </w:r>
          </w:p>
        </w:tc>
        <w:tc>
          <w:tcPr>
            <w:tcW w:w="0" w:type="auto"/>
          </w:tcPr>
          <w:p w:rsidR="00E71DB2" w:rsidRPr="002276DE" w:rsidRDefault="00E71DB2" w:rsidP="00E71DB2">
            <w:pPr>
              <w:spacing w:line="360" w:lineRule="auto"/>
              <w:jc w:val="both"/>
            </w:pPr>
            <w:r w:rsidRPr="002276DE">
              <w:t>8%</w:t>
            </w:r>
          </w:p>
        </w:tc>
      </w:tr>
    </w:tbl>
    <w:p w:rsidR="00E71DB2" w:rsidRPr="00AA65ED" w:rsidRDefault="00E71DB2" w:rsidP="00E71DB2">
      <w:pPr>
        <w:spacing w:line="360" w:lineRule="auto"/>
        <w:jc w:val="both"/>
        <w:rPr>
          <w:sz w:val="20"/>
          <w:szCs w:val="20"/>
        </w:rPr>
      </w:pPr>
      <w:r w:rsidRPr="00AA65ED">
        <w:rPr>
          <w:sz w:val="20"/>
          <w:szCs w:val="20"/>
        </w:rPr>
        <w:t>Fuente: Elaborado a partir INJUVE (2011:13)</w:t>
      </w:r>
    </w:p>
    <w:p w:rsidR="00E71DB2" w:rsidRPr="000436A6" w:rsidRDefault="00E71DB2" w:rsidP="00E71DB2">
      <w:pPr>
        <w:spacing w:line="360" w:lineRule="auto"/>
        <w:jc w:val="both"/>
      </w:pPr>
      <w:r w:rsidRPr="000436A6">
        <w:t>Por tanto basándonos en estos resultados, y en el estudio realizado por el Gobierno Vasco (2013), las que realizan un uso más frecuente, aunque levemente, de las redes sociales son las chicas, y con fines muy asociados a su género:</w:t>
      </w:r>
      <w:r>
        <w:t xml:space="preserve"> “</w:t>
      </w:r>
      <w:r w:rsidRPr="000436A6">
        <w:t>cotillear</w:t>
      </w:r>
      <w:r>
        <w:t>”</w:t>
      </w:r>
      <w:r w:rsidRPr="000436A6">
        <w:t>, comunicarse, “e</w:t>
      </w:r>
      <w:r>
        <w:t xml:space="preserve">star al día en la vida social”, sacarse fotos… </w:t>
      </w:r>
      <w:r w:rsidRPr="000436A6">
        <w:t>(</w:t>
      </w:r>
      <w:r w:rsidR="004E73F4" w:rsidRPr="000436A6">
        <w:t>Como</w:t>
      </w:r>
      <w:r w:rsidRPr="000436A6">
        <w:t xml:space="preserve"> vemos en las únicas acciones que son más los chicos es en ligar, divertirse, y hacer nuevas amigas y amigos).</w:t>
      </w:r>
    </w:p>
    <w:p w:rsidR="00E71DB2" w:rsidRPr="000436A6" w:rsidRDefault="00E71DB2" w:rsidP="00E71DB2">
      <w:pPr>
        <w:spacing w:line="360" w:lineRule="auto"/>
        <w:jc w:val="both"/>
      </w:pPr>
      <w:r w:rsidRPr="000436A6">
        <w:t xml:space="preserve">Por otra parte, y situación que no recoge el estudio elaborado por INJUVE (2011), pero que el estudio elaborado por Gobierno Vasco (2013) </w:t>
      </w:r>
      <w:r>
        <w:t>nos aporta</w:t>
      </w:r>
      <w:r w:rsidR="00137DAF">
        <w:t>,</w:t>
      </w:r>
      <w:r w:rsidRPr="000436A6">
        <w:t xml:space="preserve"> es que las chicas utilizan este medio de relación para exponer sus sentimientos y vivenc</w:t>
      </w:r>
      <w:r w:rsidR="00137DAF">
        <w:t xml:space="preserve">ias, chatean con sus amigas, y </w:t>
      </w:r>
      <w:r>
        <w:t xml:space="preserve">en las </w:t>
      </w:r>
      <w:r w:rsidRPr="000436A6">
        <w:t>discu</w:t>
      </w:r>
      <w:r>
        <w:t>siones</w:t>
      </w:r>
      <w:r w:rsidRPr="000436A6">
        <w:t xml:space="preserve"> con </w:t>
      </w:r>
      <w:r>
        <w:t xml:space="preserve">las </w:t>
      </w:r>
      <w:r w:rsidRPr="000436A6">
        <w:t xml:space="preserve">parejas, ellas exponen bastante más que los </w:t>
      </w:r>
      <w:r>
        <w:t>ello</w:t>
      </w:r>
      <w:r w:rsidRPr="000436A6">
        <w:t xml:space="preserve">s los problemas que han tenido. </w:t>
      </w:r>
    </w:p>
    <w:p w:rsidR="00E71DB2" w:rsidRPr="00040CB6" w:rsidRDefault="00E71DB2" w:rsidP="00E71DB2">
      <w:pPr>
        <w:spacing w:line="360" w:lineRule="auto"/>
        <w:jc w:val="both"/>
        <w:rPr>
          <w:highlight w:val="yellow"/>
        </w:rPr>
      </w:pPr>
      <w:r>
        <w:t>O</w:t>
      </w:r>
      <w:r w:rsidRPr="00A35554">
        <w:t xml:space="preserve">tra de las diferencias que nos gustaría remarcar en esta cultura de la simulación y la imagen, </w:t>
      </w:r>
      <w:r w:rsidR="00137DAF">
        <w:t>es que las adolescentes exponen mucho</w:t>
      </w:r>
      <w:r w:rsidRPr="00A35554">
        <w:t xml:space="preserve"> más su</w:t>
      </w:r>
      <w:r w:rsidR="00137DAF">
        <w:t>s</w:t>
      </w:r>
      <w:r w:rsidRPr="00A35554">
        <w:t xml:space="preserve"> cuerpo</w:t>
      </w:r>
      <w:r w:rsidR="00137DAF">
        <w:t>s</w:t>
      </w:r>
      <w:r w:rsidRPr="00A35554">
        <w:t>, que los adolescentes (Gobierno Vasco, 2013). Las chicas suben más “autofotos” a estas redes sociales, para que la</w:t>
      </w:r>
      <w:r w:rsidR="00137DAF">
        <w:t xml:space="preserve">s den a “me gusta”. </w:t>
      </w:r>
      <w:r w:rsidRPr="00040CB6">
        <w:t>Ruiz (2014)</w:t>
      </w:r>
      <w:r w:rsidR="00137DAF">
        <w:t>, al hilo de lo comentado, cuenta</w:t>
      </w:r>
      <w:r w:rsidRPr="00040CB6">
        <w:t xml:space="preserve"> que en la lucha por las audiencias, las chicas y los chicos </w:t>
      </w:r>
      <w:r>
        <w:t>buscan diferentes popularidades. M</w:t>
      </w:r>
      <w:r w:rsidRPr="00040CB6">
        <w:t>ientras que ellas buscan la popularidad a través del físico, el ser guapa, y el atractivo, ellos buscan la fortaleza y la conquista amorosa. Tal y como señala Ruiz (2014:36): “</w:t>
      </w:r>
      <w:r w:rsidRPr="00040CB6">
        <w:rPr>
          <w:rFonts w:cs="OpenSans"/>
        </w:rPr>
        <w:t>Sin embargo, en esta presentación,</w:t>
      </w:r>
      <w:r w:rsidRPr="00040CB6">
        <w:t xml:space="preserve"> </w:t>
      </w:r>
      <w:r w:rsidRPr="00040CB6">
        <w:rPr>
          <w:rFonts w:cs="OpenSans"/>
        </w:rPr>
        <w:t xml:space="preserve">la corporalidad, la </w:t>
      </w:r>
      <w:r w:rsidRPr="00040CB6">
        <w:rPr>
          <w:rFonts w:cs="OpenSans"/>
        </w:rPr>
        <w:lastRenderedPageBreak/>
        <w:t>imagen, los modelos</w:t>
      </w:r>
      <w:r w:rsidRPr="00040CB6">
        <w:t xml:space="preserve"> </w:t>
      </w:r>
      <w:r w:rsidRPr="00040CB6">
        <w:rPr>
          <w:rFonts w:cs="OpenSans"/>
        </w:rPr>
        <w:t>de presentación y representación que se</w:t>
      </w:r>
      <w:r w:rsidRPr="00040CB6">
        <w:t xml:space="preserve"> </w:t>
      </w:r>
      <w:r w:rsidRPr="00040CB6">
        <w:rPr>
          <w:rFonts w:cs="OpenSans"/>
        </w:rPr>
        <w:t>muestran, no están exentos de asimetrías</w:t>
      </w:r>
      <w:r w:rsidRPr="00040CB6">
        <w:t xml:space="preserve"> </w:t>
      </w:r>
      <w:r w:rsidRPr="00040CB6">
        <w:rPr>
          <w:rFonts w:cs="OpenSans"/>
        </w:rPr>
        <w:t>de género”. De este modo, la imagen en las redes sociales y las personas adolecentes serán vehículos de comunicación que responden a los cánones hegemónicos y estereotipados. Ellas tendrán que parecer duces y recatadas, que a la vez atractivas, y ellos en cambio “machos”.</w:t>
      </w:r>
      <w:r w:rsidRPr="00040CB6">
        <w:rPr>
          <w:rFonts w:ascii="OpenSans" w:hAnsi="OpenSans" w:cs="OpenSans"/>
          <w:sz w:val="19"/>
          <w:szCs w:val="19"/>
        </w:rPr>
        <w:t xml:space="preserve"> </w:t>
      </w:r>
    </w:p>
    <w:p w:rsidR="00E71DB2" w:rsidRPr="00A01BE2" w:rsidRDefault="00E71DB2" w:rsidP="00E71DB2">
      <w:pPr>
        <w:spacing w:line="360" w:lineRule="auto"/>
        <w:jc w:val="both"/>
      </w:pPr>
      <w:r w:rsidRPr="00A01BE2">
        <w:t>Ellos, en cambio, como señala Gobierno Vasco (2013) las redes sociales tendrían un carácter más instrumental, y en algunas ocasiones lo utilizarían para ligar o establecer nuevas relaciones. Además, en los grupos discusión que se llevaron a</w:t>
      </w:r>
      <w:r>
        <w:t xml:space="preserve"> </w:t>
      </w:r>
      <w:r w:rsidRPr="00A01BE2">
        <w:t xml:space="preserve">cabo para esta investigación, algunos adolescentes comentaron que llegaban a meterse en los perfiles de chicas para admirarlas y contemplar las fotos de las chicas que más les gustaba. </w:t>
      </w:r>
    </w:p>
    <w:p w:rsidR="00E71DB2" w:rsidRPr="0088615D" w:rsidRDefault="00E71DB2" w:rsidP="00E71DB2">
      <w:pPr>
        <w:spacing w:line="360" w:lineRule="auto"/>
        <w:jc w:val="both"/>
      </w:pPr>
      <w:r w:rsidRPr="00A01BE2">
        <w:t>Las redes sociales se convierten de esta manera en un escaparate de los cuerpos masculinos y femeninos, y se catalogan los roles perfectamente</w:t>
      </w:r>
      <w:r>
        <w:t xml:space="preserve"> según el uso que realicen, las relaciones amorosas se transforman</w:t>
      </w:r>
      <w:r w:rsidRPr="00A01BE2">
        <w:t>, la intimidad se convierte en publica, y los cuerpos de la</w:t>
      </w:r>
      <w:r>
        <w:t>s mujeres como objetos. Así el e</w:t>
      </w:r>
      <w:r w:rsidRPr="00A01BE2">
        <w:t xml:space="preserve">studio </w:t>
      </w:r>
      <w:r>
        <w:t xml:space="preserve">de Gobierno Vasco (2013) </w:t>
      </w:r>
      <w:r w:rsidRPr="00A01BE2">
        <w:t>observa que las redes sociales han servido para crear modelos descriptivos del género.</w:t>
      </w:r>
    </w:p>
    <w:p w:rsidR="00E71DB2" w:rsidRPr="00695B81" w:rsidRDefault="00695B81" w:rsidP="00695B81">
      <w:pPr>
        <w:pStyle w:val="Prrafodelista"/>
        <w:spacing w:line="360" w:lineRule="auto"/>
        <w:jc w:val="both"/>
        <w:rPr>
          <w:b/>
        </w:rPr>
      </w:pPr>
      <w:r w:rsidRPr="00695B81">
        <w:rPr>
          <w:b/>
        </w:rPr>
        <w:t>2.3 Las páginas web, espacios de violencia simbólica</w:t>
      </w:r>
    </w:p>
    <w:p w:rsidR="00E71DB2" w:rsidRDefault="00E71DB2" w:rsidP="00E71DB2">
      <w:pPr>
        <w:spacing w:line="360" w:lineRule="auto"/>
        <w:jc w:val="both"/>
      </w:pPr>
      <w:r>
        <w:t xml:space="preserve">El tercer canal que nos gustaría describir, si </w:t>
      </w:r>
      <w:r w:rsidR="002F640F">
        <w:t xml:space="preserve">bien los dos anteriores en este trabajo </w:t>
      </w:r>
      <w:r>
        <w:t xml:space="preserve">tendrán más peso que este, son las páginas web. </w:t>
      </w:r>
      <w:r w:rsidR="00137DAF">
        <w:t>D</w:t>
      </w:r>
      <w:r w:rsidRPr="0088615D">
        <w:t>entro de la Red coinciden todo tipo de recursos, páginas Web, directorios temáticos, webs institucionales, publicaciones… Gracias a Internet se construyen herramientas a nivel individual</w:t>
      </w:r>
      <w:r>
        <w:t xml:space="preserve"> </w:t>
      </w:r>
      <w:r w:rsidRPr="0088615D">
        <w:t xml:space="preserve">y colectivo. </w:t>
      </w:r>
      <w:r>
        <w:t xml:space="preserve">Internet se describe por su ambivalencia, y se configura como un </w:t>
      </w:r>
      <w:r w:rsidR="00137DAF">
        <w:t>territorio</w:t>
      </w:r>
      <w:r>
        <w:t xml:space="preserve"> donde podemos en</w:t>
      </w:r>
      <w:r w:rsidR="00137DAF">
        <w:t xml:space="preserve">contrar infinidad de recursos para el </w:t>
      </w:r>
      <w:r w:rsidRPr="0088615D">
        <w:t>empoderamiento de la mujer, donde cada vez son más mujeres, por el cual se comunican e interactúan generando redes</w:t>
      </w:r>
      <w:r>
        <w:t xml:space="preserve">. </w:t>
      </w:r>
    </w:p>
    <w:p w:rsidR="00E71DB2" w:rsidRDefault="00E71DB2" w:rsidP="00E71DB2">
      <w:pPr>
        <w:spacing w:line="360" w:lineRule="auto"/>
        <w:jc w:val="both"/>
      </w:pPr>
      <w:r>
        <w:t xml:space="preserve">Pero esta </w:t>
      </w:r>
      <w:r w:rsidR="00137DAF">
        <w:t>idea</w:t>
      </w:r>
      <w:r>
        <w:t xml:space="preserve"> de Internet como</w:t>
      </w:r>
      <w:r w:rsidRPr="0088615D">
        <w:t xml:space="preserve"> “aldea global”</w:t>
      </w:r>
      <w:r>
        <w:t xml:space="preserve"> no es tan idílica como nos gustaría que fuera, y encontramos otros espacios donde las personas adolescentes interactúan que están plagados de espejismos sexistas y guiños al patriarcado.</w:t>
      </w:r>
      <w:r w:rsidRPr="00305CF8">
        <w:t xml:space="preserve"> </w:t>
      </w:r>
      <w:r>
        <w:t xml:space="preserve">Lo que </w:t>
      </w:r>
      <w:r w:rsidRPr="0088615D">
        <w:t xml:space="preserve">ha posibilitado que se creen una serie de contenidos webs sexistas y con alta carga de violencia </w:t>
      </w:r>
      <w:r>
        <w:t xml:space="preserve">contra las mujeres. </w:t>
      </w:r>
    </w:p>
    <w:p w:rsidR="00E71DB2" w:rsidRPr="008E2226" w:rsidRDefault="00E71DB2" w:rsidP="00E71DB2">
      <w:pPr>
        <w:spacing w:line="360" w:lineRule="auto"/>
        <w:jc w:val="both"/>
      </w:pPr>
      <w:r>
        <w:t xml:space="preserve">Fundación CTIC (2008) realiza un estudio sobre el contenido sexista de las páginas Web y como </w:t>
      </w:r>
      <w:r w:rsidRPr="008E2226">
        <w:t>principales señala que las mujeres en las páginas Webs tienen como tres perfiles, el primero y el más común que es como mujer objeto, el segundo como mujer profesional, y el tercero aquella mujer que se vincula más a un estereotipo feminista o mujer más luchadora.</w:t>
      </w:r>
    </w:p>
    <w:p w:rsidR="00E71DB2" w:rsidRDefault="00E71DB2" w:rsidP="00137DAF">
      <w:pPr>
        <w:spacing w:line="360" w:lineRule="auto"/>
        <w:jc w:val="both"/>
      </w:pPr>
      <w:r w:rsidRPr="008E2226">
        <w:lastRenderedPageBreak/>
        <w:t>La autora Rubio</w:t>
      </w:r>
      <w:r w:rsidR="008E2226" w:rsidRPr="008E2226">
        <w:t xml:space="preserve"> (2003)</w:t>
      </w:r>
      <w:r w:rsidRPr="008E2226">
        <w:t xml:space="preserve"> coincide con que dentro de Internet se estructuran perfiles distintos de </w:t>
      </w:r>
      <w:r w:rsidR="00137DAF" w:rsidRPr="008E2226">
        <w:t xml:space="preserve">mujeres, </w:t>
      </w:r>
      <w:r w:rsidR="008E2226">
        <w:t xml:space="preserve">y diferencia perfiles como: </w:t>
      </w:r>
      <w:r w:rsidR="00137DAF" w:rsidRPr="008E2226">
        <w:t>mujeres creadas por mujeres (mujeres alterativas, y que normalmente las encontra</w:t>
      </w:r>
      <w:r w:rsidR="008E2226">
        <w:t>mos en los portales feministas sobre todo)</w:t>
      </w:r>
      <w:r w:rsidR="00137DAF" w:rsidRPr="008E2226">
        <w:t>, mujeres creadas</w:t>
      </w:r>
      <w:r w:rsidR="00137DAF">
        <w:t xml:space="preserve"> para las necesidades masculinas</w:t>
      </w:r>
      <w:r w:rsidR="008E2226">
        <w:t xml:space="preserve"> (son las más comunes y aparecen muy a menudo en los portales masculinos)</w:t>
      </w:r>
      <w:r w:rsidR="00137DAF">
        <w:t xml:space="preserve">, y mujeres </w:t>
      </w:r>
      <w:r w:rsidR="008E2226">
        <w:t xml:space="preserve">creadas para mujeres (son aquellos perfiles estereotipados de mujeres que suelen aparecer en plataformas electrónicas con un contenido estereotipado). </w:t>
      </w:r>
    </w:p>
    <w:p w:rsidR="00E71DB2" w:rsidRDefault="00E71DB2" w:rsidP="00E71DB2">
      <w:pPr>
        <w:spacing w:line="360" w:lineRule="auto"/>
        <w:jc w:val="both"/>
      </w:pPr>
      <w:r>
        <w:t>Además, estas páginas en la gran mayoría se habla en leguaje masculino, y ellos copan las imágenes centrales, diseñando así un diseño web muy androcéntrico, sobre todo en aquellas páginas en las que las temáticas tienen que ver con automoción, videojuegos, deporte,… Mientras aquellas que tienen que ver con la salud, el bienestar, belleza y maternidad ellas son más protagonistas (Fundación CTIC, 2008: 15).</w:t>
      </w:r>
    </w:p>
    <w:p w:rsidR="00E71DB2" w:rsidRDefault="00E71DB2" w:rsidP="00E71DB2">
      <w:pPr>
        <w:spacing w:line="360" w:lineRule="auto"/>
        <w:jc w:val="both"/>
      </w:pPr>
      <w:r>
        <w:t>INTENCO (2009:77) por su parte destaca que existen determinados contenidos nocivos para las personas adolescentes como serían:</w:t>
      </w:r>
    </w:p>
    <w:p w:rsidR="00E71DB2" w:rsidRPr="00B55134" w:rsidRDefault="00E71DB2" w:rsidP="00E71DB2">
      <w:pPr>
        <w:pStyle w:val="Epgrafe"/>
        <w:keepNext/>
        <w:jc w:val="both"/>
        <w:rPr>
          <w:color w:val="auto"/>
          <w:sz w:val="22"/>
          <w:szCs w:val="22"/>
        </w:rPr>
      </w:pPr>
      <w:r w:rsidRPr="00B55134">
        <w:rPr>
          <w:color w:val="auto"/>
          <w:sz w:val="22"/>
          <w:szCs w:val="22"/>
        </w:rPr>
        <w:t xml:space="preserve">Ilustración </w:t>
      </w:r>
      <w:r w:rsidRPr="00B55134">
        <w:rPr>
          <w:color w:val="auto"/>
          <w:sz w:val="22"/>
          <w:szCs w:val="22"/>
        </w:rPr>
        <w:fldChar w:fldCharType="begin"/>
      </w:r>
      <w:r w:rsidRPr="00B55134">
        <w:rPr>
          <w:color w:val="auto"/>
          <w:sz w:val="22"/>
          <w:szCs w:val="22"/>
        </w:rPr>
        <w:instrText xml:space="preserve"> SEQ Ilustración \* ARABIC </w:instrText>
      </w:r>
      <w:r w:rsidRPr="00B55134">
        <w:rPr>
          <w:color w:val="auto"/>
          <w:sz w:val="22"/>
          <w:szCs w:val="22"/>
        </w:rPr>
        <w:fldChar w:fldCharType="separate"/>
      </w:r>
      <w:r w:rsidRPr="00B55134">
        <w:rPr>
          <w:noProof/>
          <w:color w:val="auto"/>
          <w:sz w:val="22"/>
          <w:szCs w:val="22"/>
        </w:rPr>
        <w:t>2</w:t>
      </w:r>
      <w:r w:rsidRPr="00B55134">
        <w:rPr>
          <w:noProof/>
          <w:color w:val="auto"/>
          <w:sz w:val="22"/>
          <w:szCs w:val="22"/>
        </w:rPr>
        <w:fldChar w:fldCharType="end"/>
      </w:r>
      <w:r w:rsidRPr="00B55134">
        <w:rPr>
          <w:color w:val="auto"/>
          <w:sz w:val="22"/>
          <w:szCs w:val="22"/>
        </w:rPr>
        <w:t>. Contenido nocivo o dañino para las personas adolescentes según INTENCO (2009)</w:t>
      </w:r>
    </w:p>
    <w:p w:rsidR="00E71DB2" w:rsidRDefault="00E71DB2" w:rsidP="00E71DB2">
      <w:pPr>
        <w:spacing w:line="360" w:lineRule="auto"/>
        <w:jc w:val="both"/>
      </w:pPr>
      <w:r>
        <w:rPr>
          <w:noProof/>
          <w:lang w:eastAsia="es-ES"/>
        </w:rPr>
        <w:drawing>
          <wp:inline distT="0" distB="0" distL="0" distR="0" wp14:anchorId="1D90F140" wp14:editId="5C83D8A0">
            <wp:extent cx="5379522" cy="1425039"/>
            <wp:effectExtent l="0" t="38100" r="0" b="137160"/>
            <wp:docPr id="11" name="Diagrama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71DB2" w:rsidRPr="006E260E" w:rsidRDefault="00E71DB2" w:rsidP="00E71DB2">
      <w:pPr>
        <w:spacing w:line="360" w:lineRule="auto"/>
        <w:jc w:val="both"/>
        <w:rPr>
          <w:sz w:val="20"/>
          <w:szCs w:val="20"/>
        </w:rPr>
      </w:pPr>
      <w:r w:rsidRPr="006E260E">
        <w:rPr>
          <w:sz w:val="20"/>
          <w:szCs w:val="20"/>
        </w:rPr>
        <w:t>Fuente: Elaborado a partir de INTENCO (2009: 77)</w:t>
      </w:r>
    </w:p>
    <w:p w:rsidR="00137DAF" w:rsidRDefault="00E71DB2" w:rsidP="00E71DB2">
      <w:pPr>
        <w:spacing w:line="360" w:lineRule="auto"/>
        <w:jc w:val="both"/>
      </w:pPr>
      <w:proofErr w:type="spellStart"/>
      <w:r w:rsidRPr="0088615D">
        <w:t>Bortomeu</w:t>
      </w:r>
      <w:proofErr w:type="spellEnd"/>
      <w:r w:rsidRPr="0088615D">
        <w:t xml:space="preserve"> (2011:193)</w:t>
      </w:r>
      <w:r>
        <w:t xml:space="preserve"> explica que estos contenidos señalados</w:t>
      </w:r>
      <w:r w:rsidRPr="0088615D">
        <w:t xml:space="preserve"> </w:t>
      </w:r>
      <w:r>
        <w:t>las pueden encontrar por doquier</w:t>
      </w:r>
      <w:r w:rsidRPr="0088615D">
        <w:t>,</w:t>
      </w:r>
      <w:r>
        <w:t xml:space="preserve"> y que conviven con una sobreexposición del sexismo. </w:t>
      </w:r>
      <w:r w:rsidR="00137DAF">
        <w:t>D</w:t>
      </w:r>
      <w:r w:rsidRPr="0088615D">
        <w:t>e esta manera, el Instituto de la Mujer (2011:117-118) crítica que hoy en día la obscenidad, los abusos sexuales, la violencia sexual, la pornografía… están al alcance de todas y todos debido a la difusión de las TIC-s. Pero todas estas imágenes y videos obscenos están regidos por la satisfacción mascul</w:t>
      </w:r>
      <w:r w:rsidR="00137DAF">
        <w:t>ina.</w:t>
      </w:r>
      <w:r w:rsidR="008E2226">
        <w:t xml:space="preserve"> </w:t>
      </w:r>
    </w:p>
    <w:p w:rsidR="00E71DB2" w:rsidRPr="0088615D" w:rsidRDefault="00E71DB2" w:rsidP="00E71DB2">
      <w:pPr>
        <w:spacing w:line="360" w:lineRule="auto"/>
        <w:jc w:val="both"/>
      </w:pPr>
      <w:r>
        <w:t xml:space="preserve">La tercera brecha digital de género se caracteriza, por tanto por su carácter simbólico. Es un reflejo de las relaciones que mantenemos en la vida real pero traspasada la pantalla del ordenador y el móvil, que sin embargo, a diferencia de lo que nos sucedía antes, queda altamente expuesta. Todas y todos sufrimos una sobreexposición de nuestra intimidad, </w:t>
      </w:r>
      <w:r>
        <w:lastRenderedPageBreak/>
        <w:t xml:space="preserve">estereotipos, y sexismo, y por ende de violencia simbólica. Y en este universo tan dantesco donde los patrones culturales se reproducen, las personas adolescentes intentan buscar algo que parece ser que deben ser. Un “yo” dentro de la pantalla, dibujado y desfigurado al mismo tiempo por el canon social. </w:t>
      </w:r>
    </w:p>
    <w:p w:rsidR="00E71DB2" w:rsidRPr="00695B81" w:rsidRDefault="00695B81" w:rsidP="00695B81">
      <w:pPr>
        <w:pStyle w:val="Prrafodelista"/>
        <w:numPr>
          <w:ilvl w:val="0"/>
          <w:numId w:val="26"/>
        </w:numPr>
        <w:spacing w:line="360" w:lineRule="auto"/>
        <w:jc w:val="both"/>
        <w:rPr>
          <w:b/>
          <w:sz w:val="24"/>
          <w:szCs w:val="24"/>
        </w:rPr>
      </w:pPr>
      <w:r w:rsidRPr="00695B81">
        <w:rPr>
          <w:b/>
          <w:sz w:val="24"/>
          <w:szCs w:val="24"/>
        </w:rPr>
        <w:t>Factores socioculturales y psicosociales de la generación de la tercera brecha digital</w:t>
      </w:r>
    </w:p>
    <w:p w:rsidR="00E71DB2" w:rsidRDefault="00E71DB2" w:rsidP="00E71DB2">
      <w:pPr>
        <w:spacing w:line="360" w:lineRule="auto"/>
        <w:jc w:val="both"/>
      </w:pPr>
      <w:r>
        <w:t>Nos encontramos ante una barrera cultural proveniente del sistema patriarcal, donde la mayo</w:t>
      </w:r>
      <w:r w:rsidR="008E2226">
        <w:t>r desproporción</w:t>
      </w:r>
      <w:r>
        <w:t xml:space="preserve"> </w:t>
      </w:r>
      <w:r w:rsidRPr="00AF1E43">
        <w:t xml:space="preserve">de desigualdad se da en el ocio </w:t>
      </w:r>
      <w:r>
        <w:t xml:space="preserve">y </w:t>
      </w:r>
      <w:r w:rsidRPr="00AF1E43">
        <w:t>el consumo (Castaño, Martín, &amp; Martínez, 2009</w:t>
      </w:r>
      <w:r>
        <w:t>:</w:t>
      </w:r>
      <w:r w:rsidRPr="00AF1E43">
        <w:t xml:space="preserve"> 51)</w:t>
      </w:r>
      <w:r>
        <w:t>.Por tanto, y contando con que esta brecha digital se comienza ahora investigar, e indagar en los factores causantes de esta brecha, no es fácil</w:t>
      </w:r>
      <w:r w:rsidR="008E2226">
        <w:t xml:space="preserve"> realizar un marco teórico al respecto. P</w:t>
      </w:r>
      <w:r>
        <w:t xml:space="preserve">or tanto, recogiendo fuentes “de aquí y de allá”, y con la definición dada de lo que se entiende por tercera brecha digital de género, </w:t>
      </w:r>
      <w:r w:rsidR="008E2226">
        <w:t xml:space="preserve">se ha intentado delimitar los factores que crean esta tercera brecha digital. </w:t>
      </w:r>
    </w:p>
    <w:p w:rsidR="00E71DB2" w:rsidRDefault="00E71DB2" w:rsidP="00E71DB2">
      <w:pPr>
        <w:spacing w:line="360" w:lineRule="auto"/>
        <w:jc w:val="both"/>
      </w:pPr>
      <w:r>
        <w:t>Limitaciones a parte, a continuación se exponen los factores principales que crean la tercera brecha digital de género. De este modo, indagaremos con una visión psicosocial, atendiendo a los factores</w:t>
      </w:r>
      <w:r w:rsidR="008E2226">
        <w:t xml:space="preserve"> socioculturales y psicosociales</w:t>
      </w:r>
      <w:r>
        <w:t xml:space="preserve">, </w:t>
      </w:r>
      <w:r w:rsidR="00A32E10">
        <w:t>donde ambas interaccionan generando lo que se ha denominado “tercera brecha digital”. A continuación se realiza una tabla con el fin de recoger todos estos factores que interaccionan entre sí</w:t>
      </w:r>
      <w:r w:rsidR="00036EC9">
        <w:t>:</w:t>
      </w:r>
    </w:p>
    <w:p w:rsidR="00496F8F" w:rsidRDefault="00496F8F" w:rsidP="00E71DB2">
      <w:pPr>
        <w:spacing w:line="360" w:lineRule="auto"/>
        <w:jc w:val="both"/>
        <w:sectPr w:rsidR="00496F8F">
          <w:pgSz w:w="11906" w:h="16838"/>
          <w:pgMar w:top="1417" w:right="1701" w:bottom="1417" w:left="1701" w:header="708" w:footer="708" w:gutter="0"/>
          <w:cols w:space="708"/>
          <w:docGrid w:linePitch="360"/>
        </w:sectPr>
      </w:pPr>
    </w:p>
    <w:p w:rsidR="00496F8F" w:rsidRDefault="00496F8F" w:rsidP="00E71DB2">
      <w:pPr>
        <w:spacing w:line="360" w:lineRule="auto"/>
        <w:jc w:val="both"/>
      </w:pPr>
    </w:p>
    <w:p w:rsidR="00B55134" w:rsidRPr="00AA65ED" w:rsidRDefault="00B55134" w:rsidP="00B55134">
      <w:pPr>
        <w:pStyle w:val="Epgrafe"/>
        <w:keepNext/>
        <w:rPr>
          <w:color w:val="auto"/>
          <w:sz w:val="22"/>
          <w:szCs w:val="22"/>
        </w:rPr>
      </w:pPr>
      <w:r w:rsidRPr="00AA65ED">
        <w:rPr>
          <w:color w:val="auto"/>
          <w:sz w:val="22"/>
          <w:szCs w:val="22"/>
        </w:rPr>
        <w:t>Tabla</w:t>
      </w:r>
      <w:r w:rsidR="00AA65ED">
        <w:rPr>
          <w:color w:val="auto"/>
          <w:sz w:val="22"/>
          <w:szCs w:val="22"/>
        </w:rPr>
        <w:t xml:space="preserve"> 2</w:t>
      </w:r>
      <w:r w:rsidRPr="00AA65ED">
        <w:rPr>
          <w:color w:val="auto"/>
          <w:sz w:val="22"/>
          <w:szCs w:val="22"/>
        </w:rPr>
        <w:t>. Factores socioculturales y psicosociales de la creación de la tercera brecha digital</w:t>
      </w:r>
    </w:p>
    <w:tbl>
      <w:tblPr>
        <w:tblStyle w:val="Tablaconcuadrcula"/>
        <w:tblW w:w="0" w:type="auto"/>
        <w:tblInd w:w="38" w:type="dxa"/>
        <w:tblBorders>
          <w:top w:val="single" w:sz="24" w:space="0" w:color="403152" w:themeColor="accent4" w:themeShade="80"/>
          <w:left w:val="single" w:sz="24" w:space="0" w:color="403152" w:themeColor="accent4" w:themeShade="80"/>
          <w:bottom w:val="single" w:sz="24" w:space="0" w:color="403152" w:themeColor="accent4" w:themeShade="80"/>
          <w:right w:val="single" w:sz="24" w:space="0" w:color="403152" w:themeColor="accent4" w:themeShade="80"/>
          <w:insideH w:val="single" w:sz="24" w:space="0" w:color="403152" w:themeColor="accent4" w:themeShade="80"/>
          <w:insideV w:val="single" w:sz="24" w:space="0" w:color="403152" w:themeColor="accent4" w:themeShade="80"/>
        </w:tblBorders>
        <w:tblLook w:val="04A0" w:firstRow="1" w:lastRow="0" w:firstColumn="1" w:lastColumn="0" w:noHBand="0" w:noVBand="1"/>
      </w:tblPr>
      <w:tblGrid>
        <w:gridCol w:w="1792"/>
        <w:gridCol w:w="1800"/>
        <w:gridCol w:w="10590"/>
      </w:tblGrid>
      <w:tr w:rsidR="00496F8F" w:rsidTr="00AA65ED">
        <w:tc>
          <w:tcPr>
            <w:tcW w:w="0" w:type="auto"/>
            <w:vMerge w:val="restart"/>
            <w:tcBorders>
              <w:right w:val="single" w:sz="24" w:space="0" w:color="FFFFFF" w:themeColor="background1"/>
            </w:tcBorders>
            <w:shd w:val="clear" w:color="auto" w:fill="E5DFEC" w:themeFill="accent4" w:themeFillTint="33"/>
          </w:tcPr>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r w:rsidRPr="00AA65ED">
              <w:rPr>
                <w:color w:val="5F497A" w:themeColor="accent4" w:themeShade="BF"/>
              </w:rPr>
              <w:t>Factores socioculturales</w:t>
            </w: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E71DB2">
            <w:pPr>
              <w:spacing w:line="360" w:lineRule="auto"/>
              <w:jc w:val="both"/>
            </w:pPr>
            <w:r>
              <w:t>Diseño tecnológico</w:t>
            </w:r>
          </w:p>
        </w:tc>
        <w:tc>
          <w:tcPr>
            <w:tcW w:w="0" w:type="auto"/>
            <w:tcBorders>
              <w:left w:val="single" w:sz="24" w:space="0" w:color="FFFFFF" w:themeColor="background1"/>
            </w:tcBorders>
          </w:tcPr>
          <w:p w:rsidR="00496F8F" w:rsidRDefault="00496F8F" w:rsidP="00A57D64">
            <w:pPr>
              <w:spacing w:line="360" w:lineRule="auto"/>
              <w:jc w:val="both"/>
            </w:pPr>
            <w:r>
              <w:t>El diseño tecnológico no está exento del contexto patriarcal, y el contenido del</w:t>
            </w:r>
            <w:r w:rsidR="008A62DB">
              <w:t xml:space="preserve"> mismo se arraiga al sistema </w:t>
            </w:r>
            <w:r>
              <w:t>y a los estereotipos de género,</w:t>
            </w:r>
            <w:r w:rsidRPr="00D46F31">
              <w:t xml:space="preserve"> basado en las necesidades y gustos masculino</w:t>
            </w:r>
            <w:r>
              <w:t xml:space="preserve">s, </w:t>
            </w:r>
            <w:r w:rsidR="00A57D64">
              <w:t xml:space="preserve">y </w:t>
            </w:r>
            <w:r>
              <w:t>diseñado</w:t>
            </w:r>
            <w:r w:rsidRPr="00D46F31">
              <w:t>s</w:t>
            </w:r>
            <w:r>
              <w:t xml:space="preserve"> de</w:t>
            </w:r>
            <w:r w:rsidRPr="00D46F31">
              <w:t>sd</w:t>
            </w:r>
            <w:r>
              <w:t>e</w:t>
            </w:r>
            <w:r w:rsidRPr="00D46F31">
              <w:t xml:space="preserve"> una persp</w:t>
            </w:r>
            <w:r>
              <w:t xml:space="preserve">ectiva totalmente androcéntrica, impulsando a un rechazo a un automático. De este modo, ellas se sentirían más cómodas en los espacios de comunicación, como las redes sociales, ya que según su rol lo verán más práctico que los videojuegos. </w:t>
            </w:r>
          </w:p>
        </w:tc>
      </w:tr>
      <w:tr w:rsidR="00496F8F" w:rsidTr="00AA65ED">
        <w:tc>
          <w:tcPr>
            <w:tcW w:w="0" w:type="auto"/>
            <w:vMerge/>
            <w:tcBorders>
              <w:right w:val="single" w:sz="24" w:space="0" w:color="FFFFFF" w:themeColor="background1"/>
            </w:tcBorders>
            <w:shd w:val="clear" w:color="auto" w:fill="E5DFEC" w:themeFill="accent4" w:themeFillTint="33"/>
          </w:tcPr>
          <w:p w:rsidR="00496F8F" w:rsidRPr="00AA65ED" w:rsidRDefault="00496F8F" w:rsidP="00E71DB2">
            <w:pPr>
              <w:spacing w:line="360" w:lineRule="auto"/>
              <w:jc w:val="both"/>
              <w:rPr>
                <w:color w:val="5F497A" w:themeColor="accent4" w:themeShade="BF"/>
              </w:rPr>
            </w:pP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036EC9">
            <w:pPr>
              <w:spacing w:line="360" w:lineRule="auto"/>
              <w:jc w:val="both"/>
            </w:pPr>
            <w:r>
              <w:t>Orfandad digital</w:t>
            </w:r>
          </w:p>
          <w:p w:rsidR="00496F8F" w:rsidRDefault="00496F8F" w:rsidP="00E71DB2">
            <w:pPr>
              <w:spacing w:line="360" w:lineRule="auto"/>
              <w:jc w:val="both"/>
            </w:pPr>
          </w:p>
        </w:tc>
        <w:tc>
          <w:tcPr>
            <w:tcW w:w="0" w:type="auto"/>
            <w:tcBorders>
              <w:left w:val="single" w:sz="24" w:space="0" w:color="FFFFFF" w:themeColor="background1"/>
            </w:tcBorders>
          </w:tcPr>
          <w:p w:rsidR="00496F8F" w:rsidRDefault="00496F8F" w:rsidP="00E71DB2">
            <w:pPr>
              <w:spacing w:line="360" w:lineRule="auto"/>
              <w:jc w:val="both"/>
            </w:pPr>
            <w:r>
              <w:t xml:space="preserve">Nuestra inclusión al mundo tecnológico, al menos hasta ahora, se ha dado a través un aprendizaje pasivo y autodidacta.  No es una inclusión uniforme, marcada por nuestra socialización de género. </w:t>
            </w:r>
          </w:p>
        </w:tc>
      </w:tr>
      <w:tr w:rsidR="00496F8F" w:rsidTr="00AA65ED">
        <w:tc>
          <w:tcPr>
            <w:tcW w:w="0" w:type="auto"/>
            <w:vMerge/>
            <w:tcBorders>
              <w:right w:val="single" w:sz="24" w:space="0" w:color="FFFFFF" w:themeColor="background1"/>
            </w:tcBorders>
            <w:shd w:val="clear" w:color="auto" w:fill="E5DFEC" w:themeFill="accent4" w:themeFillTint="33"/>
          </w:tcPr>
          <w:p w:rsidR="00496F8F" w:rsidRPr="00AA65ED" w:rsidRDefault="00496F8F" w:rsidP="00E71DB2">
            <w:pPr>
              <w:spacing w:line="360" w:lineRule="auto"/>
              <w:jc w:val="both"/>
              <w:rPr>
                <w:color w:val="5F497A" w:themeColor="accent4" w:themeShade="BF"/>
              </w:rPr>
            </w:pP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036EC9">
            <w:pPr>
              <w:spacing w:line="360" w:lineRule="auto"/>
              <w:jc w:val="both"/>
            </w:pPr>
            <w:r>
              <w:t>Socialización de género</w:t>
            </w:r>
          </w:p>
          <w:p w:rsidR="00496F8F" w:rsidRDefault="00496F8F" w:rsidP="00E71DB2">
            <w:pPr>
              <w:spacing w:line="360" w:lineRule="auto"/>
              <w:jc w:val="both"/>
            </w:pPr>
          </w:p>
        </w:tc>
        <w:tc>
          <w:tcPr>
            <w:tcW w:w="0" w:type="auto"/>
            <w:tcBorders>
              <w:left w:val="single" w:sz="24" w:space="0" w:color="FFFFFF" w:themeColor="background1"/>
            </w:tcBorders>
          </w:tcPr>
          <w:p w:rsidR="00496F8F" w:rsidRDefault="00496F8F" w:rsidP="00A57D64">
            <w:pPr>
              <w:spacing w:line="360" w:lineRule="auto"/>
              <w:jc w:val="both"/>
            </w:pPr>
            <w:r>
              <w:t>Los propios roles sustentados en el sistema género son causante de esta brecha, así, ellas utilizarán más las redes sociales alimentando ese patrón de comunicación vinculado al rol femenino, mientras que ellos compartirán espacios de agresión y violencia vinculados</w:t>
            </w:r>
            <w:r w:rsidR="00A57D64">
              <w:t xml:space="preserve"> más cercanos</w:t>
            </w:r>
            <w:r>
              <w:t xml:space="preserve"> a esa masculinidad hegemónica, pudiendo sostener su virilidad. Además</w:t>
            </w:r>
            <w:r w:rsidRPr="00911DAD">
              <w:t>, los hombres, a diferencia de las mujeres, tienen, desde la infancia un contacto d</w:t>
            </w:r>
            <w:r>
              <w:t xml:space="preserve">irecto con las tecnologías. </w:t>
            </w:r>
            <w:r w:rsidR="00A57D64" w:rsidRPr="00911DAD">
              <w:t>Presentando</w:t>
            </w:r>
            <w:r w:rsidRPr="00911DAD">
              <w:t xml:space="preserve"> a los hombres como enamorados de las tecnologías,</w:t>
            </w:r>
            <w:r>
              <w:t xml:space="preserve"> y</w:t>
            </w:r>
            <w:r w:rsidRPr="00911DAD">
              <w:t xml:space="preserve"> a las mujeres como desin</w:t>
            </w:r>
            <w:r>
              <w:t xml:space="preserve">teresadas de estos instrumentos. </w:t>
            </w:r>
          </w:p>
        </w:tc>
      </w:tr>
      <w:tr w:rsidR="00496F8F" w:rsidTr="00AA65ED">
        <w:trPr>
          <w:trHeight w:val="807"/>
        </w:trPr>
        <w:tc>
          <w:tcPr>
            <w:tcW w:w="0" w:type="auto"/>
            <w:vMerge/>
            <w:tcBorders>
              <w:right w:val="single" w:sz="24" w:space="0" w:color="FFFFFF" w:themeColor="background1"/>
            </w:tcBorders>
            <w:shd w:val="clear" w:color="auto" w:fill="E5DFEC" w:themeFill="accent4" w:themeFillTint="33"/>
          </w:tcPr>
          <w:p w:rsidR="00496F8F" w:rsidRPr="00AA65ED" w:rsidRDefault="00496F8F" w:rsidP="00E71DB2">
            <w:pPr>
              <w:spacing w:line="360" w:lineRule="auto"/>
              <w:jc w:val="both"/>
              <w:rPr>
                <w:color w:val="5F497A" w:themeColor="accent4" w:themeShade="BF"/>
              </w:rPr>
            </w:pP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496F8F">
            <w:pPr>
              <w:spacing w:line="360" w:lineRule="auto"/>
              <w:jc w:val="both"/>
            </w:pPr>
            <w:r>
              <w:t>Imaginario cultural</w:t>
            </w:r>
          </w:p>
          <w:p w:rsidR="00496F8F" w:rsidRDefault="00496F8F" w:rsidP="00E71DB2">
            <w:pPr>
              <w:spacing w:line="360" w:lineRule="auto"/>
              <w:jc w:val="both"/>
            </w:pPr>
          </w:p>
        </w:tc>
        <w:tc>
          <w:tcPr>
            <w:tcW w:w="0" w:type="auto"/>
            <w:tcBorders>
              <w:left w:val="single" w:sz="24" w:space="0" w:color="FFFFFF" w:themeColor="background1"/>
            </w:tcBorders>
          </w:tcPr>
          <w:p w:rsidR="00496F8F" w:rsidRDefault="00496F8F" w:rsidP="00E71DB2">
            <w:pPr>
              <w:spacing w:line="360" w:lineRule="auto"/>
              <w:jc w:val="both"/>
            </w:pPr>
            <w:r>
              <w:t xml:space="preserve">Existe un imaginario cultural y social unido al informático “freak” masculino que no ayuda a que las chicas se acerquen de manera igualitaria, y prefieran compartir espacios donde no exista ese ideal estigmatizado. </w:t>
            </w:r>
          </w:p>
        </w:tc>
      </w:tr>
      <w:tr w:rsidR="00496F8F" w:rsidTr="00AA65ED">
        <w:tc>
          <w:tcPr>
            <w:tcW w:w="0" w:type="auto"/>
            <w:vMerge w:val="restart"/>
            <w:tcBorders>
              <w:right w:val="single" w:sz="24" w:space="0" w:color="FFFFFF" w:themeColor="background1"/>
            </w:tcBorders>
            <w:shd w:val="clear" w:color="auto" w:fill="E5DFEC" w:themeFill="accent4" w:themeFillTint="33"/>
          </w:tcPr>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p>
          <w:p w:rsidR="00496F8F" w:rsidRPr="00AA65ED" w:rsidRDefault="00496F8F" w:rsidP="00E71DB2">
            <w:pPr>
              <w:spacing w:line="360" w:lineRule="auto"/>
              <w:jc w:val="both"/>
              <w:rPr>
                <w:color w:val="5F497A" w:themeColor="accent4" w:themeShade="BF"/>
              </w:rPr>
            </w:pPr>
            <w:r w:rsidRPr="00AA65ED">
              <w:rPr>
                <w:color w:val="5F497A" w:themeColor="accent4" w:themeShade="BF"/>
              </w:rPr>
              <w:t>Factores psicosociales</w:t>
            </w: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E71DB2">
            <w:pPr>
              <w:spacing w:line="360" w:lineRule="auto"/>
              <w:jc w:val="both"/>
            </w:pPr>
            <w:r w:rsidRPr="00496F8F">
              <w:lastRenderedPageBreak/>
              <w:t>Conflicto rol</w:t>
            </w:r>
          </w:p>
        </w:tc>
        <w:tc>
          <w:tcPr>
            <w:tcW w:w="0" w:type="auto"/>
            <w:tcBorders>
              <w:left w:val="single" w:sz="24" w:space="0" w:color="FFFFFF" w:themeColor="background1"/>
            </w:tcBorders>
          </w:tcPr>
          <w:p w:rsidR="00496F8F" w:rsidRDefault="00496F8F" w:rsidP="00A57D64">
            <w:pPr>
              <w:spacing w:line="360" w:lineRule="auto"/>
              <w:jc w:val="both"/>
            </w:pPr>
            <w:r>
              <w:t xml:space="preserve">En el caso concretamente de los videojuegos, al verse basados </w:t>
            </w:r>
            <w:r w:rsidRPr="003F2C05">
              <w:t>en códigos masculinos, como es la</w:t>
            </w:r>
            <w:r>
              <w:t xml:space="preserve"> violencia y la </w:t>
            </w:r>
            <w:r>
              <w:lastRenderedPageBreak/>
              <w:t>competitividad, entra contradicción del rol femenino. L</w:t>
            </w:r>
            <w:r w:rsidRPr="003F2C05">
              <w:t>o que se supone un rechazo y repudio hacia este tipo de juegos. De este modo,</w:t>
            </w:r>
            <w:r>
              <w:t xml:space="preserve"> y dando una explicación a la diferencia de usos también en los videojuegos,</w:t>
            </w:r>
            <w:r w:rsidRPr="003F2C05">
              <w:t xml:space="preserve"> las chicas que se introducen en los videojuegos prefieren aquellos vide</w:t>
            </w:r>
            <w:r>
              <w:t>o</w:t>
            </w:r>
            <w:r w:rsidRPr="003F2C05">
              <w:t>juegos que proponen desafíos lógicos, a los videojuegos más comerciales, donde se categoriza la mujer como un personaje se</w:t>
            </w:r>
            <w:r>
              <w:t>cundario, o como objeto sexual.</w:t>
            </w:r>
          </w:p>
        </w:tc>
      </w:tr>
      <w:tr w:rsidR="00496F8F" w:rsidTr="00AA65ED">
        <w:trPr>
          <w:trHeight w:val="1669"/>
        </w:trPr>
        <w:tc>
          <w:tcPr>
            <w:tcW w:w="0" w:type="auto"/>
            <w:vMerge/>
            <w:tcBorders>
              <w:right w:val="single" w:sz="24" w:space="0" w:color="FFFFFF" w:themeColor="background1"/>
            </w:tcBorders>
            <w:shd w:val="clear" w:color="auto" w:fill="E5DFEC" w:themeFill="accent4" w:themeFillTint="33"/>
          </w:tcPr>
          <w:p w:rsidR="00496F8F" w:rsidRDefault="00496F8F" w:rsidP="00E71DB2">
            <w:pPr>
              <w:spacing w:line="360" w:lineRule="auto"/>
              <w:jc w:val="both"/>
            </w:pP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E71DB2">
            <w:pPr>
              <w:spacing w:line="360" w:lineRule="auto"/>
              <w:jc w:val="both"/>
            </w:pPr>
            <w:proofErr w:type="spellStart"/>
            <w:r>
              <w:t>Autoconcepeto</w:t>
            </w:r>
            <w:proofErr w:type="spellEnd"/>
          </w:p>
        </w:tc>
        <w:tc>
          <w:tcPr>
            <w:tcW w:w="0" w:type="auto"/>
            <w:tcBorders>
              <w:left w:val="single" w:sz="24" w:space="0" w:color="FFFFFF" w:themeColor="background1"/>
            </w:tcBorders>
          </w:tcPr>
          <w:p w:rsidR="00496F8F" w:rsidRDefault="00496F8F" w:rsidP="00E71DB2">
            <w:pPr>
              <w:spacing w:line="360" w:lineRule="auto"/>
              <w:jc w:val="both"/>
            </w:pPr>
            <w:r>
              <w:t>Las chicas y los chicos se enfrentan de manera diferente a las TIC, mientras que ellas guiadas por roles típicamente femeninos (como género débil irracional y dependiente de la mirada ajena), se ven menos capacitadas y hábiles para utilizar con destreza las TIC; ellos se ven mucho más capaces y hábiles, y no tienen miedo a enfrentarse a las TIC, de hecho desde que son pequeños se les promueve este acercamiento, mientras que a ellas se las aleja.</w:t>
            </w:r>
          </w:p>
        </w:tc>
      </w:tr>
      <w:tr w:rsidR="00496F8F" w:rsidTr="00AA65ED">
        <w:tc>
          <w:tcPr>
            <w:tcW w:w="0" w:type="auto"/>
            <w:vMerge/>
            <w:tcBorders>
              <w:right w:val="single" w:sz="24" w:space="0" w:color="FFFFFF" w:themeColor="background1"/>
            </w:tcBorders>
            <w:shd w:val="clear" w:color="auto" w:fill="E5DFEC" w:themeFill="accent4" w:themeFillTint="33"/>
          </w:tcPr>
          <w:p w:rsidR="00496F8F" w:rsidRDefault="00496F8F" w:rsidP="00E71DB2">
            <w:pPr>
              <w:spacing w:line="360" w:lineRule="auto"/>
              <w:jc w:val="both"/>
            </w:pPr>
          </w:p>
        </w:tc>
        <w:tc>
          <w:tcPr>
            <w:tcW w:w="0" w:type="auto"/>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03152" w:themeFill="accent4" w:themeFillShade="80"/>
          </w:tcPr>
          <w:p w:rsidR="00496F8F" w:rsidRDefault="00496F8F" w:rsidP="00496F8F">
            <w:pPr>
              <w:spacing w:line="360" w:lineRule="auto"/>
              <w:jc w:val="both"/>
            </w:pPr>
            <w:proofErr w:type="spellStart"/>
            <w:r>
              <w:t>Tecnofocia</w:t>
            </w:r>
            <w:proofErr w:type="spellEnd"/>
          </w:p>
          <w:p w:rsidR="00496F8F" w:rsidRDefault="00496F8F" w:rsidP="00E71DB2">
            <w:pPr>
              <w:spacing w:line="360" w:lineRule="auto"/>
              <w:jc w:val="both"/>
            </w:pPr>
          </w:p>
        </w:tc>
        <w:tc>
          <w:tcPr>
            <w:tcW w:w="0" w:type="auto"/>
            <w:tcBorders>
              <w:left w:val="single" w:sz="24" w:space="0" w:color="FFFFFF" w:themeColor="background1"/>
            </w:tcBorders>
          </w:tcPr>
          <w:p w:rsidR="00A57D64" w:rsidRDefault="00EC5378" w:rsidP="00A57D64">
            <w:pPr>
              <w:spacing w:line="360" w:lineRule="auto"/>
              <w:jc w:val="both"/>
            </w:pPr>
            <w:r>
              <w:t>Esa estereotipia de género que vincula a la</w:t>
            </w:r>
            <w:r w:rsidRPr="004564D5">
              <w:t xml:space="preserve"> </w:t>
            </w:r>
            <w:proofErr w:type="spellStart"/>
            <w:r w:rsidRPr="004564D5">
              <w:t>tecnofilia</w:t>
            </w:r>
            <w:proofErr w:type="spellEnd"/>
            <w:r>
              <w:t xml:space="preserve"> con la masculinidad</w:t>
            </w:r>
            <w:r w:rsidRPr="004564D5">
              <w:t xml:space="preserve"> y la </w:t>
            </w:r>
            <w:proofErr w:type="spellStart"/>
            <w:r w:rsidRPr="004564D5">
              <w:t>tecnofobia</w:t>
            </w:r>
            <w:proofErr w:type="spellEnd"/>
            <w:r w:rsidRPr="004564D5">
              <w:t xml:space="preserve"> </w:t>
            </w:r>
            <w:r>
              <w:t xml:space="preserve">con feminidad. Esto conduce a esa profecía </w:t>
            </w:r>
            <w:proofErr w:type="spellStart"/>
            <w:r>
              <w:t>autocumplida</w:t>
            </w:r>
            <w:proofErr w:type="spellEnd"/>
            <w:r>
              <w:t xml:space="preserve">, y una </w:t>
            </w:r>
            <w:proofErr w:type="spellStart"/>
            <w:r>
              <w:t>autodescalificacón</w:t>
            </w:r>
            <w:proofErr w:type="spellEnd"/>
            <w:r>
              <w:t xml:space="preserve"> tecnológica que acaba traduciendo sentirse distantes de las tecnologías, no viéndolas como instrumentos de juego y aprendizaje</w:t>
            </w:r>
            <w:r w:rsidR="00A57D64">
              <w:t xml:space="preserve">. </w:t>
            </w:r>
          </w:p>
        </w:tc>
      </w:tr>
    </w:tbl>
    <w:p w:rsidR="00E71DB2" w:rsidRPr="00B55134" w:rsidRDefault="00B55134" w:rsidP="00E71DB2">
      <w:pPr>
        <w:spacing w:line="360" w:lineRule="auto"/>
        <w:jc w:val="both"/>
        <w:rPr>
          <w:sz w:val="20"/>
        </w:rPr>
      </w:pPr>
      <w:r w:rsidRPr="00B55134">
        <w:rPr>
          <w:noProof/>
          <w:sz w:val="20"/>
        </w:rPr>
        <w:t xml:space="preserve">Fuente: Elaborado a partir de </w:t>
      </w:r>
      <w:proofErr w:type="spellStart"/>
      <w:r w:rsidRPr="00B55134">
        <w:rPr>
          <w:sz w:val="20"/>
        </w:rPr>
        <w:t>Bonder</w:t>
      </w:r>
      <w:proofErr w:type="spellEnd"/>
      <w:r w:rsidRPr="00B55134">
        <w:rPr>
          <w:sz w:val="20"/>
        </w:rPr>
        <w:t xml:space="preserve"> (2002); Castaño, Martín, &amp; Martínez (2009); Castro, (2010); </w:t>
      </w:r>
      <w:r w:rsidRPr="00B55134">
        <w:rPr>
          <w:noProof/>
          <w:sz w:val="20"/>
        </w:rPr>
        <w:t>Díaz (2001)</w:t>
      </w:r>
      <w:r w:rsidRPr="00B55134">
        <w:rPr>
          <w:sz w:val="20"/>
        </w:rPr>
        <w:t>;</w:t>
      </w:r>
      <w:r w:rsidR="00036EC9" w:rsidRPr="00B55134">
        <w:rPr>
          <w:sz w:val="20"/>
        </w:rPr>
        <w:t xml:space="preserve"> </w:t>
      </w:r>
      <w:r w:rsidRPr="00B55134">
        <w:rPr>
          <w:sz w:val="20"/>
        </w:rPr>
        <w:t>Gil-</w:t>
      </w:r>
      <w:proofErr w:type="spellStart"/>
      <w:r w:rsidRPr="00B55134">
        <w:rPr>
          <w:sz w:val="20"/>
        </w:rPr>
        <w:t>Juáres</w:t>
      </w:r>
      <w:proofErr w:type="spellEnd"/>
      <w:r w:rsidRPr="00B55134">
        <w:rPr>
          <w:sz w:val="20"/>
        </w:rPr>
        <w:t xml:space="preserve">, </w:t>
      </w:r>
      <w:proofErr w:type="spellStart"/>
      <w:r w:rsidRPr="00B55134">
        <w:rPr>
          <w:sz w:val="20"/>
        </w:rPr>
        <w:t>Feliu</w:t>
      </w:r>
      <w:proofErr w:type="spellEnd"/>
      <w:r w:rsidRPr="00B55134">
        <w:rPr>
          <w:sz w:val="20"/>
        </w:rPr>
        <w:t xml:space="preserve"> y </w:t>
      </w:r>
      <w:proofErr w:type="spellStart"/>
      <w:r w:rsidRPr="00B55134">
        <w:rPr>
          <w:sz w:val="20"/>
        </w:rPr>
        <w:t>Vitores</w:t>
      </w:r>
      <w:proofErr w:type="spellEnd"/>
      <w:r w:rsidRPr="00B55134">
        <w:rPr>
          <w:sz w:val="20"/>
        </w:rPr>
        <w:t xml:space="preserve"> (2012); Merchán (2014); Sainz (2007); Sánchez, Ortega y </w:t>
      </w:r>
      <w:proofErr w:type="spellStart"/>
      <w:r w:rsidRPr="00B55134">
        <w:rPr>
          <w:sz w:val="20"/>
        </w:rPr>
        <w:t>Vall-llovera</w:t>
      </w:r>
      <w:proofErr w:type="spellEnd"/>
      <w:r w:rsidRPr="00B55134">
        <w:rPr>
          <w:sz w:val="20"/>
        </w:rPr>
        <w:t xml:space="preserve"> (2012); </w:t>
      </w:r>
      <w:proofErr w:type="spellStart"/>
      <w:r w:rsidRPr="00B55134">
        <w:rPr>
          <w:sz w:val="20"/>
        </w:rPr>
        <w:t>Sarsaneda</w:t>
      </w:r>
      <w:proofErr w:type="spellEnd"/>
      <w:r w:rsidRPr="00B55134">
        <w:rPr>
          <w:sz w:val="20"/>
        </w:rPr>
        <w:t xml:space="preserve"> (2012: 203); </w:t>
      </w:r>
      <w:proofErr w:type="spellStart"/>
      <w:r w:rsidRPr="00B55134">
        <w:rPr>
          <w:sz w:val="20"/>
        </w:rPr>
        <w:t>Turkle</w:t>
      </w:r>
      <w:proofErr w:type="spellEnd"/>
      <w:r w:rsidRPr="00B55134">
        <w:rPr>
          <w:sz w:val="20"/>
        </w:rPr>
        <w:t xml:space="preserve"> (1997, 286); UCM (2012: 15)</w:t>
      </w:r>
      <w:r w:rsidR="00E71DB2" w:rsidRPr="00B55134">
        <w:rPr>
          <w:sz w:val="20"/>
        </w:rPr>
        <w:t xml:space="preserve">; </w:t>
      </w:r>
      <w:r w:rsidRPr="00B55134">
        <w:rPr>
          <w:sz w:val="20"/>
        </w:rPr>
        <w:t xml:space="preserve">UNESCO, (2010); </w:t>
      </w:r>
      <w:proofErr w:type="spellStart"/>
      <w:r w:rsidRPr="00B55134">
        <w:rPr>
          <w:sz w:val="20"/>
        </w:rPr>
        <w:t>Veikeri</w:t>
      </w:r>
      <w:proofErr w:type="spellEnd"/>
      <w:r w:rsidRPr="00B55134">
        <w:rPr>
          <w:sz w:val="20"/>
        </w:rPr>
        <w:t xml:space="preserve">, (2010); </w:t>
      </w:r>
      <w:proofErr w:type="spellStart"/>
      <w:r w:rsidRPr="00B55134">
        <w:rPr>
          <w:sz w:val="20"/>
        </w:rPr>
        <w:t>Wajcman</w:t>
      </w:r>
      <w:proofErr w:type="spellEnd"/>
      <w:r w:rsidRPr="00B55134">
        <w:rPr>
          <w:sz w:val="20"/>
        </w:rPr>
        <w:t xml:space="preserve"> (2004:170)</w:t>
      </w:r>
    </w:p>
    <w:p w:rsidR="00496F8F" w:rsidRDefault="00496F8F" w:rsidP="00E71DB2">
      <w:pPr>
        <w:spacing w:line="360" w:lineRule="auto"/>
        <w:jc w:val="both"/>
        <w:sectPr w:rsidR="00496F8F" w:rsidSect="00496F8F">
          <w:pgSz w:w="16838" w:h="11906" w:orient="landscape"/>
          <w:pgMar w:top="1701" w:right="1417" w:bottom="1701" w:left="1417" w:header="708" w:footer="708" w:gutter="0"/>
          <w:cols w:space="708"/>
          <w:docGrid w:linePitch="360"/>
        </w:sectPr>
      </w:pPr>
    </w:p>
    <w:p w:rsidR="00E71DB2" w:rsidRDefault="00E71DB2" w:rsidP="00E71DB2">
      <w:pPr>
        <w:spacing w:line="360" w:lineRule="auto"/>
        <w:jc w:val="both"/>
      </w:pPr>
      <w:r>
        <w:lastRenderedPageBreak/>
        <w:t xml:space="preserve">Como queda </w:t>
      </w:r>
      <w:proofErr w:type="gramStart"/>
      <w:r>
        <w:t>demostrado</w:t>
      </w:r>
      <w:proofErr w:type="gramEnd"/>
      <w:r>
        <w:t xml:space="preserve"> aún queda mucho por investigar e indagar, ya que la tercera brecha digital demuestra un panorama de estudio amplio, donde se dan diferentes situaciones discriminatorias.</w:t>
      </w:r>
      <w:r w:rsidR="00A57D64">
        <w:t xml:space="preserve"> Y a</w:t>
      </w:r>
      <w:r>
        <w:t xml:space="preserve">unque nos quedan resquicios y suposiciones por resolver, lo que </w:t>
      </w:r>
      <w:r w:rsidR="00A57D64">
        <w:t xml:space="preserve">puede observarse </w:t>
      </w:r>
      <w:r>
        <w:t xml:space="preserve">tras este análisis es que las y los adolescentes conviven en una </w:t>
      </w:r>
      <w:r w:rsidRPr="003F2C05">
        <w:t>distribución espacial desigual de</w:t>
      </w:r>
      <w:r>
        <w:t>ntro de</w:t>
      </w:r>
      <w:r w:rsidRPr="003F2C05">
        <w:t xml:space="preserve"> las T</w:t>
      </w:r>
      <w:r>
        <w:t>I</w:t>
      </w:r>
      <w:r w:rsidRPr="003F2C05">
        <w:t>C, consideradas principalmente como espacios tecnológicos masculinos, y a los ordenadores como herramientas masc</w:t>
      </w:r>
      <w:r>
        <w:t>ulinas</w:t>
      </w:r>
      <w:r w:rsidRPr="003F2C05">
        <w:t>.</w:t>
      </w:r>
      <w:r>
        <w:t xml:space="preserve"> Además, vemos que los comportamientos y actitudes estereotipados según el género se acaban volcando en la Red, siendo un reflejo vivo, virtual y simbólico del sistema patriarcal. </w:t>
      </w:r>
    </w:p>
    <w:p w:rsidR="00695B81" w:rsidRPr="00695B81" w:rsidRDefault="00695B81" w:rsidP="00695B81">
      <w:pPr>
        <w:pStyle w:val="Prrafodelista"/>
        <w:numPr>
          <w:ilvl w:val="0"/>
          <w:numId w:val="26"/>
        </w:numPr>
        <w:spacing w:line="360" w:lineRule="auto"/>
        <w:jc w:val="both"/>
        <w:rPr>
          <w:b/>
          <w:sz w:val="24"/>
          <w:szCs w:val="24"/>
        </w:rPr>
      </w:pPr>
      <w:r w:rsidRPr="00695B81">
        <w:rPr>
          <w:b/>
          <w:sz w:val="24"/>
          <w:szCs w:val="24"/>
        </w:rPr>
        <w:t>Lejos de una democratización digital, espacios basados en la dominación masculina</w:t>
      </w:r>
    </w:p>
    <w:p w:rsidR="00E71DB2" w:rsidRDefault="00E71DB2" w:rsidP="00E71DB2">
      <w:pPr>
        <w:spacing w:line="360" w:lineRule="auto"/>
        <w:jc w:val="both"/>
      </w:pPr>
      <w:r>
        <w:t xml:space="preserve">Zafra (2005b) </w:t>
      </w:r>
      <w:r w:rsidR="00EC5378">
        <w:t xml:space="preserve">ve a </w:t>
      </w:r>
      <w:r>
        <w:t>estas situaciones</w:t>
      </w:r>
      <w:r w:rsidR="00EC5378">
        <w:t xml:space="preserve"> como</w:t>
      </w:r>
      <w:r>
        <w:t xml:space="preserve"> </w:t>
      </w:r>
      <w:r w:rsidR="00EC5378">
        <w:t xml:space="preserve">discriminaciones silenciadas, </w:t>
      </w:r>
      <w:r>
        <w:t>que perpetúan lo que</w:t>
      </w:r>
      <w:r w:rsidRPr="00DC5974">
        <w:t xml:space="preserve"> denom</w:t>
      </w:r>
      <w:r>
        <w:t xml:space="preserve">ina “géneros de la tecnología”. De este modo, y por la cercanía que tiene a la socialización del género tradicional, podemos decir que el mundo digital se da una socialización digital de género, en el que se establece un mundo opuesto, dicotómico, y basado en los pares tradicionales sexuales, generando una asimetría de poderes y de géneros, estableciendo (como veíamos en la parte de contextualización) una dominación masculina digital. </w:t>
      </w:r>
    </w:p>
    <w:p w:rsidR="00E71DB2" w:rsidRPr="00CB5F61" w:rsidRDefault="00E71DB2" w:rsidP="00E71DB2">
      <w:pPr>
        <w:spacing w:line="360" w:lineRule="auto"/>
        <w:jc w:val="both"/>
      </w:pPr>
      <w:r>
        <w:t>E</w:t>
      </w:r>
      <w:r w:rsidRPr="00B004E8">
        <w:t xml:space="preserve">xiste un predominio en Internet del discurso patriarcal, que deviene del dominio de los hombres </w:t>
      </w:r>
      <w:r>
        <w:t>sobre las herramientas y los uso</w:t>
      </w:r>
      <w:r w:rsidRPr="00B004E8">
        <w:t>s tecnológicos, que en la combinación de ambas de instaura un sistema de valores de los hombres (Castaño, 2005).</w:t>
      </w:r>
      <w:r>
        <w:t xml:space="preserve">Además, y como se comentaba, se ha </w:t>
      </w:r>
      <w:r w:rsidRPr="00CB5F61">
        <w:t xml:space="preserve">generado una masculinidad hegemónica tecnológica, una política masculina excluyente que se rige por la ideología patriarcal. Lo que ha supuesto la defensa activa de la hegemonía </w:t>
      </w:r>
      <w:sdt>
        <w:sdtPr>
          <w:id w:val="-588083104"/>
          <w:citation/>
        </w:sdtPr>
        <w:sdtEndPr/>
        <w:sdtContent>
          <w:r w:rsidRPr="00CB5F61">
            <w:fldChar w:fldCharType="begin"/>
          </w:r>
          <w:r w:rsidRPr="00CB5F61">
            <w:instrText xml:space="preserve">CITATION Cas10 \t  \l 3082 </w:instrText>
          </w:r>
          <w:r w:rsidRPr="00CB5F61">
            <w:fldChar w:fldCharType="separate"/>
          </w:r>
          <w:r w:rsidRPr="00CB5F61">
            <w:rPr>
              <w:noProof/>
            </w:rPr>
            <w:t>(Castaño &amp; Caprile, 2010)</w:t>
          </w:r>
          <w:r w:rsidRPr="00CB5F61">
            <w:fldChar w:fldCharType="end"/>
          </w:r>
        </w:sdtContent>
      </w:sdt>
      <w:r w:rsidRPr="00CB5F61">
        <w:t>.</w:t>
      </w:r>
    </w:p>
    <w:p w:rsidR="00E71DB2" w:rsidRDefault="00E71DB2" w:rsidP="00E71DB2">
      <w:pPr>
        <w:spacing w:line="360" w:lineRule="auto"/>
        <w:jc w:val="both"/>
      </w:pPr>
      <w:r w:rsidRPr="00CB5F61">
        <w:t>De est</w:t>
      </w:r>
      <w:r w:rsidR="00A57D64">
        <w:t xml:space="preserve">e modo, </w:t>
      </w:r>
      <w:r w:rsidRPr="00CB5F61">
        <w:t xml:space="preserve">como dice </w:t>
      </w:r>
      <w:proofErr w:type="spellStart"/>
      <w:r w:rsidRPr="00CB5F61">
        <w:t>Connell</w:t>
      </w:r>
      <w:proofErr w:type="spellEnd"/>
      <w:r w:rsidRPr="00CB5F61">
        <w:t xml:space="preserve"> (1995:268), y a pesar de ser un mundo global y existe una </w:t>
      </w:r>
      <w:proofErr w:type="spellStart"/>
      <w:r w:rsidRPr="00CB5F61">
        <w:t>heteregenoidad</w:t>
      </w:r>
      <w:proofErr w:type="spellEnd"/>
      <w:r w:rsidRPr="00CB5F61">
        <w:t xml:space="preserve"> debido a las comercializaciones capitalistas, se ha generado una idea global que traspasa fronteras de lo que representa la masculinidad hegemónica, obviamente siempre blanca; y así, los hombres procedentes de los países metropolitanos y de estatus alto, han resultado ser los principales beneficiarios, de esta representatividad. De este modo, se han creado organizaciones masculinizadas, como puede ser la armamentista, económica, o por ejemplo la pornografía, los videojuegos, las propias redes sociales, los avances tecnológicos, de las que son prioritariamente los hombres blancos y ricos.  Se han creado redes masculinas que </w:t>
      </w:r>
      <w:r w:rsidRPr="00CB5F61">
        <w:lastRenderedPageBreak/>
        <w:t xml:space="preserve">excluyen a las mujeres.   Es decir, dentro de Internet se genera una estratificación por razón de género, raza y etnia. </w:t>
      </w:r>
    </w:p>
    <w:p w:rsidR="00E71DB2" w:rsidRDefault="00E71DB2" w:rsidP="00EC5378">
      <w:pPr>
        <w:spacing w:line="360" w:lineRule="auto"/>
        <w:jc w:val="both"/>
        <w:rPr>
          <w:noProof/>
        </w:rPr>
      </w:pPr>
      <w:r>
        <w:t>Todo ello posibilita la generación de contenido sexista, lo que denominamos la violencia simbólica, que ya no solo lo podemos encontrar en el contenido de los videojuegos o en las páginas web, sino que las propias personas adolescentes lo acaban reproduciendo por ejemplo a través de sus autofotos o “</w:t>
      </w:r>
      <w:proofErr w:type="spellStart"/>
      <w:r>
        <w:t>shelfies</w:t>
      </w:r>
      <w:proofErr w:type="spellEnd"/>
      <w:r>
        <w:t>”. Esta violencia simbólica como veíamos se caracterizaba por la alta carga sexual, lo que ha promovido la generación de una violencia contra las mujeres, o riesgos contra ellas</w:t>
      </w:r>
      <w:r w:rsidR="00EC5378">
        <w:rPr>
          <w:noProof/>
        </w:rPr>
        <w:t xml:space="preserve"> </w:t>
      </w:r>
      <w:r w:rsidRPr="00380A1D">
        <w:rPr>
          <w:noProof/>
        </w:rPr>
        <w:t>(Castaño, Martín, &amp; Martínez, 2009: 51</w:t>
      </w:r>
      <w:r>
        <w:rPr>
          <w:noProof/>
        </w:rPr>
        <w:t>)</w:t>
      </w:r>
      <w:r w:rsidR="00EC5378">
        <w:rPr>
          <w:noProof/>
        </w:rPr>
        <w:t xml:space="preserve">. </w:t>
      </w:r>
    </w:p>
    <w:p w:rsidR="00695B81" w:rsidRPr="00695B81" w:rsidRDefault="00695B81" w:rsidP="00695B81">
      <w:pPr>
        <w:pStyle w:val="Prrafodelista"/>
        <w:numPr>
          <w:ilvl w:val="0"/>
          <w:numId w:val="26"/>
        </w:numPr>
        <w:spacing w:line="360" w:lineRule="auto"/>
        <w:jc w:val="both"/>
        <w:rPr>
          <w:b/>
          <w:sz w:val="24"/>
          <w:szCs w:val="24"/>
        </w:rPr>
      </w:pPr>
      <w:proofErr w:type="spellStart"/>
      <w:r w:rsidRPr="00695B81">
        <w:rPr>
          <w:b/>
          <w:sz w:val="24"/>
          <w:szCs w:val="24"/>
        </w:rPr>
        <w:t>Ciberviolencia</w:t>
      </w:r>
      <w:proofErr w:type="spellEnd"/>
      <w:r w:rsidRPr="00695B81">
        <w:rPr>
          <w:b/>
          <w:sz w:val="24"/>
          <w:szCs w:val="24"/>
        </w:rPr>
        <w:t xml:space="preserve"> contra las mujeres, resultado de esa falta de democratización</w:t>
      </w:r>
    </w:p>
    <w:p w:rsidR="00E71DB2" w:rsidRDefault="00A57D64" w:rsidP="00E71DB2">
      <w:pPr>
        <w:spacing w:line="360" w:lineRule="auto"/>
        <w:jc w:val="both"/>
      </w:pPr>
      <w:r>
        <w:t>Teniendo en cuenta lo anterior, en</w:t>
      </w:r>
      <w:r w:rsidR="00AF76CD">
        <w:t xml:space="preserve"> esta comunicación comprendemos que en cualquier espacio en el </w:t>
      </w:r>
      <w:r w:rsidR="00E71DB2" w:rsidRPr="00AF76CD">
        <w:t xml:space="preserve">que se genera la dominación masculina se presenta la violencia contra las mujeres. De hecho, la violencia contra las mujeres es un mecanismo patriarcal que asegura la asimetría de poderes, </w:t>
      </w:r>
      <w:r w:rsidR="00EC5378" w:rsidRPr="00AF76CD">
        <w:t>afirmando</w:t>
      </w:r>
      <w:r w:rsidR="00E71DB2" w:rsidRPr="00AF76CD">
        <w:t xml:space="preserve"> a la masculinidad su poder por encima de la feminidad.</w:t>
      </w:r>
      <w:r w:rsidR="00E71DB2">
        <w:t xml:space="preserve"> </w:t>
      </w:r>
      <w:r w:rsidR="00AF76CD">
        <w:t xml:space="preserve">Así, </w:t>
      </w:r>
      <w:r w:rsidR="00E71DB2">
        <w:t xml:space="preserve">el Gobierno Vasco (2013) señala que las jóvenes tienen más miedo que los chicos jóvenes a sufrir este tipo de acoso, o a que se difundieran imágenes, fotos o videos sobre sí mismas (habitualmente en posturas sensuales, semidesnudas o desnudas). </w:t>
      </w:r>
    </w:p>
    <w:p w:rsidR="00E71DB2" w:rsidRDefault="00E71DB2" w:rsidP="00E71DB2">
      <w:pPr>
        <w:spacing w:line="360" w:lineRule="auto"/>
        <w:jc w:val="both"/>
      </w:pPr>
      <w:r>
        <w:t>El estudio recoge además que a través de estas vías ellas son más insultadas, denigradas por su imagen corporal y acosadas sexualmente, ya que muchas de estas alguna vez en su vida han tenido algún tipo de petición sexual. Así mismo, en el estudio se comenta que existe una normalización del acoso y el control recibido a través de las redes sociales por sus parejas y lo interpretan como un acto “cariñoso” (Gobierno Vasco, 2013:18).</w:t>
      </w:r>
      <w:r w:rsidRPr="007D483D">
        <w:t xml:space="preserve"> </w:t>
      </w:r>
      <w:r>
        <w:t xml:space="preserve">También cabria señalar que a través de los dispositivos móviles las agresiones de control y acoso se potencian, y que en una relación de violencia contra la mujer, pueden ser peligrosas. </w:t>
      </w:r>
    </w:p>
    <w:p w:rsidR="00E71DB2" w:rsidRDefault="00AF76CD" w:rsidP="00E71DB2">
      <w:pPr>
        <w:spacing w:line="360" w:lineRule="auto"/>
        <w:jc w:val="both"/>
      </w:pPr>
      <w:r>
        <w:t xml:space="preserve">En cuanto al tipo de violencias que se han instaurado en las personas adolescentes encontramos terminologías cómo: </w:t>
      </w:r>
      <w:proofErr w:type="spellStart"/>
      <w:r>
        <w:t>ciberbullying</w:t>
      </w:r>
      <w:proofErr w:type="spellEnd"/>
      <w:r>
        <w:t xml:space="preserve"> (como la </w:t>
      </w:r>
      <w:r w:rsidRPr="00684496">
        <w:t>conducta dañina, agresiva e intencionada durante un periodo largo de tiempo a través de los canales digitales</w:t>
      </w:r>
      <w:r>
        <w:t xml:space="preserve">), el </w:t>
      </w:r>
      <w:proofErr w:type="spellStart"/>
      <w:r>
        <w:t>grooming</w:t>
      </w:r>
      <w:proofErr w:type="spellEnd"/>
      <w:r>
        <w:t xml:space="preserve"> (</w:t>
      </w:r>
      <w:r w:rsidR="00AA1F05">
        <w:t xml:space="preserve">el acoso de una persona adulta a una menor de a través de los canales digitales), </w:t>
      </w:r>
      <w:proofErr w:type="spellStart"/>
      <w:r w:rsidR="00AA1F05">
        <w:t>sexting</w:t>
      </w:r>
      <w:proofErr w:type="spellEnd"/>
      <w:r w:rsidR="00AA1F05">
        <w:t xml:space="preserve"> (el envío de fotos, imágenes y videos </w:t>
      </w:r>
      <w:r w:rsidR="00AA1F05" w:rsidRPr="00AA1F05">
        <w:t>de naturaleza sexual, con o sin-existe una laguna terminóloga- consentimiento) (</w:t>
      </w:r>
      <w:proofErr w:type="spellStart"/>
      <w:r w:rsidR="00AA1F05" w:rsidRPr="00AA1F05">
        <w:t>Buelga</w:t>
      </w:r>
      <w:proofErr w:type="spellEnd"/>
      <w:r w:rsidR="00AA1F05" w:rsidRPr="00AA1F05">
        <w:t xml:space="preserve"> y Pons, 2011:91; </w:t>
      </w:r>
      <w:proofErr w:type="spellStart"/>
      <w:r w:rsidR="00AA1F05" w:rsidRPr="00AA1F05">
        <w:t>Buelga</w:t>
      </w:r>
      <w:proofErr w:type="spellEnd"/>
      <w:r w:rsidR="00AA1F05" w:rsidRPr="00AA1F05">
        <w:t xml:space="preserve">, Cava &amp; </w:t>
      </w:r>
      <w:proofErr w:type="spellStart"/>
      <w:r w:rsidR="00AA1F05" w:rsidRPr="00AA1F05">
        <w:t>Musitu</w:t>
      </w:r>
      <w:proofErr w:type="spellEnd"/>
      <w:r w:rsidR="00AA1F05" w:rsidRPr="00AA1F05">
        <w:t>, 2010; Delegación del Gobierno para la Violencia de Género 2014, 18; INTENCO, 2013: 21</w:t>
      </w:r>
      <w:r w:rsidR="00AA1F05">
        <w:t xml:space="preserve">-2011; </w:t>
      </w:r>
      <w:proofErr w:type="spellStart"/>
      <w:r w:rsidR="00E71DB2" w:rsidRPr="004578F9">
        <w:t>Lenhart</w:t>
      </w:r>
      <w:proofErr w:type="spellEnd"/>
      <w:r w:rsidR="00E71DB2" w:rsidRPr="004578F9">
        <w:t xml:space="preserve"> 2009; </w:t>
      </w:r>
      <w:proofErr w:type="spellStart"/>
      <w:r w:rsidR="00E71DB2" w:rsidRPr="004578F9">
        <w:t>Strassberg</w:t>
      </w:r>
      <w:proofErr w:type="spellEnd"/>
      <w:r w:rsidR="00E71DB2" w:rsidRPr="004578F9">
        <w:t xml:space="preserve">, y otros </w:t>
      </w:r>
      <w:r w:rsidR="00AA1F05">
        <w:t>,</w:t>
      </w:r>
      <w:r w:rsidR="00E71DB2" w:rsidRPr="004578F9">
        <w:t>2012</w:t>
      </w:r>
      <w:r w:rsidR="00AA1F05">
        <w:t xml:space="preserve">). </w:t>
      </w:r>
      <w:r w:rsidR="00E71DB2" w:rsidRPr="00EB768A">
        <w:t xml:space="preserve"> </w:t>
      </w:r>
    </w:p>
    <w:p w:rsidR="00293CD2" w:rsidRDefault="00293CD2" w:rsidP="00AF76CD">
      <w:pPr>
        <w:autoSpaceDE w:val="0"/>
        <w:autoSpaceDN w:val="0"/>
        <w:adjustRightInd w:val="0"/>
        <w:spacing w:after="0" w:line="360" w:lineRule="auto"/>
        <w:jc w:val="both"/>
        <w:rPr>
          <w:rFonts w:eastAsiaTheme="minorEastAsia" w:cs="Arial"/>
          <w:lang w:eastAsia="es-ES"/>
        </w:rPr>
      </w:pPr>
      <w:r>
        <w:rPr>
          <w:rFonts w:eastAsiaTheme="minorEastAsia" w:cs="Arial"/>
          <w:lang w:eastAsia="es-ES"/>
        </w:rPr>
        <w:lastRenderedPageBreak/>
        <w:t>Con el fin de aunar estas terminologías y dotarle una perspectiva de género, y consultando la L</w:t>
      </w:r>
      <w:r w:rsidR="00E71DB2" w:rsidRPr="006E6715">
        <w:rPr>
          <w:rFonts w:eastAsiaTheme="minorEastAsia" w:cs="Arial"/>
          <w:lang w:eastAsia="es-ES"/>
        </w:rPr>
        <w:t>ey Orgánica 3/2007, de 22 de marzo, para la igualdad efectiva de mujeres y hombres,</w:t>
      </w:r>
      <w:r>
        <w:rPr>
          <w:rFonts w:eastAsiaTheme="minorEastAsia" w:cs="Arial"/>
          <w:lang w:eastAsia="es-ES"/>
        </w:rPr>
        <w:t xml:space="preserve"> para conocer las diferencias entre acoso sexual y acoso sexista</w:t>
      </w:r>
      <w:r>
        <w:rPr>
          <w:rStyle w:val="Refdenotaalpie"/>
          <w:rFonts w:eastAsiaTheme="minorEastAsia" w:cs="Arial"/>
          <w:lang w:eastAsia="es-ES"/>
        </w:rPr>
        <w:footnoteReference w:id="6"/>
      </w:r>
      <w:r>
        <w:rPr>
          <w:rFonts w:eastAsiaTheme="minorEastAsia" w:cs="Arial"/>
          <w:lang w:eastAsia="es-ES"/>
        </w:rPr>
        <w:t xml:space="preserve">, se aporta una terminología lejos de acepciones anglosajonas y de terminologías compleja, se hace un símil de los acosos recogidos en la Ley, </w:t>
      </w:r>
      <w:r w:rsidR="00A57D64">
        <w:rPr>
          <w:rFonts w:eastAsiaTheme="minorEastAsia" w:cs="Arial"/>
          <w:lang w:eastAsia="es-ES"/>
        </w:rPr>
        <w:t>pudiendo</w:t>
      </w:r>
      <w:r>
        <w:rPr>
          <w:rFonts w:eastAsiaTheme="minorEastAsia" w:cs="Arial"/>
          <w:lang w:eastAsia="es-ES"/>
        </w:rPr>
        <w:t xml:space="preserve"> hablar de un </w:t>
      </w:r>
      <w:proofErr w:type="spellStart"/>
      <w:r>
        <w:rPr>
          <w:rFonts w:eastAsiaTheme="minorEastAsia" w:cs="Arial"/>
          <w:lang w:eastAsia="es-ES"/>
        </w:rPr>
        <w:t>ciberacoso</w:t>
      </w:r>
      <w:proofErr w:type="spellEnd"/>
      <w:r>
        <w:rPr>
          <w:rFonts w:eastAsiaTheme="minorEastAsia" w:cs="Arial"/>
          <w:lang w:eastAsia="es-ES"/>
        </w:rPr>
        <w:t xml:space="preserve"> sexual y sexista. </w:t>
      </w:r>
    </w:p>
    <w:p w:rsidR="00AF76CD" w:rsidRPr="0036382C" w:rsidRDefault="00E71DB2" w:rsidP="00AF76CD">
      <w:pPr>
        <w:autoSpaceDE w:val="0"/>
        <w:autoSpaceDN w:val="0"/>
        <w:adjustRightInd w:val="0"/>
        <w:spacing w:after="0" w:line="360" w:lineRule="auto"/>
        <w:jc w:val="both"/>
        <w:rPr>
          <w:rFonts w:eastAsiaTheme="minorEastAsia" w:cs="Arial"/>
          <w:lang w:eastAsia="es-ES"/>
        </w:rPr>
      </w:pPr>
      <w:r w:rsidRPr="006E6715">
        <w:rPr>
          <w:rFonts w:eastAsiaTheme="minorEastAsia" w:cs="Arial"/>
          <w:lang w:eastAsia="es-ES"/>
        </w:rPr>
        <w:t xml:space="preserve"> </w:t>
      </w:r>
    </w:p>
    <w:p w:rsidR="00E71DB2" w:rsidRPr="00A57D64" w:rsidRDefault="00293CD2" w:rsidP="00A57D64">
      <w:pPr>
        <w:spacing w:line="360" w:lineRule="auto"/>
        <w:jc w:val="both"/>
      </w:pPr>
      <w:r>
        <w:rPr>
          <w:rFonts w:eastAsiaTheme="minorEastAsia" w:cs="Arial"/>
          <w:lang w:eastAsia="es-ES"/>
        </w:rPr>
        <w:t xml:space="preserve">De esta manera, el </w:t>
      </w:r>
      <w:proofErr w:type="spellStart"/>
      <w:r w:rsidR="00E71DB2">
        <w:t>ciberacoso</w:t>
      </w:r>
      <w:proofErr w:type="spellEnd"/>
      <w:r w:rsidR="00E71DB2">
        <w:t xml:space="preserve"> sexista o por razón de sexo, podría abarcar </w:t>
      </w:r>
      <w:r>
        <w:t xml:space="preserve">todas aquellas </w:t>
      </w:r>
      <w:r w:rsidR="00E71DB2">
        <w:t xml:space="preserve">actitudes, comportamientos, </w:t>
      </w:r>
      <w:r>
        <w:t xml:space="preserve">o </w:t>
      </w:r>
      <w:r w:rsidR="00E71DB2">
        <w:t>comentarios</w:t>
      </w:r>
      <w:r w:rsidR="002F640F">
        <w:t xml:space="preserve"> establecidos en las TIC</w:t>
      </w:r>
      <w:r w:rsidR="00E71DB2">
        <w:t xml:space="preserve"> que tuvieran como fondo estereotipos de género. Como pudieran ser: todas aquellas agresiones que están dirigidas a su imagen corporal, insultos y reproducción de estereotipos de género e imágenes sexistas (pongamos por ejemplo, las imágenes sexistas que se puedan colgar en alguna res que denigra a la muj</w:t>
      </w:r>
      <w:r w:rsidR="00A57D64">
        <w:t xml:space="preserve">er, por su condición de sexo). </w:t>
      </w:r>
      <w:r w:rsidR="00E71DB2">
        <w:t xml:space="preserve">Así mismo, </w:t>
      </w:r>
      <w:r w:rsidR="00E71DB2" w:rsidRPr="00F33B90">
        <w:t>cabría introducir, como se apuntaba por el estudio elaborado por Gobierno Vasco (2013:18)</w:t>
      </w:r>
      <w:r w:rsidR="00A57D64">
        <w:t xml:space="preserve">, </w:t>
      </w:r>
      <w:r w:rsidR="00A57D64" w:rsidRPr="00A57D64">
        <w:t xml:space="preserve">Delegación del Gobierno para la Violencia de Género </w:t>
      </w:r>
      <w:r w:rsidR="00A57D64">
        <w:t>(</w:t>
      </w:r>
      <w:r w:rsidR="00A57D64" w:rsidRPr="00A57D64">
        <w:t>2014</w:t>
      </w:r>
      <w:r w:rsidR="00A57D64">
        <w:t>)</w:t>
      </w:r>
      <w:r w:rsidR="00A57D64" w:rsidRPr="00A57D64">
        <w:t xml:space="preserve">, </w:t>
      </w:r>
      <w:r w:rsidR="00E71DB2">
        <w:t xml:space="preserve">y Ruiz (2014) </w:t>
      </w:r>
      <w:r w:rsidR="00E71DB2" w:rsidRPr="00F33B90">
        <w:t>el acoso y el control a través de las redes sociales y dispositivos móviles por sus parejas, lo que podríamos deno</w:t>
      </w:r>
      <w:r w:rsidR="00A57D64">
        <w:t xml:space="preserve">minar como el </w:t>
      </w:r>
      <w:proofErr w:type="spellStart"/>
      <w:r w:rsidR="00A57D64">
        <w:t>cibercontrol</w:t>
      </w:r>
      <w:proofErr w:type="spellEnd"/>
      <w:r w:rsidR="00A57D64">
        <w:t xml:space="preserve">. </w:t>
      </w:r>
      <w:r w:rsidR="00E71DB2">
        <w:t xml:space="preserve"> </w:t>
      </w:r>
    </w:p>
    <w:p w:rsidR="00E71DB2" w:rsidRDefault="00E71DB2" w:rsidP="00E71DB2">
      <w:pPr>
        <w:spacing w:line="360" w:lineRule="auto"/>
        <w:jc w:val="both"/>
      </w:pPr>
      <w:r>
        <w:t xml:space="preserve">Mientras que el </w:t>
      </w:r>
      <w:proofErr w:type="spellStart"/>
      <w:r>
        <w:t>ciberacoso</w:t>
      </w:r>
      <w:proofErr w:type="spellEnd"/>
      <w:r>
        <w:t xml:space="preserve"> sexual sería: todas aquellas actitudes, comportamientos, comentarios</w:t>
      </w:r>
      <w:r w:rsidR="002F640F">
        <w:t xml:space="preserve"> desarrollados en las TIC,</w:t>
      </w:r>
      <w:bookmarkStart w:id="0" w:name="_GoBack"/>
      <w:bookmarkEnd w:id="0"/>
      <w:r>
        <w:t xml:space="preserve"> que tuvieran como de naturaleza sexual que </w:t>
      </w:r>
      <w:r w:rsidRPr="006E6715">
        <w:rPr>
          <w:rFonts w:eastAsiaTheme="minorEastAsia" w:cs="Arial"/>
          <w:lang w:eastAsia="es-ES"/>
        </w:rPr>
        <w:t xml:space="preserve">produzca el efecto de atentar contra la dignidad de una </w:t>
      </w:r>
      <w:r>
        <w:rPr>
          <w:rFonts w:eastAsiaTheme="minorEastAsia" w:cs="Arial"/>
          <w:lang w:eastAsia="es-ES"/>
        </w:rPr>
        <w:t>chica</w:t>
      </w:r>
      <w:r w:rsidRPr="006E6715">
        <w:rPr>
          <w:rFonts w:eastAsiaTheme="minorEastAsia" w:cs="Arial"/>
          <w:lang w:eastAsia="es-ES"/>
        </w:rPr>
        <w:t>, en particular cuando se crea un entorno intimidatorio, degradante u ofensivo</w:t>
      </w:r>
      <w:r>
        <w:rPr>
          <w:rFonts w:eastAsiaTheme="minorEastAsia" w:cs="Arial"/>
          <w:lang w:eastAsia="es-ES"/>
        </w:rPr>
        <w:t xml:space="preserve">, por ejemplo </w:t>
      </w:r>
      <w:r>
        <w:t xml:space="preserve">envío y difusión de fotos, y videos de su intimidad sin </w:t>
      </w:r>
      <w:r w:rsidR="00293CD2">
        <w:t xml:space="preserve">el consentimiento de la joven. </w:t>
      </w:r>
      <w:r>
        <w:t xml:space="preserve">Para poder visualizar todos los términos trabajados y los que se han apuntado se </w:t>
      </w:r>
    </w:p>
    <w:p w:rsidR="009D65DF" w:rsidRDefault="00A57D64" w:rsidP="00E71DB2">
      <w:pPr>
        <w:spacing w:line="360" w:lineRule="auto"/>
        <w:jc w:val="both"/>
      </w:pPr>
      <w:r>
        <w:t>No obstante,</w:t>
      </w:r>
      <w:r w:rsidR="00E71DB2" w:rsidRPr="00E65FB4">
        <w:t xml:space="preserve"> como se comenta en el informe realizado po</w:t>
      </w:r>
      <w:r w:rsidR="00E71DB2">
        <w:t xml:space="preserve">r </w:t>
      </w:r>
      <w:r w:rsidR="00E71DB2" w:rsidRPr="00E65FB4">
        <w:t>Delegación del Gobier</w:t>
      </w:r>
      <w:r w:rsidR="00E71DB2">
        <w:t>no para la Violencia de Género (</w:t>
      </w:r>
      <w:r w:rsidR="00E71DB2" w:rsidRPr="00E65FB4">
        <w:t xml:space="preserve">2014) </w:t>
      </w:r>
      <w:r w:rsidR="00E71DB2">
        <w:t xml:space="preserve">y Ruiz (2014) </w:t>
      </w:r>
      <w:r w:rsidR="00E71DB2" w:rsidRPr="00E65FB4">
        <w:t>es difícil cerrar una lista de acosos y ataques, ya que hay diferentes formas de expresar y utilizar las tecnologías, y con el propio dinamismo tecnológico, se desarrollan nuevas estrategias de acoso y agresión</w:t>
      </w:r>
      <w:r w:rsidR="00E71DB2">
        <w:t>, además que las propias adolescentes no detectan y normalizan las agresiones, y no lo denuncian</w:t>
      </w:r>
      <w:r w:rsidR="00E71DB2" w:rsidRPr="00E65FB4">
        <w:t xml:space="preserve">. </w:t>
      </w:r>
    </w:p>
    <w:p w:rsidR="00695B81" w:rsidRDefault="00695B81" w:rsidP="00E71DB2">
      <w:pPr>
        <w:spacing w:line="360" w:lineRule="auto"/>
        <w:jc w:val="both"/>
      </w:pPr>
    </w:p>
    <w:p w:rsidR="00695B81" w:rsidRDefault="00695B81" w:rsidP="00E71DB2">
      <w:pPr>
        <w:spacing w:line="360" w:lineRule="auto"/>
        <w:jc w:val="both"/>
      </w:pPr>
    </w:p>
    <w:p w:rsidR="00695B81" w:rsidRPr="00695B81" w:rsidRDefault="00695B81" w:rsidP="00695B81">
      <w:pPr>
        <w:pStyle w:val="Prrafodelista"/>
        <w:numPr>
          <w:ilvl w:val="0"/>
          <w:numId w:val="26"/>
        </w:numPr>
        <w:spacing w:line="360" w:lineRule="auto"/>
        <w:jc w:val="both"/>
        <w:rPr>
          <w:b/>
          <w:sz w:val="24"/>
          <w:szCs w:val="24"/>
        </w:rPr>
      </w:pPr>
      <w:r w:rsidRPr="00695B81">
        <w:rPr>
          <w:b/>
          <w:sz w:val="24"/>
          <w:szCs w:val="24"/>
        </w:rPr>
        <w:lastRenderedPageBreak/>
        <w:t xml:space="preserve">Una propuesta diferente y </w:t>
      </w:r>
      <w:proofErr w:type="spellStart"/>
      <w:r w:rsidRPr="00695B81">
        <w:rPr>
          <w:b/>
          <w:sz w:val="24"/>
          <w:szCs w:val="24"/>
        </w:rPr>
        <w:t>ciberfeminista</w:t>
      </w:r>
      <w:proofErr w:type="spellEnd"/>
      <w:r w:rsidRPr="00695B81">
        <w:rPr>
          <w:b/>
          <w:sz w:val="24"/>
          <w:szCs w:val="24"/>
        </w:rPr>
        <w:t xml:space="preserve"> para la democratización </w:t>
      </w:r>
      <w:r w:rsidR="005776D6">
        <w:rPr>
          <w:b/>
          <w:sz w:val="24"/>
          <w:szCs w:val="24"/>
        </w:rPr>
        <w:t>digital</w:t>
      </w:r>
    </w:p>
    <w:p w:rsidR="00E71DB2" w:rsidRPr="006F6C87" w:rsidRDefault="00E71DB2" w:rsidP="00E71DB2">
      <w:pPr>
        <w:spacing w:line="360" w:lineRule="auto"/>
        <w:jc w:val="both"/>
      </w:pPr>
      <w:r w:rsidRPr="006F6C87">
        <w:t xml:space="preserve">Nos enfrentamos ante un problema estructural, y sobrepasarlo, como comentan Merchán (2014) y  </w:t>
      </w:r>
      <w:r w:rsidRPr="006F6C87">
        <w:rPr>
          <w:noProof/>
        </w:rPr>
        <w:t>Castaño, Martín, &amp; Martínez (2009: 145)</w:t>
      </w:r>
      <w:r w:rsidRPr="006F6C87">
        <w:t xml:space="preserve">, es difícil. Debemos </w:t>
      </w:r>
      <w:proofErr w:type="spellStart"/>
      <w:r w:rsidRPr="006F6C87">
        <w:t>deconstruir</w:t>
      </w:r>
      <w:proofErr w:type="spellEnd"/>
      <w:r w:rsidRPr="006F6C87">
        <w:t xml:space="preserve"> lo construido, elaborar nuevas experiencias, nuevos formatos, nuevos discursos que desmitifiquen lo impuesto desde el sistema patriarcal. Un traspaso de información y formación diferente que no validen el androcentrismo y el machismo. Estamos hablando de una educación diferente, o como dicen las fuentes seña</w:t>
      </w:r>
      <w:r>
        <w:t xml:space="preserve">ladas, una “digital </w:t>
      </w:r>
      <w:proofErr w:type="spellStart"/>
      <w:r>
        <w:t>literacy</w:t>
      </w:r>
      <w:proofErr w:type="spellEnd"/>
      <w:r>
        <w:t>”, y</w:t>
      </w:r>
      <w:r w:rsidRPr="006F6C87">
        <w:t xml:space="preserve"> lo que en castellano denominamos como una alfabetización digital. </w:t>
      </w:r>
    </w:p>
    <w:p w:rsidR="00B42600" w:rsidRDefault="00B42600" w:rsidP="00E71DB2">
      <w:pPr>
        <w:spacing w:line="360" w:lineRule="auto"/>
        <w:jc w:val="both"/>
      </w:pPr>
      <w:r>
        <w:t xml:space="preserve">De este modo, se quiere adoptar una </w:t>
      </w:r>
      <w:r w:rsidR="00E71DB2" w:rsidRPr="00A958A8">
        <w:t>mirada más positiva, que aporte soluciones, y propuestas para poder sobrepasar estas brechas, ya que se parte de la perspectiva que las TIC del mismo modo que aumenta situaciones de riesgo, pueden ser instrumentos de cambio y reivindicación. De tal manera, que la educación, o en este caso la alfabetización digital, en este espacio no quiere</w:t>
      </w:r>
      <w:r w:rsidR="00E71DB2">
        <w:t xml:space="preserve"> ser percibid</w:t>
      </w:r>
      <w:r w:rsidR="00E71DB2" w:rsidRPr="00A958A8">
        <w:t>a</w:t>
      </w:r>
      <w:r w:rsidR="00E71DB2">
        <w:t xml:space="preserve"> exclusivamente</w:t>
      </w:r>
      <w:r w:rsidR="00E71DB2" w:rsidRPr="00A958A8">
        <w:t xml:space="preserve"> como el traspaso del conocimiento de </w:t>
      </w:r>
      <w:r w:rsidR="00E71DB2" w:rsidRPr="00925DD9">
        <w:t>técnicas básicas para el uso de las TIC, indispensable por otro</w:t>
      </w:r>
      <w:r w:rsidR="00A57D64">
        <w:t xml:space="preserve"> lado para nuestra vida diaria </w:t>
      </w:r>
      <w:r w:rsidR="00E71DB2">
        <w:t>(</w:t>
      </w:r>
      <w:proofErr w:type="spellStart"/>
      <w:r w:rsidR="00E71DB2">
        <w:t>Milic</w:t>
      </w:r>
      <w:proofErr w:type="spellEnd"/>
      <w:r w:rsidR="00E71DB2">
        <w:t xml:space="preserve"> &amp; </w:t>
      </w:r>
      <w:proofErr w:type="spellStart"/>
      <w:r w:rsidR="00E71DB2">
        <w:t>Skoric</w:t>
      </w:r>
      <w:proofErr w:type="spellEnd"/>
      <w:r w:rsidR="00E71DB2">
        <w:t>, 2010</w:t>
      </w:r>
      <w:r>
        <w:t xml:space="preserve">: </w:t>
      </w:r>
      <w:proofErr w:type="spellStart"/>
      <w:r>
        <w:t>Merchan</w:t>
      </w:r>
      <w:proofErr w:type="spellEnd"/>
      <w:r>
        <w:t>, 2014</w:t>
      </w:r>
      <w:r w:rsidR="00E71DB2">
        <w:t>); sino que</w:t>
      </w:r>
      <w:r w:rsidR="00E71DB2" w:rsidRPr="00925DD9">
        <w:t xml:space="preserve"> también como un papel crucial en la superación del sexismo y la violencia de género (Díaz-Aguado &amp; Ca</w:t>
      </w:r>
      <w:r>
        <w:t xml:space="preserve">rbajal, 2011: 387). </w:t>
      </w:r>
    </w:p>
    <w:p w:rsidR="00E71DB2" w:rsidRDefault="00B42600" w:rsidP="00E71DB2">
      <w:pPr>
        <w:spacing w:line="360" w:lineRule="auto"/>
        <w:jc w:val="both"/>
      </w:pPr>
      <w:r>
        <w:t>Por otro lado, quiere ver a la</w:t>
      </w:r>
      <w:r w:rsidR="00E71DB2" w:rsidRPr="00925DD9">
        <w:t xml:space="preserve"> educación </w:t>
      </w:r>
      <w:r>
        <w:t>como  un elemento clave</w:t>
      </w:r>
      <w:r w:rsidR="00E71DB2" w:rsidRPr="00925DD9">
        <w:t xml:space="preserve"> para erradicar el sexismo, la sensibilización y la prevención. Se q</w:t>
      </w:r>
      <w:r w:rsidR="00E71DB2">
        <w:t>uiere considerar a la educación</w:t>
      </w:r>
      <w:r w:rsidR="00E71DB2" w:rsidRPr="00925DD9">
        <w:t xml:space="preserve"> como un</w:t>
      </w:r>
      <w:r w:rsidR="00E71DB2">
        <w:t>a</w:t>
      </w:r>
      <w:r w:rsidR="00E71DB2" w:rsidRPr="00925DD9">
        <w:t xml:space="preserve"> estrategia potente </w:t>
      </w:r>
      <w:r w:rsidR="00E71DB2">
        <w:t>orientada a la</w:t>
      </w:r>
      <w:r w:rsidR="00E71DB2" w:rsidRPr="00925DD9">
        <w:t xml:space="preserve"> democratización de derechos tecnológicos desde diferentes niveles educativos, para garantizar la ciudadanía plena y participación igualitaria de </w:t>
      </w:r>
      <w:r w:rsidR="00E71DB2">
        <w:t>la misma dentro de Internet; y pudiendo prevenir</w:t>
      </w:r>
      <w:r w:rsidR="00E71DB2">
        <w:rPr>
          <w:rStyle w:val="Refdenotaalpie"/>
        </w:rPr>
        <w:footnoteReference w:id="7"/>
      </w:r>
      <w:r w:rsidR="00E71DB2">
        <w:t xml:space="preserve"> al mismo y tiempo situaciones de riesgo, y la creación de las brechas digitales de género (</w:t>
      </w:r>
      <w:r w:rsidR="00C973BE">
        <w:t xml:space="preserve">Díaz, 2001; </w:t>
      </w:r>
      <w:r w:rsidR="00E71DB2">
        <w:t>I</w:t>
      </w:r>
      <w:r w:rsidR="00C973BE">
        <w:t xml:space="preserve">NTENCO, 2009; </w:t>
      </w:r>
      <w:r w:rsidR="00E71DB2">
        <w:t xml:space="preserve"> </w:t>
      </w:r>
      <w:proofErr w:type="spellStart"/>
      <w:r w:rsidR="00C973BE">
        <w:t>Milic</w:t>
      </w:r>
      <w:proofErr w:type="spellEnd"/>
      <w:r w:rsidR="00C973BE">
        <w:t xml:space="preserve"> &amp; </w:t>
      </w:r>
      <w:proofErr w:type="spellStart"/>
      <w:r w:rsidR="00C973BE">
        <w:t>Skoric</w:t>
      </w:r>
      <w:proofErr w:type="spellEnd"/>
      <w:r w:rsidR="00C973BE">
        <w:t xml:space="preserve">, </w:t>
      </w:r>
      <w:r w:rsidR="00C973BE" w:rsidRPr="00535FF4">
        <w:t>2010</w:t>
      </w:r>
      <w:r w:rsidR="00C973BE">
        <w:t xml:space="preserve">; </w:t>
      </w:r>
      <w:proofErr w:type="spellStart"/>
      <w:r w:rsidR="00C973BE">
        <w:t>Veikeri</w:t>
      </w:r>
      <w:proofErr w:type="spellEnd"/>
      <w:r w:rsidR="00C973BE">
        <w:t xml:space="preserve">, </w:t>
      </w:r>
      <w:r w:rsidR="00C973BE" w:rsidRPr="006D211B">
        <w:t>2010</w:t>
      </w:r>
      <w:r w:rsidR="00C973BE">
        <w:t xml:space="preserve">; Zafra, </w:t>
      </w:r>
      <w:r w:rsidRPr="00FC6902">
        <w:t>2004, 33)</w:t>
      </w:r>
      <w:r w:rsidR="00C973BE">
        <w:t xml:space="preserve">. </w:t>
      </w:r>
      <w:r w:rsidRPr="00670FD2">
        <w:t xml:space="preserve"> </w:t>
      </w:r>
    </w:p>
    <w:p w:rsidR="00E71DB2" w:rsidRDefault="00C973BE" w:rsidP="00E71DB2">
      <w:pPr>
        <w:spacing w:line="360" w:lineRule="auto"/>
        <w:jc w:val="both"/>
      </w:pPr>
      <w:r>
        <w:t>En esta propuesta educativa se plantea la necesidad de utilizar una</w:t>
      </w:r>
      <w:r w:rsidR="00E71DB2">
        <w:t xml:space="preserve"> estrategia </w:t>
      </w:r>
      <w:proofErr w:type="spellStart"/>
      <w:r w:rsidR="00E71DB2">
        <w:t>ciberfeminista</w:t>
      </w:r>
      <w:proofErr w:type="spellEnd"/>
      <w:r w:rsidR="00E71DB2">
        <w:t xml:space="preserve">, pudiendo recoger esa perspectiva </w:t>
      </w:r>
      <w:proofErr w:type="spellStart"/>
      <w:r w:rsidR="00E71DB2">
        <w:t>t</w:t>
      </w:r>
      <w:r w:rsidR="000C6DCD">
        <w:t>ecnofilica</w:t>
      </w:r>
      <w:proofErr w:type="spellEnd"/>
      <w:r w:rsidR="000C6DCD">
        <w:t xml:space="preserve"> y ver a las T</w:t>
      </w:r>
      <w:r w:rsidR="00E71DB2">
        <w:t xml:space="preserve">IC como herramientas de educación, empoderamiento y proclives para la participación ciudadana y cambio social (Zafra, 2004). Así mismo, como lo harían las </w:t>
      </w:r>
      <w:proofErr w:type="spellStart"/>
      <w:r w:rsidR="00E71DB2">
        <w:t>ciberfeministas</w:t>
      </w:r>
      <w:proofErr w:type="spellEnd"/>
      <w:r w:rsidR="00E71DB2">
        <w:t xml:space="preserve">, esta alfabetización digital crítica buscaría la </w:t>
      </w:r>
      <w:proofErr w:type="spellStart"/>
      <w:r w:rsidR="00E71DB2">
        <w:t>desmantelación</w:t>
      </w:r>
      <w:proofErr w:type="spellEnd"/>
      <w:r w:rsidR="00E71DB2">
        <w:t xml:space="preserve"> y </w:t>
      </w:r>
      <w:proofErr w:type="spellStart"/>
      <w:r w:rsidR="00E71DB2">
        <w:t>desmiticación</w:t>
      </w:r>
      <w:proofErr w:type="spellEnd"/>
      <w:r w:rsidR="00E71DB2">
        <w:t xml:space="preserve"> del vínculo ideológico de poder hegemónico tecnológico. </w:t>
      </w:r>
    </w:p>
    <w:p w:rsidR="00E71DB2" w:rsidRDefault="00C973BE" w:rsidP="00E71DB2">
      <w:pPr>
        <w:spacing w:line="360" w:lineRule="auto"/>
        <w:jc w:val="both"/>
      </w:pPr>
      <w:r>
        <w:lastRenderedPageBreak/>
        <w:t xml:space="preserve">Se propone, así mismo, que las </w:t>
      </w:r>
      <w:r w:rsidR="00E71DB2">
        <w:t>prácticas educativas</w:t>
      </w:r>
      <w:r>
        <w:t xml:space="preserve"> utilicen</w:t>
      </w:r>
      <w:r w:rsidR="00E71DB2">
        <w:t xml:space="preserve"> una práctica </w:t>
      </w:r>
      <w:proofErr w:type="spellStart"/>
      <w:r w:rsidR="00E71DB2">
        <w:t>coeducativa</w:t>
      </w:r>
      <w:proofErr w:type="spellEnd"/>
      <w:r w:rsidR="00E71DB2">
        <w:t xml:space="preserve">, puesto la coeducación </w:t>
      </w:r>
      <w:r w:rsidR="000C6DCD">
        <w:t>es el</w:t>
      </w:r>
      <w:r w:rsidR="00E71DB2">
        <w:t xml:space="preserve"> eje central de la actuación para el sobrepaso de estereotipos, ya que no es una mera una </w:t>
      </w:r>
      <w:r w:rsidR="00E71DB2" w:rsidRPr="00C973BE">
        <w:t xml:space="preserve">trasmisión conocimientos y saberes, sino una pedagogía que suscita el pensamiento </w:t>
      </w:r>
      <w:r w:rsidR="00EF73EB" w:rsidRPr="00C973BE">
        <w:t>crítico (</w:t>
      </w:r>
      <w:proofErr w:type="spellStart"/>
      <w:r w:rsidR="00EF73EB" w:rsidRPr="00C973BE">
        <w:t>Bonal</w:t>
      </w:r>
      <w:proofErr w:type="spellEnd"/>
      <w:r w:rsidR="00EF73EB" w:rsidRPr="00C973BE">
        <w:t xml:space="preserve"> y Ramb</w:t>
      </w:r>
      <w:r w:rsidRPr="00C973BE">
        <w:t xml:space="preserve">la 2001; </w:t>
      </w:r>
      <w:proofErr w:type="spellStart"/>
      <w:r w:rsidR="00E71DB2" w:rsidRPr="00C973BE">
        <w:t>Feminario</w:t>
      </w:r>
      <w:proofErr w:type="spellEnd"/>
      <w:r w:rsidR="00E71DB2" w:rsidRPr="00C973BE">
        <w:t xml:space="preserve"> de </w:t>
      </w:r>
      <w:proofErr w:type="spellStart"/>
      <w:r w:rsidR="00E71DB2" w:rsidRPr="00C973BE">
        <w:t>Alicalte</w:t>
      </w:r>
      <w:proofErr w:type="spellEnd"/>
      <w:r w:rsidR="00E71DB2" w:rsidRPr="00C973BE">
        <w:t>, 2009)</w:t>
      </w:r>
      <w:r w:rsidR="000C6DCD" w:rsidRPr="00C973BE">
        <w:t xml:space="preserve"> </w:t>
      </w:r>
      <w:r w:rsidR="00E71DB2" w:rsidRPr="00C973BE">
        <w:t>Instituto</w:t>
      </w:r>
      <w:r w:rsidR="00E71DB2">
        <w:t xml:space="preserve"> de la Mujer (2008: 16) En otras palabras, la educación impone y dirige, la coeducación democratiza el pensamiento libre, y cree en la ciudadanía integral y los derechos cívicos. (</w:t>
      </w:r>
      <w:proofErr w:type="spellStart"/>
      <w:r w:rsidR="00E71DB2">
        <w:t>Bonal</w:t>
      </w:r>
      <w:proofErr w:type="spellEnd"/>
      <w:r w:rsidR="00E71DB2">
        <w:t xml:space="preserve"> y Rambla 2001). </w:t>
      </w:r>
    </w:p>
    <w:p w:rsidR="00E71DB2" w:rsidRPr="00ED2AAF" w:rsidRDefault="00E71DB2" w:rsidP="00C973BE">
      <w:pPr>
        <w:spacing w:line="360" w:lineRule="auto"/>
        <w:jc w:val="both"/>
      </w:pPr>
      <w:r>
        <w:t>Antes se comentaba que las habilidades digitales configuraban la alfabetización digital. En este caso, no se quiere hablar de habilidades, como habilidades técnicas, sino como habilidades, como exponen Pantallas Amigas (2015), para la vida digital (incluso no digital, ya que el fondo es el mismo) que les permita a las personas adolescentes desarrollar destrezas y aptitudes para</w:t>
      </w:r>
      <w:r w:rsidR="00C973BE">
        <w:t xml:space="preserve"> enfrentar los retos digitales, entendidas estas como </w:t>
      </w:r>
      <w:r w:rsidR="00B86426">
        <w:t>e-habilidades sociales, c</w:t>
      </w:r>
      <w:r w:rsidR="00C973BE">
        <w:t>ognitivas y manejo de emociones, teniendo en cuenta las 10 destrezas de las habilidades para la vida (e</w:t>
      </w:r>
      <w:r>
        <w:t>l autoconocimiento</w:t>
      </w:r>
      <w:r w:rsidR="00C973BE">
        <w:t>, l</w:t>
      </w:r>
      <w:r>
        <w:t>a empatía</w:t>
      </w:r>
      <w:r w:rsidR="00C973BE">
        <w:t>, l</w:t>
      </w:r>
      <w:r>
        <w:t>a comunicación asertiva</w:t>
      </w:r>
      <w:r w:rsidR="00C973BE">
        <w:t>, l</w:t>
      </w:r>
      <w:r>
        <w:t>as relaciones interpersonales</w:t>
      </w:r>
      <w:r w:rsidR="00C973BE">
        <w:t>, l</w:t>
      </w:r>
      <w:r>
        <w:t>a toma de decisiones</w:t>
      </w:r>
      <w:r w:rsidR="00C973BE">
        <w:t>, l</w:t>
      </w:r>
      <w:r>
        <w:t>a solución de problemas y conflictos</w:t>
      </w:r>
      <w:r w:rsidR="00C973BE">
        <w:t>, el pensamiento creativo, e</w:t>
      </w:r>
      <w:r>
        <w:t>l pensamiento crítico</w:t>
      </w:r>
      <w:r w:rsidR="00C973BE">
        <w:t>, e</w:t>
      </w:r>
      <w:r>
        <w:t>l manejo de emociones y sentimientos</w:t>
      </w:r>
      <w:r w:rsidR="00C973BE">
        <w:t>,</w:t>
      </w:r>
      <w:r w:rsidRPr="00ED2AAF">
        <w:t xml:space="preserve"> el manejo de las tensiones y el estrés</w:t>
      </w:r>
      <w:r w:rsidR="00C973BE">
        <w:t>).</w:t>
      </w:r>
    </w:p>
    <w:p w:rsidR="00C973BE" w:rsidRDefault="00E71DB2" w:rsidP="00C973BE">
      <w:pPr>
        <w:autoSpaceDE w:val="0"/>
        <w:autoSpaceDN w:val="0"/>
        <w:adjustRightInd w:val="0"/>
        <w:spacing w:after="0" w:line="360" w:lineRule="auto"/>
        <w:jc w:val="both"/>
      </w:pPr>
      <w:r w:rsidRPr="00ED2AAF">
        <w:rPr>
          <w:rFonts w:cs="TT15Ct00"/>
        </w:rPr>
        <w:t xml:space="preserve">Una vez alcanzado este punto, lo que se establece en esta </w:t>
      </w:r>
      <w:r w:rsidR="002F640F">
        <w:rPr>
          <w:rFonts w:cs="TT15Ct00"/>
        </w:rPr>
        <w:t xml:space="preserve">comunicación </w:t>
      </w:r>
      <w:r w:rsidRPr="00ED2AAF">
        <w:rPr>
          <w:rFonts w:cs="TT15Ct00"/>
        </w:rPr>
        <w:t xml:space="preserve">es que la </w:t>
      </w:r>
      <w:proofErr w:type="spellStart"/>
      <w:r w:rsidRPr="00ED2AAF">
        <w:rPr>
          <w:rFonts w:cs="TT15Ct00"/>
        </w:rPr>
        <w:t>aflabetización</w:t>
      </w:r>
      <w:proofErr w:type="spellEnd"/>
      <w:r w:rsidRPr="00ED2AAF">
        <w:rPr>
          <w:rFonts w:cs="TT15Ct00"/>
        </w:rPr>
        <w:t xml:space="preserve"> digital crítica que utiliza una estrategia </w:t>
      </w:r>
      <w:proofErr w:type="spellStart"/>
      <w:r w:rsidRPr="00ED2AAF">
        <w:rPr>
          <w:rFonts w:cs="TT15Ct00"/>
        </w:rPr>
        <w:t>ciberfeminista</w:t>
      </w:r>
      <w:proofErr w:type="spellEnd"/>
      <w:r w:rsidRPr="00ED2AAF">
        <w:rPr>
          <w:rFonts w:cs="TT15Ct00"/>
        </w:rPr>
        <w:t xml:space="preserve">, y una pedagogía </w:t>
      </w:r>
      <w:proofErr w:type="spellStart"/>
      <w:r w:rsidRPr="00ED2AAF">
        <w:rPr>
          <w:rFonts w:cs="TT15Ct00"/>
        </w:rPr>
        <w:t>coeducativa</w:t>
      </w:r>
      <w:proofErr w:type="spellEnd"/>
      <w:r w:rsidRPr="00ED2AAF">
        <w:rPr>
          <w:rFonts w:cs="TT15Ct00"/>
        </w:rPr>
        <w:t xml:space="preserve"> a través de </w:t>
      </w:r>
      <w:proofErr w:type="gramStart"/>
      <w:r w:rsidRPr="00ED2AAF">
        <w:rPr>
          <w:rFonts w:cs="TT15Ct00"/>
        </w:rPr>
        <w:t>las e-habilidades</w:t>
      </w:r>
      <w:proofErr w:type="gramEnd"/>
      <w:r w:rsidRPr="00ED2AAF">
        <w:rPr>
          <w:rFonts w:cs="TT15Ct00"/>
        </w:rPr>
        <w:t xml:space="preserve"> de la vida digital, podría desarmar las brechas digitales instauradas y la prevención del </w:t>
      </w:r>
      <w:proofErr w:type="spellStart"/>
      <w:r w:rsidRPr="00ED2AAF">
        <w:rPr>
          <w:rFonts w:cs="TT15Ct00"/>
        </w:rPr>
        <w:t>ciberacoso</w:t>
      </w:r>
      <w:proofErr w:type="spellEnd"/>
      <w:r w:rsidRPr="00ED2AAF">
        <w:rPr>
          <w:rFonts w:cs="TT15Ct00"/>
        </w:rPr>
        <w:t xml:space="preserve"> sexual y sexista en concreto. Con ello, se busca informar, e formar sobre las brechas digitales y las situaciones de riesgo, pero que a su vez esté lejos de prohibiciones, control o enjuiciamientos negativos, ya que, se comprender que las TRIC pueden ser herramientas </w:t>
      </w:r>
      <w:proofErr w:type="spellStart"/>
      <w:r w:rsidRPr="00ED2AAF">
        <w:rPr>
          <w:rFonts w:cs="TT15Ct00"/>
        </w:rPr>
        <w:t>coeducativas</w:t>
      </w:r>
      <w:proofErr w:type="spellEnd"/>
      <w:r w:rsidRPr="00ED2AAF">
        <w:rPr>
          <w:rFonts w:cs="TT15Ct00"/>
        </w:rPr>
        <w:t xml:space="preserve"> que cambien l</w:t>
      </w:r>
      <w:r>
        <w:rPr>
          <w:rFonts w:cs="TT15Ct00"/>
        </w:rPr>
        <w:t xml:space="preserve">os espacios digitales sexistas. Esta propuesta </w:t>
      </w:r>
      <w:proofErr w:type="spellStart"/>
      <w:r>
        <w:rPr>
          <w:rFonts w:cs="TT15Ct00"/>
        </w:rPr>
        <w:t>coeducaiva</w:t>
      </w:r>
      <w:proofErr w:type="spellEnd"/>
      <w:r>
        <w:rPr>
          <w:rFonts w:cs="TT15Ct00"/>
        </w:rPr>
        <w:t xml:space="preserve"> buscaría una convivencia de las personas adolescentes en el ciberespacio  más sana y más </w:t>
      </w:r>
      <w:r w:rsidRPr="00ED2AAF">
        <w:rPr>
          <w:rFonts w:cs="TT15Ct00"/>
        </w:rPr>
        <w:t>clar</w:t>
      </w:r>
      <w:r>
        <w:rPr>
          <w:rFonts w:cs="TT15Ct00"/>
        </w:rPr>
        <w:t>a</w:t>
      </w:r>
      <w:r w:rsidRPr="00ED2AAF">
        <w:rPr>
          <w:rFonts w:cs="TT15Ct00"/>
        </w:rPr>
        <w:t xml:space="preserve">, </w:t>
      </w:r>
      <w:r>
        <w:rPr>
          <w:rFonts w:cs="TT15Ct00"/>
        </w:rPr>
        <w:t xml:space="preserve">que pudieran ver a través de otras gafas </w:t>
      </w:r>
      <w:r w:rsidR="00C973BE">
        <w:rPr>
          <w:rFonts w:cs="TT15Ct00"/>
        </w:rPr>
        <w:t xml:space="preserve">para promover un cambio. </w:t>
      </w:r>
      <w:r>
        <w:t xml:space="preserve"> (Rubio, 2012:119)</w:t>
      </w:r>
      <w:r w:rsidRPr="00B01D93">
        <w:t xml:space="preserve">. </w:t>
      </w:r>
      <w:r w:rsidR="00C973BE">
        <w:t xml:space="preserve">Con el fin de plasmar de manera esquemática lo que se propone se elabora el siguiente esquema: </w:t>
      </w:r>
    </w:p>
    <w:p w:rsidR="00695B81" w:rsidRDefault="00695B81" w:rsidP="00C973BE">
      <w:pPr>
        <w:autoSpaceDE w:val="0"/>
        <w:autoSpaceDN w:val="0"/>
        <w:adjustRightInd w:val="0"/>
        <w:spacing w:after="0" w:line="360" w:lineRule="auto"/>
        <w:jc w:val="both"/>
      </w:pPr>
    </w:p>
    <w:p w:rsidR="00695B81" w:rsidRDefault="00695B81" w:rsidP="00C973BE">
      <w:pPr>
        <w:autoSpaceDE w:val="0"/>
        <w:autoSpaceDN w:val="0"/>
        <w:adjustRightInd w:val="0"/>
        <w:spacing w:after="0" w:line="360" w:lineRule="auto"/>
        <w:jc w:val="both"/>
      </w:pPr>
    </w:p>
    <w:p w:rsidR="00695B81" w:rsidRDefault="00695B81" w:rsidP="00C973BE">
      <w:pPr>
        <w:autoSpaceDE w:val="0"/>
        <w:autoSpaceDN w:val="0"/>
        <w:adjustRightInd w:val="0"/>
        <w:spacing w:after="0" w:line="360" w:lineRule="auto"/>
        <w:jc w:val="both"/>
      </w:pPr>
    </w:p>
    <w:p w:rsidR="005776D6" w:rsidRDefault="005776D6" w:rsidP="00C973BE">
      <w:pPr>
        <w:autoSpaceDE w:val="0"/>
        <w:autoSpaceDN w:val="0"/>
        <w:adjustRightInd w:val="0"/>
        <w:spacing w:after="0" w:line="360" w:lineRule="auto"/>
        <w:jc w:val="both"/>
      </w:pPr>
    </w:p>
    <w:p w:rsidR="005776D6" w:rsidRDefault="005776D6" w:rsidP="00C973BE">
      <w:pPr>
        <w:autoSpaceDE w:val="0"/>
        <w:autoSpaceDN w:val="0"/>
        <w:adjustRightInd w:val="0"/>
        <w:spacing w:after="0" w:line="360" w:lineRule="auto"/>
        <w:jc w:val="both"/>
      </w:pPr>
    </w:p>
    <w:p w:rsidR="005776D6" w:rsidRPr="00695B81" w:rsidRDefault="005776D6" w:rsidP="00C973BE">
      <w:pPr>
        <w:autoSpaceDE w:val="0"/>
        <w:autoSpaceDN w:val="0"/>
        <w:adjustRightInd w:val="0"/>
        <w:spacing w:after="0" w:line="360" w:lineRule="auto"/>
        <w:jc w:val="both"/>
      </w:pPr>
    </w:p>
    <w:p w:rsidR="00E71DB2" w:rsidRDefault="00F15598" w:rsidP="00E71DB2">
      <w:pPr>
        <w:spacing w:line="360" w:lineRule="auto"/>
        <w:jc w:val="both"/>
      </w:pPr>
      <w:r>
        <w:rPr>
          <w:noProof/>
          <w:lang w:eastAsia="es-ES"/>
        </w:rPr>
        <w:lastRenderedPageBreak/>
        <mc:AlternateContent>
          <mc:Choice Requires="wps">
            <w:drawing>
              <wp:anchor distT="0" distB="0" distL="114300" distR="114300" simplePos="0" relativeHeight="251778048" behindDoc="0" locked="0" layoutInCell="1" allowOverlap="1" wp14:anchorId="20BE017D" wp14:editId="344BDD45">
                <wp:simplePos x="0" y="0"/>
                <wp:positionH relativeFrom="column">
                  <wp:posOffset>94615</wp:posOffset>
                </wp:positionH>
                <wp:positionV relativeFrom="paragraph">
                  <wp:posOffset>-1226</wp:posOffset>
                </wp:positionV>
                <wp:extent cx="3996690" cy="238125"/>
                <wp:effectExtent l="0" t="0" r="3810" b="9525"/>
                <wp:wrapNone/>
                <wp:docPr id="109" name="109 Cuadro de texto"/>
                <wp:cNvGraphicFramePr/>
                <a:graphic xmlns:a="http://schemas.openxmlformats.org/drawingml/2006/main">
                  <a:graphicData uri="http://schemas.microsoft.com/office/word/2010/wordprocessingShape">
                    <wps:wsp>
                      <wps:cNvSpPr txBox="1"/>
                      <wps:spPr>
                        <a:xfrm>
                          <a:off x="0" y="0"/>
                          <a:ext cx="3996690" cy="238125"/>
                        </a:xfrm>
                        <a:prstGeom prst="rect">
                          <a:avLst/>
                        </a:prstGeom>
                        <a:solidFill>
                          <a:prstClr val="white"/>
                        </a:solidFill>
                        <a:ln>
                          <a:noFill/>
                        </a:ln>
                        <a:effectLst/>
                      </wps:spPr>
                      <wps:txbx>
                        <w:txbxContent>
                          <w:p w:rsidR="00E71DB2" w:rsidRPr="005776D6" w:rsidRDefault="00E71DB2" w:rsidP="00E71DB2">
                            <w:pPr>
                              <w:pStyle w:val="Epgrafe"/>
                              <w:rPr>
                                <w:noProof/>
                                <w:color w:val="auto"/>
                                <w:sz w:val="22"/>
                                <w:szCs w:val="22"/>
                              </w:rPr>
                            </w:pPr>
                            <w:r w:rsidRPr="005776D6">
                              <w:rPr>
                                <w:color w:val="auto"/>
                                <w:sz w:val="22"/>
                                <w:szCs w:val="22"/>
                              </w:rPr>
                              <w:t xml:space="preserve">Ilustración </w:t>
                            </w:r>
                            <w:r w:rsidR="005776D6" w:rsidRPr="005776D6">
                              <w:rPr>
                                <w:color w:val="auto"/>
                                <w:sz w:val="22"/>
                                <w:szCs w:val="22"/>
                              </w:rPr>
                              <w:t>3</w:t>
                            </w:r>
                            <w:r w:rsidRPr="005776D6">
                              <w:rPr>
                                <w:color w:val="auto"/>
                                <w:sz w:val="22"/>
                                <w:szCs w:val="22"/>
                              </w:rPr>
                              <w:t xml:space="preserve">. Propuesta </w:t>
                            </w:r>
                            <w:proofErr w:type="spellStart"/>
                            <w:r w:rsidRPr="005776D6">
                              <w:rPr>
                                <w:color w:val="auto"/>
                                <w:sz w:val="22"/>
                                <w:szCs w:val="22"/>
                              </w:rPr>
                              <w:t>coeducativa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09 Cuadro de texto" o:spid="_x0000_s1026" type="#_x0000_t202" style="position:absolute;left:0;text-align:left;margin-left:7.45pt;margin-top:-.1pt;width:314.7pt;height:18.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" stroked="f">
                <v:textbox inset="0,0,0,0">
                  <w:txbxContent>
                    <w:p w:rsidR="00E71DB2" w:rsidRPr="005776D6" w:rsidRDefault="00E71DB2" w:rsidP="00E71DB2">
                      <w:pPr>
                        <w:pStyle w:val="Epgrafe"/>
                        <w:rPr>
                          <w:noProof/>
                          <w:color w:val="auto"/>
                          <w:sz w:val="22"/>
                          <w:szCs w:val="22"/>
                        </w:rPr>
                      </w:pPr>
                      <w:r w:rsidRPr="005776D6">
                        <w:rPr>
                          <w:color w:val="auto"/>
                          <w:sz w:val="22"/>
                          <w:szCs w:val="22"/>
                        </w:rPr>
                        <w:t xml:space="preserve">Ilustración </w:t>
                      </w:r>
                      <w:r w:rsidR="005776D6" w:rsidRPr="005776D6">
                        <w:rPr>
                          <w:color w:val="auto"/>
                          <w:sz w:val="22"/>
                          <w:szCs w:val="22"/>
                        </w:rPr>
                        <w:t>3</w:t>
                      </w:r>
                      <w:r w:rsidRPr="005776D6">
                        <w:rPr>
                          <w:color w:val="auto"/>
                          <w:sz w:val="22"/>
                          <w:szCs w:val="22"/>
                        </w:rPr>
                        <w:t xml:space="preserve">. Propuesta </w:t>
                      </w:r>
                      <w:proofErr w:type="spellStart"/>
                      <w:r w:rsidRPr="005776D6">
                        <w:rPr>
                          <w:color w:val="auto"/>
                          <w:sz w:val="22"/>
                          <w:szCs w:val="22"/>
                        </w:rPr>
                        <w:t>coeducativa</w:t>
                      </w:r>
                      <w:proofErr w:type="spellEnd"/>
                    </w:p>
                  </w:txbxContent>
                </v:textbox>
              </v:shape>
            </w:pict>
          </mc:Fallback>
        </mc:AlternateContent>
      </w:r>
      <w:r>
        <w:rPr>
          <w:noProof/>
          <w:lang w:eastAsia="es-ES"/>
        </w:rPr>
        <mc:AlternateContent>
          <mc:Choice Requires="wps">
            <w:drawing>
              <wp:anchor distT="0" distB="0" distL="114300" distR="114300" simplePos="0" relativeHeight="251774976" behindDoc="0" locked="0" layoutInCell="1" allowOverlap="1" wp14:anchorId="42B02CCB" wp14:editId="7BB33166">
                <wp:simplePos x="0" y="0"/>
                <wp:positionH relativeFrom="column">
                  <wp:posOffset>3955415</wp:posOffset>
                </wp:positionH>
                <wp:positionV relativeFrom="paragraph">
                  <wp:posOffset>-63500</wp:posOffset>
                </wp:positionV>
                <wp:extent cx="1722120" cy="2317750"/>
                <wp:effectExtent l="0" t="0" r="11430" b="25400"/>
                <wp:wrapNone/>
                <wp:docPr id="110" name="110 Elipse"/>
                <wp:cNvGraphicFramePr/>
                <a:graphic xmlns:a="http://schemas.openxmlformats.org/drawingml/2006/main">
                  <a:graphicData uri="http://schemas.microsoft.com/office/word/2010/wordprocessingShape">
                    <wps:wsp>
                      <wps:cNvSpPr/>
                      <wps:spPr>
                        <a:xfrm>
                          <a:off x="0" y="0"/>
                          <a:ext cx="1722120" cy="2317750"/>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110 Elipse" o:spid="_x0000_s1026" style="position:absolute;margin-left:311.45pt;margin-top:-5pt;width:135.6pt;height:182.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" filled="f" strokecolor="#f79646 [3209]" strokeweight="2pt"/>
            </w:pict>
          </mc:Fallback>
        </mc:AlternateContent>
      </w:r>
      <w:r w:rsidR="00E71DB2">
        <w:rPr>
          <w:noProof/>
          <w:lang w:eastAsia="es-ES"/>
        </w:rPr>
        <mc:AlternateContent>
          <mc:Choice Requires="wps">
            <w:drawing>
              <wp:anchor distT="0" distB="0" distL="114300" distR="114300" simplePos="0" relativeHeight="251772928" behindDoc="0" locked="0" layoutInCell="1" allowOverlap="1" wp14:anchorId="247B051A" wp14:editId="1E7F716B">
                <wp:simplePos x="0" y="0"/>
                <wp:positionH relativeFrom="column">
                  <wp:posOffset>4234815</wp:posOffset>
                </wp:positionH>
                <wp:positionV relativeFrom="paragraph">
                  <wp:posOffset>235644</wp:posOffset>
                </wp:positionV>
                <wp:extent cx="1201139" cy="744220"/>
                <wp:effectExtent l="76200" t="38100" r="94615" b="113030"/>
                <wp:wrapNone/>
                <wp:docPr id="111" name="111 Rectángulo redondeado"/>
                <wp:cNvGraphicFramePr/>
                <a:graphic xmlns:a="http://schemas.openxmlformats.org/drawingml/2006/main">
                  <a:graphicData uri="http://schemas.microsoft.com/office/word/2010/wordprocessingShape">
                    <wps:wsp>
                      <wps:cNvSpPr/>
                      <wps:spPr>
                        <a:xfrm>
                          <a:off x="0" y="0"/>
                          <a:ext cx="1201139" cy="744220"/>
                        </a:xfrm>
                        <a:prstGeom prst="roundRect">
                          <a:avLst/>
                        </a:prstGeom>
                        <a:ln/>
                      </wps:spPr>
                      <wps:style>
                        <a:lnRef idx="0">
                          <a:schemeClr val="accent4"/>
                        </a:lnRef>
                        <a:fillRef idx="3">
                          <a:schemeClr val="accent4"/>
                        </a:fillRef>
                        <a:effectRef idx="3">
                          <a:schemeClr val="accent4"/>
                        </a:effectRef>
                        <a:fontRef idx="minor">
                          <a:schemeClr val="lt1"/>
                        </a:fontRef>
                      </wps:style>
                      <wps:txbx>
                        <w:txbxContent>
                          <w:p w:rsidR="00E71DB2" w:rsidRDefault="00E71DB2" w:rsidP="00E71DB2">
                            <w:pPr>
                              <w:jc w:val="center"/>
                            </w:pPr>
                            <w:r>
                              <w:t>Desmontar brechas digitales de género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11 Rectángulo redondeado" o:spid="_x0000_s1027" style="position:absolute;left:0;text-align:left;margin-left:333.45pt;margin-top:18.55pt;width:94.6pt;height:58.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" fillcolor="#413253 [1639]" stroked="f">
                <v:fill color2="#775c99 [3015]" rotate="t" angle="180" colors="0 #5d417e;52429f #7b58a6;1 #7b57a8" focus="100%" type="gradient">
                  <o:fill v:ext="view" type="gradientUnscaled"/>
                </v:fill>
                <v:shadow on="t" color="black" opacity="22937f" origin=",.5" offset="0,.63889mm"/>
                <v:textbox>
                  <w:txbxContent>
                    <w:p w:rsidR="00E71DB2" w:rsidRDefault="00E71DB2" w:rsidP="00E71DB2">
                      <w:pPr>
                        <w:jc w:val="center"/>
                      </w:pPr>
                      <w:r>
                        <w:t>Desmontar brechas digitales de género</w:t>
                      </w:r>
                    </w:p>
                  </w:txbxContent>
                </v:textbox>
              </v:roundrect>
            </w:pict>
          </mc:Fallback>
        </mc:AlternateContent>
      </w:r>
      <w:r w:rsidR="00E71DB2">
        <w:rPr>
          <w:noProof/>
          <w:lang w:eastAsia="es-ES"/>
        </w:rPr>
        <w:drawing>
          <wp:anchor distT="0" distB="0" distL="114300" distR="114300" simplePos="0" relativeHeight="251770880" behindDoc="0" locked="0" layoutInCell="1" allowOverlap="1" wp14:anchorId="1A2EC77A" wp14:editId="0FA7503E">
            <wp:simplePos x="0" y="0"/>
            <wp:positionH relativeFrom="column">
              <wp:posOffset>1375410</wp:posOffset>
            </wp:positionH>
            <wp:positionV relativeFrom="paragraph">
              <wp:posOffset>150495</wp:posOffset>
            </wp:positionV>
            <wp:extent cx="2700655" cy="1955800"/>
            <wp:effectExtent l="0" t="38100" r="0" b="0"/>
            <wp:wrapNone/>
            <wp:docPr id="122" name="Diagrama 1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p>
    <w:p w:rsidR="00E71DB2" w:rsidRDefault="00E71DB2" w:rsidP="00E71DB2">
      <w:pPr>
        <w:spacing w:line="360" w:lineRule="auto"/>
        <w:jc w:val="both"/>
      </w:pPr>
    </w:p>
    <w:p w:rsidR="00E71DB2" w:rsidRDefault="00E71DB2" w:rsidP="00E71DB2">
      <w:pPr>
        <w:spacing w:line="360" w:lineRule="auto"/>
        <w:jc w:val="both"/>
      </w:pPr>
      <w:r>
        <w:rPr>
          <w:noProof/>
          <w:lang w:eastAsia="es-ES"/>
        </w:rPr>
        <mc:AlternateContent>
          <mc:Choice Requires="wps">
            <w:drawing>
              <wp:anchor distT="0" distB="0" distL="114300" distR="114300" simplePos="0" relativeHeight="251773952" behindDoc="0" locked="0" layoutInCell="1" allowOverlap="1" wp14:anchorId="0D2EA4B0" wp14:editId="5170ACF5">
                <wp:simplePos x="0" y="0"/>
                <wp:positionH relativeFrom="column">
                  <wp:posOffset>4234815</wp:posOffset>
                </wp:positionH>
                <wp:positionV relativeFrom="paragraph">
                  <wp:posOffset>370649</wp:posOffset>
                </wp:positionV>
                <wp:extent cx="1200785" cy="744220"/>
                <wp:effectExtent l="76200" t="38100" r="94615" b="113030"/>
                <wp:wrapNone/>
                <wp:docPr id="112" name="112 Rectángulo redondeado"/>
                <wp:cNvGraphicFramePr/>
                <a:graphic xmlns:a="http://schemas.openxmlformats.org/drawingml/2006/main">
                  <a:graphicData uri="http://schemas.microsoft.com/office/word/2010/wordprocessingShape">
                    <wps:wsp>
                      <wps:cNvSpPr/>
                      <wps:spPr>
                        <a:xfrm>
                          <a:off x="0" y="0"/>
                          <a:ext cx="1200785" cy="744220"/>
                        </a:xfrm>
                        <a:prstGeom prst="roundRect">
                          <a:avLst/>
                        </a:prstGeom>
                        <a:ln/>
                      </wps:spPr>
                      <wps:style>
                        <a:lnRef idx="0">
                          <a:schemeClr val="accent4"/>
                        </a:lnRef>
                        <a:fillRef idx="3">
                          <a:schemeClr val="accent4"/>
                        </a:fillRef>
                        <a:effectRef idx="3">
                          <a:schemeClr val="accent4"/>
                        </a:effectRef>
                        <a:fontRef idx="minor">
                          <a:schemeClr val="lt1"/>
                        </a:fontRef>
                      </wps:style>
                      <wps:txbx>
                        <w:txbxContent>
                          <w:p w:rsidR="00E71DB2" w:rsidRDefault="00E71DB2" w:rsidP="00E71DB2">
                            <w:pPr>
                              <w:jc w:val="center"/>
                            </w:pPr>
                            <w:r>
                              <w:t xml:space="preserve">Prevenir el </w:t>
                            </w:r>
                            <w:proofErr w:type="spellStart"/>
                            <w:r>
                              <w:t>ciberacoso</w:t>
                            </w:r>
                            <w:proofErr w:type="spellEnd"/>
                            <w:r>
                              <w:t xml:space="preserve"> sexual y sexista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12 Rectángulo redondeado" o:spid="_x0000_s1028" style="position:absolute;left:0;text-align:left;margin-left:333.45pt;margin-top:29.2pt;width:94.55pt;height:58.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" fillcolor="#413253 [1639]" stroked="f">
                <v:fill color2="#775c99 [3015]" rotate="t" angle="180" colors="0 #5d417e;52429f #7b58a6;1 #7b57a8" focus="100%" type="gradient">
                  <o:fill v:ext="view" type="gradientUnscaled"/>
                </v:fill>
                <v:shadow on="t" color="black" opacity="22937f" origin=",.5" offset="0,.63889mm"/>
                <v:textbox>
                  <w:txbxContent>
                    <w:p w:rsidR="00E71DB2" w:rsidRDefault="00E71DB2" w:rsidP="00E71DB2">
                      <w:pPr>
                        <w:jc w:val="center"/>
                      </w:pPr>
                      <w:r>
                        <w:t xml:space="preserve">Prevenir el </w:t>
                      </w:r>
                      <w:proofErr w:type="spellStart"/>
                      <w:r>
                        <w:t>ciberacoso</w:t>
                      </w:r>
                      <w:proofErr w:type="spellEnd"/>
                      <w:r>
                        <w:t xml:space="preserve"> sexual y sexista</w:t>
                      </w:r>
                    </w:p>
                  </w:txbxContent>
                </v:textbox>
              </v:roundrect>
            </w:pict>
          </mc:Fallback>
        </mc:AlternateContent>
      </w:r>
      <w:r>
        <w:rPr>
          <w:noProof/>
          <w:lang w:eastAsia="es-ES"/>
        </w:rPr>
        <mc:AlternateContent>
          <mc:Choice Requires="wps">
            <w:drawing>
              <wp:anchor distT="0" distB="0" distL="114300" distR="114300" simplePos="0" relativeHeight="251777024" behindDoc="0" locked="0" layoutInCell="1" allowOverlap="1" wp14:anchorId="6AA8159B" wp14:editId="4D51DD02">
                <wp:simplePos x="0" y="0"/>
                <wp:positionH relativeFrom="column">
                  <wp:posOffset>3579495</wp:posOffset>
                </wp:positionH>
                <wp:positionV relativeFrom="paragraph">
                  <wp:posOffset>186055</wp:posOffset>
                </wp:positionV>
                <wp:extent cx="254635" cy="180340"/>
                <wp:effectExtent l="76200" t="38100" r="0" b="105410"/>
                <wp:wrapNone/>
                <wp:docPr id="113" name="113 Flecha derecha"/>
                <wp:cNvGraphicFramePr/>
                <a:graphic xmlns:a="http://schemas.openxmlformats.org/drawingml/2006/main">
                  <a:graphicData uri="http://schemas.microsoft.com/office/word/2010/wordprocessingShape">
                    <wps:wsp>
                      <wps:cNvSpPr/>
                      <wps:spPr>
                        <a:xfrm>
                          <a:off x="0" y="0"/>
                          <a:ext cx="254635" cy="180340"/>
                        </a:xfrm>
                        <a:prstGeom prst="rightArrow">
                          <a:avLst/>
                        </a:prstGeom>
                        <a:ln/>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113 Flecha derecha" o:spid="_x0000_s1026" type="#_x0000_t13" style="position:absolute;margin-left:281.85pt;margin-top:14.65pt;width:20.05pt;height:14.2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" adj="13951" fillcolor="#215a69 [1640]" stroked="f">
                <v:fill color2="#3da5c1 [3016]" rotate="t" angle="180" colors="0 #2787a0;52429f #36b1d2;1 #34b3d6" focus="100%" type="gradient">
                  <o:fill v:ext="view" type="gradientUnscaled"/>
                </v:fill>
                <v:shadow on="t" color="black" opacity="22937f" origin=",.5" offset="0,.63889mm"/>
              </v:shape>
            </w:pict>
          </mc:Fallback>
        </mc:AlternateContent>
      </w:r>
      <w:r>
        <w:rPr>
          <w:noProof/>
          <w:lang w:eastAsia="es-ES"/>
        </w:rPr>
        <mc:AlternateContent>
          <mc:Choice Requires="wps">
            <w:drawing>
              <wp:anchor distT="0" distB="0" distL="114300" distR="114300" simplePos="0" relativeHeight="251776000" behindDoc="0" locked="0" layoutInCell="1" allowOverlap="1" wp14:anchorId="58987FAD" wp14:editId="6D66E38A">
                <wp:simplePos x="0" y="0"/>
                <wp:positionH relativeFrom="column">
                  <wp:posOffset>1514209</wp:posOffset>
                </wp:positionH>
                <wp:positionV relativeFrom="paragraph">
                  <wp:posOffset>214453</wp:posOffset>
                </wp:positionV>
                <wp:extent cx="255182" cy="180753"/>
                <wp:effectExtent l="76200" t="38100" r="0" b="105410"/>
                <wp:wrapNone/>
                <wp:docPr id="114" name="114 Flecha derecha"/>
                <wp:cNvGraphicFramePr/>
                <a:graphic xmlns:a="http://schemas.openxmlformats.org/drawingml/2006/main">
                  <a:graphicData uri="http://schemas.microsoft.com/office/word/2010/wordprocessingShape">
                    <wps:wsp>
                      <wps:cNvSpPr/>
                      <wps:spPr>
                        <a:xfrm>
                          <a:off x="0" y="0"/>
                          <a:ext cx="255182" cy="180753"/>
                        </a:xfrm>
                        <a:prstGeom prst="rightArrow">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114 Flecha derecha" o:spid="_x0000_s1026" type="#_x0000_t13" style="position:absolute;margin-left:119.25pt;margin-top:16.9pt;width:20.1pt;height:14.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" adj="13950" fillcolor="#215a69 [1640]" stroked="f">
                <v:fill color2="#3da5c1 [3016]" rotate="t" angle="180" colors="0 #2787a0;52429f #36b1d2;1 #34b3d6" focus="100%" type="gradient">
                  <o:fill v:ext="view" type="gradientUnscaled"/>
                </v:fill>
                <v:shadow on="t" color="black" opacity="22937f" origin=",.5" offset="0,.63889mm"/>
              </v:shape>
            </w:pict>
          </mc:Fallback>
        </mc:AlternateContent>
      </w:r>
      <w:r>
        <w:rPr>
          <w:noProof/>
          <w:lang w:eastAsia="es-ES"/>
        </w:rPr>
        <mc:AlternateContent>
          <mc:Choice Requires="wps">
            <w:drawing>
              <wp:anchor distT="0" distB="0" distL="114300" distR="114300" simplePos="0" relativeHeight="251771904" behindDoc="0" locked="0" layoutInCell="1" allowOverlap="1" wp14:anchorId="1F342137" wp14:editId="2DEB0D07">
                <wp:simplePos x="0" y="0"/>
                <wp:positionH relativeFrom="column">
                  <wp:posOffset>68167</wp:posOffset>
                </wp:positionH>
                <wp:positionV relativeFrom="paragraph">
                  <wp:posOffset>73025</wp:posOffset>
                </wp:positionV>
                <wp:extent cx="1307805" cy="563526"/>
                <wp:effectExtent l="76200" t="38100" r="102235" b="122555"/>
                <wp:wrapNone/>
                <wp:docPr id="115" name="115 Rectángulo redondeado"/>
                <wp:cNvGraphicFramePr/>
                <a:graphic xmlns:a="http://schemas.openxmlformats.org/drawingml/2006/main">
                  <a:graphicData uri="http://schemas.microsoft.com/office/word/2010/wordprocessingShape">
                    <wps:wsp>
                      <wps:cNvSpPr/>
                      <wps:spPr>
                        <a:xfrm>
                          <a:off x="0" y="0"/>
                          <a:ext cx="1307805" cy="563526"/>
                        </a:xfrm>
                        <a:prstGeom prst="roundRect">
                          <a:avLst/>
                        </a:prstGeom>
                      </wps:spPr>
                      <wps:style>
                        <a:lnRef idx="0">
                          <a:schemeClr val="accent4"/>
                        </a:lnRef>
                        <a:fillRef idx="3">
                          <a:schemeClr val="accent4"/>
                        </a:fillRef>
                        <a:effectRef idx="3">
                          <a:schemeClr val="accent4"/>
                        </a:effectRef>
                        <a:fontRef idx="minor">
                          <a:schemeClr val="lt1"/>
                        </a:fontRef>
                      </wps:style>
                      <wps:txbx>
                        <w:txbxContent>
                          <w:p w:rsidR="00E71DB2" w:rsidRDefault="00E71DB2" w:rsidP="00E71DB2">
                            <w:pPr>
                              <w:jc w:val="center"/>
                            </w:pPr>
                            <w:r>
                              <w:t>Alfabetización digital crítica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115 Rectángulo redondeado" o:spid="_x0000_s1029" style="position:absolute;left:0;text-align:left;margin-left:5.35pt;margin-top:5.75pt;width:103pt;height:44.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" fillcolor="#413253 [1639]" stroked="f">
                <v:fill color2="#775c99 [3015]" rotate="t" angle="180" colors="0 #5d417e;52429f #7b58a6;1 #7b57a8" focus="100%" type="gradient">
                  <o:fill v:ext="view" type="gradientUnscaled"/>
                </v:fill>
                <v:shadow on="t" color="black" opacity="22937f" origin=",.5" offset="0,.63889mm"/>
                <v:textbox>
                  <w:txbxContent>
                    <w:p w:rsidR="00E71DB2" w:rsidRDefault="00E71DB2" w:rsidP="00E71DB2">
                      <w:pPr>
                        <w:jc w:val="center"/>
                      </w:pPr>
                      <w:r>
                        <w:t>Alfabetización digital crítica</w:t>
                      </w:r>
                    </w:p>
                  </w:txbxContent>
                </v:textbox>
              </v:roundrect>
            </w:pict>
          </mc:Fallback>
        </mc:AlternateContent>
      </w:r>
    </w:p>
    <w:p w:rsidR="00E71DB2" w:rsidRDefault="00E71DB2" w:rsidP="00E71DB2">
      <w:pPr>
        <w:spacing w:line="360" w:lineRule="auto"/>
        <w:jc w:val="both"/>
      </w:pPr>
    </w:p>
    <w:p w:rsidR="00E71DB2" w:rsidRDefault="00E71DB2" w:rsidP="00E71DB2">
      <w:pPr>
        <w:spacing w:line="360" w:lineRule="auto"/>
        <w:jc w:val="both"/>
      </w:pPr>
    </w:p>
    <w:p w:rsidR="00695B81" w:rsidRDefault="00695B81" w:rsidP="00E71DB2">
      <w:pPr>
        <w:spacing w:line="360" w:lineRule="auto"/>
        <w:jc w:val="both"/>
        <w:rPr>
          <w:b/>
          <w:sz w:val="24"/>
          <w:szCs w:val="24"/>
        </w:rPr>
      </w:pPr>
    </w:p>
    <w:p w:rsidR="00695B81" w:rsidRPr="00695B81" w:rsidRDefault="00695B81" w:rsidP="00E71DB2">
      <w:pPr>
        <w:spacing w:line="360" w:lineRule="auto"/>
        <w:jc w:val="both"/>
        <w:rPr>
          <w:sz w:val="20"/>
          <w:szCs w:val="20"/>
        </w:rPr>
      </w:pPr>
      <w:r w:rsidRPr="00695B81">
        <w:rPr>
          <w:sz w:val="20"/>
          <w:szCs w:val="20"/>
        </w:rPr>
        <w:t>Fuente: Elaboración propia</w:t>
      </w:r>
    </w:p>
    <w:p w:rsidR="00695B81" w:rsidRPr="00695B81" w:rsidRDefault="00695B81" w:rsidP="00E71DB2">
      <w:pPr>
        <w:spacing w:line="360" w:lineRule="auto"/>
        <w:jc w:val="both"/>
        <w:rPr>
          <w:b/>
          <w:sz w:val="24"/>
          <w:szCs w:val="24"/>
        </w:rPr>
      </w:pPr>
      <w:r w:rsidRPr="00695B81">
        <w:rPr>
          <w:b/>
          <w:sz w:val="24"/>
          <w:szCs w:val="24"/>
        </w:rPr>
        <w:t>Conclusiones</w:t>
      </w:r>
    </w:p>
    <w:p w:rsidR="00E71DB2" w:rsidRDefault="00E71DB2" w:rsidP="00E71DB2">
      <w:pPr>
        <w:spacing w:line="360" w:lineRule="auto"/>
        <w:jc w:val="both"/>
      </w:pPr>
      <w:r>
        <w:t xml:space="preserve">Todo lo comentado nos situaría desde una perspectiva ambivalente propia de la Red, siendo conscientes que mientras nos potencia una infinidad de posibilidades de cambio y de actuación, se generan y perpetúan los estereotipos de género que necesitan ser abarcados, desde esa perspectiva de la cotidianidad, desde la cercanía y la no </w:t>
      </w:r>
      <w:proofErr w:type="spellStart"/>
      <w:r>
        <w:t>culpabilización</w:t>
      </w:r>
      <w:proofErr w:type="spellEnd"/>
      <w:r>
        <w:t xml:space="preserve">. Del mismo modo trabajar el sexismo en la Red, podría ser palanca de cambio para cambiar otros tipos de mecanismos patriarcales, y violencia simbólica que encontramos en otros espacios, ya que la esencia es despertar, ver y observar con otros ojos. </w:t>
      </w:r>
    </w:p>
    <w:p w:rsidR="009D65DF" w:rsidRPr="00B55134" w:rsidRDefault="00EC5378" w:rsidP="009D65DF">
      <w:pPr>
        <w:spacing w:line="360" w:lineRule="auto"/>
        <w:jc w:val="both"/>
        <w:rPr>
          <w:rFonts w:cs="OpenSans"/>
        </w:rPr>
      </w:pPr>
      <w:r>
        <w:rPr>
          <w:rFonts w:cs="OpenSans"/>
        </w:rPr>
        <w:t>En definitiva, se ve que el patrón y el esquema de traspaso de la socialización de género digital están muy cercanos a lo que se vive en la real</w:t>
      </w:r>
      <w:r w:rsidR="00B55134">
        <w:rPr>
          <w:rFonts w:cs="OpenSans"/>
        </w:rPr>
        <w:t>idad</w:t>
      </w:r>
      <w:r>
        <w:rPr>
          <w:rFonts w:cs="OpenSans"/>
        </w:rPr>
        <w:t>, por tanto, como dice Ruiz (2014) las tecnologías no son instrumentos que de por sí creen desigualdad, sino que los propios establecimientos culturales que tenemos interiorizados las personas hacen que se genere este mundo hibrido que se entremezclan posibili</w:t>
      </w:r>
      <w:r w:rsidR="00B55134">
        <w:rPr>
          <w:rFonts w:cs="OpenSans"/>
        </w:rPr>
        <w:t xml:space="preserve">dades, desigualdades y riesgos </w:t>
      </w:r>
      <w:r w:rsidR="009D65DF" w:rsidRPr="00953A0D">
        <w:t>(Delegación del Gobierno para la Violencia de Género, 2014).</w:t>
      </w:r>
    </w:p>
    <w:p w:rsidR="00AA65ED" w:rsidRPr="00953A0D" w:rsidRDefault="00AA65ED" w:rsidP="009D65DF">
      <w:pPr>
        <w:spacing w:line="360" w:lineRule="auto"/>
        <w:jc w:val="both"/>
      </w:pPr>
      <w:r>
        <w:t>Por tanto, en esta comunicación se comprende que sin deshacernos de esos esquemas tradicionales y</w:t>
      </w:r>
      <w:r w:rsidR="009D65DF" w:rsidRPr="00953A0D">
        <w:t xml:space="preserve"> sin</w:t>
      </w:r>
      <w:r>
        <w:t xml:space="preserve"> realizar una mirada crítica</w:t>
      </w:r>
      <w:r w:rsidR="00B55134">
        <w:t>,</w:t>
      </w:r>
      <w:r w:rsidR="009D65DF" w:rsidRPr="00953A0D">
        <w:t xml:space="preserve"> no podremos </w:t>
      </w:r>
      <w:r>
        <w:t xml:space="preserve">conseguir la democratización digital paritaria. </w:t>
      </w:r>
    </w:p>
    <w:p w:rsidR="00E71DB2" w:rsidRDefault="002128D9" w:rsidP="00E71DB2">
      <w:pPr>
        <w:rPr>
          <w:b/>
        </w:rPr>
      </w:pPr>
      <w:r w:rsidRPr="002128D9">
        <w:rPr>
          <w:b/>
        </w:rPr>
        <w:t>BIBLIOGRAFIA</w:t>
      </w:r>
    </w:p>
    <w:p w:rsidR="002128D9" w:rsidRPr="008E4EBC" w:rsidRDefault="002128D9" w:rsidP="002128D9">
      <w:pPr>
        <w:spacing w:after="0"/>
        <w:ind w:left="567" w:hanging="567"/>
        <w:jc w:val="both"/>
      </w:pPr>
      <w:proofErr w:type="spellStart"/>
      <w:r w:rsidRPr="008E4EBC">
        <w:t>Alcañiz</w:t>
      </w:r>
      <w:proofErr w:type="spellEnd"/>
      <w:r w:rsidRPr="008E4EBC">
        <w:t xml:space="preserve">, M. (2001). Cambio tecnológico y género: </w:t>
      </w:r>
      <w:proofErr w:type="spellStart"/>
      <w:r w:rsidRPr="008E4EBC">
        <w:t>plantamiento</w:t>
      </w:r>
      <w:proofErr w:type="spellEnd"/>
      <w:r w:rsidRPr="008E4EBC">
        <w:t xml:space="preserve"> y propuestas. </w:t>
      </w:r>
      <w:proofErr w:type="spellStart"/>
      <w:r w:rsidRPr="008E4EBC">
        <w:t>Aspakía</w:t>
      </w:r>
      <w:proofErr w:type="spellEnd"/>
      <w:r w:rsidRPr="008E4EBC">
        <w:t xml:space="preserve">. </w:t>
      </w:r>
      <w:proofErr w:type="spellStart"/>
      <w:r w:rsidRPr="008E4EBC">
        <w:t>Investigació</w:t>
      </w:r>
      <w:proofErr w:type="spellEnd"/>
      <w:r w:rsidRPr="008E4EBC">
        <w:t xml:space="preserve"> </w:t>
      </w:r>
      <w:proofErr w:type="gramStart"/>
      <w:r w:rsidRPr="008E4EBC">
        <w:t>Feminista(</w:t>
      </w:r>
      <w:proofErr w:type="gramEnd"/>
      <w:r w:rsidRPr="008E4EBC">
        <w:t>12), 19-33.</w:t>
      </w:r>
    </w:p>
    <w:p w:rsidR="002128D9" w:rsidRPr="008E4EBC" w:rsidRDefault="002128D9" w:rsidP="002128D9">
      <w:pPr>
        <w:spacing w:after="0"/>
        <w:ind w:left="567" w:hanging="567"/>
        <w:jc w:val="both"/>
      </w:pPr>
      <w:proofErr w:type="spellStart"/>
      <w:r w:rsidRPr="008E4EBC">
        <w:t>Ararteko</w:t>
      </w:r>
      <w:proofErr w:type="spellEnd"/>
      <w:r w:rsidRPr="008E4EBC">
        <w:t xml:space="preserve"> (2009). La trasmisión de valores a </w:t>
      </w:r>
      <w:proofErr w:type="spellStart"/>
      <w:r w:rsidRPr="008E4EBC">
        <w:t>menores.Vitoria-Gazteiz</w:t>
      </w:r>
      <w:proofErr w:type="spellEnd"/>
      <w:r w:rsidRPr="008E4EBC">
        <w:t xml:space="preserve">: Informe extraordinario de la institución </w:t>
      </w:r>
      <w:proofErr w:type="spellStart"/>
      <w:r w:rsidRPr="008E4EBC">
        <w:t>Ararteko</w:t>
      </w:r>
      <w:proofErr w:type="spellEnd"/>
      <w:r w:rsidRPr="008E4EBC">
        <w:t xml:space="preserve"> al Parlamento Vasco.</w:t>
      </w:r>
    </w:p>
    <w:p w:rsidR="002128D9" w:rsidRPr="008E4EBC" w:rsidRDefault="002128D9" w:rsidP="002128D9">
      <w:pPr>
        <w:spacing w:after="0"/>
        <w:ind w:left="567" w:hanging="567"/>
        <w:jc w:val="both"/>
      </w:pPr>
      <w:proofErr w:type="spellStart"/>
      <w:r w:rsidRPr="008E4EBC">
        <w:lastRenderedPageBreak/>
        <w:t>Boix</w:t>
      </w:r>
      <w:proofErr w:type="spellEnd"/>
      <w:r w:rsidRPr="008E4EBC">
        <w:t xml:space="preserve">, M., Fraga, C., &amp; </w:t>
      </w:r>
      <w:proofErr w:type="spellStart"/>
      <w:r w:rsidRPr="008E4EBC">
        <w:t>Sedón</w:t>
      </w:r>
      <w:proofErr w:type="spellEnd"/>
      <w:r w:rsidRPr="008E4EBC">
        <w:t xml:space="preserve">, V. (2001). El viaje de las internautas. Una mirada de género a las nuevas tecnologías. (AMECO, Ed.) Madrid: </w:t>
      </w:r>
      <w:proofErr w:type="spellStart"/>
      <w:r w:rsidRPr="008E4EBC">
        <w:t>PardeDÓS</w:t>
      </w:r>
      <w:proofErr w:type="spellEnd"/>
      <w:r w:rsidRPr="008E4EBC">
        <w:t>.</w:t>
      </w:r>
    </w:p>
    <w:p w:rsidR="002128D9" w:rsidRPr="008E4EBC" w:rsidRDefault="002128D9" w:rsidP="002128D9">
      <w:pPr>
        <w:spacing w:after="0"/>
        <w:ind w:left="567" w:hanging="567"/>
        <w:jc w:val="both"/>
      </w:pPr>
      <w:proofErr w:type="spellStart"/>
      <w:r w:rsidRPr="008E4EBC">
        <w:t>Bonal</w:t>
      </w:r>
      <w:proofErr w:type="spellEnd"/>
      <w:r w:rsidRPr="008E4EBC">
        <w:t>, X. &amp; Rambla, X. (2001) El cambio ideológico y la colaboración docente. En Contra el sexismo. En Tomé, A. y Rambla, X .Coeducación y democracia en la escuela, de, 115-128. Madrid: Síntesis, S.A.</w:t>
      </w:r>
    </w:p>
    <w:p w:rsidR="002128D9" w:rsidRPr="008E4EBC" w:rsidRDefault="002128D9" w:rsidP="002128D9">
      <w:pPr>
        <w:spacing w:after="0"/>
        <w:ind w:left="567" w:hanging="567"/>
        <w:jc w:val="both"/>
      </w:pPr>
      <w:proofErr w:type="spellStart"/>
      <w:r w:rsidRPr="008E4EBC">
        <w:t>Bonder</w:t>
      </w:r>
      <w:proofErr w:type="spellEnd"/>
      <w:r w:rsidRPr="008E4EBC">
        <w:t xml:space="preserve">, G. (2012). Hay que convertirse en </w:t>
      </w:r>
      <w:proofErr w:type="spellStart"/>
      <w:r w:rsidRPr="008E4EBC">
        <w:t>prosumidoras</w:t>
      </w:r>
      <w:proofErr w:type="spellEnd"/>
      <w:r w:rsidRPr="008E4EBC">
        <w:t xml:space="preserve">, productoras y consumidoras alertas y creativas de las TIC. Las mujeres y las nuevas tecnologías. </w:t>
      </w:r>
      <w:proofErr w:type="spellStart"/>
      <w:r w:rsidRPr="008E4EBC">
        <w:t>Emakunde</w:t>
      </w:r>
      <w:proofErr w:type="spellEnd"/>
      <w:r w:rsidRPr="008E4EBC">
        <w:t>. Instituto vasco de la mujer. Revista digital, nº 86.</w:t>
      </w:r>
    </w:p>
    <w:p w:rsidR="002128D9" w:rsidRPr="008E4EBC" w:rsidRDefault="002128D9" w:rsidP="002128D9">
      <w:pPr>
        <w:spacing w:after="0"/>
        <w:ind w:left="567" w:hanging="567"/>
        <w:jc w:val="both"/>
      </w:pPr>
      <w:r w:rsidRPr="008E4EBC">
        <w:t>Bourdieu, P. (1999). La dominación masculina. Barcelona: Anagrama.</w:t>
      </w:r>
    </w:p>
    <w:p w:rsidR="002128D9" w:rsidRPr="008E4EBC" w:rsidRDefault="002128D9" w:rsidP="002128D9">
      <w:pPr>
        <w:spacing w:after="0"/>
        <w:ind w:left="567" w:hanging="567"/>
        <w:jc w:val="both"/>
      </w:pPr>
      <w:proofErr w:type="spellStart"/>
      <w:r w:rsidRPr="008E4EBC">
        <w:t>Briadotti</w:t>
      </w:r>
      <w:proofErr w:type="spellEnd"/>
      <w:r w:rsidRPr="008E4EBC">
        <w:t xml:space="preserve">, R. (2002). Un </w:t>
      </w:r>
      <w:proofErr w:type="spellStart"/>
      <w:r w:rsidRPr="008E4EBC">
        <w:t>ciberfeminismo</w:t>
      </w:r>
      <w:proofErr w:type="spellEnd"/>
      <w:r w:rsidRPr="008E4EBC">
        <w:t xml:space="preserve"> diferente. </w:t>
      </w:r>
      <w:proofErr w:type="spellStart"/>
      <w:r w:rsidRPr="008E4EBC">
        <w:t>Debats</w:t>
      </w:r>
      <w:proofErr w:type="spellEnd"/>
      <w:r w:rsidRPr="008E4EBC">
        <w:t>, 76, 101-117.</w:t>
      </w:r>
    </w:p>
    <w:p w:rsidR="002128D9" w:rsidRPr="008E4EBC" w:rsidRDefault="002128D9" w:rsidP="002128D9">
      <w:pPr>
        <w:spacing w:after="0"/>
        <w:ind w:left="567" w:hanging="567"/>
        <w:jc w:val="both"/>
      </w:pPr>
      <w:proofErr w:type="spellStart"/>
      <w:r w:rsidRPr="008E4EBC">
        <w:t>Buelga</w:t>
      </w:r>
      <w:proofErr w:type="spellEnd"/>
      <w:r w:rsidRPr="008E4EBC">
        <w:t xml:space="preserve">, S. y Pons, J. (2011). Agresiones entre adolescentes a través del teléfono móvil y de internet. </w:t>
      </w:r>
      <w:proofErr w:type="spellStart"/>
      <w:r w:rsidRPr="008E4EBC">
        <w:t>Psychosocial</w:t>
      </w:r>
      <w:proofErr w:type="spellEnd"/>
      <w:r w:rsidRPr="008E4EBC">
        <w:t xml:space="preserve"> </w:t>
      </w:r>
      <w:proofErr w:type="spellStart"/>
      <w:r w:rsidRPr="008E4EBC">
        <w:t>Intervention</w:t>
      </w:r>
      <w:proofErr w:type="spellEnd"/>
      <w:r w:rsidRPr="008E4EBC">
        <w:t>, 21, 91-101</w:t>
      </w:r>
    </w:p>
    <w:p w:rsidR="002128D9" w:rsidRPr="008E4EBC" w:rsidRDefault="002128D9" w:rsidP="002128D9">
      <w:pPr>
        <w:spacing w:after="0"/>
        <w:ind w:left="567" w:hanging="567"/>
        <w:jc w:val="both"/>
      </w:pPr>
      <w:proofErr w:type="spellStart"/>
      <w:r w:rsidRPr="008E4EBC">
        <w:t>Buelga</w:t>
      </w:r>
      <w:proofErr w:type="spellEnd"/>
      <w:r w:rsidRPr="008E4EBC">
        <w:t xml:space="preserve">, S., Cava, M. J., &amp; </w:t>
      </w:r>
      <w:proofErr w:type="spellStart"/>
      <w:r w:rsidRPr="008E4EBC">
        <w:t>Musitu</w:t>
      </w:r>
      <w:proofErr w:type="spellEnd"/>
      <w:r w:rsidRPr="008E4EBC">
        <w:t xml:space="preserve">, G. (2010). </w:t>
      </w:r>
      <w:proofErr w:type="spellStart"/>
      <w:r w:rsidRPr="008E4EBC">
        <w:t>Cyberbullying</w:t>
      </w:r>
      <w:proofErr w:type="spellEnd"/>
      <w:r w:rsidRPr="008E4EBC">
        <w:t xml:space="preserve">: victimización entre adolescentes a través del teléfono móvil y de Internet. </w:t>
      </w:r>
      <w:proofErr w:type="spellStart"/>
      <w:r w:rsidRPr="008E4EBC">
        <w:t>Psicothema</w:t>
      </w:r>
      <w:proofErr w:type="spellEnd"/>
      <w:r w:rsidRPr="008E4EBC">
        <w:t>, 22, 784-789.</w:t>
      </w:r>
    </w:p>
    <w:p w:rsidR="002128D9" w:rsidRPr="008E4EBC" w:rsidRDefault="002128D9" w:rsidP="002128D9">
      <w:pPr>
        <w:spacing w:after="0"/>
        <w:ind w:left="567" w:hanging="567"/>
        <w:jc w:val="both"/>
      </w:pPr>
      <w:r w:rsidRPr="008E4EBC">
        <w:t xml:space="preserve">Capdevila, A., Figueras, M., Gómez, L., Jiménez, M., Luzón, V., &amp; </w:t>
      </w:r>
      <w:proofErr w:type="spellStart"/>
      <w:r w:rsidRPr="008E4EBC">
        <w:t>Ramajo</w:t>
      </w:r>
      <w:proofErr w:type="spellEnd"/>
      <w:r w:rsidRPr="008E4EBC">
        <w:t xml:space="preserve">, N. (2008). La construcción de la identidad adolescente: imagen de los adolescentes en prime time televisivo. En P.-A. García, S. </w:t>
      </w:r>
      <w:proofErr w:type="spellStart"/>
      <w:r w:rsidRPr="008E4EBC">
        <w:t>Nuñez</w:t>
      </w:r>
      <w:proofErr w:type="spellEnd"/>
      <w:r w:rsidRPr="008E4EBC">
        <w:t xml:space="preserve"> Puente, &amp; A. </w:t>
      </w:r>
      <w:proofErr w:type="spellStart"/>
      <w:r w:rsidRPr="008E4EBC">
        <w:t>Garccía</w:t>
      </w:r>
      <w:proofErr w:type="spellEnd"/>
      <w:r w:rsidRPr="008E4EBC">
        <w:t xml:space="preserve"> Jiménez, Comunicación, identidad y género (págs. 102-114). Barcelona: Fragua.</w:t>
      </w:r>
    </w:p>
    <w:p w:rsidR="002128D9" w:rsidRPr="008E4EBC" w:rsidRDefault="002128D9" w:rsidP="002128D9">
      <w:pPr>
        <w:spacing w:after="0"/>
        <w:ind w:left="567" w:hanging="567"/>
        <w:jc w:val="both"/>
      </w:pPr>
      <w:r w:rsidRPr="008E4EBC">
        <w:t>Gil-</w:t>
      </w:r>
      <w:proofErr w:type="spellStart"/>
      <w:r w:rsidRPr="008E4EBC">
        <w:t>Juáres</w:t>
      </w:r>
      <w:proofErr w:type="spellEnd"/>
      <w:r w:rsidRPr="008E4EBC">
        <w:t xml:space="preserve">, A., </w:t>
      </w:r>
      <w:proofErr w:type="spellStart"/>
      <w:r w:rsidRPr="008E4EBC">
        <w:t>Feliu</w:t>
      </w:r>
      <w:proofErr w:type="spellEnd"/>
      <w:r w:rsidRPr="008E4EBC">
        <w:t xml:space="preserve">, J., &amp; </w:t>
      </w:r>
      <w:proofErr w:type="spellStart"/>
      <w:r w:rsidRPr="008E4EBC">
        <w:t>Vitores</w:t>
      </w:r>
      <w:proofErr w:type="spellEnd"/>
      <w:r w:rsidRPr="008E4EBC">
        <w:t xml:space="preserve">, A. (2012). Género y TIC: en entorno a la brecha digital de género. </w:t>
      </w:r>
      <w:proofErr w:type="spellStart"/>
      <w:r w:rsidRPr="008E4EBC">
        <w:t>Athenea</w:t>
      </w:r>
      <w:proofErr w:type="spellEnd"/>
      <w:r w:rsidRPr="008E4EBC">
        <w:t xml:space="preserve"> Digital, 3(12), 3-9.</w:t>
      </w:r>
    </w:p>
    <w:p w:rsidR="002128D9" w:rsidRPr="008E4EBC" w:rsidRDefault="002128D9" w:rsidP="002128D9">
      <w:pPr>
        <w:spacing w:after="0"/>
        <w:ind w:left="567" w:hanging="567"/>
      </w:pPr>
      <w:proofErr w:type="spellStart"/>
      <w:r w:rsidRPr="008E4EBC">
        <w:t>Castells</w:t>
      </w:r>
      <w:proofErr w:type="spellEnd"/>
      <w:r w:rsidRPr="008E4EBC">
        <w:t>, M. (2005). La era de la Información. Madrid: Alianza.</w:t>
      </w:r>
    </w:p>
    <w:p w:rsidR="002128D9" w:rsidRPr="008E4EBC" w:rsidRDefault="002128D9" w:rsidP="002128D9">
      <w:pPr>
        <w:spacing w:after="0"/>
        <w:ind w:left="567" w:hanging="567"/>
      </w:pPr>
      <w:r w:rsidRPr="008E4EBC">
        <w:t xml:space="preserve">Castaño, C. (2005). Las mujeres y las tecnologías de la información. (M. </w:t>
      </w:r>
      <w:proofErr w:type="spellStart"/>
      <w:r w:rsidRPr="008E4EBC">
        <w:t>Castells</w:t>
      </w:r>
      <w:proofErr w:type="spellEnd"/>
      <w:r w:rsidRPr="008E4EBC">
        <w:t>, Ed.) Madrid: Alianza.</w:t>
      </w:r>
    </w:p>
    <w:p w:rsidR="002128D9" w:rsidRPr="008E4EBC" w:rsidRDefault="002128D9" w:rsidP="002128D9">
      <w:pPr>
        <w:spacing w:after="0"/>
        <w:ind w:left="567" w:hanging="567"/>
        <w:jc w:val="both"/>
      </w:pPr>
      <w:r w:rsidRPr="008E4EBC">
        <w:t xml:space="preserve">-(2008). La segunda brecha </w:t>
      </w:r>
      <w:proofErr w:type="spellStart"/>
      <w:r w:rsidRPr="008E4EBC">
        <w:t>digital.Madrid</w:t>
      </w:r>
      <w:proofErr w:type="spellEnd"/>
      <w:r w:rsidRPr="008E4EBC">
        <w:t>: Feminismos Editorial.</w:t>
      </w:r>
    </w:p>
    <w:p w:rsidR="002128D9" w:rsidRPr="008E4EBC" w:rsidRDefault="002128D9" w:rsidP="002128D9">
      <w:pPr>
        <w:spacing w:after="0"/>
        <w:ind w:left="567" w:hanging="567"/>
        <w:jc w:val="both"/>
      </w:pPr>
      <w:r w:rsidRPr="008E4EBC">
        <w:t xml:space="preserve">Castaño, C., &amp; </w:t>
      </w:r>
      <w:proofErr w:type="spellStart"/>
      <w:r w:rsidRPr="008E4EBC">
        <w:t>Caprile</w:t>
      </w:r>
      <w:proofErr w:type="spellEnd"/>
      <w:r w:rsidRPr="008E4EBC">
        <w:t xml:space="preserve">, M. (2010). Buenas prácticas en materia de igualdad de género en la investigación y el empleo. En C. Castaño, &amp; M. </w:t>
      </w:r>
      <w:proofErr w:type="spellStart"/>
      <w:r w:rsidRPr="008E4EBC">
        <w:t>Castells</w:t>
      </w:r>
      <w:proofErr w:type="spellEnd"/>
      <w:r w:rsidRPr="008E4EBC">
        <w:t xml:space="preserve"> (Ed.), Género y TIC. Presencia, posición y políticas (págs. 427-460). Barcelona: UOC Ediciones.</w:t>
      </w:r>
    </w:p>
    <w:p w:rsidR="002128D9" w:rsidRPr="008E4EBC" w:rsidRDefault="002128D9" w:rsidP="002128D9">
      <w:pPr>
        <w:spacing w:after="0"/>
        <w:ind w:left="567" w:hanging="567"/>
        <w:jc w:val="both"/>
      </w:pPr>
      <w:r w:rsidRPr="008E4EBC">
        <w:t>Castaño, C., Martín, J., &amp; Martínez, J. L. (2009). La brecha digital de género. Amantes y distantes. Madrid: UCM.</w:t>
      </w:r>
    </w:p>
    <w:p w:rsidR="002128D9" w:rsidRPr="008E4EBC" w:rsidRDefault="002128D9" w:rsidP="002128D9">
      <w:pPr>
        <w:spacing w:after="0"/>
        <w:ind w:left="567" w:hanging="567"/>
        <w:jc w:val="both"/>
      </w:pPr>
      <w:r w:rsidRPr="008E4EBC">
        <w:t>Castro, R. (2010). Propuesta de intervención en materia de coeducación y prevención de la violencia de género. Sevilla: Instituto Andaluz de la Mujer.</w:t>
      </w:r>
    </w:p>
    <w:p w:rsidR="002128D9" w:rsidRPr="008E4EBC" w:rsidRDefault="002128D9" w:rsidP="002128D9">
      <w:pPr>
        <w:spacing w:after="0"/>
        <w:ind w:left="567" w:hanging="567"/>
        <w:jc w:val="both"/>
      </w:pPr>
      <w:r w:rsidRPr="008E4EBC">
        <w:t xml:space="preserve">Cerezo-Ramírez, F. (2012). Psique: </w:t>
      </w:r>
      <w:proofErr w:type="spellStart"/>
      <w:r w:rsidRPr="008E4EBC">
        <w:t>Bullying</w:t>
      </w:r>
      <w:proofErr w:type="spellEnd"/>
      <w:r w:rsidRPr="008E4EBC">
        <w:t xml:space="preserve"> a través de las TIC. Boletín Científico Sapiens </w:t>
      </w:r>
      <w:proofErr w:type="spellStart"/>
      <w:r w:rsidRPr="008E4EBC">
        <w:t>Research</w:t>
      </w:r>
      <w:proofErr w:type="spellEnd"/>
      <w:r w:rsidRPr="008E4EBC">
        <w:t>, 2(2), 24-29.</w:t>
      </w:r>
    </w:p>
    <w:p w:rsidR="002128D9" w:rsidRPr="008E4EBC" w:rsidRDefault="002128D9" w:rsidP="002128D9">
      <w:pPr>
        <w:spacing w:after="0"/>
        <w:ind w:left="567" w:hanging="567"/>
        <w:jc w:val="both"/>
      </w:pPr>
      <w:proofErr w:type="spellStart"/>
      <w:r w:rsidRPr="008E4EBC">
        <w:t>Connell</w:t>
      </w:r>
      <w:proofErr w:type="spellEnd"/>
      <w:r w:rsidRPr="008E4EBC">
        <w:t>, R. (1995). Masculinidades. México: PUEG. Universidad nacional autónoma de México.</w:t>
      </w:r>
    </w:p>
    <w:p w:rsidR="002128D9" w:rsidRPr="008E4EBC" w:rsidRDefault="002128D9" w:rsidP="002128D9">
      <w:pPr>
        <w:spacing w:after="0"/>
        <w:ind w:left="567" w:hanging="567"/>
        <w:jc w:val="both"/>
      </w:pPr>
      <w:r w:rsidRPr="008E4EBC">
        <w:t xml:space="preserve">Delegación del Gobierno para la Violencia de Género. (2014). El </w:t>
      </w:r>
      <w:proofErr w:type="spellStart"/>
      <w:r w:rsidRPr="008E4EBC">
        <w:t>ciberacoso</w:t>
      </w:r>
      <w:proofErr w:type="spellEnd"/>
      <w:r w:rsidRPr="008E4EBC">
        <w:t xml:space="preserve"> como forma de ejercer la violencia de género en la juventud: Un riesgo en la sociedad de la información y el conocimiento. Madrid: Ministerio de Sanidad, Servicios Sociales e Igualdad.</w:t>
      </w:r>
    </w:p>
    <w:p w:rsidR="002128D9" w:rsidRPr="008E4EBC" w:rsidRDefault="002128D9" w:rsidP="002128D9">
      <w:pPr>
        <w:spacing w:after="0"/>
        <w:ind w:left="567" w:hanging="567"/>
        <w:jc w:val="both"/>
      </w:pPr>
      <w:r w:rsidRPr="008E4EBC">
        <w:t xml:space="preserve">Díaz, C. (2001). Las internautas de los institutos. "Chateo" y "navegación" como diferencias de género en la Red. </w:t>
      </w:r>
      <w:proofErr w:type="spellStart"/>
      <w:r w:rsidRPr="008E4EBC">
        <w:t>Asparkía</w:t>
      </w:r>
      <w:proofErr w:type="spellEnd"/>
      <w:r w:rsidRPr="008E4EBC">
        <w:t xml:space="preserve">. </w:t>
      </w:r>
      <w:proofErr w:type="spellStart"/>
      <w:r w:rsidRPr="008E4EBC">
        <w:t>Investigació</w:t>
      </w:r>
      <w:proofErr w:type="spellEnd"/>
      <w:r w:rsidRPr="008E4EBC">
        <w:t xml:space="preserve"> </w:t>
      </w:r>
      <w:proofErr w:type="gramStart"/>
      <w:r w:rsidRPr="008E4EBC">
        <w:t>Feminista(</w:t>
      </w:r>
      <w:proofErr w:type="gramEnd"/>
      <w:r w:rsidRPr="008E4EBC">
        <w:t>12), 53-65.</w:t>
      </w:r>
    </w:p>
    <w:p w:rsidR="002128D9" w:rsidRPr="008E4EBC" w:rsidRDefault="002128D9" w:rsidP="002128D9">
      <w:pPr>
        <w:spacing w:after="0"/>
        <w:ind w:left="567" w:hanging="567"/>
        <w:jc w:val="both"/>
      </w:pPr>
      <w:proofErr w:type="spellStart"/>
      <w:r w:rsidRPr="008E4EBC">
        <w:t>Diaz</w:t>
      </w:r>
      <w:proofErr w:type="spellEnd"/>
      <w:r w:rsidRPr="008E4EBC">
        <w:t xml:space="preserve">-Aguado, M.J &amp; </w:t>
      </w:r>
      <w:proofErr w:type="spellStart"/>
      <w:r w:rsidRPr="008E4EBC">
        <w:t>Martinez</w:t>
      </w:r>
      <w:proofErr w:type="spellEnd"/>
      <w:r w:rsidRPr="008E4EBC">
        <w:t>, R. (2001). La Construcción de la Igualdad y la Prevención de la Violencia Contra la Mujer Desde la Educación Secundaria. Instituto de la Mujer. Madrid.</w:t>
      </w:r>
    </w:p>
    <w:p w:rsidR="002128D9" w:rsidRPr="008E4EBC" w:rsidRDefault="002128D9" w:rsidP="002128D9">
      <w:pPr>
        <w:spacing w:after="0"/>
        <w:ind w:left="567" w:hanging="567"/>
        <w:jc w:val="both"/>
      </w:pPr>
      <w:r w:rsidRPr="008E4EBC">
        <w:t xml:space="preserve">Diez, E. (2009a). Videojuegos y sexismos: innovación tecnológica y consolidación de un modelo social desigualitario. </w:t>
      </w:r>
      <w:proofErr w:type="spellStart"/>
      <w:r w:rsidRPr="008E4EBC">
        <w:t>Aequalitas</w:t>
      </w:r>
      <w:proofErr w:type="spellEnd"/>
      <w:r w:rsidRPr="008E4EBC">
        <w:t>, n24, 56-68.</w:t>
      </w:r>
    </w:p>
    <w:p w:rsidR="002128D9" w:rsidRPr="008E4EBC" w:rsidRDefault="002128D9" w:rsidP="002128D9">
      <w:pPr>
        <w:spacing w:after="0"/>
        <w:ind w:left="567" w:hanging="567"/>
        <w:jc w:val="both"/>
      </w:pPr>
      <w:r w:rsidRPr="008E4EBC">
        <w:t xml:space="preserve">-(2009b). El sexismo de los videojuegos. En Cuentos infantiles y roles de género. </w:t>
      </w:r>
      <w:proofErr w:type="spellStart"/>
      <w:r w:rsidRPr="008E4EBC">
        <w:t>Emakunde</w:t>
      </w:r>
      <w:proofErr w:type="spellEnd"/>
      <w:r w:rsidRPr="008E4EBC">
        <w:t>. Instituto vasco de la mujer. Revista digital, 75, 42-46.</w:t>
      </w:r>
    </w:p>
    <w:p w:rsidR="002128D9" w:rsidRPr="008E4EBC" w:rsidRDefault="002128D9" w:rsidP="002128D9">
      <w:pPr>
        <w:spacing w:after="0"/>
        <w:ind w:left="567" w:hanging="567"/>
        <w:jc w:val="both"/>
      </w:pPr>
      <w:proofErr w:type="spellStart"/>
      <w:r w:rsidRPr="008E4EBC">
        <w:lastRenderedPageBreak/>
        <w:t>Diverio</w:t>
      </w:r>
      <w:proofErr w:type="spellEnd"/>
      <w:r w:rsidRPr="008E4EBC">
        <w:t>, I.S. (2006). Adolescentes y comportamientos de género. Madrid: Revista Juventud y Estudios, 73.</w:t>
      </w:r>
    </w:p>
    <w:p w:rsidR="002128D9" w:rsidRPr="008E4EBC" w:rsidRDefault="002128D9" w:rsidP="002128D9">
      <w:pPr>
        <w:spacing w:after="0"/>
        <w:ind w:left="567" w:hanging="567"/>
        <w:jc w:val="both"/>
      </w:pPr>
      <w:proofErr w:type="spellStart"/>
      <w:r w:rsidRPr="008E4EBC">
        <w:t>Emakunde</w:t>
      </w:r>
      <w:proofErr w:type="spellEnd"/>
      <w:r w:rsidRPr="008E4EBC">
        <w:t xml:space="preserve"> (2004). Adolescentes en Euskadi. Una aproximación desde el empoderamiento. Vitoria- Gasteiz.</w:t>
      </w:r>
    </w:p>
    <w:p w:rsidR="002128D9" w:rsidRPr="008E4EBC" w:rsidRDefault="002128D9" w:rsidP="002128D9">
      <w:pPr>
        <w:spacing w:after="0"/>
        <w:ind w:left="567" w:hanging="567"/>
        <w:jc w:val="both"/>
      </w:pPr>
      <w:proofErr w:type="spellStart"/>
      <w:r w:rsidRPr="008E4EBC">
        <w:t>Feminario</w:t>
      </w:r>
      <w:proofErr w:type="spellEnd"/>
      <w:r w:rsidRPr="008E4EBC">
        <w:t xml:space="preserve"> de alicante. (2002). Elementos para una educación no sexista. Guía didáctica de la coeducación, Valencia: Víctor Orenga. </w:t>
      </w:r>
    </w:p>
    <w:p w:rsidR="002128D9" w:rsidRPr="008E4EBC" w:rsidRDefault="002128D9" w:rsidP="002128D9">
      <w:pPr>
        <w:spacing w:after="0"/>
        <w:ind w:left="567" w:hanging="567"/>
        <w:jc w:val="both"/>
      </w:pPr>
      <w:r w:rsidRPr="008E4EBC">
        <w:t xml:space="preserve">Fundación CTIC. (2008). Estudio sobre lenguaje y contenido sexista en la Web. Asturias: </w:t>
      </w:r>
      <w:proofErr w:type="spellStart"/>
      <w:r w:rsidRPr="008E4EBC">
        <w:t>Ministerior</w:t>
      </w:r>
      <w:proofErr w:type="spellEnd"/>
      <w:r w:rsidRPr="008E4EBC">
        <w:t xml:space="preserve"> de Industria, turismo y comercio.</w:t>
      </w:r>
    </w:p>
    <w:p w:rsidR="002128D9" w:rsidRPr="008E4EBC" w:rsidRDefault="002128D9" w:rsidP="002128D9">
      <w:pPr>
        <w:spacing w:after="0"/>
        <w:ind w:left="567" w:hanging="567"/>
        <w:jc w:val="both"/>
      </w:pPr>
      <w:r w:rsidRPr="008E4EBC">
        <w:t xml:space="preserve">García, A., &amp; </w:t>
      </w:r>
      <w:proofErr w:type="spellStart"/>
      <w:r w:rsidRPr="008E4EBC">
        <w:t>Nuñez</w:t>
      </w:r>
      <w:proofErr w:type="spellEnd"/>
      <w:r w:rsidRPr="008E4EBC">
        <w:t xml:space="preserve">, S. (2008). </w:t>
      </w:r>
      <w:proofErr w:type="gramStart"/>
      <w:r w:rsidRPr="008E4EBC">
        <w:t>sobre</w:t>
      </w:r>
      <w:proofErr w:type="gramEnd"/>
      <w:r w:rsidRPr="008E4EBC">
        <w:t xml:space="preserve"> la identidad virtual de género. En S. </w:t>
      </w:r>
      <w:proofErr w:type="spellStart"/>
      <w:r w:rsidRPr="008E4EBC">
        <w:t>Nuñez</w:t>
      </w:r>
      <w:proofErr w:type="spellEnd"/>
      <w:r w:rsidRPr="008E4EBC">
        <w:t>, &amp; E. Pérez (Ed.), La representación/presencia de la mujer en los medios de comunicación (Vol. 11, págs. 41-58). Alicante: Feminismo/s.</w:t>
      </w:r>
    </w:p>
    <w:p w:rsidR="002128D9" w:rsidRPr="008E4EBC" w:rsidRDefault="002128D9" w:rsidP="002128D9">
      <w:pPr>
        <w:spacing w:after="0"/>
        <w:ind w:left="567" w:hanging="567"/>
        <w:jc w:val="both"/>
      </w:pPr>
      <w:r w:rsidRPr="008E4EBC">
        <w:t xml:space="preserve">Gil, A. &amp; </w:t>
      </w:r>
      <w:proofErr w:type="spellStart"/>
      <w:r w:rsidRPr="008E4EBC">
        <w:t>Vall-llovera</w:t>
      </w:r>
      <w:proofErr w:type="spellEnd"/>
      <w:r w:rsidRPr="008E4EBC">
        <w:t>, M. (2009): Género, TIC y videojuegos, Barcelona: Editorial UOC</w:t>
      </w:r>
    </w:p>
    <w:p w:rsidR="002128D9" w:rsidRPr="008E4EBC" w:rsidRDefault="002128D9" w:rsidP="002128D9">
      <w:pPr>
        <w:spacing w:after="0"/>
        <w:ind w:left="567" w:hanging="567"/>
        <w:jc w:val="both"/>
      </w:pPr>
      <w:r w:rsidRPr="008E4EBC">
        <w:t xml:space="preserve">Gobierno Vasco (2013). La desigualdad de género y el sexismo en las redes sociales. Una aproximación cualitativa al uso que hacen las redes sociales las y </w:t>
      </w:r>
      <w:proofErr w:type="gramStart"/>
      <w:r w:rsidRPr="008E4EBC">
        <w:t>los</w:t>
      </w:r>
      <w:proofErr w:type="gramEnd"/>
      <w:r w:rsidRPr="008E4EBC">
        <w:t xml:space="preserve"> jóvenes en la CAPV. </w:t>
      </w:r>
      <w:proofErr w:type="spellStart"/>
      <w:r w:rsidRPr="008E4EBC">
        <w:t>Gazteiz</w:t>
      </w:r>
      <w:proofErr w:type="spellEnd"/>
      <w:r w:rsidRPr="008E4EBC">
        <w:t xml:space="preserve">: Colección </w:t>
      </w:r>
      <w:proofErr w:type="spellStart"/>
      <w:r w:rsidRPr="008E4EBC">
        <w:t>Gazteak</w:t>
      </w:r>
      <w:proofErr w:type="spellEnd"/>
      <w:r w:rsidRPr="008E4EBC">
        <w:t>, 7.</w:t>
      </w:r>
    </w:p>
    <w:p w:rsidR="002128D9" w:rsidRPr="008E4EBC" w:rsidRDefault="002128D9" w:rsidP="002128D9">
      <w:pPr>
        <w:spacing w:after="0"/>
        <w:ind w:left="567" w:hanging="567"/>
        <w:jc w:val="both"/>
      </w:pPr>
      <w:r w:rsidRPr="008E4EBC">
        <w:t>Gutiérrez, J. (2008). Dinámica del grupo de discusión. Madrid: Cuadernos metodológicos, CIS (Centro de Investigación Sociológicas).</w:t>
      </w:r>
    </w:p>
    <w:p w:rsidR="002128D9" w:rsidRPr="008E4EBC" w:rsidRDefault="002128D9" w:rsidP="002128D9">
      <w:pPr>
        <w:spacing w:after="0"/>
        <w:ind w:left="567" w:hanging="567"/>
        <w:jc w:val="both"/>
      </w:pPr>
      <w:r w:rsidRPr="008E4EBC">
        <w:t>Gutiérrez, R., Vega, L., &amp; Rendón, A. E. (2013). Internet y teléfono celular asociados a situaciones de riesgo de explotación sexual de adolescentes. Salud Mental, 36, 41-48.</w:t>
      </w:r>
    </w:p>
    <w:p w:rsidR="002128D9" w:rsidRPr="008E4EBC" w:rsidRDefault="002128D9" w:rsidP="002128D9">
      <w:pPr>
        <w:spacing w:after="0"/>
        <w:ind w:left="567" w:hanging="567"/>
        <w:jc w:val="both"/>
      </w:pPr>
      <w:r w:rsidRPr="008E4EBC">
        <w:t>INJUVE. (2011). Cifras y jóvenes. Sondeo de opinión. TIC y jóvenes. Madrid: Observatorio Juventud en España.</w:t>
      </w:r>
    </w:p>
    <w:p w:rsidR="002128D9" w:rsidRPr="008E4EBC" w:rsidRDefault="002128D9" w:rsidP="002128D9">
      <w:pPr>
        <w:spacing w:after="0"/>
        <w:ind w:left="567" w:hanging="567"/>
        <w:jc w:val="both"/>
      </w:pPr>
      <w:r w:rsidRPr="008E4EBC">
        <w:t>INTENCO. (2009). Estudio sobre hábitos seguros en el uso de las TIC por niños y adolescentes y e-confianza de sus padres. Madrid: Instituto Nacional de Tecnologías de la Comunicación. Observatorio de la seguridad de la información.</w:t>
      </w:r>
    </w:p>
    <w:p w:rsidR="002128D9" w:rsidRPr="008E4EBC" w:rsidRDefault="002128D9" w:rsidP="002128D9">
      <w:pPr>
        <w:spacing w:after="0"/>
        <w:ind w:left="567" w:hanging="567"/>
        <w:jc w:val="both"/>
      </w:pPr>
      <w:r w:rsidRPr="008E4EBC">
        <w:t xml:space="preserve">-(2011). Guía sobre adolescencia y </w:t>
      </w:r>
      <w:proofErr w:type="spellStart"/>
      <w:r w:rsidRPr="008E4EBC">
        <w:t>sexting</w:t>
      </w:r>
      <w:proofErr w:type="spellEnd"/>
      <w:r w:rsidRPr="008E4EBC">
        <w:t>: qué es y cómo prevenirlo. Instituto nacional de Tecnologías y comunicación. Observatorio de la seguridad y la información.</w:t>
      </w:r>
    </w:p>
    <w:p w:rsidR="002128D9" w:rsidRPr="008E4EBC" w:rsidRDefault="002128D9" w:rsidP="002128D9">
      <w:pPr>
        <w:spacing w:after="0"/>
        <w:ind w:left="567" w:hanging="567"/>
        <w:jc w:val="both"/>
      </w:pPr>
      <w:r w:rsidRPr="008E4EBC">
        <w:t xml:space="preserve">-(2013). Guía de actuación contra el </w:t>
      </w:r>
      <w:proofErr w:type="spellStart"/>
      <w:r w:rsidRPr="008E4EBC">
        <w:t>ciberacoso</w:t>
      </w:r>
      <w:proofErr w:type="spellEnd"/>
      <w:r w:rsidRPr="008E4EBC">
        <w:t>. Padres y educadores. Madrid: Instituto Nacional de Tecnologías de la Comunicación.</w:t>
      </w:r>
    </w:p>
    <w:p w:rsidR="002128D9" w:rsidRPr="008E4EBC" w:rsidRDefault="002128D9" w:rsidP="002128D9">
      <w:pPr>
        <w:spacing w:after="0"/>
        <w:ind w:left="567" w:hanging="567"/>
        <w:jc w:val="both"/>
      </w:pPr>
      <w:r w:rsidRPr="008E4EBC">
        <w:t xml:space="preserve">- (2011). Guía sobre adolescencia y </w:t>
      </w:r>
      <w:proofErr w:type="spellStart"/>
      <w:r w:rsidRPr="008E4EBC">
        <w:t>sexting</w:t>
      </w:r>
      <w:proofErr w:type="spellEnd"/>
      <w:r w:rsidRPr="008E4EBC">
        <w:t>: qué es y cómo prevenirlo. Instituto nacional de Tecnologías y comunicación. Observatorio de la seguridad y la información.</w:t>
      </w:r>
    </w:p>
    <w:p w:rsidR="002128D9" w:rsidRPr="008E4EBC" w:rsidRDefault="002128D9" w:rsidP="002128D9">
      <w:pPr>
        <w:spacing w:after="0"/>
        <w:ind w:left="567" w:hanging="567"/>
        <w:jc w:val="both"/>
      </w:pPr>
      <w:r w:rsidRPr="008E4EBC">
        <w:t xml:space="preserve">Instituto Andaluz de la mujer (2005). Violencia y sexismo en los videojuegos. Andalucía: </w:t>
      </w:r>
      <w:proofErr w:type="spellStart"/>
      <w:r w:rsidRPr="008E4EBC">
        <w:t>Artefinal</w:t>
      </w:r>
      <w:proofErr w:type="spellEnd"/>
      <w:r w:rsidRPr="008E4EBC">
        <w:t xml:space="preserve"> Studio, SL.</w:t>
      </w:r>
    </w:p>
    <w:p w:rsidR="002128D9" w:rsidRPr="008E4EBC" w:rsidRDefault="002128D9" w:rsidP="002128D9">
      <w:pPr>
        <w:spacing w:after="0"/>
        <w:ind w:left="567" w:hanging="567"/>
        <w:jc w:val="both"/>
      </w:pPr>
      <w:r w:rsidRPr="008E4EBC">
        <w:t>Instituto de la mujer. (2004). La diferencia sexual en el análisis de los videojuegos. CIDE (Ministerio de educación y Ciencia) e Instituto de la mujer (Ministerio de Trabajo y Asuntos sociales)</w:t>
      </w:r>
    </w:p>
    <w:p w:rsidR="002128D9" w:rsidRPr="008E4EBC" w:rsidRDefault="002128D9" w:rsidP="002128D9">
      <w:pPr>
        <w:spacing w:after="0"/>
        <w:ind w:left="567" w:hanging="567"/>
        <w:jc w:val="both"/>
      </w:pPr>
      <w:r w:rsidRPr="008E4EBC">
        <w:t xml:space="preserve">- (2008a). Guía de Coeducación. Síntesis de sobre la educación de Igualdad de Oportunidades entre Mujeres y Hombres. Ministerio de igualdad. Observatorio para la igualdad de Oportunidades. </w:t>
      </w:r>
    </w:p>
    <w:p w:rsidR="002128D9" w:rsidRPr="008E4EBC" w:rsidRDefault="002128D9" w:rsidP="002128D9">
      <w:pPr>
        <w:spacing w:after="0"/>
        <w:ind w:left="567" w:hanging="567"/>
        <w:jc w:val="both"/>
      </w:pPr>
      <w:r w:rsidRPr="008E4EBC">
        <w:t xml:space="preserve">- (2008b). Mujeres y nuevas tecnologías de la información y la comunicación. Madrid: Instituto de la Mujer. </w:t>
      </w:r>
    </w:p>
    <w:p w:rsidR="002128D9" w:rsidRPr="008E4EBC" w:rsidRDefault="002128D9" w:rsidP="002128D9">
      <w:pPr>
        <w:spacing w:after="0"/>
        <w:ind w:left="567" w:hanging="567"/>
        <w:jc w:val="both"/>
      </w:pPr>
      <w:r w:rsidRPr="008E4EBC">
        <w:t xml:space="preserve">- (2011). Profundizando en el análisis del mito del amor romántico y sus relaciones con la violencia contra las mujeres en la pareja: análisis cualitativo. Dir. Bosch </w:t>
      </w:r>
      <w:proofErr w:type="spellStart"/>
      <w:r w:rsidRPr="008E4EBC">
        <w:t>Fiol</w:t>
      </w:r>
      <w:proofErr w:type="spellEnd"/>
      <w:r w:rsidRPr="008E4EBC">
        <w:t xml:space="preserve">, E. </w:t>
      </w:r>
    </w:p>
    <w:p w:rsidR="002128D9" w:rsidRPr="008E4EBC" w:rsidRDefault="002128D9" w:rsidP="002128D9">
      <w:pPr>
        <w:spacing w:after="0"/>
        <w:ind w:left="567" w:hanging="567"/>
        <w:jc w:val="both"/>
      </w:pPr>
      <w:r w:rsidRPr="008E4EBC">
        <w:t>Jiménez-</w:t>
      </w:r>
      <w:proofErr w:type="spellStart"/>
      <w:r w:rsidRPr="008E4EBC">
        <w:t>Albiar</w:t>
      </w:r>
      <w:proofErr w:type="spellEnd"/>
      <w:r w:rsidRPr="008E4EBC">
        <w:t xml:space="preserve">, M. I., Piqueras, J. A., </w:t>
      </w:r>
      <w:proofErr w:type="spellStart"/>
      <w:r w:rsidRPr="008E4EBC">
        <w:t>Mateu</w:t>
      </w:r>
      <w:proofErr w:type="spellEnd"/>
      <w:r w:rsidRPr="008E4EBC">
        <w:t xml:space="preserve">-Martínez, O., Carballo, J. L., </w:t>
      </w:r>
      <w:proofErr w:type="spellStart"/>
      <w:r w:rsidRPr="008E4EBC">
        <w:t>Orgilés</w:t>
      </w:r>
      <w:proofErr w:type="spellEnd"/>
      <w:r w:rsidRPr="008E4EBC">
        <w:t xml:space="preserve">, M., &amp; Espada, J. P. (2012). Diferencias de sexo, </w:t>
      </w:r>
      <w:proofErr w:type="gramStart"/>
      <w:r w:rsidRPr="008E4EBC">
        <w:t>características</w:t>
      </w:r>
      <w:proofErr w:type="gramEnd"/>
      <w:r w:rsidRPr="008E4EBC">
        <w:t xml:space="preserve"> de personalidad y afrontamiento uso de </w:t>
      </w:r>
      <w:r w:rsidRPr="008E4EBC">
        <w:lastRenderedPageBreak/>
        <w:t xml:space="preserve">Internet, el móvil y los videojuegos en la adolescencia. </w:t>
      </w:r>
      <w:proofErr w:type="spellStart"/>
      <w:r w:rsidRPr="008E4EBC">
        <w:t>Health</w:t>
      </w:r>
      <w:proofErr w:type="spellEnd"/>
      <w:r w:rsidRPr="008E4EBC">
        <w:t xml:space="preserve"> and </w:t>
      </w:r>
      <w:proofErr w:type="spellStart"/>
      <w:r w:rsidRPr="008E4EBC">
        <w:t>Addictions</w:t>
      </w:r>
      <w:proofErr w:type="spellEnd"/>
      <w:r w:rsidRPr="008E4EBC">
        <w:t xml:space="preserve"> / Salud y Drogas, 12(1), 61-82.</w:t>
      </w:r>
    </w:p>
    <w:p w:rsidR="002128D9" w:rsidRPr="008E4EBC" w:rsidRDefault="002128D9" w:rsidP="002128D9">
      <w:pPr>
        <w:spacing w:after="0"/>
        <w:ind w:left="567" w:hanging="567"/>
        <w:jc w:val="both"/>
        <w:rPr>
          <w:lang w:val="en-US"/>
        </w:rPr>
      </w:pPr>
      <w:proofErr w:type="spellStart"/>
      <w:r w:rsidRPr="008E4EBC">
        <w:rPr>
          <w:lang w:val="en-US"/>
        </w:rPr>
        <w:t>Lenhart</w:t>
      </w:r>
      <w:proofErr w:type="spellEnd"/>
      <w:r w:rsidRPr="008E4EBC">
        <w:rPr>
          <w:lang w:val="en-US"/>
        </w:rPr>
        <w:t xml:space="preserve">, A. (2009). </w:t>
      </w:r>
      <w:proofErr w:type="gramStart"/>
      <w:r w:rsidRPr="008E4EBC">
        <w:rPr>
          <w:lang w:val="en-US"/>
        </w:rPr>
        <w:t>Teen and Sexting.</w:t>
      </w:r>
      <w:proofErr w:type="gramEnd"/>
      <w:r w:rsidRPr="008E4EBC">
        <w:rPr>
          <w:lang w:val="en-US"/>
        </w:rPr>
        <w:t xml:space="preserve"> </w:t>
      </w:r>
      <w:proofErr w:type="gramStart"/>
      <w:r w:rsidRPr="008E4EBC">
        <w:rPr>
          <w:lang w:val="en-US"/>
        </w:rPr>
        <w:t>Pew Research Center.</w:t>
      </w:r>
      <w:proofErr w:type="gramEnd"/>
      <w:r w:rsidRPr="008E4EBC">
        <w:rPr>
          <w:lang w:val="en-US"/>
        </w:rPr>
        <w:t xml:space="preserve"> Washington, D.C: Pew Internet &amp; American Life Project.</w:t>
      </w:r>
    </w:p>
    <w:p w:rsidR="002128D9" w:rsidRPr="008E4EBC" w:rsidRDefault="002128D9" w:rsidP="002128D9">
      <w:pPr>
        <w:spacing w:after="0"/>
        <w:ind w:left="567" w:hanging="567"/>
        <w:jc w:val="both"/>
        <w:rPr>
          <w:lang w:val="en-US"/>
        </w:rPr>
      </w:pPr>
      <w:proofErr w:type="spellStart"/>
      <w:proofErr w:type="gramStart"/>
      <w:r w:rsidRPr="008E4EBC">
        <w:rPr>
          <w:lang w:val="en-US"/>
        </w:rPr>
        <w:t>López</w:t>
      </w:r>
      <w:proofErr w:type="spellEnd"/>
      <w:r w:rsidRPr="008E4EBC">
        <w:rPr>
          <w:lang w:val="en-US"/>
        </w:rPr>
        <w:t xml:space="preserve">, M. (1996).La </w:t>
      </w:r>
      <w:proofErr w:type="spellStart"/>
      <w:r w:rsidRPr="008E4EBC">
        <w:rPr>
          <w:lang w:val="en-US"/>
        </w:rPr>
        <w:t>elección</w:t>
      </w:r>
      <w:proofErr w:type="spellEnd"/>
      <w:r w:rsidRPr="008E4EBC">
        <w:rPr>
          <w:lang w:val="en-US"/>
        </w:rPr>
        <w:t xml:space="preserve"> de </w:t>
      </w:r>
      <w:proofErr w:type="spellStart"/>
      <w:r w:rsidRPr="008E4EBC">
        <w:rPr>
          <w:lang w:val="en-US"/>
        </w:rPr>
        <w:t>una</w:t>
      </w:r>
      <w:proofErr w:type="spellEnd"/>
      <w:r w:rsidRPr="008E4EBC">
        <w:rPr>
          <w:lang w:val="en-US"/>
        </w:rPr>
        <w:t xml:space="preserve"> </w:t>
      </w:r>
      <w:proofErr w:type="spellStart"/>
      <w:r w:rsidRPr="008E4EBC">
        <w:rPr>
          <w:lang w:val="en-US"/>
        </w:rPr>
        <w:t>carrera</w:t>
      </w:r>
      <w:proofErr w:type="spellEnd"/>
      <w:r w:rsidRPr="008E4EBC">
        <w:rPr>
          <w:lang w:val="en-US"/>
        </w:rPr>
        <w:t xml:space="preserve"> </w:t>
      </w:r>
      <w:proofErr w:type="spellStart"/>
      <w:r w:rsidRPr="008E4EBC">
        <w:rPr>
          <w:lang w:val="en-US"/>
        </w:rPr>
        <w:t>típicamente</w:t>
      </w:r>
      <w:proofErr w:type="spellEnd"/>
      <w:r w:rsidRPr="008E4EBC">
        <w:rPr>
          <w:lang w:val="en-US"/>
        </w:rPr>
        <w:t xml:space="preserve"> </w:t>
      </w:r>
      <w:proofErr w:type="spellStart"/>
      <w:r w:rsidRPr="008E4EBC">
        <w:rPr>
          <w:lang w:val="en-US"/>
        </w:rPr>
        <w:t>femenina</w:t>
      </w:r>
      <w:proofErr w:type="spellEnd"/>
      <w:r w:rsidRPr="008E4EBC">
        <w:rPr>
          <w:lang w:val="en-US"/>
        </w:rPr>
        <w:t xml:space="preserve"> o </w:t>
      </w:r>
      <w:proofErr w:type="spellStart"/>
      <w:r w:rsidRPr="008E4EBC">
        <w:rPr>
          <w:lang w:val="en-US"/>
        </w:rPr>
        <w:t>masculina</w:t>
      </w:r>
      <w:proofErr w:type="spellEnd"/>
      <w:r w:rsidRPr="008E4EBC">
        <w:rPr>
          <w:lang w:val="en-US"/>
        </w:rPr>
        <w:t>.</w:t>
      </w:r>
      <w:proofErr w:type="gramEnd"/>
      <w:r w:rsidRPr="008E4EBC">
        <w:rPr>
          <w:lang w:val="en-US"/>
        </w:rPr>
        <w:t xml:space="preserve"> </w:t>
      </w:r>
      <w:proofErr w:type="spellStart"/>
      <w:r w:rsidRPr="008E4EBC">
        <w:rPr>
          <w:lang w:val="en-US"/>
        </w:rPr>
        <w:t>Desde</w:t>
      </w:r>
      <w:proofErr w:type="spellEnd"/>
      <w:r w:rsidRPr="008E4EBC">
        <w:rPr>
          <w:lang w:val="en-US"/>
        </w:rPr>
        <w:t xml:space="preserve"> </w:t>
      </w:r>
      <w:proofErr w:type="spellStart"/>
      <w:r w:rsidRPr="008E4EBC">
        <w:rPr>
          <w:lang w:val="en-US"/>
        </w:rPr>
        <w:t>una</w:t>
      </w:r>
      <w:proofErr w:type="spellEnd"/>
      <w:r w:rsidRPr="008E4EBC">
        <w:rPr>
          <w:lang w:val="en-US"/>
        </w:rPr>
        <w:t xml:space="preserve"> </w:t>
      </w:r>
      <w:proofErr w:type="spellStart"/>
      <w:r w:rsidRPr="008E4EBC">
        <w:rPr>
          <w:lang w:val="en-US"/>
        </w:rPr>
        <w:t>perspectiva</w:t>
      </w:r>
      <w:proofErr w:type="spellEnd"/>
      <w:r w:rsidRPr="008E4EBC">
        <w:rPr>
          <w:lang w:val="en-US"/>
        </w:rPr>
        <w:t xml:space="preserve"> </w:t>
      </w:r>
      <w:proofErr w:type="spellStart"/>
      <w:r w:rsidRPr="008E4EBC">
        <w:rPr>
          <w:lang w:val="en-US"/>
        </w:rPr>
        <w:t>psicosocial</w:t>
      </w:r>
      <w:proofErr w:type="spellEnd"/>
      <w:r w:rsidRPr="008E4EBC">
        <w:rPr>
          <w:lang w:val="en-US"/>
        </w:rPr>
        <w:t xml:space="preserve">: la </w:t>
      </w:r>
      <w:proofErr w:type="spellStart"/>
      <w:r w:rsidRPr="008E4EBC">
        <w:rPr>
          <w:lang w:val="en-US"/>
        </w:rPr>
        <w:t>influencia</w:t>
      </w:r>
      <w:proofErr w:type="spellEnd"/>
      <w:r w:rsidRPr="008E4EBC">
        <w:rPr>
          <w:lang w:val="en-US"/>
        </w:rPr>
        <w:t xml:space="preserve"> </w:t>
      </w:r>
      <w:proofErr w:type="gramStart"/>
      <w:r w:rsidRPr="008E4EBC">
        <w:rPr>
          <w:lang w:val="en-US"/>
        </w:rPr>
        <w:t>del</w:t>
      </w:r>
      <w:proofErr w:type="gramEnd"/>
      <w:r w:rsidRPr="008E4EBC">
        <w:rPr>
          <w:lang w:val="en-US"/>
        </w:rPr>
        <w:t xml:space="preserve"> </w:t>
      </w:r>
      <w:proofErr w:type="spellStart"/>
      <w:r w:rsidRPr="008E4EBC">
        <w:rPr>
          <w:lang w:val="en-US"/>
        </w:rPr>
        <w:t>género</w:t>
      </w:r>
      <w:proofErr w:type="spellEnd"/>
      <w:r w:rsidRPr="008E4EBC">
        <w:rPr>
          <w:lang w:val="en-US"/>
        </w:rPr>
        <w:t xml:space="preserve">. Madrid: </w:t>
      </w:r>
      <w:proofErr w:type="spellStart"/>
      <w:r w:rsidRPr="008E4EBC">
        <w:rPr>
          <w:lang w:val="en-US"/>
        </w:rPr>
        <w:t>Ministerio</w:t>
      </w:r>
      <w:proofErr w:type="spellEnd"/>
      <w:r w:rsidRPr="008E4EBC">
        <w:rPr>
          <w:lang w:val="en-US"/>
        </w:rPr>
        <w:t xml:space="preserve"> de </w:t>
      </w:r>
      <w:proofErr w:type="spellStart"/>
      <w:r w:rsidRPr="008E4EBC">
        <w:rPr>
          <w:lang w:val="en-US"/>
        </w:rPr>
        <w:t>Educación</w:t>
      </w:r>
      <w:proofErr w:type="spellEnd"/>
      <w:r w:rsidRPr="008E4EBC">
        <w:rPr>
          <w:lang w:val="en-US"/>
        </w:rPr>
        <w:t xml:space="preserve"> y </w:t>
      </w:r>
      <w:proofErr w:type="spellStart"/>
      <w:r w:rsidRPr="008E4EBC">
        <w:rPr>
          <w:lang w:val="en-US"/>
        </w:rPr>
        <w:t>Ciencia</w:t>
      </w:r>
      <w:proofErr w:type="spellEnd"/>
      <w:r w:rsidRPr="008E4EBC">
        <w:rPr>
          <w:lang w:val="en-US"/>
        </w:rPr>
        <w:t xml:space="preserve">, </w:t>
      </w:r>
    </w:p>
    <w:p w:rsidR="002128D9" w:rsidRPr="008E4EBC" w:rsidRDefault="002128D9" w:rsidP="002128D9">
      <w:pPr>
        <w:spacing w:after="0"/>
        <w:ind w:left="567" w:hanging="567"/>
        <w:jc w:val="both"/>
        <w:rPr>
          <w:lang w:val="en-US"/>
        </w:rPr>
      </w:pPr>
      <w:proofErr w:type="gramStart"/>
      <w:r w:rsidRPr="008E4EBC">
        <w:rPr>
          <w:lang w:val="en-US"/>
        </w:rPr>
        <w:t>-(</w:t>
      </w:r>
      <w:proofErr w:type="gramEnd"/>
      <w:r w:rsidRPr="008E4EBC">
        <w:rPr>
          <w:lang w:val="en-US"/>
        </w:rPr>
        <w:t xml:space="preserve">2003). </w:t>
      </w:r>
      <w:proofErr w:type="spellStart"/>
      <w:r w:rsidRPr="008E4EBC">
        <w:rPr>
          <w:lang w:val="en-US"/>
        </w:rPr>
        <w:t>Estudio</w:t>
      </w:r>
      <w:proofErr w:type="spellEnd"/>
      <w:r w:rsidRPr="008E4EBC">
        <w:rPr>
          <w:lang w:val="en-US"/>
        </w:rPr>
        <w:t xml:space="preserve"> II. </w:t>
      </w:r>
      <w:proofErr w:type="gramStart"/>
      <w:r w:rsidRPr="008E4EBC">
        <w:rPr>
          <w:lang w:val="en-US"/>
        </w:rPr>
        <w:t>Universidad.</w:t>
      </w:r>
      <w:proofErr w:type="gramEnd"/>
      <w:r w:rsidRPr="008E4EBC">
        <w:rPr>
          <w:lang w:val="en-US"/>
        </w:rPr>
        <w:t xml:space="preserve"> </w:t>
      </w:r>
      <w:proofErr w:type="gramStart"/>
      <w:r w:rsidRPr="008E4EBC">
        <w:rPr>
          <w:lang w:val="en-US"/>
        </w:rPr>
        <w:t xml:space="preserve">CIDE/ El </w:t>
      </w:r>
      <w:proofErr w:type="spellStart"/>
      <w:r w:rsidRPr="008E4EBC">
        <w:rPr>
          <w:lang w:val="en-US"/>
        </w:rPr>
        <w:t>Instituto</w:t>
      </w:r>
      <w:proofErr w:type="spellEnd"/>
      <w:r w:rsidRPr="008E4EBC">
        <w:rPr>
          <w:lang w:val="en-US"/>
        </w:rPr>
        <w:t xml:space="preserve"> de la </w:t>
      </w:r>
      <w:proofErr w:type="spellStart"/>
      <w:r w:rsidRPr="008E4EBC">
        <w:rPr>
          <w:lang w:val="en-US"/>
        </w:rPr>
        <w:t>Mujer</w:t>
      </w:r>
      <w:proofErr w:type="spellEnd"/>
      <w:r w:rsidRPr="008E4EBC">
        <w:rPr>
          <w:lang w:val="en-US"/>
        </w:rPr>
        <w:t>, Madrid.</w:t>
      </w:r>
      <w:proofErr w:type="gramEnd"/>
    </w:p>
    <w:p w:rsidR="002128D9" w:rsidRPr="008E4EBC" w:rsidRDefault="002128D9" w:rsidP="002128D9">
      <w:pPr>
        <w:spacing w:after="0"/>
        <w:ind w:left="567" w:hanging="567"/>
        <w:jc w:val="both"/>
        <w:rPr>
          <w:lang w:val="en-US"/>
        </w:rPr>
      </w:pPr>
      <w:proofErr w:type="spellStart"/>
      <w:r w:rsidRPr="008E4EBC">
        <w:rPr>
          <w:lang w:val="en-US"/>
        </w:rPr>
        <w:t>Martínez</w:t>
      </w:r>
      <w:proofErr w:type="spellEnd"/>
      <w:r w:rsidRPr="008E4EBC">
        <w:rPr>
          <w:lang w:val="en-US"/>
        </w:rPr>
        <w:t xml:space="preserve">, C. (2009). </w:t>
      </w:r>
      <w:proofErr w:type="spellStart"/>
      <w:proofErr w:type="gramStart"/>
      <w:r w:rsidRPr="008E4EBC">
        <w:rPr>
          <w:lang w:val="en-US"/>
        </w:rPr>
        <w:t>Prevenir</w:t>
      </w:r>
      <w:proofErr w:type="spellEnd"/>
      <w:r w:rsidRPr="008E4EBC">
        <w:rPr>
          <w:lang w:val="en-US"/>
        </w:rPr>
        <w:t xml:space="preserve"> la </w:t>
      </w:r>
      <w:proofErr w:type="spellStart"/>
      <w:r w:rsidRPr="008E4EBC">
        <w:rPr>
          <w:lang w:val="en-US"/>
        </w:rPr>
        <w:t>violencia</w:t>
      </w:r>
      <w:proofErr w:type="spellEnd"/>
      <w:r w:rsidRPr="008E4EBC">
        <w:rPr>
          <w:lang w:val="en-US"/>
        </w:rPr>
        <w:t xml:space="preserve"> </w:t>
      </w:r>
      <w:proofErr w:type="spellStart"/>
      <w:r w:rsidRPr="008E4EBC">
        <w:rPr>
          <w:lang w:val="en-US"/>
        </w:rPr>
        <w:t>cambiando</w:t>
      </w:r>
      <w:proofErr w:type="spellEnd"/>
      <w:r w:rsidRPr="008E4EBC">
        <w:rPr>
          <w:lang w:val="en-US"/>
        </w:rPr>
        <w:t xml:space="preserve"> la forma de </w:t>
      </w:r>
      <w:proofErr w:type="spellStart"/>
      <w:r w:rsidRPr="008E4EBC">
        <w:rPr>
          <w:lang w:val="en-US"/>
        </w:rPr>
        <w:t>ser</w:t>
      </w:r>
      <w:proofErr w:type="spellEnd"/>
      <w:r w:rsidRPr="008E4EBC">
        <w:rPr>
          <w:lang w:val="en-US"/>
        </w:rPr>
        <w:t xml:space="preserve"> hombre entre </w:t>
      </w:r>
      <w:proofErr w:type="spellStart"/>
      <w:r w:rsidRPr="008E4EBC">
        <w:rPr>
          <w:lang w:val="en-US"/>
        </w:rPr>
        <w:t>los</w:t>
      </w:r>
      <w:proofErr w:type="spellEnd"/>
      <w:r w:rsidRPr="008E4EBC">
        <w:rPr>
          <w:lang w:val="en-US"/>
        </w:rPr>
        <w:t xml:space="preserve"> </w:t>
      </w:r>
      <w:proofErr w:type="spellStart"/>
      <w:r w:rsidRPr="008E4EBC">
        <w:rPr>
          <w:lang w:val="en-US"/>
        </w:rPr>
        <w:t>jóvenes</w:t>
      </w:r>
      <w:proofErr w:type="spellEnd"/>
      <w:r w:rsidRPr="008E4EBC">
        <w:rPr>
          <w:lang w:val="en-US"/>
        </w:rPr>
        <w:t>.</w:t>
      </w:r>
      <w:proofErr w:type="gramEnd"/>
      <w:r w:rsidRPr="008E4EBC">
        <w:rPr>
          <w:lang w:val="en-US"/>
        </w:rPr>
        <w:t xml:space="preserve"> </w:t>
      </w:r>
      <w:proofErr w:type="spellStart"/>
      <w:r w:rsidRPr="008E4EBC">
        <w:rPr>
          <w:lang w:val="en-US"/>
        </w:rPr>
        <w:t>En</w:t>
      </w:r>
      <w:proofErr w:type="spellEnd"/>
      <w:r w:rsidRPr="008E4EBC">
        <w:rPr>
          <w:lang w:val="en-US"/>
        </w:rPr>
        <w:t xml:space="preserve"> </w:t>
      </w:r>
      <w:proofErr w:type="spellStart"/>
      <w:r w:rsidRPr="008E4EBC">
        <w:rPr>
          <w:lang w:val="en-US"/>
        </w:rPr>
        <w:t>Valdemoro</w:t>
      </w:r>
      <w:proofErr w:type="spellEnd"/>
      <w:r w:rsidRPr="008E4EBC">
        <w:rPr>
          <w:lang w:val="en-US"/>
        </w:rPr>
        <w:t xml:space="preserve">, J. y </w:t>
      </w:r>
      <w:proofErr w:type="spellStart"/>
      <w:r w:rsidRPr="008E4EBC">
        <w:rPr>
          <w:lang w:val="en-US"/>
        </w:rPr>
        <w:t>Peyró</w:t>
      </w:r>
      <w:proofErr w:type="spellEnd"/>
      <w:r w:rsidRPr="008E4EBC">
        <w:rPr>
          <w:lang w:val="en-US"/>
        </w:rPr>
        <w:t xml:space="preserve">, M.J. Juventud y </w:t>
      </w:r>
      <w:proofErr w:type="spellStart"/>
      <w:r w:rsidRPr="008E4EBC">
        <w:rPr>
          <w:lang w:val="en-US"/>
        </w:rPr>
        <w:t>violencia</w:t>
      </w:r>
      <w:proofErr w:type="spellEnd"/>
      <w:r w:rsidRPr="008E4EBC">
        <w:rPr>
          <w:lang w:val="en-US"/>
        </w:rPr>
        <w:t xml:space="preserve"> de </w:t>
      </w:r>
      <w:proofErr w:type="spellStart"/>
      <w:r w:rsidRPr="008E4EBC">
        <w:rPr>
          <w:lang w:val="en-US"/>
        </w:rPr>
        <w:t>género</w:t>
      </w:r>
      <w:proofErr w:type="spellEnd"/>
      <w:r w:rsidRPr="008E4EBC">
        <w:rPr>
          <w:lang w:val="en-US"/>
        </w:rPr>
        <w:t xml:space="preserve">. </w:t>
      </w:r>
      <w:proofErr w:type="spellStart"/>
      <w:r w:rsidRPr="008E4EBC">
        <w:rPr>
          <w:lang w:val="en-US"/>
        </w:rPr>
        <w:t>Revista</w:t>
      </w:r>
      <w:proofErr w:type="spellEnd"/>
      <w:r w:rsidRPr="008E4EBC">
        <w:rPr>
          <w:lang w:val="en-US"/>
        </w:rPr>
        <w:t xml:space="preserve"> </w:t>
      </w:r>
      <w:proofErr w:type="spellStart"/>
      <w:r w:rsidRPr="008E4EBC">
        <w:rPr>
          <w:lang w:val="en-US"/>
        </w:rPr>
        <w:t>Estudios</w:t>
      </w:r>
      <w:proofErr w:type="spellEnd"/>
      <w:r w:rsidRPr="008E4EBC">
        <w:rPr>
          <w:lang w:val="en-US"/>
        </w:rPr>
        <w:t xml:space="preserve"> y Juventud, 86, 177-194. </w:t>
      </w:r>
    </w:p>
    <w:p w:rsidR="002128D9" w:rsidRPr="008E4EBC" w:rsidRDefault="002128D9" w:rsidP="002128D9">
      <w:pPr>
        <w:spacing w:after="0"/>
        <w:ind w:left="567" w:hanging="567"/>
        <w:jc w:val="both"/>
      </w:pPr>
      <w:r w:rsidRPr="008E4EBC">
        <w:t xml:space="preserve">Merchán, I. (2014). </w:t>
      </w:r>
      <w:proofErr w:type="spellStart"/>
      <w:r w:rsidRPr="008E4EBC">
        <w:t>The</w:t>
      </w:r>
      <w:proofErr w:type="spellEnd"/>
      <w:r w:rsidRPr="008E4EBC">
        <w:t xml:space="preserve"> </w:t>
      </w:r>
      <w:proofErr w:type="spellStart"/>
      <w:r w:rsidRPr="008E4EBC">
        <w:t>gender</w:t>
      </w:r>
      <w:proofErr w:type="spellEnd"/>
      <w:r w:rsidRPr="008E4EBC">
        <w:t xml:space="preserve"> digital divide. La brecha digital de género. Bilbao: UPV. EHU.</w:t>
      </w:r>
    </w:p>
    <w:p w:rsidR="002128D9" w:rsidRPr="008E4EBC" w:rsidRDefault="002128D9" w:rsidP="002128D9">
      <w:pPr>
        <w:spacing w:after="0"/>
        <w:ind w:left="567" w:hanging="567"/>
        <w:jc w:val="both"/>
      </w:pPr>
      <w:proofErr w:type="spellStart"/>
      <w:r w:rsidRPr="008E4EBC">
        <w:t>Milic</w:t>
      </w:r>
      <w:proofErr w:type="spellEnd"/>
      <w:r w:rsidRPr="008E4EBC">
        <w:t xml:space="preserve">, M., &amp; </w:t>
      </w:r>
      <w:proofErr w:type="spellStart"/>
      <w:r w:rsidRPr="008E4EBC">
        <w:t>Skoric</w:t>
      </w:r>
      <w:proofErr w:type="spellEnd"/>
      <w:r w:rsidRPr="008E4EBC">
        <w:t xml:space="preserve">, I. (2010). </w:t>
      </w:r>
      <w:proofErr w:type="spellStart"/>
      <w:r w:rsidRPr="008E4EBC">
        <w:t>Computer</w:t>
      </w:r>
      <w:proofErr w:type="spellEnd"/>
      <w:r w:rsidRPr="008E4EBC">
        <w:t xml:space="preserve"> </w:t>
      </w:r>
      <w:proofErr w:type="spellStart"/>
      <w:r w:rsidRPr="008E4EBC">
        <w:t>Attitude</w:t>
      </w:r>
      <w:proofErr w:type="spellEnd"/>
      <w:r w:rsidRPr="008E4EBC">
        <w:t xml:space="preserve"> and </w:t>
      </w:r>
      <w:proofErr w:type="spellStart"/>
      <w:r w:rsidRPr="008E4EBC">
        <w:t>Factors</w:t>
      </w:r>
      <w:proofErr w:type="spellEnd"/>
      <w:r w:rsidRPr="008E4EBC">
        <w:t xml:space="preserve"> of </w:t>
      </w:r>
      <w:proofErr w:type="spellStart"/>
      <w:r w:rsidRPr="008E4EBC">
        <w:t>Student's</w:t>
      </w:r>
      <w:proofErr w:type="spellEnd"/>
      <w:r w:rsidRPr="008E4EBC">
        <w:t xml:space="preserve">. </w:t>
      </w:r>
      <w:proofErr w:type="spellStart"/>
      <w:r w:rsidRPr="008E4EBC">
        <w:t>Environment</w:t>
      </w:r>
      <w:proofErr w:type="spellEnd"/>
      <w:r w:rsidRPr="008E4EBC">
        <w:t xml:space="preserve"> at Home and at </w:t>
      </w:r>
      <w:proofErr w:type="spellStart"/>
      <w:r w:rsidRPr="008E4EBC">
        <w:t>School</w:t>
      </w:r>
      <w:proofErr w:type="spellEnd"/>
      <w:r w:rsidRPr="008E4EBC">
        <w:t xml:space="preserve">. </w:t>
      </w:r>
      <w:proofErr w:type="spellStart"/>
      <w:r w:rsidRPr="008E4EBC">
        <w:t>Information</w:t>
      </w:r>
      <w:proofErr w:type="spellEnd"/>
      <w:r w:rsidRPr="008E4EBC">
        <w:t xml:space="preserve"> </w:t>
      </w:r>
      <w:proofErr w:type="spellStart"/>
      <w:r w:rsidRPr="008E4EBC">
        <w:t>Technology</w:t>
      </w:r>
      <w:proofErr w:type="spellEnd"/>
      <w:r w:rsidRPr="008E4EBC">
        <w:t xml:space="preserve"> Interfaces, 307-312.</w:t>
      </w:r>
    </w:p>
    <w:p w:rsidR="002128D9" w:rsidRPr="008E4EBC" w:rsidRDefault="002128D9" w:rsidP="002128D9">
      <w:pPr>
        <w:spacing w:after="0"/>
        <w:ind w:left="567" w:hanging="567"/>
        <w:jc w:val="both"/>
      </w:pPr>
      <w:r w:rsidRPr="008E4EBC">
        <w:t>Observatorio e-Igualdad. (2011). La brecha digital de género en España: Análisis multinivel (España, Europa, Comunidades Autónomas). Madrid: UCM.</w:t>
      </w:r>
    </w:p>
    <w:p w:rsidR="002128D9" w:rsidRPr="008E4EBC" w:rsidRDefault="002128D9" w:rsidP="002128D9">
      <w:pPr>
        <w:spacing w:after="0"/>
        <w:ind w:left="567" w:hanging="567"/>
        <w:jc w:val="both"/>
      </w:pPr>
      <w:r w:rsidRPr="008E4EBC">
        <w:t>Pantallas amigas. (06 de 06 de 2015). Pantallas amigas. Obtenido de http://www.abc.es/familia-educacion/20150527/abci-programa-finlandia-acoso-201505261029.html</w:t>
      </w:r>
    </w:p>
    <w:p w:rsidR="002128D9" w:rsidRPr="008E4EBC" w:rsidRDefault="002128D9" w:rsidP="002128D9">
      <w:pPr>
        <w:spacing w:after="0"/>
        <w:ind w:left="567" w:hanging="567"/>
        <w:jc w:val="both"/>
      </w:pPr>
      <w:r w:rsidRPr="008E4EBC">
        <w:t>Perales, V., Adam, F., &amp; García, M. (2008). La vida de salón virtual: mujer, preciosismo y videojuegos. En G. Pérez-Amat, S. Núñez Puente, &amp; A. García Jiménez, Comunicación, identidad y género (págs. 693-698). Barcelona: Fragua.</w:t>
      </w:r>
    </w:p>
    <w:p w:rsidR="002128D9" w:rsidRPr="008E4EBC" w:rsidRDefault="002128D9" w:rsidP="002128D9">
      <w:pPr>
        <w:spacing w:after="0"/>
        <w:ind w:left="567" w:hanging="567"/>
        <w:jc w:val="both"/>
      </w:pPr>
      <w:r w:rsidRPr="008E4EBC">
        <w:t xml:space="preserve">Rubio, M. C. (2003). La imagen virtual de la mujer. De los estereotipos tradicionales al </w:t>
      </w:r>
      <w:proofErr w:type="spellStart"/>
      <w:r w:rsidRPr="008E4EBC">
        <w:t>ciberfeminismo</w:t>
      </w:r>
      <w:proofErr w:type="spellEnd"/>
      <w:r w:rsidRPr="008E4EBC">
        <w:t>. Feminismo/s, 167-182.</w:t>
      </w:r>
    </w:p>
    <w:p w:rsidR="002128D9" w:rsidRPr="008E4EBC" w:rsidRDefault="002128D9" w:rsidP="002128D9">
      <w:pPr>
        <w:spacing w:after="0"/>
        <w:ind w:left="567" w:hanging="567"/>
        <w:jc w:val="both"/>
      </w:pPr>
      <w:r w:rsidRPr="008E4EBC">
        <w:t>Ruiz, C. (2014). La construcción social de las relaciones amorosas y sexuales en la adolescencia. Graduando violencias cotidianas. Jaén: Diputación Provincial de Jaén.</w:t>
      </w:r>
    </w:p>
    <w:p w:rsidR="002128D9" w:rsidRPr="008E4EBC" w:rsidRDefault="002128D9" w:rsidP="002128D9">
      <w:pPr>
        <w:spacing w:after="0"/>
        <w:ind w:left="567" w:hanging="567"/>
        <w:jc w:val="both"/>
      </w:pPr>
      <w:r w:rsidRPr="008E4EBC">
        <w:t xml:space="preserve">Sainz, M. (2007). Aspectos psicosociales de las diferencias de género en actitudes hacia las nuevas tecnologías en adolescentes. </w:t>
      </w:r>
      <w:proofErr w:type="spellStart"/>
      <w:r w:rsidRPr="008E4EBC">
        <w:t>Injuve</w:t>
      </w:r>
      <w:proofErr w:type="spellEnd"/>
      <w:r w:rsidRPr="008E4EBC">
        <w:t xml:space="preserve">, premio </w:t>
      </w:r>
      <w:proofErr w:type="spellStart"/>
      <w:r w:rsidRPr="008E4EBC">
        <w:t>injuve</w:t>
      </w:r>
      <w:proofErr w:type="spellEnd"/>
      <w:r w:rsidRPr="008E4EBC">
        <w:t xml:space="preserve"> de las tesis doctorales. </w:t>
      </w:r>
    </w:p>
    <w:p w:rsidR="002128D9" w:rsidRPr="008E4EBC" w:rsidRDefault="002128D9" w:rsidP="002128D9">
      <w:pPr>
        <w:spacing w:after="0"/>
        <w:ind w:left="567" w:hanging="567"/>
        <w:jc w:val="both"/>
      </w:pPr>
      <w:r w:rsidRPr="008E4EBC">
        <w:t xml:space="preserve">Sánchez, N., Ortega, O., &amp; </w:t>
      </w:r>
      <w:proofErr w:type="spellStart"/>
      <w:r w:rsidRPr="008E4EBC">
        <w:t>Vall-llovera</w:t>
      </w:r>
      <w:proofErr w:type="spellEnd"/>
      <w:r w:rsidRPr="008E4EBC">
        <w:t xml:space="preserve">, M. (2012). Romper la brecha digital de género. Factores implicados en la opción por una carrera tecnológica. </w:t>
      </w:r>
      <w:proofErr w:type="spellStart"/>
      <w:r w:rsidRPr="008E4EBC">
        <w:t>Athenea</w:t>
      </w:r>
      <w:proofErr w:type="spellEnd"/>
      <w:r w:rsidRPr="008E4EBC">
        <w:t xml:space="preserve"> Digital, 12(3), 115-128.</w:t>
      </w:r>
    </w:p>
    <w:p w:rsidR="002128D9" w:rsidRPr="008E4EBC" w:rsidRDefault="002128D9" w:rsidP="002128D9">
      <w:pPr>
        <w:spacing w:after="0"/>
        <w:ind w:left="567" w:hanging="567"/>
        <w:jc w:val="both"/>
      </w:pPr>
      <w:proofErr w:type="spellStart"/>
      <w:r w:rsidRPr="008E4EBC">
        <w:t>Sarsaneda</w:t>
      </w:r>
      <w:proofErr w:type="spellEnd"/>
      <w:r w:rsidRPr="008E4EBC">
        <w:t>, A. (2012). Tecnología y Conocimiento: ¿Cuestión de Género</w:t>
      </w:r>
      <w:proofErr w:type="gramStart"/>
      <w:r w:rsidRPr="008E4EBC">
        <w:t>?.</w:t>
      </w:r>
      <w:proofErr w:type="gramEnd"/>
      <w:r w:rsidRPr="008E4EBC">
        <w:t xml:space="preserve"> En </w:t>
      </w:r>
      <w:proofErr w:type="spellStart"/>
      <w:r w:rsidRPr="008E4EBC">
        <w:t>Boladeras</w:t>
      </w:r>
      <w:proofErr w:type="spellEnd"/>
      <w:r w:rsidRPr="008E4EBC">
        <w:t xml:space="preserve">, M. Bioética, género y diversidad cultural, Madrid: </w:t>
      </w:r>
      <w:proofErr w:type="spellStart"/>
      <w:r w:rsidRPr="008E4EBC">
        <w:t>Proteus</w:t>
      </w:r>
      <w:proofErr w:type="spellEnd"/>
      <w:r w:rsidRPr="008E4EBC">
        <w:t xml:space="preserve"> Editorial</w:t>
      </w:r>
    </w:p>
    <w:p w:rsidR="002128D9" w:rsidRPr="008E4EBC" w:rsidRDefault="002128D9" w:rsidP="002128D9">
      <w:pPr>
        <w:spacing w:after="0"/>
        <w:ind w:left="567" w:hanging="567"/>
        <w:jc w:val="both"/>
      </w:pPr>
      <w:proofErr w:type="spellStart"/>
      <w:proofErr w:type="gramStart"/>
      <w:r w:rsidRPr="008E4EBC">
        <w:rPr>
          <w:lang w:val="en-US"/>
        </w:rPr>
        <w:t>Strassberg</w:t>
      </w:r>
      <w:proofErr w:type="spellEnd"/>
      <w:r w:rsidRPr="008E4EBC">
        <w:rPr>
          <w:lang w:val="en-US"/>
        </w:rPr>
        <w:t xml:space="preserve">, D. S., McKinnon, R. K., </w:t>
      </w:r>
      <w:proofErr w:type="spellStart"/>
      <w:r w:rsidRPr="008E4EBC">
        <w:rPr>
          <w:lang w:val="en-US"/>
        </w:rPr>
        <w:t>Sustaíta</w:t>
      </w:r>
      <w:proofErr w:type="spellEnd"/>
      <w:r w:rsidRPr="008E4EBC">
        <w:rPr>
          <w:lang w:val="en-US"/>
        </w:rPr>
        <w:t xml:space="preserve">, M. A., &amp; </w:t>
      </w:r>
      <w:proofErr w:type="spellStart"/>
      <w:r w:rsidRPr="008E4EBC">
        <w:rPr>
          <w:lang w:val="en-US"/>
        </w:rPr>
        <w:t>Rullo</w:t>
      </w:r>
      <w:proofErr w:type="spellEnd"/>
      <w:r w:rsidRPr="008E4EBC">
        <w:rPr>
          <w:lang w:val="en-US"/>
        </w:rPr>
        <w:t>, J. (2012).</w:t>
      </w:r>
      <w:proofErr w:type="gramEnd"/>
      <w:r w:rsidRPr="008E4EBC">
        <w:rPr>
          <w:lang w:val="en-US"/>
        </w:rPr>
        <w:t xml:space="preserve"> Sexting by High School Students: An Exploratory and Descriptive Study. </w:t>
      </w:r>
      <w:r w:rsidRPr="008E4EBC">
        <w:t xml:space="preserve">Archives of Sexual </w:t>
      </w:r>
      <w:proofErr w:type="spellStart"/>
      <w:r w:rsidRPr="008E4EBC">
        <w:t>Behavior</w:t>
      </w:r>
      <w:proofErr w:type="spellEnd"/>
      <w:r w:rsidRPr="008E4EBC">
        <w:t>, 42, 15–21.</w:t>
      </w:r>
    </w:p>
    <w:p w:rsidR="002128D9" w:rsidRPr="008E4EBC" w:rsidRDefault="002128D9" w:rsidP="002128D9">
      <w:pPr>
        <w:spacing w:after="0"/>
        <w:ind w:left="567" w:hanging="567"/>
        <w:jc w:val="both"/>
      </w:pPr>
      <w:proofErr w:type="spellStart"/>
      <w:r w:rsidRPr="008E4EBC">
        <w:t>Tubert</w:t>
      </w:r>
      <w:proofErr w:type="spellEnd"/>
      <w:r w:rsidRPr="008E4EBC">
        <w:t>, S. (2008). La construcción de la identidad sexuada en la adolescencia. En I. d. Mujer, Imaginario cultural, construcción de identidades de género y violencia: formación para la igualdad en la adolescencia (págs. 50-88). Madrid: Ministerio de igualdad.</w:t>
      </w:r>
    </w:p>
    <w:p w:rsidR="002128D9" w:rsidRPr="008E4EBC" w:rsidRDefault="002128D9" w:rsidP="002128D9">
      <w:pPr>
        <w:spacing w:after="0"/>
        <w:ind w:left="567" w:hanging="567"/>
        <w:jc w:val="both"/>
      </w:pPr>
      <w:proofErr w:type="spellStart"/>
      <w:r w:rsidRPr="008E4EBC">
        <w:t>Turkle</w:t>
      </w:r>
      <w:proofErr w:type="spellEnd"/>
      <w:r w:rsidRPr="008E4EBC">
        <w:t>, S. (1997). La vida de la pantalla. La construcción de la identidad en la era de Internet. Barcelona: Paidós.</w:t>
      </w:r>
    </w:p>
    <w:p w:rsidR="002128D9" w:rsidRPr="008E4EBC" w:rsidRDefault="002128D9" w:rsidP="002128D9">
      <w:pPr>
        <w:spacing w:after="0"/>
        <w:ind w:left="567" w:hanging="567"/>
        <w:jc w:val="both"/>
      </w:pPr>
      <w:r w:rsidRPr="008E4EBC">
        <w:t xml:space="preserve">UCM (2010). La brecha digital de género en la juventud española. Estudio cualitativo, Observatorio de e-igualdad, Gobierno de España. </w:t>
      </w:r>
    </w:p>
    <w:p w:rsidR="002128D9" w:rsidRPr="008E4EBC" w:rsidRDefault="002128D9" w:rsidP="002128D9">
      <w:pPr>
        <w:spacing w:after="0"/>
        <w:ind w:left="567" w:hanging="567"/>
        <w:jc w:val="both"/>
      </w:pPr>
      <w:r w:rsidRPr="008E4EBC">
        <w:t xml:space="preserve">UNESCO. (2010). </w:t>
      </w:r>
      <w:proofErr w:type="spellStart"/>
      <w:r w:rsidRPr="008E4EBC">
        <w:t>Women´s</w:t>
      </w:r>
      <w:proofErr w:type="spellEnd"/>
      <w:r w:rsidRPr="008E4EBC">
        <w:t xml:space="preserve"> and </w:t>
      </w:r>
      <w:proofErr w:type="spellStart"/>
      <w:r w:rsidRPr="008E4EBC">
        <w:t>Girls</w:t>
      </w:r>
      <w:proofErr w:type="spellEnd"/>
      <w:r w:rsidRPr="008E4EBC">
        <w:t xml:space="preserve"> </w:t>
      </w:r>
      <w:proofErr w:type="spellStart"/>
      <w:r w:rsidRPr="008E4EBC">
        <w:t>Acces</w:t>
      </w:r>
      <w:proofErr w:type="spellEnd"/>
      <w:r w:rsidRPr="008E4EBC">
        <w:t xml:space="preserve"> to and </w:t>
      </w:r>
      <w:proofErr w:type="spellStart"/>
      <w:r w:rsidRPr="008E4EBC">
        <w:t>Participation</w:t>
      </w:r>
      <w:proofErr w:type="spellEnd"/>
      <w:r w:rsidRPr="008E4EBC">
        <w:t xml:space="preserve"> in </w:t>
      </w:r>
      <w:proofErr w:type="spellStart"/>
      <w:r w:rsidRPr="008E4EBC">
        <w:t>Science</w:t>
      </w:r>
      <w:proofErr w:type="spellEnd"/>
      <w:r w:rsidRPr="008E4EBC">
        <w:t xml:space="preserve"> and </w:t>
      </w:r>
      <w:proofErr w:type="spellStart"/>
      <w:r w:rsidRPr="008E4EBC">
        <w:t>Technology</w:t>
      </w:r>
      <w:proofErr w:type="spellEnd"/>
      <w:r w:rsidRPr="008E4EBC">
        <w:t>. Francia: UNESCO.</w:t>
      </w:r>
    </w:p>
    <w:p w:rsidR="002128D9" w:rsidRPr="008E4EBC" w:rsidRDefault="002128D9" w:rsidP="002128D9">
      <w:pPr>
        <w:pStyle w:val="Bibliografa"/>
        <w:spacing w:after="0"/>
        <w:ind w:left="720" w:hanging="720"/>
        <w:rPr>
          <w:noProof/>
          <w:lang w:val="en-US"/>
        </w:rPr>
      </w:pPr>
      <w:r w:rsidRPr="008E4EBC">
        <w:rPr>
          <w:noProof/>
        </w:rPr>
        <w:t xml:space="preserve">Vázquez, N., Estébanez, I., &amp; Herbón, M. (2013). </w:t>
      </w:r>
      <w:r w:rsidRPr="008E4EBC">
        <w:rPr>
          <w:i/>
          <w:iCs/>
          <w:noProof/>
        </w:rPr>
        <w:t xml:space="preserve">Violencia Bella. El cuerpo adolescente como territorio de control. Análisis de vulnerabilidad y resistencia a las presiones sobre el </w:t>
      </w:r>
      <w:r w:rsidRPr="008E4EBC">
        <w:rPr>
          <w:i/>
          <w:iCs/>
          <w:noProof/>
        </w:rPr>
        <w:lastRenderedPageBreak/>
        <w:t>autoconcepto y el cuerpo femenino entre las y los adolescentes de seis municipios de Bizkaia .</w:t>
      </w:r>
      <w:r w:rsidRPr="008E4EBC">
        <w:rPr>
          <w:noProof/>
        </w:rPr>
        <w:t xml:space="preserve"> </w:t>
      </w:r>
      <w:r w:rsidRPr="008E4EBC">
        <w:rPr>
          <w:noProof/>
          <w:lang w:val="en-US"/>
        </w:rPr>
        <w:t>Bilbao: Medicus Mundi.</w:t>
      </w:r>
    </w:p>
    <w:p w:rsidR="002128D9" w:rsidRPr="008E4EBC" w:rsidRDefault="002128D9" w:rsidP="002128D9">
      <w:pPr>
        <w:spacing w:after="0"/>
        <w:ind w:left="567" w:hanging="567"/>
        <w:jc w:val="both"/>
      </w:pPr>
      <w:proofErr w:type="spellStart"/>
      <w:r w:rsidRPr="008E4EBC">
        <w:rPr>
          <w:lang w:val="en-US"/>
        </w:rPr>
        <w:t>Veikeri</w:t>
      </w:r>
      <w:proofErr w:type="spellEnd"/>
      <w:r w:rsidRPr="008E4EBC">
        <w:rPr>
          <w:lang w:val="en-US"/>
        </w:rPr>
        <w:t xml:space="preserve">, I. (2010). </w:t>
      </w:r>
      <w:proofErr w:type="spellStart"/>
      <w:r w:rsidRPr="008E4EBC">
        <w:rPr>
          <w:lang w:val="en-US"/>
        </w:rPr>
        <w:t>Boys´and</w:t>
      </w:r>
      <w:proofErr w:type="spellEnd"/>
      <w:r w:rsidRPr="008E4EBC">
        <w:rPr>
          <w:lang w:val="en-US"/>
        </w:rPr>
        <w:t xml:space="preserve"> </w:t>
      </w:r>
      <w:proofErr w:type="spellStart"/>
      <w:r w:rsidRPr="008E4EBC">
        <w:rPr>
          <w:lang w:val="en-US"/>
        </w:rPr>
        <w:t>girls´ICT</w:t>
      </w:r>
      <w:proofErr w:type="spellEnd"/>
      <w:r w:rsidRPr="008E4EBC">
        <w:rPr>
          <w:lang w:val="en-US"/>
        </w:rPr>
        <w:t xml:space="preserve"> beliefs: Do Teachers matter? </w:t>
      </w:r>
      <w:proofErr w:type="spellStart"/>
      <w:r w:rsidRPr="008E4EBC">
        <w:t>Computer</w:t>
      </w:r>
      <w:proofErr w:type="spellEnd"/>
      <w:r w:rsidRPr="008E4EBC">
        <w:t xml:space="preserve"> &amp; </w:t>
      </w:r>
      <w:proofErr w:type="spellStart"/>
      <w:r w:rsidRPr="008E4EBC">
        <w:t>Education</w:t>
      </w:r>
      <w:proofErr w:type="spellEnd"/>
      <w:r w:rsidRPr="008E4EBC">
        <w:t>, 55, 16-23.</w:t>
      </w:r>
    </w:p>
    <w:p w:rsidR="002128D9" w:rsidRPr="008E4EBC" w:rsidRDefault="002128D9" w:rsidP="002128D9">
      <w:pPr>
        <w:spacing w:after="0"/>
        <w:ind w:left="567" w:hanging="567"/>
        <w:jc w:val="both"/>
      </w:pPr>
      <w:proofErr w:type="spellStart"/>
      <w:r w:rsidRPr="008E4EBC">
        <w:t>Wajcman</w:t>
      </w:r>
      <w:proofErr w:type="spellEnd"/>
      <w:r w:rsidRPr="008E4EBC">
        <w:t xml:space="preserve">, J. (2004). El </w:t>
      </w:r>
      <w:proofErr w:type="spellStart"/>
      <w:r w:rsidRPr="008E4EBC">
        <w:t>Tecnofeminismo</w:t>
      </w:r>
      <w:proofErr w:type="spellEnd"/>
      <w:r w:rsidRPr="008E4EBC">
        <w:t xml:space="preserve"> (1º ed.). Madrid: Feminismos.</w:t>
      </w:r>
    </w:p>
    <w:p w:rsidR="002128D9" w:rsidRPr="008E4EBC" w:rsidRDefault="002128D9" w:rsidP="002128D9">
      <w:pPr>
        <w:spacing w:after="0"/>
        <w:ind w:left="567" w:hanging="567"/>
        <w:jc w:val="both"/>
      </w:pPr>
      <w:r w:rsidRPr="008E4EBC">
        <w:t xml:space="preserve">Zafra, R. (2005a). Las cartas rotas. Espacios de igualdad y feminización en Internet. Almería: Premio Ensayo "Carmen de Burgos ", 2000. Instituto de Estudios </w:t>
      </w:r>
      <w:proofErr w:type="spellStart"/>
      <w:r w:rsidRPr="008E4EBC">
        <w:t>Almeríenses</w:t>
      </w:r>
      <w:proofErr w:type="spellEnd"/>
      <w:r w:rsidRPr="008E4EBC">
        <w:t>.</w:t>
      </w:r>
    </w:p>
    <w:p w:rsidR="002128D9" w:rsidRPr="008E4EBC" w:rsidRDefault="002128D9" w:rsidP="002128D9">
      <w:pPr>
        <w:spacing w:after="0"/>
        <w:ind w:left="567" w:hanging="567"/>
        <w:jc w:val="both"/>
      </w:pPr>
      <w:r w:rsidRPr="008E4EBC">
        <w:t xml:space="preserve">- (2005b). </w:t>
      </w:r>
      <w:proofErr w:type="spellStart"/>
      <w:r w:rsidRPr="008E4EBC">
        <w:t>Netianas</w:t>
      </w:r>
      <w:proofErr w:type="spellEnd"/>
      <w:r w:rsidRPr="008E4EBC">
        <w:t xml:space="preserve">. </w:t>
      </w:r>
      <w:proofErr w:type="gramStart"/>
      <w:r w:rsidRPr="008E4EBC">
        <w:t>N(</w:t>
      </w:r>
      <w:proofErr w:type="gramEnd"/>
      <w:r w:rsidRPr="008E4EBC">
        <w:t>H)</w:t>
      </w:r>
      <w:proofErr w:type="spellStart"/>
      <w:r w:rsidRPr="008E4EBC">
        <w:t>acer</w:t>
      </w:r>
      <w:proofErr w:type="spellEnd"/>
      <w:r w:rsidRPr="008E4EBC">
        <w:t xml:space="preserve"> mujer en Internet. </w:t>
      </w:r>
      <w:proofErr w:type="spellStart"/>
      <w:r w:rsidRPr="008E4EBC">
        <w:t>Madrd</w:t>
      </w:r>
      <w:proofErr w:type="spellEnd"/>
      <w:r w:rsidRPr="008E4EBC">
        <w:t>: Lengua de Trapo S.L.</w:t>
      </w:r>
    </w:p>
    <w:p w:rsidR="002128D9" w:rsidRPr="008E4EBC" w:rsidRDefault="002128D9" w:rsidP="002128D9">
      <w:pPr>
        <w:spacing w:after="0"/>
        <w:ind w:left="567" w:hanging="567"/>
        <w:jc w:val="both"/>
      </w:pPr>
      <w:r w:rsidRPr="008E4EBC">
        <w:t xml:space="preserve">- (2008). El Mito de la </w:t>
      </w:r>
      <w:proofErr w:type="spellStart"/>
      <w:r w:rsidRPr="008E4EBC">
        <w:t>Netiana</w:t>
      </w:r>
      <w:proofErr w:type="spellEnd"/>
      <w:r w:rsidRPr="008E4EBC">
        <w:t xml:space="preserve">. En S. </w:t>
      </w:r>
      <w:proofErr w:type="spellStart"/>
      <w:r w:rsidRPr="008E4EBC">
        <w:t>Nuñez</w:t>
      </w:r>
      <w:proofErr w:type="spellEnd"/>
      <w:r w:rsidRPr="008E4EBC">
        <w:t xml:space="preserve">, &amp; H. </w:t>
      </w:r>
      <w:proofErr w:type="spellStart"/>
      <w:r w:rsidRPr="008E4EBC">
        <w:t>Establier</w:t>
      </w:r>
      <w:proofErr w:type="spellEnd"/>
      <w:r w:rsidRPr="008E4EBC">
        <w:t xml:space="preserve"> (Ed.), La representación/ presencia de la mujer en los medios de </w:t>
      </w:r>
      <w:proofErr w:type="spellStart"/>
      <w:r w:rsidRPr="008E4EBC">
        <w:t>comunicacion</w:t>
      </w:r>
      <w:proofErr w:type="spellEnd"/>
      <w:r w:rsidRPr="008E4EBC">
        <w:t xml:space="preserve"> (Vol. 11, págs. 141-152). Alicante: Feminismo/s.</w:t>
      </w:r>
    </w:p>
    <w:p w:rsidR="002128D9" w:rsidRDefault="002128D9" w:rsidP="002128D9">
      <w:pPr>
        <w:spacing w:after="0"/>
        <w:ind w:left="567" w:hanging="567"/>
        <w:jc w:val="both"/>
      </w:pPr>
      <w:r w:rsidRPr="008E4EBC">
        <w:t>- (2010). Un cuarto propio conectado. (</w:t>
      </w:r>
      <w:proofErr w:type="spellStart"/>
      <w:r w:rsidRPr="008E4EBC">
        <w:t>Ciber</w:t>
      </w:r>
      <w:proofErr w:type="spellEnd"/>
      <w:proofErr w:type="gramStart"/>
      <w:r w:rsidRPr="008E4EBC">
        <w:t>)espacio</w:t>
      </w:r>
      <w:proofErr w:type="gramEnd"/>
      <w:r w:rsidRPr="008E4EBC">
        <w:t xml:space="preserve"> y (auto)gestión del yo. Madrid: </w:t>
      </w:r>
      <w:proofErr w:type="spellStart"/>
      <w:r w:rsidRPr="008E4EBC">
        <w:t>Fórcola</w:t>
      </w:r>
      <w:proofErr w:type="spellEnd"/>
      <w:r w:rsidRPr="008E4EBC">
        <w:t>.</w:t>
      </w:r>
    </w:p>
    <w:p w:rsidR="002128D9" w:rsidRPr="002128D9" w:rsidRDefault="002128D9" w:rsidP="00E71DB2">
      <w:pPr>
        <w:rPr>
          <w:b/>
        </w:rPr>
      </w:pPr>
    </w:p>
    <w:sectPr w:rsidR="002128D9" w:rsidRPr="002128D9" w:rsidSect="00496F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355" w:rsidRDefault="004A1355" w:rsidP="00E71DB2">
      <w:pPr>
        <w:spacing w:after="0" w:line="240" w:lineRule="auto"/>
      </w:pPr>
      <w:r>
        <w:separator/>
      </w:r>
    </w:p>
  </w:endnote>
  <w:endnote w:type="continuationSeparator" w:id="0">
    <w:p w:rsidR="004A1355" w:rsidRDefault="004A1355" w:rsidP="00E71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Sans">
    <w:panose1 w:val="00000000000000000000"/>
    <w:charset w:val="00"/>
    <w:family w:val="swiss"/>
    <w:notTrueType/>
    <w:pitch w:val="default"/>
    <w:sig w:usb0="00000003" w:usb1="00000000" w:usb2="00000000" w:usb3="00000000" w:csb0="00000001" w:csb1="00000000"/>
  </w:font>
  <w:font w:name="TT15C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355" w:rsidRDefault="004A1355" w:rsidP="00E71DB2">
      <w:pPr>
        <w:spacing w:after="0" w:line="240" w:lineRule="auto"/>
      </w:pPr>
      <w:r>
        <w:separator/>
      </w:r>
    </w:p>
  </w:footnote>
  <w:footnote w:type="continuationSeparator" w:id="0">
    <w:p w:rsidR="004A1355" w:rsidRDefault="004A1355" w:rsidP="00E71DB2">
      <w:pPr>
        <w:spacing w:after="0" w:line="240" w:lineRule="auto"/>
      </w:pPr>
      <w:r>
        <w:continuationSeparator/>
      </w:r>
    </w:p>
  </w:footnote>
  <w:footnote w:id="1">
    <w:p w:rsidR="00E71DB2" w:rsidRDefault="00E71DB2" w:rsidP="00AA65ED">
      <w:pPr>
        <w:pStyle w:val="Textonotapie"/>
        <w:jc w:val="both"/>
      </w:pPr>
      <w:r>
        <w:rPr>
          <w:rStyle w:val="Refdenotaalpie"/>
        </w:rPr>
        <w:footnoteRef/>
      </w:r>
      <w:r>
        <w:t xml:space="preserve"> Se evitara utilizar el término de “nuevas tecnologías”, ya que el término “nuevo” en este campo queda continuamente descatalogado. </w:t>
      </w:r>
    </w:p>
  </w:footnote>
  <w:footnote w:id="2">
    <w:p w:rsidR="00B73D62" w:rsidRDefault="00B73D62" w:rsidP="00AA65ED">
      <w:pPr>
        <w:pStyle w:val="Textonotapie"/>
        <w:jc w:val="both"/>
      </w:pPr>
      <w:r>
        <w:rPr>
          <w:rStyle w:val="Refdenotaalpie"/>
        </w:rPr>
        <w:footnoteRef/>
      </w:r>
      <w:r>
        <w:t xml:space="preserve"> </w:t>
      </w:r>
      <w:r w:rsidRPr="00B73D62">
        <w:t>Antes que nada, se debe puntualizar que la tercera brecha digital no se estructura de la misma manera en las personas adultas, que en adolescentes, ya que como se ha comentado en capítulos anteriores las motivaciones que les llevan a acceder a las TRIC son diferentes, y a las segundas no se les ha impuesto y el acercamiento se ha producido de manera más natural (Merchán, 2014).</w:t>
      </w:r>
    </w:p>
  </w:footnote>
  <w:footnote w:id="3">
    <w:p w:rsidR="00E71DB2" w:rsidRDefault="00E71DB2" w:rsidP="00AA65ED">
      <w:pPr>
        <w:pStyle w:val="Textonotapie"/>
        <w:jc w:val="both"/>
      </w:pPr>
      <w:r>
        <w:rPr>
          <w:rStyle w:val="Refdenotaalpie"/>
        </w:rPr>
        <w:footnoteRef/>
      </w:r>
      <w:r>
        <w:t xml:space="preserve"> Estas diferencias se repiten en las edades más tempranas, como en tercero de primaria. Según el informe las niñas prefieren el ordenador (33.6% de las niñas encuestadas) y la Nintendo (31.2 de las niñas encuestadas). En el caso de los niños coinciden con las niñas en el ordenador (26.9% de los niños encuestados) y mayoritariamente la Play </w:t>
      </w:r>
      <w:proofErr w:type="spellStart"/>
      <w:r>
        <w:t>Station</w:t>
      </w:r>
      <w:proofErr w:type="spellEnd"/>
      <w:r>
        <w:t xml:space="preserve"> (34.2%). Además, tanto niñas (41.7%), como niños (33.4%) coinciden en que estos instrumentos los utilizan varias veces a la semana, y el 18.7% de los chicos comentan que todos los días, frente al 9.5% de las chicas(</w:t>
      </w:r>
      <w:proofErr w:type="spellStart"/>
      <w:r>
        <w:t>Ararteko</w:t>
      </w:r>
      <w:proofErr w:type="spellEnd"/>
      <w:r>
        <w:t xml:space="preserve">, </w:t>
      </w:r>
      <w:r w:rsidRPr="00D64844">
        <w:t>2009:180)</w:t>
      </w:r>
    </w:p>
  </w:footnote>
  <w:footnote w:id="4">
    <w:p w:rsidR="00E71DB2" w:rsidRDefault="00E71DB2" w:rsidP="00AA65ED">
      <w:pPr>
        <w:pStyle w:val="Textonotapie"/>
        <w:jc w:val="both"/>
      </w:pPr>
      <w:r>
        <w:rPr>
          <w:rStyle w:val="Refdenotaalpie"/>
        </w:rPr>
        <w:footnoteRef/>
      </w:r>
      <w:r>
        <w:t xml:space="preserve"> Es importante señalar que la industria del videojuego elaboró una clasificación de videojuegos según su contenido y a la edad que estaría destinado, denominada PEGI (Pan </w:t>
      </w:r>
      <w:proofErr w:type="spellStart"/>
      <w:r>
        <w:t>European</w:t>
      </w:r>
      <w:proofErr w:type="spellEnd"/>
      <w:r>
        <w:t xml:space="preserve"> </w:t>
      </w:r>
      <w:proofErr w:type="spellStart"/>
      <w:r>
        <w:t>Game</w:t>
      </w:r>
      <w:proofErr w:type="spellEnd"/>
      <w:r>
        <w:t xml:space="preserve"> </w:t>
      </w:r>
      <w:proofErr w:type="spellStart"/>
      <w:r>
        <w:t>Informatión</w:t>
      </w:r>
      <w:proofErr w:type="spellEnd"/>
      <w:r>
        <w:t>). En el anverso del videojuego o dentro de este se puede verificar que tipo de juego se trata (dependiendo del símbolo que tenga) y la edad recomendada, que no obligada (</w:t>
      </w:r>
      <w:proofErr w:type="spellStart"/>
      <w:r>
        <w:t>Arateko</w:t>
      </w:r>
      <w:proofErr w:type="spellEnd"/>
      <w:r>
        <w:t>, 2009:362).</w:t>
      </w:r>
    </w:p>
  </w:footnote>
  <w:footnote w:id="5">
    <w:p w:rsidR="00E71DB2" w:rsidRDefault="00E71DB2" w:rsidP="00AA65ED">
      <w:pPr>
        <w:pStyle w:val="Textonotapie"/>
        <w:jc w:val="both"/>
      </w:pPr>
      <w:r>
        <w:rPr>
          <w:rStyle w:val="Refdenotaalpie"/>
        </w:rPr>
        <w:footnoteRef/>
      </w:r>
      <w:r>
        <w:t xml:space="preserve"> </w:t>
      </w:r>
      <w:r w:rsidRPr="000E3962">
        <w:t>Jiménez-</w:t>
      </w:r>
      <w:proofErr w:type="spellStart"/>
      <w:r w:rsidRPr="000E3962">
        <w:t>Albiar</w:t>
      </w:r>
      <w:proofErr w:type="spellEnd"/>
      <w:r w:rsidRPr="000E3962">
        <w:t>, y</w:t>
      </w:r>
      <w:r w:rsidR="00A32E10">
        <w:t xml:space="preserve"> otros (2012),  pero en el </w:t>
      </w:r>
      <w:r w:rsidR="004E73F4">
        <w:t>caso de</w:t>
      </w:r>
      <w:r w:rsidRPr="000E3962">
        <w:t xml:space="preserve"> la telefonía </w:t>
      </w:r>
      <w:r w:rsidR="00A32E10" w:rsidRPr="000E3962">
        <w:t>móvil</w:t>
      </w:r>
      <w:r w:rsidRPr="000E3962">
        <w:t xml:space="preserve"> las grandes protagonistas son ellas.</w:t>
      </w:r>
    </w:p>
  </w:footnote>
  <w:footnote w:id="6">
    <w:p w:rsidR="00293CD2" w:rsidRDefault="00293CD2" w:rsidP="00AA65ED">
      <w:pPr>
        <w:pStyle w:val="Textonotapie"/>
        <w:jc w:val="both"/>
      </w:pPr>
      <w:r>
        <w:rPr>
          <w:rStyle w:val="Refdenotaalpie"/>
        </w:rPr>
        <w:footnoteRef/>
      </w:r>
      <w:r>
        <w:t xml:space="preserve"> </w:t>
      </w:r>
      <w:r w:rsidRPr="00293CD2">
        <w:t>De esta manera, mientras que el acoso por razón de sexo o sexista se considera cualquier actitud denigrante hacia el otro sexo por su condición de sexo, por la construcción de género interiorizada, que atribuye a la mujer una serie de características inferiores a las del hombre; y el acoso sexual se considera cualquier comportamiento, verbal o físico, denigrante con fines sexuales Ambos acosos, pueden suceder en cualquier contexto, no única y exclusivamente en el ámbito laboral, como se recogía en antiguas leyes, creando, de esta manera, un entorno intimidatorio u ofensivo para la mujer (Gobierno Vasco, 2011:3).</w:t>
      </w:r>
    </w:p>
  </w:footnote>
  <w:footnote w:id="7">
    <w:p w:rsidR="00E71DB2" w:rsidRDefault="00E71DB2" w:rsidP="00AA65ED">
      <w:pPr>
        <w:pStyle w:val="Textonotapie"/>
        <w:jc w:val="both"/>
      </w:pPr>
      <w:r>
        <w:rPr>
          <w:rStyle w:val="Refdenotaalpie"/>
        </w:rPr>
        <w:footnoteRef/>
      </w:r>
      <w:r>
        <w:t xml:space="preserve"> </w:t>
      </w:r>
      <w:r w:rsidRPr="00925DD9">
        <w:t>En este trabajo se entenderá la prevención como la capacitación de personas jóvenes con el fin de adquirir una serie de recursos personales para analizar las situaciones de desigualdad que se acontecen en su vida cotidiana, con el propósito de poder detectar las primeras fases de violencia doméstica. En definitiva, es un mecanismo para la construcción de la igualdad social, con el objetivo de eliminar pautas culturales y sociales que determinan la posición de inferioridad de la mujer (Instituto Andaluz de la Mujer, 2011:5; Díaz-Aguado, 2009:31-41).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FCA"/>
    <w:multiLevelType w:val="hybridMultilevel"/>
    <w:tmpl w:val="E79E568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nsid w:val="05FA6B51"/>
    <w:multiLevelType w:val="hybridMultilevel"/>
    <w:tmpl w:val="B286373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88464AC"/>
    <w:multiLevelType w:val="hybridMultilevel"/>
    <w:tmpl w:val="EA125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EB57662"/>
    <w:multiLevelType w:val="hybridMultilevel"/>
    <w:tmpl w:val="5F98BFA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0EC4158F"/>
    <w:multiLevelType w:val="hybridMultilevel"/>
    <w:tmpl w:val="698213B4"/>
    <w:lvl w:ilvl="0" w:tplc="F20C465A">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4AE79E9"/>
    <w:multiLevelType w:val="hybridMultilevel"/>
    <w:tmpl w:val="7F8694A4"/>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nsid w:val="251434E6"/>
    <w:multiLevelType w:val="hybridMultilevel"/>
    <w:tmpl w:val="75D28D52"/>
    <w:lvl w:ilvl="0" w:tplc="0C0A0005">
      <w:start w:val="1"/>
      <w:numFmt w:val="bullet"/>
      <w:lvlText w:val=""/>
      <w:lvlJc w:val="left"/>
      <w:pPr>
        <w:ind w:left="2203" w:hanging="360"/>
      </w:pPr>
      <w:rPr>
        <w:rFonts w:ascii="Wingdings" w:hAnsi="Wingdings" w:hint="default"/>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7">
    <w:nsid w:val="26D26FE3"/>
    <w:multiLevelType w:val="hybridMultilevel"/>
    <w:tmpl w:val="450894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6E71B5"/>
    <w:multiLevelType w:val="hybridMultilevel"/>
    <w:tmpl w:val="FBD271EC"/>
    <w:lvl w:ilvl="0" w:tplc="098CAA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DD03AD9"/>
    <w:multiLevelType w:val="hybridMultilevel"/>
    <w:tmpl w:val="A93845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447185"/>
    <w:multiLevelType w:val="hybridMultilevel"/>
    <w:tmpl w:val="B1127BF0"/>
    <w:lvl w:ilvl="0" w:tplc="080290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7C258A8"/>
    <w:multiLevelType w:val="hybridMultilevel"/>
    <w:tmpl w:val="CD56E016"/>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2">
    <w:nsid w:val="390A7BB0"/>
    <w:multiLevelType w:val="hybridMultilevel"/>
    <w:tmpl w:val="C13CC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F404929"/>
    <w:multiLevelType w:val="hybridMultilevel"/>
    <w:tmpl w:val="6F50B9F0"/>
    <w:lvl w:ilvl="0" w:tplc="025AAAEA">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2C544E6"/>
    <w:multiLevelType w:val="hybridMultilevel"/>
    <w:tmpl w:val="D90C49CA"/>
    <w:lvl w:ilvl="0" w:tplc="060426B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95F7974"/>
    <w:multiLevelType w:val="hybridMultilevel"/>
    <w:tmpl w:val="4112A7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BB23D2E"/>
    <w:multiLevelType w:val="hybridMultilevel"/>
    <w:tmpl w:val="3F5AE3A0"/>
    <w:lvl w:ilvl="0" w:tplc="0BA64E0E">
      <w:start w:val="1"/>
      <w:numFmt w:val="bullet"/>
      <w:lvlText w:val=""/>
      <w:lvlJc w:val="left"/>
      <w:pPr>
        <w:ind w:left="644" w:hanging="360"/>
      </w:pPr>
      <w:rPr>
        <w:rFonts w:ascii="Wingdings" w:hAnsi="Wingdings" w:hint="default"/>
        <w:color w:val="00B0F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F1149B8"/>
    <w:multiLevelType w:val="hybridMultilevel"/>
    <w:tmpl w:val="94889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07D6135"/>
    <w:multiLevelType w:val="hybridMultilevel"/>
    <w:tmpl w:val="0A14FC76"/>
    <w:lvl w:ilvl="0" w:tplc="098CAA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53D1EB7"/>
    <w:multiLevelType w:val="hybridMultilevel"/>
    <w:tmpl w:val="56C2D9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83A4262"/>
    <w:multiLevelType w:val="hybridMultilevel"/>
    <w:tmpl w:val="E5D6CA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99B323C"/>
    <w:multiLevelType w:val="hybridMultilevel"/>
    <w:tmpl w:val="A6FA3C4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nsid w:val="69B46404"/>
    <w:multiLevelType w:val="hybridMultilevel"/>
    <w:tmpl w:val="7196E8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F223299"/>
    <w:multiLevelType w:val="hybridMultilevel"/>
    <w:tmpl w:val="5D587B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4A246E0"/>
    <w:multiLevelType w:val="hybridMultilevel"/>
    <w:tmpl w:val="8EF24824"/>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nsid w:val="75BC0971"/>
    <w:multiLevelType w:val="hybridMultilevel"/>
    <w:tmpl w:val="CC8837F6"/>
    <w:lvl w:ilvl="0" w:tplc="B05EA086">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A1C471D"/>
    <w:multiLevelType w:val="hybridMultilevel"/>
    <w:tmpl w:val="44C6B8C6"/>
    <w:lvl w:ilvl="0" w:tplc="38F8F234">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CF6370D"/>
    <w:multiLevelType w:val="hybridMultilevel"/>
    <w:tmpl w:val="3A1E1B52"/>
    <w:lvl w:ilvl="0" w:tplc="098CAA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DCF3E1D"/>
    <w:multiLevelType w:val="hybridMultilevel"/>
    <w:tmpl w:val="39F4BEF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3"/>
  </w:num>
  <w:num w:numId="2">
    <w:abstractNumId w:val="25"/>
  </w:num>
  <w:num w:numId="3">
    <w:abstractNumId w:val="5"/>
  </w:num>
  <w:num w:numId="4">
    <w:abstractNumId w:val="0"/>
  </w:num>
  <w:num w:numId="5">
    <w:abstractNumId w:val="28"/>
  </w:num>
  <w:num w:numId="6">
    <w:abstractNumId w:val="3"/>
  </w:num>
  <w:num w:numId="7">
    <w:abstractNumId w:val="11"/>
  </w:num>
  <w:num w:numId="8">
    <w:abstractNumId w:val="23"/>
  </w:num>
  <w:num w:numId="9">
    <w:abstractNumId w:val="15"/>
  </w:num>
  <w:num w:numId="10">
    <w:abstractNumId w:val="26"/>
  </w:num>
  <w:num w:numId="11">
    <w:abstractNumId w:val="22"/>
  </w:num>
  <w:num w:numId="12">
    <w:abstractNumId w:val="2"/>
  </w:num>
  <w:num w:numId="13">
    <w:abstractNumId w:val="7"/>
  </w:num>
  <w:num w:numId="14">
    <w:abstractNumId w:val="4"/>
  </w:num>
  <w:num w:numId="15">
    <w:abstractNumId w:val="21"/>
  </w:num>
  <w:num w:numId="16">
    <w:abstractNumId w:val="6"/>
  </w:num>
  <w:num w:numId="17">
    <w:abstractNumId w:val="24"/>
  </w:num>
  <w:num w:numId="18">
    <w:abstractNumId w:val="14"/>
  </w:num>
  <w:num w:numId="19">
    <w:abstractNumId w:val="1"/>
  </w:num>
  <w:num w:numId="20">
    <w:abstractNumId w:val="9"/>
  </w:num>
  <w:num w:numId="21">
    <w:abstractNumId w:val="17"/>
  </w:num>
  <w:num w:numId="22">
    <w:abstractNumId w:val="12"/>
  </w:num>
  <w:num w:numId="23">
    <w:abstractNumId w:val="20"/>
  </w:num>
  <w:num w:numId="24">
    <w:abstractNumId w:val="10"/>
  </w:num>
  <w:num w:numId="25">
    <w:abstractNumId w:val="16"/>
  </w:num>
  <w:num w:numId="26">
    <w:abstractNumId w:val="19"/>
  </w:num>
  <w:num w:numId="27">
    <w:abstractNumId w:val="8"/>
  </w:num>
  <w:num w:numId="28">
    <w:abstractNumId w:val="27"/>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19F"/>
    <w:rsid w:val="000161B4"/>
    <w:rsid w:val="00036EC9"/>
    <w:rsid w:val="000B1FB2"/>
    <w:rsid w:val="000C0DEC"/>
    <w:rsid w:val="000C6DCD"/>
    <w:rsid w:val="00137DAF"/>
    <w:rsid w:val="002128D9"/>
    <w:rsid w:val="00293CD2"/>
    <w:rsid w:val="002E48DE"/>
    <w:rsid w:val="002F640F"/>
    <w:rsid w:val="003B4D78"/>
    <w:rsid w:val="00496F8F"/>
    <w:rsid w:val="004A1355"/>
    <w:rsid w:val="004C5C65"/>
    <w:rsid w:val="004E73F4"/>
    <w:rsid w:val="0051125B"/>
    <w:rsid w:val="005776D6"/>
    <w:rsid w:val="00666378"/>
    <w:rsid w:val="00695B81"/>
    <w:rsid w:val="00786A0C"/>
    <w:rsid w:val="008A62DB"/>
    <w:rsid w:val="008E2226"/>
    <w:rsid w:val="009D65DF"/>
    <w:rsid w:val="00A32E10"/>
    <w:rsid w:val="00A4068E"/>
    <w:rsid w:val="00A42225"/>
    <w:rsid w:val="00A57D64"/>
    <w:rsid w:val="00AA1F05"/>
    <w:rsid w:val="00AA65ED"/>
    <w:rsid w:val="00AF76CD"/>
    <w:rsid w:val="00B11309"/>
    <w:rsid w:val="00B42600"/>
    <w:rsid w:val="00B5019F"/>
    <w:rsid w:val="00B55134"/>
    <w:rsid w:val="00B73D62"/>
    <w:rsid w:val="00B86426"/>
    <w:rsid w:val="00B9391F"/>
    <w:rsid w:val="00C006FC"/>
    <w:rsid w:val="00C973BE"/>
    <w:rsid w:val="00D65EA2"/>
    <w:rsid w:val="00E06171"/>
    <w:rsid w:val="00E71DB2"/>
    <w:rsid w:val="00E75B44"/>
    <w:rsid w:val="00EC5378"/>
    <w:rsid w:val="00ED2F59"/>
    <w:rsid w:val="00EF73EB"/>
    <w:rsid w:val="00F02B78"/>
    <w:rsid w:val="00F15598"/>
    <w:rsid w:val="00F57DC8"/>
    <w:rsid w:val="00FB17E2"/>
    <w:rsid w:val="00FE09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71DB2"/>
    <w:pPr>
      <w:spacing w:after="0" w:line="240" w:lineRule="auto"/>
    </w:pPr>
    <w:rPr>
      <w:sz w:val="20"/>
      <w:szCs w:val="20"/>
    </w:rPr>
  </w:style>
  <w:style w:type="character" w:customStyle="1" w:styleId="TextonotapieCar">
    <w:name w:val="Texto nota pie Car"/>
    <w:basedOn w:val="Fuentedeprrafopredeter"/>
    <w:link w:val="Textonotapie"/>
    <w:uiPriority w:val="99"/>
    <w:rsid w:val="00E71DB2"/>
    <w:rPr>
      <w:sz w:val="20"/>
      <w:szCs w:val="20"/>
    </w:rPr>
  </w:style>
  <w:style w:type="character" w:styleId="Refdenotaalpie">
    <w:name w:val="footnote reference"/>
    <w:basedOn w:val="Fuentedeprrafopredeter"/>
    <w:uiPriority w:val="99"/>
    <w:semiHidden/>
    <w:unhideWhenUsed/>
    <w:rsid w:val="00E71DB2"/>
    <w:rPr>
      <w:vertAlign w:val="superscript"/>
    </w:rPr>
  </w:style>
  <w:style w:type="paragraph" w:styleId="Textodeglobo">
    <w:name w:val="Balloon Text"/>
    <w:basedOn w:val="Normal"/>
    <w:link w:val="TextodegloboCar"/>
    <w:uiPriority w:val="99"/>
    <w:semiHidden/>
    <w:unhideWhenUsed/>
    <w:rsid w:val="00E71D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1DB2"/>
    <w:rPr>
      <w:rFonts w:ascii="Tahoma" w:hAnsi="Tahoma" w:cs="Tahoma"/>
      <w:sz w:val="16"/>
      <w:szCs w:val="16"/>
    </w:rPr>
  </w:style>
  <w:style w:type="paragraph" w:styleId="Prrafodelista">
    <w:name w:val="List Paragraph"/>
    <w:basedOn w:val="Normal"/>
    <w:uiPriority w:val="34"/>
    <w:qFormat/>
    <w:rsid w:val="00E71DB2"/>
    <w:pPr>
      <w:ind w:left="720"/>
      <w:contextualSpacing/>
    </w:pPr>
  </w:style>
  <w:style w:type="table" w:styleId="Tablaconcuadrcula">
    <w:name w:val="Table Grid"/>
    <w:basedOn w:val="Tablanormal"/>
    <w:uiPriority w:val="59"/>
    <w:rsid w:val="00E71D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pgrafe">
    <w:name w:val="caption"/>
    <w:basedOn w:val="Normal"/>
    <w:next w:val="Normal"/>
    <w:uiPriority w:val="35"/>
    <w:unhideWhenUsed/>
    <w:qFormat/>
    <w:rsid w:val="00E71DB2"/>
    <w:pPr>
      <w:spacing w:line="240" w:lineRule="auto"/>
    </w:pPr>
    <w:rPr>
      <w:b/>
      <w:bCs/>
      <w:color w:val="4F81BD" w:themeColor="accent1"/>
      <w:sz w:val="18"/>
      <w:szCs w:val="18"/>
    </w:rPr>
  </w:style>
  <w:style w:type="paragraph" w:styleId="Bibliografa">
    <w:name w:val="Bibliography"/>
    <w:basedOn w:val="Normal"/>
    <w:next w:val="Normal"/>
    <w:uiPriority w:val="37"/>
    <w:unhideWhenUsed/>
    <w:rsid w:val="002128D9"/>
  </w:style>
  <w:style w:type="character" w:styleId="Hipervnculo">
    <w:name w:val="Hyperlink"/>
    <w:basedOn w:val="Fuentedeprrafopredeter"/>
    <w:uiPriority w:val="99"/>
    <w:unhideWhenUsed/>
    <w:rsid w:val="002128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71DB2"/>
    <w:pPr>
      <w:spacing w:after="0" w:line="240" w:lineRule="auto"/>
    </w:pPr>
    <w:rPr>
      <w:sz w:val="20"/>
      <w:szCs w:val="20"/>
    </w:rPr>
  </w:style>
  <w:style w:type="character" w:customStyle="1" w:styleId="TextonotapieCar">
    <w:name w:val="Texto nota pie Car"/>
    <w:basedOn w:val="Fuentedeprrafopredeter"/>
    <w:link w:val="Textonotapie"/>
    <w:uiPriority w:val="99"/>
    <w:rsid w:val="00E71DB2"/>
    <w:rPr>
      <w:sz w:val="20"/>
      <w:szCs w:val="20"/>
    </w:rPr>
  </w:style>
  <w:style w:type="character" w:styleId="Refdenotaalpie">
    <w:name w:val="footnote reference"/>
    <w:basedOn w:val="Fuentedeprrafopredeter"/>
    <w:uiPriority w:val="99"/>
    <w:semiHidden/>
    <w:unhideWhenUsed/>
    <w:rsid w:val="00E71DB2"/>
    <w:rPr>
      <w:vertAlign w:val="superscript"/>
    </w:rPr>
  </w:style>
  <w:style w:type="paragraph" w:styleId="Textodeglobo">
    <w:name w:val="Balloon Text"/>
    <w:basedOn w:val="Normal"/>
    <w:link w:val="TextodegloboCar"/>
    <w:uiPriority w:val="99"/>
    <w:semiHidden/>
    <w:unhideWhenUsed/>
    <w:rsid w:val="00E71D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1DB2"/>
    <w:rPr>
      <w:rFonts w:ascii="Tahoma" w:hAnsi="Tahoma" w:cs="Tahoma"/>
      <w:sz w:val="16"/>
      <w:szCs w:val="16"/>
    </w:rPr>
  </w:style>
  <w:style w:type="paragraph" w:styleId="Prrafodelista">
    <w:name w:val="List Paragraph"/>
    <w:basedOn w:val="Normal"/>
    <w:uiPriority w:val="34"/>
    <w:qFormat/>
    <w:rsid w:val="00E71DB2"/>
    <w:pPr>
      <w:ind w:left="720"/>
      <w:contextualSpacing/>
    </w:pPr>
  </w:style>
  <w:style w:type="table" w:styleId="Tablaconcuadrcula">
    <w:name w:val="Table Grid"/>
    <w:basedOn w:val="Tablanormal"/>
    <w:uiPriority w:val="59"/>
    <w:rsid w:val="00E71D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pgrafe">
    <w:name w:val="caption"/>
    <w:basedOn w:val="Normal"/>
    <w:next w:val="Normal"/>
    <w:uiPriority w:val="35"/>
    <w:unhideWhenUsed/>
    <w:qFormat/>
    <w:rsid w:val="00E71DB2"/>
    <w:pPr>
      <w:spacing w:line="240" w:lineRule="auto"/>
    </w:pPr>
    <w:rPr>
      <w:b/>
      <w:bCs/>
      <w:color w:val="4F81BD" w:themeColor="accent1"/>
      <w:sz w:val="18"/>
      <w:szCs w:val="18"/>
    </w:rPr>
  </w:style>
  <w:style w:type="paragraph" w:styleId="Bibliografa">
    <w:name w:val="Bibliography"/>
    <w:basedOn w:val="Normal"/>
    <w:next w:val="Normal"/>
    <w:uiPriority w:val="37"/>
    <w:unhideWhenUsed/>
    <w:rsid w:val="002128D9"/>
  </w:style>
  <w:style w:type="character" w:styleId="Hipervnculo">
    <w:name w:val="Hyperlink"/>
    <w:basedOn w:val="Fuentedeprrafopredeter"/>
    <w:uiPriority w:val="99"/>
    <w:unhideWhenUsed/>
    <w:rsid w:val="002128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hyperlink" Target="mailto:estibaliz.linare@deusto.es" TargetMode="External"/><Relationship Id="rId14" Type="http://schemas.microsoft.com/office/2007/relationships/diagramDrawing" Target="diagrams/drawing1.xml"/><Relationship Id="rId22" Type="http://schemas.openxmlformats.org/officeDocument/2006/relationships/diagramQuickStyle" Target="diagrams/quickStyle3.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7B1998-6D11-4BB8-B098-0B2F12CFEB85}" type="doc">
      <dgm:prSet loTypeId="urn:microsoft.com/office/officeart/2005/8/layout/hList9" loCatId="list" qsTypeId="urn:microsoft.com/office/officeart/2005/8/quickstyle/3d1" qsCatId="3D" csTypeId="urn:microsoft.com/office/officeart/2005/8/colors/colorful1" csCatId="colorful" phldr="1"/>
      <dgm:spPr/>
      <dgm:t>
        <a:bodyPr/>
        <a:lstStyle/>
        <a:p>
          <a:endParaRPr lang="es-ES"/>
        </a:p>
      </dgm:t>
    </dgm:pt>
    <dgm:pt modelId="{F1945F2C-D11D-43FA-8A41-8FDF3E5140FE}">
      <dgm:prSet phldrT="[Texto]"/>
      <dgm:spPr>
        <a:xfrm>
          <a:off x="2086530" y="154417"/>
          <a:ext cx="834403" cy="834403"/>
        </a:xfrm>
        <a:scene3d>
          <a:camera prst="orthographicFront"/>
          <a:lightRig rig="flat" dir="t"/>
        </a:scene3d>
        <a:sp3d prstMaterial="plastic">
          <a:bevelT w="120900" h="88900"/>
          <a:bevelB w="88900" h="31750" prst="angle"/>
        </a:sp3d>
      </dgm:spPr>
      <dgm:t>
        <a:bodyPr/>
        <a:lstStyle/>
        <a:p>
          <a:r>
            <a:rPr lang="es-ES">
              <a:latin typeface="Calibri"/>
              <a:ea typeface="+mn-ea"/>
              <a:cs typeface="+mn-cs"/>
            </a:rPr>
            <a:t>Chicos</a:t>
          </a:r>
        </a:p>
      </dgm:t>
    </dgm:pt>
    <dgm:pt modelId="{0DE06CE3-D4EF-479A-9E0A-67BFC0698965}" type="parTrans" cxnId="{603BC1BC-73BD-4D07-A436-E23543381A24}">
      <dgm:prSet/>
      <dgm:spPr/>
      <dgm:t>
        <a:bodyPr/>
        <a:lstStyle/>
        <a:p>
          <a:endParaRPr lang="es-ES"/>
        </a:p>
      </dgm:t>
    </dgm:pt>
    <dgm:pt modelId="{B7AA6203-5020-491D-97FE-C09314C652FC}" type="sibTrans" cxnId="{603BC1BC-73BD-4D07-A436-E23543381A24}">
      <dgm:prSet/>
      <dgm:spPr/>
      <dgm:t>
        <a:bodyPr/>
        <a:lstStyle/>
        <a:p>
          <a:endParaRPr lang="es-ES"/>
        </a:p>
      </dgm:t>
    </dgm:pt>
    <dgm:pt modelId="{4712D0E7-A561-4FF4-B54E-EA5A7141638E}">
      <dgm:prSet phldrT="[Texto]"/>
      <dgm:spPr>
        <a:xfrm>
          <a:off x="2754053" y="488179"/>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Violencia (de combate, guerra)</a:t>
          </a:r>
        </a:p>
      </dgm:t>
    </dgm:pt>
    <dgm:pt modelId="{41BBFC9B-AAC2-4B5E-91FA-E38BB2CA4DD9}" type="parTrans" cxnId="{8C0EF678-40B0-431C-9A0A-F20EA668F68F}">
      <dgm:prSet/>
      <dgm:spPr/>
      <dgm:t>
        <a:bodyPr/>
        <a:lstStyle/>
        <a:p>
          <a:endParaRPr lang="es-ES"/>
        </a:p>
      </dgm:t>
    </dgm:pt>
    <dgm:pt modelId="{163F34B9-65C4-441A-8FA5-CC23AD6ADC95}" type="sibTrans" cxnId="{8C0EF678-40B0-431C-9A0A-F20EA668F68F}">
      <dgm:prSet/>
      <dgm:spPr/>
      <dgm:t>
        <a:bodyPr/>
        <a:lstStyle/>
        <a:p>
          <a:endParaRPr lang="es-ES"/>
        </a:p>
      </dgm:t>
    </dgm:pt>
    <dgm:pt modelId="{BD61C87E-9DFA-46BB-874F-F95E5F302249}">
      <dgm:prSet phldrT="[Texto]"/>
      <dgm:spPr>
        <a:xfrm>
          <a:off x="2754053" y="1323000"/>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Deportivos</a:t>
          </a:r>
        </a:p>
      </dgm:t>
    </dgm:pt>
    <dgm:pt modelId="{A146A5FC-56FE-43CD-82C1-3E5DA1D70C65}" type="parTrans" cxnId="{6350BA8E-257D-4914-8AAC-929E372B94A0}">
      <dgm:prSet/>
      <dgm:spPr/>
      <dgm:t>
        <a:bodyPr/>
        <a:lstStyle/>
        <a:p>
          <a:endParaRPr lang="es-ES"/>
        </a:p>
      </dgm:t>
    </dgm:pt>
    <dgm:pt modelId="{424CE52D-E67D-46DE-AD84-2547BEE69FEC}" type="sibTrans" cxnId="{6350BA8E-257D-4914-8AAC-929E372B94A0}">
      <dgm:prSet/>
      <dgm:spPr/>
      <dgm:t>
        <a:bodyPr/>
        <a:lstStyle/>
        <a:p>
          <a:endParaRPr lang="es-ES"/>
        </a:p>
      </dgm:t>
    </dgm:pt>
    <dgm:pt modelId="{3DFECBE4-09CF-4DF9-9F7B-351B18D75301}">
      <dgm:prSet phldrT="[Texto]"/>
      <dgm:spPr>
        <a:xfrm>
          <a:off x="4172540" y="154417"/>
          <a:ext cx="834403" cy="834403"/>
        </a:xfrm>
        <a:scene3d>
          <a:camera prst="orthographicFront"/>
          <a:lightRig rig="flat" dir="t"/>
        </a:scene3d>
        <a:sp3d prstMaterial="plastic">
          <a:bevelT w="120900" h="88900"/>
          <a:bevelB w="88900" h="31750" prst="angle"/>
        </a:sp3d>
      </dgm:spPr>
      <dgm:t>
        <a:bodyPr/>
        <a:lstStyle/>
        <a:p>
          <a:r>
            <a:rPr lang="es-ES">
              <a:latin typeface="Calibri"/>
              <a:ea typeface="+mn-ea"/>
              <a:cs typeface="+mn-cs"/>
            </a:rPr>
            <a:t>Chicas</a:t>
          </a:r>
        </a:p>
      </dgm:t>
    </dgm:pt>
    <dgm:pt modelId="{69B2C25F-04A9-4A62-9D76-16C43B9A3F64}" type="parTrans" cxnId="{F5E66BED-C42F-49FB-8950-343EF556CA4D}">
      <dgm:prSet/>
      <dgm:spPr/>
      <dgm:t>
        <a:bodyPr/>
        <a:lstStyle/>
        <a:p>
          <a:endParaRPr lang="es-ES"/>
        </a:p>
      </dgm:t>
    </dgm:pt>
    <dgm:pt modelId="{DDAB417D-359C-4C67-9398-3C26B6AA22D3}" type="sibTrans" cxnId="{F5E66BED-C42F-49FB-8950-343EF556CA4D}">
      <dgm:prSet/>
      <dgm:spPr/>
      <dgm:t>
        <a:bodyPr/>
        <a:lstStyle/>
        <a:p>
          <a:endParaRPr lang="es-ES"/>
        </a:p>
      </dgm:t>
    </dgm:pt>
    <dgm:pt modelId="{F00C7729-1963-4888-87A2-897497FB9407}">
      <dgm:prSet phldrT="[Texto]"/>
      <dgm:spPr>
        <a:xfrm>
          <a:off x="4840063" y="488179"/>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Simulación y construcciones </a:t>
          </a:r>
        </a:p>
      </dgm:t>
    </dgm:pt>
    <dgm:pt modelId="{725662FA-4884-4F4B-874D-F5746B3A0131}" type="parTrans" cxnId="{9D511840-F260-403E-966E-83AF7F454394}">
      <dgm:prSet/>
      <dgm:spPr/>
      <dgm:t>
        <a:bodyPr/>
        <a:lstStyle/>
        <a:p>
          <a:endParaRPr lang="es-ES"/>
        </a:p>
      </dgm:t>
    </dgm:pt>
    <dgm:pt modelId="{2A03AFC5-2520-407E-9434-171ED2552BAE}" type="sibTrans" cxnId="{9D511840-F260-403E-966E-83AF7F454394}">
      <dgm:prSet/>
      <dgm:spPr/>
      <dgm:t>
        <a:bodyPr/>
        <a:lstStyle/>
        <a:p>
          <a:endParaRPr lang="es-ES"/>
        </a:p>
      </dgm:t>
    </dgm:pt>
    <dgm:pt modelId="{18097E80-B46D-491E-B636-E53CA9D48372}">
      <dgm:prSet phldrT="[Texto]"/>
      <dgm:spPr>
        <a:xfrm>
          <a:off x="4840063" y="1323000"/>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Cuidado y protección</a:t>
          </a:r>
        </a:p>
      </dgm:t>
    </dgm:pt>
    <dgm:pt modelId="{E27860F2-3A8E-46C4-A0DA-EA2E1212D63E}" type="parTrans" cxnId="{CCB2C989-5BC0-4555-8CAC-ECA768440910}">
      <dgm:prSet/>
      <dgm:spPr/>
      <dgm:t>
        <a:bodyPr/>
        <a:lstStyle/>
        <a:p>
          <a:endParaRPr lang="es-ES"/>
        </a:p>
      </dgm:t>
    </dgm:pt>
    <dgm:pt modelId="{2F183A07-86A8-4F53-AC2E-FF029B18513C}" type="sibTrans" cxnId="{CCB2C989-5BC0-4555-8CAC-ECA768440910}">
      <dgm:prSet/>
      <dgm:spPr/>
      <dgm:t>
        <a:bodyPr/>
        <a:lstStyle/>
        <a:p>
          <a:endParaRPr lang="es-ES"/>
        </a:p>
      </dgm:t>
    </dgm:pt>
    <dgm:pt modelId="{05309EBB-95E1-4145-A2CC-2CDBB7D43EAA}">
      <dgm:prSet/>
      <dgm:spPr>
        <a:xfrm>
          <a:off x="2754053" y="2157821"/>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Arcade (juegos tipo plataforma y laberinto virtuales)</a:t>
          </a:r>
        </a:p>
      </dgm:t>
    </dgm:pt>
    <dgm:pt modelId="{97FAE458-EC0E-488E-BA2B-B7E7BF755A25}" type="parTrans" cxnId="{598326C3-23AC-4D4B-A47E-548C27F89272}">
      <dgm:prSet/>
      <dgm:spPr/>
      <dgm:t>
        <a:bodyPr/>
        <a:lstStyle/>
        <a:p>
          <a:endParaRPr lang="es-ES"/>
        </a:p>
      </dgm:t>
    </dgm:pt>
    <dgm:pt modelId="{35C9DBFB-2FF3-44D5-AA17-3481B5BB36EB}" type="sibTrans" cxnId="{598326C3-23AC-4D4B-A47E-548C27F89272}">
      <dgm:prSet/>
      <dgm:spPr/>
      <dgm:t>
        <a:bodyPr/>
        <a:lstStyle/>
        <a:p>
          <a:endParaRPr lang="es-ES"/>
        </a:p>
      </dgm:t>
    </dgm:pt>
    <dgm:pt modelId="{0AE8B960-194D-48FC-83B6-B3C541D28CC1}">
      <dgm:prSet/>
      <dgm:spPr>
        <a:xfrm>
          <a:off x="520" y="154417"/>
          <a:ext cx="834403" cy="834403"/>
        </a:xfrm>
        <a:scene3d>
          <a:camera prst="orthographicFront"/>
          <a:lightRig rig="flat" dir="t"/>
        </a:scene3d>
        <a:sp3d prstMaterial="plastic">
          <a:bevelT w="120900" h="88900"/>
          <a:bevelB w="88900" h="31750" prst="angle"/>
        </a:sp3d>
      </dgm:spPr>
      <dgm:t>
        <a:bodyPr/>
        <a:lstStyle/>
        <a:p>
          <a:r>
            <a:rPr lang="es-ES">
              <a:latin typeface="Calibri"/>
              <a:ea typeface="+mn-ea"/>
              <a:cs typeface="+mn-cs"/>
            </a:rPr>
            <a:t>Compartdos</a:t>
          </a:r>
        </a:p>
      </dgm:t>
    </dgm:pt>
    <dgm:pt modelId="{A827F35B-B2A1-45A7-B44F-2E709AEEF1F7}" type="parTrans" cxnId="{2680DC03-FFAA-4CCF-A01E-0A18A038E797}">
      <dgm:prSet/>
      <dgm:spPr/>
      <dgm:t>
        <a:bodyPr/>
        <a:lstStyle/>
        <a:p>
          <a:endParaRPr lang="es-ES"/>
        </a:p>
      </dgm:t>
    </dgm:pt>
    <dgm:pt modelId="{03296CCF-2C08-41F7-8F47-F8CACDC21F6E}" type="sibTrans" cxnId="{2680DC03-FFAA-4CCF-A01E-0A18A038E797}">
      <dgm:prSet/>
      <dgm:spPr/>
      <dgm:t>
        <a:bodyPr/>
        <a:lstStyle/>
        <a:p>
          <a:endParaRPr lang="es-ES"/>
        </a:p>
      </dgm:t>
    </dgm:pt>
    <dgm:pt modelId="{E431876D-A52E-4A42-B522-71FD034BF467}">
      <dgm:prSet/>
      <dgm:spPr>
        <a:xfrm>
          <a:off x="668043" y="488179"/>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Aventuras</a:t>
          </a:r>
        </a:p>
      </dgm:t>
    </dgm:pt>
    <dgm:pt modelId="{5F09735E-531C-4F2B-8A44-523D33311200}" type="parTrans" cxnId="{FA31B044-25B9-4C5B-AD62-8E23621FF37B}">
      <dgm:prSet/>
      <dgm:spPr/>
      <dgm:t>
        <a:bodyPr/>
        <a:lstStyle/>
        <a:p>
          <a:endParaRPr lang="es-ES"/>
        </a:p>
      </dgm:t>
    </dgm:pt>
    <dgm:pt modelId="{E78E7597-C4A8-4044-B95E-2D3E8665FC01}" type="sibTrans" cxnId="{FA31B044-25B9-4C5B-AD62-8E23621FF37B}">
      <dgm:prSet/>
      <dgm:spPr/>
      <dgm:t>
        <a:bodyPr/>
        <a:lstStyle/>
        <a:p>
          <a:endParaRPr lang="es-ES"/>
        </a:p>
      </dgm:t>
    </dgm:pt>
    <dgm:pt modelId="{E69F95BE-378B-4380-984B-C0458BBCD30D}">
      <dgm:prSet/>
      <dgm:spPr>
        <a:xfrm>
          <a:off x="668043" y="1323000"/>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Estrategia</a:t>
          </a:r>
        </a:p>
      </dgm:t>
    </dgm:pt>
    <dgm:pt modelId="{EF84126B-D476-4AFA-9C3B-B35896B192EF}" type="parTrans" cxnId="{F05B2943-623E-4353-B219-C68A3319E2F1}">
      <dgm:prSet/>
      <dgm:spPr/>
      <dgm:t>
        <a:bodyPr/>
        <a:lstStyle/>
        <a:p>
          <a:endParaRPr lang="es-ES"/>
        </a:p>
      </dgm:t>
    </dgm:pt>
    <dgm:pt modelId="{E996B7FC-B494-4A7D-BFF7-213D06D81C6C}" type="sibTrans" cxnId="{F05B2943-623E-4353-B219-C68A3319E2F1}">
      <dgm:prSet/>
      <dgm:spPr/>
      <dgm:t>
        <a:bodyPr/>
        <a:lstStyle/>
        <a:p>
          <a:endParaRPr lang="es-ES"/>
        </a:p>
      </dgm:t>
    </dgm:pt>
    <dgm:pt modelId="{DD50FFFE-DF73-4375-8F92-35ECB42B25A0}">
      <dgm:prSet/>
      <dgm:spPr>
        <a:xfrm>
          <a:off x="668043" y="2157821"/>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Juegos de mesa</a:t>
          </a:r>
        </a:p>
      </dgm:t>
    </dgm:pt>
    <dgm:pt modelId="{D7BD0B15-AD43-49AD-B065-45B46F5FFC2F}" type="parTrans" cxnId="{FDFC17C8-4AFD-4763-9505-D546DDD0A7DA}">
      <dgm:prSet/>
      <dgm:spPr/>
      <dgm:t>
        <a:bodyPr/>
        <a:lstStyle/>
        <a:p>
          <a:endParaRPr lang="es-ES"/>
        </a:p>
      </dgm:t>
    </dgm:pt>
    <dgm:pt modelId="{4D1E2224-B711-44B9-BF80-D05749194CF0}" type="sibTrans" cxnId="{FDFC17C8-4AFD-4763-9505-D546DDD0A7DA}">
      <dgm:prSet/>
      <dgm:spPr/>
      <dgm:t>
        <a:bodyPr/>
        <a:lstStyle/>
        <a:p>
          <a:endParaRPr lang="es-ES"/>
        </a:p>
      </dgm:t>
    </dgm:pt>
    <dgm:pt modelId="{44A8855D-F2CC-464A-B862-FDDE87C4DCF6}">
      <dgm:prSet/>
      <dgm:spPr>
        <a:xfrm>
          <a:off x="4840063" y="2157821"/>
          <a:ext cx="1251605" cy="834821"/>
        </a:xfrm>
        <a:scene3d>
          <a:camera prst="orthographicFront"/>
          <a:lightRig rig="flat" dir="t"/>
        </a:scene3d>
        <a:sp3d z="-190500" extrusionH="12700" prstMaterial="plastic">
          <a:bevelT w="50800" h="50800"/>
        </a:sp3d>
      </dgm:spPr>
      <dgm:t>
        <a:bodyPr/>
        <a:lstStyle/>
        <a:p>
          <a:r>
            <a:rPr lang="es-ES">
              <a:latin typeface="Calibri"/>
              <a:ea typeface="+mn-ea"/>
              <a:cs typeface="+mn-cs"/>
            </a:rPr>
            <a:t>"Pink games" (princesas , Barbies, fantasía)</a:t>
          </a:r>
        </a:p>
      </dgm:t>
    </dgm:pt>
    <dgm:pt modelId="{44CE0BD7-099F-407E-B5F1-C968F816F919}" type="parTrans" cxnId="{8485B899-235B-4A17-ABCF-2B331E1FE30E}">
      <dgm:prSet/>
      <dgm:spPr/>
      <dgm:t>
        <a:bodyPr/>
        <a:lstStyle/>
        <a:p>
          <a:endParaRPr lang="es-ES"/>
        </a:p>
      </dgm:t>
    </dgm:pt>
    <dgm:pt modelId="{54D4735B-2D48-4AD7-AED3-91B53B6E4AD8}" type="sibTrans" cxnId="{8485B899-235B-4A17-ABCF-2B331E1FE30E}">
      <dgm:prSet/>
      <dgm:spPr/>
      <dgm:t>
        <a:bodyPr/>
        <a:lstStyle/>
        <a:p>
          <a:endParaRPr lang="es-ES"/>
        </a:p>
      </dgm:t>
    </dgm:pt>
    <dgm:pt modelId="{C080A98E-65D6-491D-8F07-4273B8718574}" type="pres">
      <dgm:prSet presAssocID="{6F7B1998-6D11-4BB8-B098-0B2F12CFEB85}" presName="list" presStyleCnt="0">
        <dgm:presLayoutVars>
          <dgm:dir/>
          <dgm:animLvl val="lvl"/>
        </dgm:presLayoutVars>
      </dgm:prSet>
      <dgm:spPr/>
      <dgm:t>
        <a:bodyPr/>
        <a:lstStyle/>
        <a:p>
          <a:endParaRPr lang="es-ES"/>
        </a:p>
      </dgm:t>
    </dgm:pt>
    <dgm:pt modelId="{86E76494-D803-41CA-9DB5-067DEE4FF26C}" type="pres">
      <dgm:prSet presAssocID="{0AE8B960-194D-48FC-83B6-B3C541D28CC1}" presName="posSpace" presStyleCnt="0"/>
      <dgm:spPr/>
      <dgm:t>
        <a:bodyPr/>
        <a:lstStyle/>
        <a:p>
          <a:endParaRPr lang="es-ES"/>
        </a:p>
      </dgm:t>
    </dgm:pt>
    <dgm:pt modelId="{916FCD80-473B-4283-B4F5-676F3FD6BE46}" type="pres">
      <dgm:prSet presAssocID="{0AE8B960-194D-48FC-83B6-B3C541D28CC1}" presName="vertFlow" presStyleCnt="0"/>
      <dgm:spPr/>
      <dgm:t>
        <a:bodyPr/>
        <a:lstStyle/>
        <a:p>
          <a:endParaRPr lang="es-ES"/>
        </a:p>
      </dgm:t>
    </dgm:pt>
    <dgm:pt modelId="{96238490-33DF-45B6-91C6-FA36588DCBED}" type="pres">
      <dgm:prSet presAssocID="{0AE8B960-194D-48FC-83B6-B3C541D28CC1}" presName="topSpace" presStyleCnt="0"/>
      <dgm:spPr/>
      <dgm:t>
        <a:bodyPr/>
        <a:lstStyle/>
        <a:p>
          <a:endParaRPr lang="es-ES"/>
        </a:p>
      </dgm:t>
    </dgm:pt>
    <dgm:pt modelId="{DAE1E6E4-B9BE-4DAC-93A7-7AE3EAA590BB}" type="pres">
      <dgm:prSet presAssocID="{0AE8B960-194D-48FC-83B6-B3C541D28CC1}" presName="firstComp" presStyleCnt="0"/>
      <dgm:spPr/>
      <dgm:t>
        <a:bodyPr/>
        <a:lstStyle/>
        <a:p>
          <a:endParaRPr lang="es-ES"/>
        </a:p>
      </dgm:t>
    </dgm:pt>
    <dgm:pt modelId="{15427DF7-B6F9-4E9E-982B-E041064CBC98}" type="pres">
      <dgm:prSet presAssocID="{0AE8B960-194D-48FC-83B6-B3C541D28CC1}" presName="firstChild" presStyleLbl="bgAccFollowNode1" presStyleIdx="0" presStyleCnt="9"/>
      <dgm:spPr>
        <a:prstGeom prst="rect">
          <a:avLst/>
        </a:prstGeom>
      </dgm:spPr>
      <dgm:t>
        <a:bodyPr/>
        <a:lstStyle/>
        <a:p>
          <a:endParaRPr lang="es-ES"/>
        </a:p>
      </dgm:t>
    </dgm:pt>
    <dgm:pt modelId="{F98371E6-CCD5-486C-A2F5-0A3CC1B376F4}" type="pres">
      <dgm:prSet presAssocID="{0AE8B960-194D-48FC-83B6-B3C541D28CC1}" presName="firstChildTx" presStyleLbl="bgAccFollowNode1" presStyleIdx="0" presStyleCnt="9">
        <dgm:presLayoutVars>
          <dgm:bulletEnabled val="1"/>
        </dgm:presLayoutVars>
      </dgm:prSet>
      <dgm:spPr/>
      <dgm:t>
        <a:bodyPr/>
        <a:lstStyle/>
        <a:p>
          <a:endParaRPr lang="es-ES"/>
        </a:p>
      </dgm:t>
    </dgm:pt>
    <dgm:pt modelId="{732865D9-4E2E-45A8-B7B7-70777943B8E6}" type="pres">
      <dgm:prSet presAssocID="{E69F95BE-378B-4380-984B-C0458BBCD30D}" presName="comp" presStyleCnt="0"/>
      <dgm:spPr/>
      <dgm:t>
        <a:bodyPr/>
        <a:lstStyle/>
        <a:p>
          <a:endParaRPr lang="es-ES"/>
        </a:p>
      </dgm:t>
    </dgm:pt>
    <dgm:pt modelId="{27081016-D1BB-4828-A3C8-65B953D032EE}" type="pres">
      <dgm:prSet presAssocID="{E69F95BE-378B-4380-984B-C0458BBCD30D}" presName="child" presStyleLbl="bgAccFollowNode1" presStyleIdx="1" presStyleCnt="9"/>
      <dgm:spPr>
        <a:prstGeom prst="rect">
          <a:avLst/>
        </a:prstGeom>
      </dgm:spPr>
      <dgm:t>
        <a:bodyPr/>
        <a:lstStyle/>
        <a:p>
          <a:endParaRPr lang="es-ES"/>
        </a:p>
      </dgm:t>
    </dgm:pt>
    <dgm:pt modelId="{EDAB672C-956B-4D98-AD87-EB0FA32A2F68}" type="pres">
      <dgm:prSet presAssocID="{E69F95BE-378B-4380-984B-C0458BBCD30D}" presName="childTx" presStyleLbl="bgAccFollowNode1" presStyleIdx="1" presStyleCnt="9">
        <dgm:presLayoutVars>
          <dgm:bulletEnabled val="1"/>
        </dgm:presLayoutVars>
      </dgm:prSet>
      <dgm:spPr/>
      <dgm:t>
        <a:bodyPr/>
        <a:lstStyle/>
        <a:p>
          <a:endParaRPr lang="es-ES"/>
        </a:p>
      </dgm:t>
    </dgm:pt>
    <dgm:pt modelId="{A1A83B50-A261-4402-B8C7-9BC376175C18}" type="pres">
      <dgm:prSet presAssocID="{DD50FFFE-DF73-4375-8F92-35ECB42B25A0}" presName="comp" presStyleCnt="0"/>
      <dgm:spPr/>
      <dgm:t>
        <a:bodyPr/>
        <a:lstStyle/>
        <a:p>
          <a:endParaRPr lang="es-ES"/>
        </a:p>
      </dgm:t>
    </dgm:pt>
    <dgm:pt modelId="{E0E90A5E-CF78-41A7-8A5C-305AEA2B552B}" type="pres">
      <dgm:prSet presAssocID="{DD50FFFE-DF73-4375-8F92-35ECB42B25A0}" presName="child" presStyleLbl="bgAccFollowNode1" presStyleIdx="2" presStyleCnt="9"/>
      <dgm:spPr>
        <a:prstGeom prst="rect">
          <a:avLst/>
        </a:prstGeom>
      </dgm:spPr>
      <dgm:t>
        <a:bodyPr/>
        <a:lstStyle/>
        <a:p>
          <a:endParaRPr lang="es-ES"/>
        </a:p>
      </dgm:t>
    </dgm:pt>
    <dgm:pt modelId="{1B44788F-A422-4555-B936-B778723249BF}" type="pres">
      <dgm:prSet presAssocID="{DD50FFFE-DF73-4375-8F92-35ECB42B25A0}" presName="childTx" presStyleLbl="bgAccFollowNode1" presStyleIdx="2" presStyleCnt="9">
        <dgm:presLayoutVars>
          <dgm:bulletEnabled val="1"/>
        </dgm:presLayoutVars>
      </dgm:prSet>
      <dgm:spPr/>
      <dgm:t>
        <a:bodyPr/>
        <a:lstStyle/>
        <a:p>
          <a:endParaRPr lang="es-ES"/>
        </a:p>
      </dgm:t>
    </dgm:pt>
    <dgm:pt modelId="{BAEDDB81-F72C-4C4A-AFE6-046029881813}" type="pres">
      <dgm:prSet presAssocID="{0AE8B960-194D-48FC-83B6-B3C541D28CC1}" presName="negSpace" presStyleCnt="0"/>
      <dgm:spPr/>
      <dgm:t>
        <a:bodyPr/>
        <a:lstStyle/>
        <a:p>
          <a:endParaRPr lang="es-ES"/>
        </a:p>
      </dgm:t>
    </dgm:pt>
    <dgm:pt modelId="{162A4C7C-4060-481E-B720-DB727234E348}" type="pres">
      <dgm:prSet presAssocID="{0AE8B960-194D-48FC-83B6-B3C541D28CC1}" presName="circle" presStyleLbl="node1" presStyleIdx="0" presStyleCnt="3"/>
      <dgm:spPr>
        <a:prstGeom prst="ellipse">
          <a:avLst/>
        </a:prstGeom>
      </dgm:spPr>
      <dgm:t>
        <a:bodyPr/>
        <a:lstStyle/>
        <a:p>
          <a:endParaRPr lang="es-ES"/>
        </a:p>
      </dgm:t>
    </dgm:pt>
    <dgm:pt modelId="{94A6EB0D-ECAB-4700-A573-3CA52F4A03B2}" type="pres">
      <dgm:prSet presAssocID="{03296CCF-2C08-41F7-8F47-F8CACDC21F6E}" presName="transSpace" presStyleCnt="0"/>
      <dgm:spPr/>
      <dgm:t>
        <a:bodyPr/>
        <a:lstStyle/>
        <a:p>
          <a:endParaRPr lang="es-ES"/>
        </a:p>
      </dgm:t>
    </dgm:pt>
    <dgm:pt modelId="{29A3A9EB-58D9-446B-A4F9-4EE4F1F3975F}" type="pres">
      <dgm:prSet presAssocID="{F1945F2C-D11D-43FA-8A41-8FDF3E5140FE}" presName="posSpace" presStyleCnt="0"/>
      <dgm:spPr/>
      <dgm:t>
        <a:bodyPr/>
        <a:lstStyle/>
        <a:p>
          <a:endParaRPr lang="es-ES"/>
        </a:p>
      </dgm:t>
    </dgm:pt>
    <dgm:pt modelId="{2494BF8B-D111-4A91-8216-AE948D7175C6}" type="pres">
      <dgm:prSet presAssocID="{F1945F2C-D11D-43FA-8A41-8FDF3E5140FE}" presName="vertFlow" presStyleCnt="0"/>
      <dgm:spPr/>
      <dgm:t>
        <a:bodyPr/>
        <a:lstStyle/>
        <a:p>
          <a:endParaRPr lang="es-ES"/>
        </a:p>
      </dgm:t>
    </dgm:pt>
    <dgm:pt modelId="{482B5800-6B81-4AD9-BC9A-EFDA23991A12}" type="pres">
      <dgm:prSet presAssocID="{F1945F2C-D11D-43FA-8A41-8FDF3E5140FE}" presName="topSpace" presStyleCnt="0"/>
      <dgm:spPr/>
      <dgm:t>
        <a:bodyPr/>
        <a:lstStyle/>
        <a:p>
          <a:endParaRPr lang="es-ES"/>
        </a:p>
      </dgm:t>
    </dgm:pt>
    <dgm:pt modelId="{0E1A2E45-1B5B-4A0E-BE86-E56951BADC72}" type="pres">
      <dgm:prSet presAssocID="{F1945F2C-D11D-43FA-8A41-8FDF3E5140FE}" presName="firstComp" presStyleCnt="0"/>
      <dgm:spPr/>
      <dgm:t>
        <a:bodyPr/>
        <a:lstStyle/>
        <a:p>
          <a:endParaRPr lang="es-ES"/>
        </a:p>
      </dgm:t>
    </dgm:pt>
    <dgm:pt modelId="{E48525AF-8E25-4333-BFF6-580A3C43CE6A}" type="pres">
      <dgm:prSet presAssocID="{F1945F2C-D11D-43FA-8A41-8FDF3E5140FE}" presName="firstChild" presStyleLbl="bgAccFollowNode1" presStyleIdx="3" presStyleCnt="9"/>
      <dgm:spPr>
        <a:prstGeom prst="rect">
          <a:avLst/>
        </a:prstGeom>
      </dgm:spPr>
      <dgm:t>
        <a:bodyPr/>
        <a:lstStyle/>
        <a:p>
          <a:endParaRPr lang="es-ES"/>
        </a:p>
      </dgm:t>
    </dgm:pt>
    <dgm:pt modelId="{0D91B725-41C5-4199-A578-B87D73023603}" type="pres">
      <dgm:prSet presAssocID="{F1945F2C-D11D-43FA-8A41-8FDF3E5140FE}" presName="firstChildTx" presStyleLbl="bgAccFollowNode1" presStyleIdx="3" presStyleCnt="9">
        <dgm:presLayoutVars>
          <dgm:bulletEnabled val="1"/>
        </dgm:presLayoutVars>
      </dgm:prSet>
      <dgm:spPr/>
      <dgm:t>
        <a:bodyPr/>
        <a:lstStyle/>
        <a:p>
          <a:endParaRPr lang="es-ES"/>
        </a:p>
      </dgm:t>
    </dgm:pt>
    <dgm:pt modelId="{9090A3BC-DDC4-46B8-B700-A3E6D9F2D76F}" type="pres">
      <dgm:prSet presAssocID="{BD61C87E-9DFA-46BB-874F-F95E5F302249}" presName="comp" presStyleCnt="0"/>
      <dgm:spPr/>
      <dgm:t>
        <a:bodyPr/>
        <a:lstStyle/>
        <a:p>
          <a:endParaRPr lang="es-ES"/>
        </a:p>
      </dgm:t>
    </dgm:pt>
    <dgm:pt modelId="{84A64FBF-22C4-4917-A901-6825C395313B}" type="pres">
      <dgm:prSet presAssocID="{BD61C87E-9DFA-46BB-874F-F95E5F302249}" presName="child" presStyleLbl="bgAccFollowNode1" presStyleIdx="4" presStyleCnt="9"/>
      <dgm:spPr>
        <a:prstGeom prst="rect">
          <a:avLst/>
        </a:prstGeom>
      </dgm:spPr>
      <dgm:t>
        <a:bodyPr/>
        <a:lstStyle/>
        <a:p>
          <a:endParaRPr lang="es-ES"/>
        </a:p>
      </dgm:t>
    </dgm:pt>
    <dgm:pt modelId="{3FA469C6-D09A-4DF4-BC77-519AAE61D165}" type="pres">
      <dgm:prSet presAssocID="{BD61C87E-9DFA-46BB-874F-F95E5F302249}" presName="childTx" presStyleLbl="bgAccFollowNode1" presStyleIdx="4" presStyleCnt="9">
        <dgm:presLayoutVars>
          <dgm:bulletEnabled val="1"/>
        </dgm:presLayoutVars>
      </dgm:prSet>
      <dgm:spPr/>
      <dgm:t>
        <a:bodyPr/>
        <a:lstStyle/>
        <a:p>
          <a:endParaRPr lang="es-ES"/>
        </a:p>
      </dgm:t>
    </dgm:pt>
    <dgm:pt modelId="{9DA8A7E8-2979-451D-A150-EA91C5F24743}" type="pres">
      <dgm:prSet presAssocID="{05309EBB-95E1-4145-A2CC-2CDBB7D43EAA}" presName="comp" presStyleCnt="0"/>
      <dgm:spPr/>
      <dgm:t>
        <a:bodyPr/>
        <a:lstStyle/>
        <a:p>
          <a:endParaRPr lang="es-ES"/>
        </a:p>
      </dgm:t>
    </dgm:pt>
    <dgm:pt modelId="{3BB0FAE5-CDCA-40C4-BDD9-78E6F7E4C692}" type="pres">
      <dgm:prSet presAssocID="{05309EBB-95E1-4145-A2CC-2CDBB7D43EAA}" presName="child" presStyleLbl="bgAccFollowNode1" presStyleIdx="5" presStyleCnt="9"/>
      <dgm:spPr>
        <a:prstGeom prst="rect">
          <a:avLst/>
        </a:prstGeom>
      </dgm:spPr>
      <dgm:t>
        <a:bodyPr/>
        <a:lstStyle/>
        <a:p>
          <a:endParaRPr lang="es-ES"/>
        </a:p>
      </dgm:t>
    </dgm:pt>
    <dgm:pt modelId="{D4C6EB87-3F42-4E57-9DF5-6D8E70A968BF}" type="pres">
      <dgm:prSet presAssocID="{05309EBB-95E1-4145-A2CC-2CDBB7D43EAA}" presName="childTx" presStyleLbl="bgAccFollowNode1" presStyleIdx="5" presStyleCnt="9">
        <dgm:presLayoutVars>
          <dgm:bulletEnabled val="1"/>
        </dgm:presLayoutVars>
      </dgm:prSet>
      <dgm:spPr/>
      <dgm:t>
        <a:bodyPr/>
        <a:lstStyle/>
        <a:p>
          <a:endParaRPr lang="es-ES"/>
        </a:p>
      </dgm:t>
    </dgm:pt>
    <dgm:pt modelId="{17D7B185-1304-4186-B06C-578D603BB46D}" type="pres">
      <dgm:prSet presAssocID="{F1945F2C-D11D-43FA-8A41-8FDF3E5140FE}" presName="negSpace" presStyleCnt="0"/>
      <dgm:spPr/>
      <dgm:t>
        <a:bodyPr/>
        <a:lstStyle/>
        <a:p>
          <a:endParaRPr lang="es-ES"/>
        </a:p>
      </dgm:t>
    </dgm:pt>
    <dgm:pt modelId="{A07974B2-414B-4DD9-BFA6-5916CF86EA88}" type="pres">
      <dgm:prSet presAssocID="{F1945F2C-D11D-43FA-8A41-8FDF3E5140FE}" presName="circle" presStyleLbl="node1" presStyleIdx="1" presStyleCnt="3"/>
      <dgm:spPr>
        <a:prstGeom prst="ellipse">
          <a:avLst/>
        </a:prstGeom>
      </dgm:spPr>
      <dgm:t>
        <a:bodyPr/>
        <a:lstStyle/>
        <a:p>
          <a:endParaRPr lang="es-ES"/>
        </a:p>
      </dgm:t>
    </dgm:pt>
    <dgm:pt modelId="{E229B52E-F79C-42F6-BCA2-2A1DBEC88109}" type="pres">
      <dgm:prSet presAssocID="{B7AA6203-5020-491D-97FE-C09314C652FC}" presName="transSpace" presStyleCnt="0"/>
      <dgm:spPr/>
      <dgm:t>
        <a:bodyPr/>
        <a:lstStyle/>
        <a:p>
          <a:endParaRPr lang="es-ES"/>
        </a:p>
      </dgm:t>
    </dgm:pt>
    <dgm:pt modelId="{D79FD3F7-8984-4741-9D95-4292A1F59DF0}" type="pres">
      <dgm:prSet presAssocID="{3DFECBE4-09CF-4DF9-9F7B-351B18D75301}" presName="posSpace" presStyleCnt="0"/>
      <dgm:spPr/>
      <dgm:t>
        <a:bodyPr/>
        <a:lstStyle/>
        <a:p>
          <a:endParaRPr lang="es-ES"/>
        </a:p>
      </dgm:t>
    </dgm:pt>
    <dgm:pt modelId="{C9F18068-0CF0-4033-B7E6-657B08FC16F7}" type="pres">
      <dgm:prSet presAssocID="{3DFECBE4-09CF-4DF9-9F7B-351B18D75301}" presName="vertFlow" presStyleCnt="0"/>
      <dgm:spPr/>
      <dgm:t>
        <a:bodyPr/>
        <a:lstStyle/>
        <a:p>
          <a:endParaRPr lang="es-ES"/>
        </a:p>
      </dgm:t>
    </dgm:pt>
    <dgm:pt modelId="{B4C1B37D-5588-4274-B312-CCC54B747164}" type="pres">
      <dgm:prSet presAssocID="{3DFECBE4-09CF-4DF9-9F7B-351B18D75301}" presName="topSpace" presStyleCnt="0"/>
      <dgm:spPr/>
      <dgm:t>
        <a:bodyPr/>
        <a:lstStyle/>
        <a:p>
          <a:endParaRPr lang="es-ES"/>
        </a:p>
      </dgm:t>
    </dgm:pt>
    <dgm:pt modelId="{B7C2CE2B-2C73-40F4-93B0-87959C423B87}" type="pres">
      <dgm:prSet presAssocID="{3DFECBE4-09CF-4DF9-9F7B-351B18D75301}" presName="firstComp" presStyleCnt="0"/>
      <dgm:spPr/>
      <dgm:t>
        <a:bodyPr/>
        <a:lstStyle/>
        <a:p>
          <a:endParaRPr lang="es-ES"/>
        </a:p>
      </dgm:t>
    </dgm:pt>
    <dgm:pt modelId="{07534F21-6E24-446A-8176-2761B02949FE}" type="pres">
      <dgm:prSet presAssocID="{3DFECBE4-09CF-4DF9-9F7B-351B18D75301}" presName="firstChild" presStyleLbl="bgAccFollowNode1" presStyleIdx="6" presStyleCnt="9"/>
      <dgm:spPr>
        <a:prstGeom prst="rect">
          <a:avLst/>
        </a:prstGeom>
      </dgm:spPr>
      <dgm:t>
        <a:bodyPr/>
        <a:lstStyle/>
        <a:p>
          <a:endParaRPr lang="es-ES"/>
        </a:p>
      </dgm:t>
    </dgm:pt>
    <dgm:pt modelId="{DD494132-450F-4835-9EE8-711185753EC9}" type="pres">
      <dgm:prSet presAssocID="{3DFECBE4-09CF-4DF9-9F7B-351B18D75301}" presName="firstChildTx" presStyleLbl="bgAccFollowNode1" presStyleIdx="6" presStyleCnt="9">
        <dgm:presLayoutVars>
          <dgm:bulletEnabled val="1"/>
        </dgm:presLayoutVars>
      </dgm:prSet>
      <dgm:spPr/>
      <dgm:t>
        <a:bodyPr/>
        <a:lstStyle/>
        <a:p>
          <a:endParaRPr lang="es-ES"/>
        </a:p>
      </dgm:t>
    </dgm:pt>
    <dgm:pt modelId="{208BFA0E-EF02-4417-8E57-CFEADFE2EC7B}" type="pres">
      <dgm:prSet presAssocID="{18097E80-B46D-491E-B636-E53CA9D48372}" presName="comp" presStyleCnt="0"/>
      <dgm:spPr/>
      <dgm:t>
        <a:bodyPr/>
        <a:lstStyle/>
        <a:p>
          <a:endParaRPr lang="es-ES"/>
        </a:p>
      </dgm:t>
    </dgm:pt>
    <dgm:pt modelId="{1EA08AC7-78A3-4D3B-A1EA-EBA7D470D6C6}" type="pres">
      <dgm:prSet presAssocID="{18097E80-B46D-491E-B636-E53CA9D48372}" presName="child" presStyleLbl="bgAccFollowNode1" presStyleIdx="7" presStyleCnt="9"/>
      <dgm:spPr>
        <a:prstGeom prst="rect">
          <a:avLst/>
        </a:prstGeom>
      </dgm:spPr>
      <dgm:t>
        <a:bodyPr/>
        <a:lstStyle/>
        <a:p>
          <a:endParaRPr lang="es-ES"/>
        </a:p>
      </dgm:t>
    </dgm:pt>
    <dgm:pt modelId="{7F73755A-AFB3-4355-B2FA-4C1E369364D8}" type="pres">
      <dgm:prSet presAssocID="{18097E80-B46D-491E-B636-E53CA9D48372}" presName="childTx" presStyleLbl="bgAccFollowNode1" presStyleIdx="7" presStyleCnt="9">
        <dgm:presLayoutVars>
          <dgm:bulletEnabled val="1"/>
        </dgm:presLayoutVars>
      </dgm:prSet>
      <dgm:spPr/>
      <dgm:t>
        <a:bodyPr/>
        <a:lstStyle/>
        <a:p>
          <a:endParaRPr lang="es-ES"/>
        </a:p>
      </dgm:t>
    </dgm:pt>
    <dgm:pt modelId="{0C5F5CFC-A572-44DA-AB11-59886E6C2732}" type="pres">
      <dgm:prSet presAssocID="{44A8855D-F2CC-464A-B862-FDDE87C4DCF6}" presName="comp" presStyleCnt="0"/>
      <dgm:spPr/>
      <dgm:t>
        <a:bodyPr/>
        <a:lstStyle/>
        <a:p>
          <a:endParaRPr lang="es-ES"/>
        </a:p>
      </dgm:t>
    </dgm:pt>
    <dgm:pt modelId="{2E4679BE-110B-4BB2-B3E7-96D041CF9974}" type="pres">
      <dgm:prSet presAssocID="{44A8855D-F2CC-464A-B862-FDDE87C4DCF6}" presName="child" presStyleLbl="bgAccFollowNode1" presStyleIdx="8" presStyleCnt="9"/>
      <dgm:spPr>
        <a:prstGeom prst="rect">
          <a:avLst/>
        </a:prstGeom>
      </dgm:spPr>
      <dgm:t>
        <a:bodyPr/>
        <a:lstStyle/>
        <a:p>
          <a:endParaRPr lang="es-ES"/>
        </a:p>
      </dgm:t>
    </dgm:pt>
    <dgm:pt modelId="{8E11F1F1-5F3B-4FBE-A477-A3947E2A1A41}" type="pres">
      <dgm:prSet presAssocID="{44A8855D-F2CC-464A-B862-FDDE87C4DCF6}" presName="childTx" presStyleLbl="bgAccFollowNode1" presStyleIdx="8" presStyleCnt="9">
        <dgm:presLayoutVars>
          <dgm:bulletEnabled val="1"/>
        </dgm:presLayoutVars>
      </dgm:prSet>
      <dgm:spPr/>
      <dgm:t>
        <a:bodyPr/>
        <a:lstStyle/>
        <a:p>
          <a:endParaRPr lang="es-ES"/>
        </a:p>
      </dgm:t>
    </dgm:pt>
    <dgm:pt modelId="{35AFAD2F-8F5E-4E14-9246-DC310A473ED2}" type="pres">
      <dgm:prSet presAssocID="{3DFECBE4-09CF-4DF9-9F7B-351B18D75301}" presName="negSpace" presStyleCnt="0"/>
      <dgm:spPr/>
      <dgm:t>
        <a:bodyPr/>
        <a:lstStyle/>
        <a:p>
          <a:endParaRPr lang="es-ES"/>
        </a:p>
      </dgm:t>
    </dgm:pt>
    <dgm:pt modelId="{6FAF5EB2-87A4-44FD-9E2E-4C49C227E1B8}" type="pres">
      <dgm:prSet presAssocID="{3DFECBE4-09CF-4DF9-9F7B-351B18D75301}" presName="circle" presStyleLbl="node1" presStyleIdx="2" presStyleCnt="3"/>
      <dgm:spPr>
        <a:prstGeom prst="ellipse">
          <a:avLst/>
        </a:prstGeom>
      </dgm:spPr>
      <dgm:t>
        <a:bodyPr/>
        <a:lstStyle/>
        <a:p>
          <a:endParaRPr lang="es-ES"/>
        </a:p>
      </dgm:t>
    </dgm:pt>
  </dgm:ptLst>
  <dgm:cxnLst>
    <dgm:cxn modelId="{598326C3-23AC-4D4B-A47E-548C27F89272}" srcId="{F1945F2C-D11D-43FA-8A41-8FDF3E5140FE}" destId="{05309EBB-95E1-4145-A2CC-2CDBB7D43EAA}" srcOrd="2" destOrd="0" parTransId="{97FAE458-EC0E-488E-BA2B-B7E7BF755A25}" sibTransId="{35C9DBFB-2FF3-44D5-AA17-3481B5BB36EB}"/>
    <dgm:cxn modelId="{04514C7C-502B-4A1E-974F-246EE65BCD87}" type="presOf" srcId="{05309EBB-95E1-4145-A2CC-2CDBB7D43EAA}" destId="{D4C6EB87-3F42-4E57-9DF5-6D8E70A968BF}" srcOrd="1" destOrd="0" presId="urn:microsoft.com/office/officeart/2005/8/layout/hList9"/>
    <dgm:cxn modelId="{F4CB274E-B87E-4940-BCBE-39CA98EA94E4}" type="presOf" srcId="{BD61C87E-9DFA-46BB-874F-F95E5F302249}" destId="{3FA469C6-D09A-4DF4-BC77-519AAE61D165}" srcOrd="1" destOrd="0" presId="urn:microsoft.com/office/officeart/2005/8/layout/hList9"/>
    <dgm:cxn modelId="{3309D21D-FC0C-4E4E-AB6C-D2C5A74F9D93}" type="presOf" srcId="{DD50FFFE-DF73-4375-8F92-35ECB42B25A0}" destId="{1B44788F-A422-4555-B936-B778723249BF}" srcOrd="1" destOrd="0" presId="urn:microsoft.com/office/officeart/2005/8/layout/hList9"/>
    <dgm:cxn modelId="{8C0EF678-40B0-431C-9A0A-F20EA668F68F}" srcId="{F1945F2C-D11D-43FA-8A41-8FDF3E5140FE}" destId="{4712D0E7-A561-4FF4-B54E-EA5A7141638E}" srcOrd="0" destOrd="0" parTransId="{41BBFC9B-AAC2-4B5E-91FA-E38BB2CA4DD9}" sibTransId="{163F34B9-65C4-441A-8FA5-CC23AD6ADC95}"/>
    <dgm:cxn modelId="{C386D010-318D-441B-BC01-85BD1F70B24A}" type="presOf" srcId="{F00C7729-1963-4888-87A2-897497FB9407}" destId="{07534F21-6E24-446A-8176-2761B02949FE}" srcOrd="0" destOrd="0" presId="urn:microsoft.com/office/officeart/2005/8/layout/hList9"/>
    <dgm:cxn modelId="{24662012-D9A9-429B-8E76-6D38E5378B36}" type="presOf" srcId="{44A8855D-F2CC-464A-B862-FDDE87C4DCF6}" destId="{2E4679BE-110B-4BB2-B3E7-96D041CF9974}" srcOrd="0" destOrd="0" presId="urn:microsoft.com/office/officeart/2005/8/layout/hList9"/>
    <dgm:cxn modelId="{8779BB2B-AF1B-482F-A47C-1EAC5A5F2317}" type="presOf" srcId="{F00C7729-1963-4888-87A2-897497FB9407}" destId="{DD494132-450F-4835-9EE8-711185753EC9}" srcOrd="1" destOrd="0" presId="urn:microsoft.com/office/officeart/2005/8/layout/hList9"/>
    <dgm:cxn modelId="{86EBE279-901E-421C-8AF5-9A2E880D8F31}" type="presOf" srcId="{DD50FFFE-DF73-4375-8F92-35ECB42B25A0}" destId="{E0E90A5E-CF78-41A7-8A5C-305AEA2B552B}" srcOrd="0" destOrd="0" presId="urn:microsoft.com/office/officeart/2005/8/layout/hList9"/>
    <dgm:cxn modelId="{E3B10AC9-8FDF-43B3-BBE5-8C2E0ABB7FF6}" type="presOf" srcId="{4712D0E7-A561-4FF4-B54E-EA5A7141638E}" destId="{E48525AF-8E25-4333-BFF6-580A3C43CE6A}" srcOrd="0" destOrd="0" presId="urn:microsoft.com/office/officeart/2005/8/layout/hList9"/>
    <dgm:cxn modelId="{B045FBBD-5453-41C1-9690-7C42B5726080}" type="presOf" srcId="{18097E80-B46D-491E-B636-E53CA9D48372}" destId="{7F73755A-AFB3-4355-B2FA-4C1E369364D8}" srcOrd="1" destOrd="0" presId="urn:microsoft.com/office/officeart/2005/8/layout/hList9"/>
    <dgm:cxn modelId="{2680DC03-FFAA-4CCF-A01E-0A18A038E797}" srcId="{6F7B1998-6D11-4BB8-B098-0B2F12CFEB85}" destId="{0AE8B960-194D-48FC-83B6-B3C541D28CC1}" srcOrd="0" destOrd="0" parTransId="{A827F35B-B2A1-45A7-B44F-2E709AEEF1F7}" sibTransId="{03296CCF-2C08-41F7-8F47-F8CACDC21F6E}"/>
    <dgm:cxn modelId="{807FF2D0-794B-4F25-A230-340589D8E968}" type="presOf" srcId="{18097E80-B46D-491E-B636-E53CA9D48372}" destId="{1EA08AC7-78A3-4D3B-A1EA-EBA7D470D6C6}" srcOrd="0" destOrd="0" presId="urn:microsoft.com/office/officeart/2005/8/layout/hList9"/>
    <dgm:cxn modelId="{DE9D8DFC-4BDB-49B5-A95E-3C0A242FEA65}" type="presOf" srcId="{BD61C87E-9DFA-46BB-874F-F95E5F302249}" destId="{84A64FBF-22C4-4917-A901-6825C395313B}" srcOrd="0" destOrd="0" presId="urn:microsoft.com/office/officeart/2005/8/layout/hList9"/>
    <dgm:cxn modelId="{E5986B88-CEF1-4ADC-86C2-F36386D36D13}" type="presOf" srcId="{F1945F2C-D11D-43FA-8A41-8FDF3E5140FE}" destId="{A07974B2-414B-4DD9-BFA6-5916CF86EA88}" srcOrd="0" destOrd="0" presId="urn:microsoft.com/office/officeart/2005/8/layout/hList9"/>
    <dgm:cxn modelId="{FA31B044-25B9-4C5B-AD62-8E23621FF37B}" srcId="{0AE8B960-194D-48FC-83B6-B3C541D28CC1}" destId="{E431876D-A52E-4A42-B522-71FD034BF467}" srcOrd="0" destOrd="0" parTransId="{5F09735E-531C-4F2B-8A44-523D33311200}" sibTransId="{E78E7597-C4A8-4044-B95E-2D3E8665FC01}"/>
    <dgm:cxn modelId="{FDFC17C8-4AFD-4763-9505-D546DDD0A7DA}" srcId="{0AE8B960-194D-48FC-83B6-B3C541D28CC1}" destId="{DD50FFFE-DF73-4375-8F92-35ECB42B25A0}" srcOrd="2" destOrd="0" parTransId="{D7BD0B15-AD43-49AD-B065-45B46F5FFC2F}" sibTransId="{4D1E2224-B711-44B9-BF80-D05749194CF0}"/>
    <dgm:cxn modelId="{BB556BEB-14AC-4A20-BC5C-15A27B705B88}" type="presOf" srcId="{E431876D-A52E-4A42-B522-71FD034BF467}" destId="{15427DF7-B6F9-4E9E-982B-E041064CBC98}" srcOrd="0" destOrd="0" presId="urn:microsoft.com/office/officeart/2005/8/layout/hList9"/>
    <dgm:cxn modelId="{91995D67-7630-47ED-A864-E42135C2B27C}" type="presOf" srcId="{6F7B1998-6D11-4BB8-B098-0B2F12CFEB85}" destId="{C080A98E-65D6-491D-8F07-4273B8718574}" srcOrd="0" destOrd="0" presId="urn:microsoft.com/office/officeart/2005/8/layout/hList9"/>
    <dgm:cxn modelId="{999C1539-4277-4D10-901D-D0B59361F30B}" type="presOf" srcId="{E69F95BE-378B-4380-984B-C0458BBCD30D}" destId="{27081016-D1BB-4828-A3C8-65B953D032EE}" srcOrd="0" destOrd="0" presId="urn:microsoft.com/office/officeart/2005/8/layout/hList9"/>
    <dgm:cxn modelId="{BC28552E-894F-4260-AE9E-A5D70C412927}" type="presOf" srcId="{05309EBB-95E1-4145-A2CC-2CDBB7D43EAA}" destId="{3BB0FAE5-CDCA-40C4-BDD9-78E6F7E4C692}" srcOrd="0" destOrd="0" presId="urn:microsoft.com/office/officeart/2005/8/layout/hList9"/>
    <dgm:cxn modelId="{8485B899-235B-4A17-ABCF-2B331E1FE30E}" srcId="{3DFECBE4-09CF-4DF9-9F7B-351B18D75301}" destId="{44A8855D-F2CC-464A-B862-FDDE87C4DCF6}" srcOrd="2" destOrd="0" parTransId="{44CE0BD7-099F-407E-B5F1-C968F816F919}" sibTransId="{54D4735B-2D48-4AD7-AED3-91B53B6E4AD8}"/>
    <dgm:cxn modelId="{CCB2C989-5BC0-4555-8CAC-ECA768440910}" srcId="{3DFECBE4-09CF-4DF9-9F7B-351B18D75301}" destId="{18097E80-B46D-491E-B636-E53CA9D48372}" srcOrd="1" destOrd="0" parTransId="{E27860F2-3A8E-46C4-A0DA-EA2E1212D63E}" sibTransId="{2F183A07-86A8-4F53-AC2E-FF029B18513C}"/>
    <dgm:cxn modelId="{5857072C-135B-46E5-9B65-D18A234B7F43}" type="presOf" srcId="{E431876D-A52E-4A42-B522-71FD034BF467}" destId="{F98371E6-CCD5-486C-A2F5-0A3CC1B376F4}" srcOrd="1" destOrd="0" presId="urn:microsoft.com/office/officeart/2005/8/layout/hList9"/>
    <dgm:cxn modelId="{F05B2943-623E-4353-B219-C68A3319E2F1}" srcId="{0AE8B960-194D-48FC-83B6-B3C541D28CC1}" destId="{E69F95BE-378B-4380-984B-C0458BBCD30D}" srcOrd="1" destOrd="0" parTransId="{EF84126B-D476-4AFA-9C3B-B35896B192EF}" sibTransId="{E996B7FC-B494-4A7D-BFF7-213D06D81C6C}"/>
    <dgm:cxn modelId="{229BF225-1DEF-417C-B445-85C9527CE223}" type="presOf" srcId="{44A8855D-F2CC-464A-B862-FDDE87C4DCF6}" destId="{8E11F1F1-5F3B-4FBE-A477-A3947E2A1A41}" srcOrd="1" destOrd="0" presId="urn:microsoft.com/office/officeart/2005/8/layout/hList9"/>
    <dgm:cxn modelId="{603BC1BC-73BD-4D07-A436-E23543381A24}" srcId="{6F7B1998-6D11-4BB8-B098-0B2F12CFEB85}" destId="{F1945F2C-D11D-43FA-8A41-8FDF3E5140FE}" srcOrd="1" destOrd="0" parTransId="{0DE06CE3-D4EF-479A-9E0A-67BFC0698965}" sibTransId="{B7AA6203-5020-491D-97FE-C09314C652FC}"/>
    <dgm:cxn modelId="{F5E66BED-C42F-49FB-8950-343EF556CA4D}" srcId="{6F7B1998-6D11-4BB8-B098-0B2F12CFEB85}" destId="{3DFECBE4-09CF-4DF9-9F7B-351B18D75301}" srcOrd="2" destOrd="0" parTransId="{69B2C25F-04A9-4A62-9D76-16C43B9A3F64}" sibTransId="{DDAB417D-359C-4C67-9398-3C26B6AA22D3}"/>
    <dgm:cxn modelId="{01B7CE3D-8226-4769-BCF3-228ECF8BAEB8}" type="presOf" srcId="{0AE8B960-194D-48FC-83B6-B3C541D28CC1}" destId="{162A4C7C-4060-481E-B720-DB727234E348}" srcOrd="0" destOrd="0" presId="urn:microsoft.com/office/officeart/2005/8/layout/hList9"/>
    <dgm:cxn modelId="{3EEE5BCD-8A4E-4764-918A-FBE99E9D849C}" type="presOf" srcId="{4712D0E7-A561-4FF4-B54E-EA5A7141638E}" destId="{0D91B725-41C5-4199-A578-B87D73023603}" srcOrd="1" destOrd="0" presId="urn:microsoft.com/office/officeart/2005/8/layout/hList9"/>
    <dgm:cxn modelId="{070D9655-773E-4198-8428-F6288A1B7DF3}" type="presOf" srcId="{3DFECBE4-09CF-4DF9-9F7B-351B18D75301}" destId="{6FAF5EB2-87A4-44FD-9E2E-4C49C227E1B8}" srcOrd="0" destOrd="0" presId="urn:microsoft.com/office/officeart/2005/8/layout/hList9"/>
    <dgm:cxn modelId="{6350BA8E-257D-4914-8AAC-929E372B94A0}" srcId="{F1945F2C-D11D-43FA-8A41-8FDF3E5140FE}" destId="{BD61C87E-9DFA-46BB-874F-F95E5F302249}" srcOrd="1" destOrd="0" parTransId="{A146A5FC-56FE-43CD-82C1-3E5DA1D70C65}" sibTransId="{424CE52D-E67D-46DE-AD84-2547BEE69FEC}"/>
    <dgm:cxn modelId="{9D511840-F260-403E-966E-83AF7F454394}" srcId="{3DFECBE4-09CF-4DF9-9F7B-351B18D75301}" destId="{F00C7729-1963-4888-87A2-897497FB9407}" srcOrd="0" destOrd="0" parTransId="{725662FA-4884-4F4B-874D-F5746B3A0131}" sibTransId="{2A03AFC5-2520-407E-9434-171ED2552BAE}"/>
    <dgm:cxn modelId="{91144AA9-9B9C-4A5B-BD9C-869F5A83CD62}" type="presOf" srcId="{E69F95BE-378B-4380-984B-C0458BBCD30D}" destId="{EDAB672C-956B-4D98-AD87-EB0FA32A2F68}" srcOrd="1" destOrd="0" presId="urn:microsoft.com/office/officeart/2005/8/layout/hList9"/>
    <dgm:cxn modelId="{FCD1977B-4FF2-4D65-A10A-EFB7E12805BE}" type="presParOf" srcId="{C080A98E-65D6-491D-8F07-4273B8718574}" destId="{86E76494-D803-41CA-9DB5-067DEE4FF26C}" srcOrd="0" destOrd="0" presId="urn:microsoft.com/office/officeart/2005/8/layout/hList9"/>
    <dgm:cxn modelId="{B42522B3-16EC-4685-B80D-687B3DB23DDF}" type="presParOf" srcId="{C080A98E-65D6-491D-8F07-4273B8718574}" destId="{916FCD80-473B-4283-B4F5-676F3FD6BE46}" srcOrd="1" destOrd="0" presId="urn:microsoft.com/office/officeart/2005/8/layout/hList9"/>
    <dgm:cxn modelId="{374E6621-F76D-422F-91BF-8E806417E3BC}" type="presParOf" srcId="{916FCD80-473B-4283-B4F5-676F3FD6BE46}" destId="{96238490-33DF-45B6-91C6-FA36588DCBED}" srcOrd="0" destOrd="0" presId="urn:microsoft.com/office/officeart/2005/8/layout/hList9"/>
    <dgm:cxn modelId="{698EC76A-B481-4840-B27D-854B2F93A19D}" type="presParOf" srcId="{916FCD80-473B-4283-B4F5-676F3FD6BE46}" destId="{DAE1E6E4-B9BE-4DAC-93A7-7AE3EAA590BB}" srcOrd="1" destOrd="0" presId="urn:microsoft.com/office/officeart/2005/8/layout/hList9"/>
    <dgm:cxn modelId="{F442247B-C0E9-4100-B80E-87669A8B647F}" type="presParOf" srcId="{DAE1E6E4-B9BE-4DAC-93A7-7AE3EAA590BB}" destId="{15427DF7-B6F9-4E9E-982B-E041064CBC98}" srcOrd="0" destOrd="0" presId="urn:microsoft.com/office/officeart/2005/8/layout/hList9"/>
    <dgm:cxn modelId="{940616D9-1BFC-4461-91AE-39508C5C545B}" type="presParOf" srcId="{DAE1E6E4-B9BE-4DAC-93A7-7AE3EAA590BB}" destId="{F98371E6-CCD5-486C-A2F5-0A3CC1B376F4}" srcOrd="1" destOrd="0" presId="urn:microsoft.com/office/officeart/2005/8/layout/hList9"/>
    <dgm:cxn modelId="{45D5D485-5045-45DA-99E0-009717CBD713}" type="presParOf" srcId="{916FCD80-473B-4283-B4F5-676F3FD6BE46}" destId="{732865D9-4E2E-45A8-B7B7-70777943B8E6}" srcOrd="2" destOrd="0" presId="urn:microsoft.com/office/officeart/2005/8/layout/hList9"/>
    <dgm:cxn modelId="{250A17A3-CEC0-488F-8132-1909235C3455}" type="presParOf" srcId="{732865D9-4E2E-45A8-B7B7-70777943B8E6}" destId="{27081016-D1BB-4828-A3C8-65B953D032EE}" srcOrd="0" destOrd="0" presId="urn:microsoft.com/office/officeart/2005/8/layout/hList9"/>
    <dgm:cxn modelId="{E42144F7-FD13-4DAF-A006-CA993DA6AD8C}" type="presParOf" srcId="{732865D9-4E2E-45A8-B7B7-70777943B8E6}" destId="{EDAB672C-956B-4D98-AD87-EB0FA32A2F68}" srcOrd="1" destOrd="0" presId="urn:microsoft.com/office/officeart/2005/8/layout/hList9"/>
    <dgm:cxn modelId="{8CCDE1D9-3FCF-4F0B-831B-3F7EA1AE59D2}" type="presParOf" srcId="{916FCD80-473B-4283-B4F5-676F3FD6BE46}" destId="{A1A83B50-A261-4402-B8C7-9BC376175C18}" srcOrd="3" destOrd="0" presId="urn:microsoft.com/office/officeart/2005/8/layout/hList9"/>
    <dgm:cxn modelId="{F01049DD-90ED-4116-8E76-DF8117740DB2}" type="presParOf" srcId="{A1A83B50-A261-4402-B8C7-9BC376175C18}" destId="{E0E90A5E-CF78-41A7-8A5C-305AEA2B552B}" srcOrd="0" destOrd="0" presId="urn:microsoft.com/office/officeart/2005/8/layout/hList9"/>
    <dgm:cxn modelId="{6E8C8C55-FB8E-498F-A0F7-D0033C2C0E61}" type="presParOf" srcId="{A1A83B50-A261-4402-B8C7-9BC376175C18}" destId="{1B44788F-A422-4555-B936-B778723249BF}" srcOrd="1" destOrd="0" presId="urn:microsoft.com/office/officeart/2005/8/layout/hList9"/>
    <dgm:cxn modelId="{95D23949-A291-41F2-8BAF-FE627F3EC2A4}" type="presParOf" srcId="{C080A98E-65D6-491D-8F07-4273B8718574}" destId="{BAEDDB81-F72C-4C4A-AFE6-046029881813}" srcOrd="2" destOrd="0" presId="urn:microsoft.com/office/officeart/2005/8/layout/hList9"/>
    <dgm:cxn modelId="{0EC6176C-8A1A-4A22-961F-51B5EE82F0C3}" type="presParOf" srcId="{C080A98E-65D6-491D-8F07-4273B8718574}" destId="{162A4C7C-4060-481E-B720-DB727234E348}" srcOrd="3" destOrd="0" presId="urn:microsoft.com/office/officeart/2005/8/layout/hList9"/>
    <dgm:cxn modelId="{F308C1DD-BAD1-4FD0-A8B2-B6E21059E38F}" type="presParOf" srcId="{C080A98E-65D6-491D-8F07-4273B8718574}" destId="{94A6EB0D-ECAB-4700-A573-3CA52F4A03B2}" srcOrd="4" destOrd="0" presId="urn:microsoft.com/office/officeart/2005/8/layout/hList9"/>
    <dgm:cxn modelId="{F17A253C-59C8-4A9A-980E-B9AB6BB2C57C}" type="presParOf" srcId="{C080A98E-65D6-491D-8F07-4273B8718574}" destId="{29A3A9EB-58D9-446B-A4F9-4EE4F1F3975F}" srcOrd="5" destOrd="0" presId="urn:microsoft.com/office/officeart/2005/8/layout/hList9"/>
    <dgm:cxn modelId="{9A85A06B-D66C-4025-A7E1-CF9D54D01ACB}" type="presParOf" srcId="{C080A98E-65D6-491D-8F07-4273B8718574}" destId="{2494BF8B-D111-4A91-8216-AE948D7175C6}" srcOrd="6" destOrd="0" presId="urn:microsoft.com/office/officeart/2005/8/layout/hList9"/>
    <dgm:cxn modelId="{25212825-B12A-4A19-843D-37B1506F8453}" type="presParOf" srcId="{2494BF8B-D111-4A91-8216-AE948D7175C6}" destId="{482B5800-6B81-4AD9-BC9A-EFDA23991A12}" srcOrd="0" destOrd="0" presId="urn:microsoft.com/office/officeart/2005/8/layout/hList9"/>
    <dgm:cxn modelId="{ECA66E29-E206-4DDB-BB52-079EC5166CA4}" type="presParOf" srcId="{2494BF8B-D111-4A91-8216-AE948D7175C6}" destId="{0E1A2E45-1B5B-4A0E-BE86-E56951BADC72}" srcOrd="1" destOrd="0" presId="urn:microsoft.com/office/officeart/2005/8/layout/hList9"/>
    <dgm:cxn modelId="{76630E81-B391-44AB-8139-716FB0C02657}" type="presParOf" srcId="{0E1A2E45-1B5B-4A0E-BE86-E56951BADC72}" destId="{E48525AF-8E25-4333-BFF6-580A3C43CE6A}" srcOrd="0" destOrd="0" presId="urn:microsoft.com/office/officeart/2005/8/layout/hList9"/>
    <dgm:cxn modelId="{DF1EF8C3-2FCF-4961-94A6-DA67088B3645}" type="presParOf" srcId="{0E1A2E45-1B5B-4A0E-BE86-E56951BADC72}" destId="{0D91B725-41C5-4199-A578-B87D73023603}" srcOrd="1" destOrd="0" presId="urn:microsoft.com/office/officeart/2005/8/layout/hList9"/>
    <dgm:cxn modelId="{FCBEBE4D-5DA9-4FEF-A1FE-960BB70D482A}" type="presParOf" srcId="{2494BF8B-D111-4A91-8216-AE948D7175C6}" destId="{9090A3BC-DDC4-46B8-B700-A3E6D9F2D76F}" srcOrd="2" destOrd="0" presId="urn:microsoft.com/office/officeart/2005/8/layout/hList9"/>
    <dgm:cxn modelId="{F540D5B9-35BF-4630-92FA-AFFEB86A5BE0}" type="presParOf" srcId="{9090A3BC-DDC4-46B8-B700-A3E6D9F2D76F}" destId="{84A64FBF-22C4-4917-A901-6825C395313B}" srcOrd="0" destOrd="0" presId="urn:microsoft.com/office/officeart/2005/8/layout/hList9"/>
    <dgm:cxn modelId="{552357DD-D552-4B60-998D-22204B6DA2B6}" type="presParOf" srcId="{9090A3BC-DDC4-46B8-B700-A3E6D9F2D76F}" destId="{3FA469C6-D09A-4DF4-BC77-519AAE61D165}" srcOrd="1" destOrd="0" presId="urn:microsoft.com/office/officeart/2005/8/layout/hList9"/>
    <dgm:cxn modelId="{133F2F07-682E-47C7-9E06-FC26AF5AE4C3}" type="presParOf" srcId="{2494BF8B-D111-4A91-8216-AE948D7175C6}" destId="{9DA8A7E8-2979-451D-A150-EA91C5F24743}" srcOrd="3" destOrd="0" presId="urn:microsoft.com/office/officeart/2005/8/layout/hList9"/>
    <dgm:cxn modelId="{A3CFA3E8-E1E3-49B1-B917-EE174709DDC7}" type="presParOf" srcId="{9DA8A7E8-2979-451D-A150-EA91C5F24743}" destId="{3BB0FAE5-CDCA-40C4-BDD9-78E6F7E4C692}" srcOrd="0" destOrd="0" presId="urn:microsoft.com/office/officeart/2005/8/layout/hList9"/>
    <dgm:cxn modelId="{3629FC6F-B18E-4570-9F5C-3FE2A130BD9C}" type="presParOf" srcId="{9DA8A7E8-2979-451D-A150-EA91C5F24743}" destId="{D4C6EB87-3F42-4E57-9DF5-6D8E70A968BF}" srcOrd="1" destOrd="0" presId="urn:microsoft.com/office/officeart/2005/8/layout/hList9"/>
    <dgm:cxn modelId="{81A2FF23-E106-4A20-8CC1-DA997A6A44CB}" type="presParOf" srcId="{C080A98E-65D6-491D-8F07-4273B8718574}" destId="{17D7B185-1304-4186-B06C-578D603BB46D}" srcOrd="7" destOrd="0" presId="urn:microsoft.com/office/officeart/2005/8/layout/hList9"/>
    <dgm:cxn modelId="{D8CADAC7-7BE2-4F2A-8552-D1DFD7AF0070}" type="presParOf" srcId="{C080A98E-65D6-491D-8F07-4273B8718574}" destId="{A07974B2-414B-4DD9-BFA6-5916CF86EA88}" srcOrd="8" destOrd="0" presId="urn:microsoft.com/office/officeart/2005/8/layout/hList9"/>
    <dgm:cxn modelId="{88E89EF8-AC33-4035-9A2A-D74705255929}" type="presParOf" srcId="{C080A98E-65D6-491D-8F07-4273B8718574}" destId="{E229B52E-F79C-42F6-BCA2-2A1DBEC88109}" srcOrd="9" destOrd="0" presId="urn:microsoft.com/office/officeart/2005/8/layout/hList9"/>
    <dgm:cxn modelId="{3A194600-5A00-4F91-A013-1CB2AB4E561E}" type="presParOf" srcId="{C080A98E-65D6-491D-8F07-4273B8718574}" destId="{D79FD3F7-8984-4741-9D95-4292A1F59DF0}" srcOrd="10" destOrd="0" presId="urn:microsoft.com/office/officeart/2005/8/layout/hList9"/>
    <dgm:cxn modelId="{B57F2C88-E1C8-4A6A-B271-C215D0A6AF71}" type="presParOf" srcId="{C080A98E-65D6-491D-8F07-4273B8718574}" destId="{C9F18068-0CF0-4033-B7E6-657B08FC16F7}" srcOrd="11" destOrd="0" presId="urn:microsoft.com/office/officeart/2005/8/layout/hList9"/>
    <dgm:cxn modelId="{D4E3084C-F2AD-4C76-BB81-9DAA82A89963}" type="presParOf" srcId="{C9F18068-0CF0-4033-B7E6-657B08FC16F7}" destId="{B4C1B37D-5588-4274-B312-CCC54B747164}" srcOrd="0" destOrd="0" presId="urn:microsoft.com/office/officeart/2005/8/layout/hList9"/>
    <dgm:cxn modelId="{BEE0C419-49E9-46B5-B637-7AFD4383BA73}" type="presParOf" srcId="{C9F18068-0CF0-4033-B7E6-657B08FC16F7}" destId="{B7C2CE2B-2C73-40F4-93B0-87959C423B87}" srcOrd="1" destOrd="0" presId="urn:microsoft.com/office/officeart/2005/8/layout/hList9"/>
    <dgm:cxn modelId="{07A89CE3-8273-4BA1-BBDF-EF25BBAFEE5B}" type="presParOf" srcId="{B7C2CE2B-2C73-40F4-93B0-87959C423B87}" destId="{07534F21-6E24-446A-8176-2761B02949FE}" srcOrd="0" destOrd="0" presId="urn:microsoft.com/office/officeart/2005/8/layout/hList9"/>
    <dgm:cxn modelId="{89E4E3D4-B5EF-4EDC-867E-4DA69A8B82A9}" type="presParOf" srcId="{B7C2CE2B-2C73-40F4-93B0-87959C423B87}" destId="{DD494132-450F-4835-9EE8-711185753EC9}" srcOrd="1" destOrd="0" presId="urn:microsoft.com/office/officeart/2005/8/layout/hList9"/>
    <dgm:cxn modelId="{798CF548-882D-4200-8260-ECE143058705}" type="presParOf" srcId="{C9F18068-0CF0-4033-B7E6-657B08FC16F7}" destId="{208BFA0E-EF02-4417-8E57-CFEADFE2EC7B}" srcOrd="2" destOrd="0" presId="urn:microsoft.com/office/officeart/2005/8/layout/hList9"/>
    <dgm:cxn modelId="{331AF1C4-0A39-464D-AB9C-62F05B3427BC}" type="presParOf" srcId="{208BFA0E-EF02-4417-8E57-CFEADFE2EC7B}" destId="{1EA08AC7-78A3-4D3B-A1EA-EBA7D470D6C6}" srcOrd="0" destOrd="0" presId="urn:microsoft.com/office/officeart/2005/8/layout/hList9"/>
    <dgm:cxn modelId="{E318C7A9-13DC-47F0-8194-218E18860DEA}" type="presParOf" srcId="{208BFA0E-EF02-4417-8E57-CFEADFE2EC7B}" destId="{7F73755A-AFB3-4355-B2FA-4C1E369364D8}" srcOrd="1" destOrd="0" presId="urn:microsoft.com/office/officeart/2005/8/layout/hList9"/>
    <dgm:cxn modelId="{A5E33F83-E08A-42D2-B894-BF54C36F8695}" type="presParOf" srcId="{C9F18068-0CF0-4033-B7E6-657B08FC16F7}" destId="{0C5F5CFC-A572-44DA-AB11-59886E6C2732}" srcOrd="3" destOrd="0" presId="urn:microsoft.com/office/officeart/2005/8/layout/hList9"/>
    <dgm:cxn modelId="{05BD2A70-BD9E-4508-A816-63517C2DBFA0}" type="presParOf" srcId="{0C5F5CFC-A572-44DA-AB11-59886E6C2732}" destId="{2E4679BE-110B-4BB2-B3E7-96D041CF9974}" srcOrd="0" destOrd="0" presId="urn:microsoft.com/office/officeart/2005/8/layout/hList9"/>
    <dgm:cxn modelId="{C9D6A297-4055-4977-A1E7-AA441BA9CBE3}" type="presParOf" srcId="{0C5F5CFC-A572-44DA-AB11-59886E6C2732}" destId="{8E11F1F1-5F3B-4FBE-A477-A3947E2A1A41}" srcOrd="1" destOrd="0" presId="urn:microsoft.com/office/officeart/2005/8/layout/hList9"/>
    <dgm:cxn modelId="{C90A030D-FD27-4186-B665-D17A5334B563}" type="presParOf" srcId="{C080A98E-65D6-491D-8F07-4273B8718574}" destId="{35AFAD2F-8F5E-4E14-9246-DC310A473ED2}" srcOrd="12" destOrd="0" presId="urn:microsoft.com/office/officeart/2005/8/layout/hList9"/>
    <dgm:cxn modelId="{6A63F679-695A-48FF-A3C7-79AA18E36494}" type="presParOf" srcId="{C080A98E-65D6-491D-8F07-4273B8718574}" destId="{6FAF5EB2-87A4-44FD-9E2E-4C49C227E1B8}" srcOrd="13" destOrd="0" presId="urn:microsoft.com/office/officeart/2005/8/layout/hList9"/>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DC0D5A41-8988-4ACF-B61B-96D1AD92BD12}" type="doc">
      <dgm:prSet loTypeId="urn:microsoft.com/office/officeart/2005/8/layout/default" loCatId="list" qsTypeId="urn:microsoft.com/office/officeart/2005/8/quickstyle/3d1" qsCatId="3D" csTypeId="urn:microsoft.com/office/officeart/2005/8/colors/colorful1" csCatId="colorful" phldr="1"/>
      <dgm:spPr/>
      <dgm:t>
        <a:bodyPr/>
        <a:lstStyle/>
        <a:p>
          <a:endParaRPr lang="es-ES"/>
        </a:p>
      </dgm:t>
    </dgm:pt>
    <dgm:pt modelId="{3ABEE30F-421A-45F0-8B09-3A5F9297F157}">
      <dgm:prSet phldrT="[Texto]"/>
      <dgm:spPr/>
      <dgm:t>
        <a:bodyPr/>
        <a:lstStyle/>
        <a:p>
          <a:r>
            <a:rPr lang="es-ES"/>
            <a:t>Contenido de carácter sexual inapropiado</a:t>
          </a:r>
        </a:p>
      </dgm:t>
    </dgm:pt>
    <dgm:pt modelId="{4773185C-71C6-44AB-9472-352CA9AE7BCF}" type="parTrans" cxnId="{54A2F14C-D934-4C57-B702-49D04DB118B9}">
      <dgm:prSet/>
      <dgm:spPr/>
      <dgm:t>
        <a:bodyPr/>
        <a:lstStyle/>
        <a:p>
          <a:endParaRPr lang="es-ES"/>
        </a:p>
      </dgm:t>
    </dgm:pt>
    <dgm:pt modelId="{6FEE0E5A-2A42-41EE-8584-9DFD6B5DC324}" type="sibTrans" cxnId="{54A2F14C-D934-4C57-B702-49D04DB118B9}">
      <dgm:prSet/>
      <dgm:spPr/>
      <dgm:t>
        <a:bodyPr/>
        <a:lstStyle/>
        <a:p>
          <a:endParaRPr lang="es-ES"/>
        </a:p>
      </dgm:t>
    </dgm:pt>
    <dgm:pt modelId="{6532BD0A-7863-4E7D-9BB1-8D94E02D2813}">
      <dgm:prSet phldrT="[Texto]"/>
      <dgm:spPr/>
      <dgm:t>
        <a:bodyPr/>
        <a:lstStyle/>
        <a:p>
          <a:r>
            <a:rPr lang="es-ES"/>
            <a:t>Violencia, racismo o contenidos sexistas</a:t>
          </a:r>
        </a:p>
      </dgm:t>
    </dgm:pt>
    <dgm:pt modelId="{7167527C-214A-40A5-A162-85A52835D2E1}" type="parTrans" cxnId="{5D735F2A-8B2D-4695-A3A9-7ACD80A372B8}">
      <dgm:prSet/>
      <dgm:spPr/>
      <dgm:t>
        <a:bodyPr/>
        <a:lstStyle/>
        <a:p>
          <a:endParaRPr lang="es-ES"/>
        </a:p>
      </dgm:t>
    </dgm:pt>
    <dgm:pt modelId="{E0F3904F-3A77-42F8-B29A-7FFB63EED7F1}" type="sibTrans" cxnId="{5D735F2A-8B2D-4695-A3A9-7ACD80A372B8}">
      <dgm:prSet/>
      <dgm:spPr/>
      <dgm:t>
        <a:bodyPr/>
        <a:lstStyle/>
        <a:p>
          <a:endParaRPr lang="es-ES"/>
        </a:p>
      </dgm:t>
    </dgm:pt>
    <dgm:pt modelId="{A3051A82-C985-47FC-927C-6909C35D18B9}">
      <dgm:prSet phldrT="[Texto]"/>
      <dgm:spPr/>
      <dgm:t>
        <a:bodyPr/>
        <a:lstStyle/>
        <a:p>
          <a:r>
            <a:rPr lang="es-ES"/>
            <a:t>Anorexia, bulimia o cuestiones estéticas</a:t>
          </a:r>
        </a:p>
      </dgm:t>
    </dgm:pt>
    <dgm:pt modelId="{6A397982-7369-4ED3-A3DD-5772F36FB4AD}" type="parTrans" cxnId="{C31586AE-F927-4FE3-9CF6-8C37CB08C08C}">
      <dgm:prSet/>
      <dgm:spPr/>
      <dgm:t>
        <a:bodyPr/>
        <a:lstStyle/>
        <a:p>
          <a:endParaRPr lang="es-ES"/>
        </a:p>
      </dgm:t>
    </dgm:pt>
    <dgm:pt modelId="{B534CF04-15DE-43CC-87B1-CB6248A4506B}" type="sibTrans" cxnId="{C31586AE-F927-4FE3-9CF6-8C37CB08C08C}">
      <dgm:prSet/>
      <dgm:spPr/>
      <dgm:t>
        <a:bodyPr/>
        <a:lstStyle/>
        <a:p>
          <a:endParaRPr lang="es-ES"/>
        </a:p>
      </dgm:t>
    </dgm:pt>
    <dgm:pt modelId="{82089570-2C27-4C1A-B856-63B13F127C1A}">
      <dgm:prSet phldrT="[Texto]"/>
      <dgm:spPr/>
      <dgm:t>
        <a:bodyPr/>
        <a:lstStyle/>
        <a:p>
          <a:r>
            <a:rPr lang="es-ES"/>
            <a:t>Sectas o terrorismo</a:t>
          </a:r>
        </a:p>
      </dgm:t>
    </dgm:pt>
    <dgm:pt modelId="{C42415E0-F60D-4081-BFC1-F694429EE48D}" type="parTrans" cxnId="{D48A3645-9891-45EA-BCA8-888E921108C6}">
      <dgm:prSet/>
      <dgm:spPr/>
      <dgm:t>
        <a:bodyPr/>
        <a:lstStyle/>
        <a:p>
          <a:endParaRPr lang="es-ES"/>
        </a:p>
      </dgm:t>
    </dgm:pt>
    <dgm:pt modelId="{8EBBDD1C-9A7C-4E68-BD89-78C4B9E8B406}" type="sibTrans" cxnId="{D48A3645-9891-45EA-BCA8-888E921108C6}">
      <dgm:prSet/>
      <dgm:spPr/>
      <dgm:t>
        <a:bodyPr/>
        <a:lstStyle/>
        <a:p>
          <a:endParaRPr lang="es-ES"/>
        </a:p>
      </dgm:t>
    </dgm:pt>
    <dgm:pt modelId="{A82D2098-7863-4765-BDD4-A0029B3BDC75}">
      <dgm:prSet phldrT="[Texto]"/>
      <dgm:spPr/>
      <dgm:t>
        <a:bodyPr/>
        <a:lstStyle/>
        <a:p>
          <a:r>
            <a:rPr lang="es-ES"/>
            <a:t>Contenido que vulnere los valores en que se educa al hijo</a:t>
          </a:r>
        </a:p>
      </dgm:t>
    </dgm:pt>
    <dgm:pt modelId="{5FABF73D-1E30-42C5-B0F5-457139C113FA}" type="parTrans" cxnId="{14A4F77E-C611-4E64-8498-BC5C3E4E71B2}">
      <dgm:prSet/>
      <dgm:spPr/>
      <dgm:t>
        <a:bodyPr/>
        <a:lstStyle/>
        <a:p>
          <a:endParaRPr lang="es-ES"/>
        </a:p>
      </dgm:t>
    </dgm:pt>
    <dgm:pt modelId="{A3E22614-E00D-4C8B-8737-F131B9DA7EEE}" type="sibTrans" cxnId="{14A4F77E-C611-4E64-8498-BC5C3E4E71B2}">
      <dgm:prSet/>
      <dgm:spPr/>
      <dgm:t>
        <a:bodyPr/>
        <a:lstStyle/>
        <a:p>
          <a:endParaRPr lang="es-ES"/>
        </a:p>
      </dgm:t>
    </dgm:pt>
    <dgm:pt modelId="{C307DC46-23F0-432E-BDD2-249BEF8E5F59}">
      <dgm:prSet phldrT="[Texto]"/>
      <dgm:spPr/>
      <dgm:t>
        <a:bodyPr/>
        <a:lstStyle/>
        <a:p>
          <a:r>
            <a:rPr lang="es-ES"/>
            <a:t>Contenido falso, inexacto o incierto</a:t>
          </a:r>
        </a:p>
      </dgm:t>
    </dgm:pt>
    <dgm:pt modelId="{491DD044-63F6-43B8-9E18-57087A03D598}" type="parTrans" cxnId="{D5583817-A6FD-4D78-89A2-CFB988A1D2CF}">
      <dgm:prSet/>
      <dgm:spPr/>
      <dgm:t>
        <a:bodyPr/>
        <a:lstStyle/>
        <a:p>
          <a:endParaRPr lang="es-ES"/>
        </a:p>
      </dgm:t>
    </dgm:pt>
    <dgm:pt modelId="{584DDA12-B30C-44FD-9B26-A3362964DC5B}" type="sibTrans" cxnId="{D5583817-A6FD-4D78-89A2-CFB988A1D2CF}">
      <dgm:prSet/>
      <dgm:spPr/>
      <dgm:t>
        <a:bodyPr/>
        <a:lstStyle/>
        <a:p>
          <a:endParaRPr lang="es-ES"/>
        </a:p>
      </dgm:t>
    </dgm:pt>
    <dgm:pt modelId="{48DED95A-CAFC-4DBB-935C-1F389A671800}" type="pres">
      <dgm:prSet presAssocID="{DC0D5A41-8988-4ACF-B61B-96D1AD92BD12}" presName="diagram" presStyleCnt="0">
        <dgm:presLayoutVars>
          <dgm:dir/>
          <dgm:resizeHandles val="exact"/>
        </dgm:presLayoutVars>
      </dgm:prSet>
      <dgm:spPr/>
      <dgm:t>
        <a:bodyPr/>
        <a:lstStyle/>
        <a:p>
          <a:endParaRPr lang="es-ES"/>
        </a:p>
      </dgm:t>
    </dgm:pt>
    <dgm:pt modelId="{FA2D5925-DA95-4273-93A0-6BF8D1992CDB}" type="pres">
      <dgm:prSet presAssocID="{3ABEE30F-421A-45F0-8B09-3A5F9297F157}" presName="node" presStyleLbl="node1" presStyleIdx="0" presStyleCnt="6">
        <dgm:presLayoutVars>
          <dgm:bulletEnabled val="1"/>
        </dgm:presLayoutVars>
      </dgm:prSet>
      <dgm:spPr/>
      <dgm:t>
        <a:bodyPr/>
        <a:lstStyle/>
        <a:p>
          <a:endParaRPr lang="es-ES"/>
        </a:p>
      </dgm:t>
    </dgm:pt>
    <dgm:pt modelId="{4B0AE387-EA3B-4E09-9E2D-B5E2AC8D4941}" type="pres">
      <dgm:prSet presAssocID="{6FEE0E5A-2A42-41EE-8584-9DFD6B5DC324}" presName="sibTrans" presStyleCnt="0"/>
      <dgm:spPr/>
      <dgm:t>
        <a:bodyPr/>
        <a:lstStyle/>
        <a:p>
          <a:endParaRPr lang="es-ES"/>
        </a:p>
      </dgm:t>
    </dgm:pt>
    <dgm:pt modelId="{C007F5A0-A245-4585-9B3A-866450D201F2}" type="pres">
      <dgm:prSet presAssocID="{6532BD0A-7863-4E7D-9BB1-8D94E02D2813}" presName="node" presStyleLbl="node1" presStyleIdx="1" presStyleCnt="6">
        <dgm:presLayoutVars>
          <dgm:bulletEnabled val="1"/>
        </dgm:presLayoutVars>
      </dgm:prSet>
      <dgm:spPr/>
      <dgm:t>
        <a:bodyPr/>
        <a:lstStyle/>
        <a:p>
          <a:endParaRPr lang="es-ES"/>
        </a:p>
      </dgm:t>
    </dgm:pt>
    <dgm:pt modelId="{C837B560-38FC-4D42-9768-617D57C4D27C}" type="pres">
      <dgm:prSet presAssocID="{E0F3904F-3A77-42F8-B29A-7FFB63EED7F1}" presName="sibTrans" presStyleCnt="0"/>
      <dgm:spPr/>
      <dgm:t>
        <a:bodyPr/>
        <a:lstStyle/>
        <a:p>
          <a:endParaRPr lang="es-ES"/>
        </a:p>
      </dgm:t>
    </dgm:pt>
    <dgm:pt modelId="{D62F64B6-116C-46B3-8F46-B6CAEFFB36B8}" type="pres">
      <dgm:prSet presAssocID="{A3051A82-C985-47FC-927C-6909C35D18B9}" presName="node" presStyleLbl="node1" presStyleIdx="2" presStyleCnt="6">
        <dgm:presLayoutVars>
          <dgm:bulletEnabled val="1"/>
        </dgm:presLayoutVars>
      </dgm:prSet>
      <dgm:spPr/>
      <dgm:t>
        <a:bodyPr/>
        <a:lstStyle/>
        <a:p>
          <a:endParaRPr lang="es-ES"/>
        </a:p>
      </dgm:t>
    </dgm:pt>
    <dgm:pt modelId="{ACF65C93-86A5-442F-BC55-DB7710028665}" type="pres">
      <dgm:prSet presAssocID="{B534CF04-15DE-43CC-87B1-CB6248A4506B}" presName="sibTrans" presStyleCnt="0"/>
      <dgm:spPr/>
      <dgm:t>
        <a:bodyPr/>
        <a:lstStyle/>
        <a:p>
          <a:endParaRPr lang="es-ES"/>
        </a:p>
      </dgm:t>
    </dgm:pt>
    <dgm:pt modelId="{2F3A8F7B-7806-4559-BA64-95058148C87A}" type="pres">
      <dgm:prSet presAssocID="{82089570-2C27-4C1A-B856-63B13F127C1A}" presName="node" presStyleLbl="node1" presStyleIdx="3" presStyleCnt="6">
        <dgm:presLayoutVars>
          <dgm:bulletEnabled val="1"/>
        </dgm:presLayoutVars>
      </dgm:prSet>
      <dgm:spPr/>
      <dgm:t>
        <a:bodyPr/>
        <a:lstStyle/>
        <a:p>
          <a:endParaRPr lang="es-ES"/>
        </a:p>
      </dgm:t>
    </dgm:pt>
    <dgm:pt modelId="{DB813DAA-DFA3-4FDC-9C35-2D1188226B28}" type="pres">
      <dgm:prSet presAssocID="{8EBBDD1C-9A7C-4E68-BD89-78C4B9E8B406}" presName="sibTrans" presStyleCnt="0"/>
      <dgm:spPr/>
      <dgm:t>
        <a:bodyPr/>
        <a:lstStyle/>
        <a:p>
          <a:endParaRPr lang="es-ES"/>
        </a:p>
      </dgm:t>
    </dgm:pt>
    <dgm:pt modelId="{AFE3F250-DD3B-417D-99AB-6DF08EF38BBA}" type="pres">
      <dgm:prSet presAssocID="{A82D2098-7863-4765-BDD4-A0029B3BDC75}" presName="node" presStyleLbl="node1" presStyleIdx="4" presStyleCnt="6">
        <dgm:presLayoutVars>
          <dgm:bulletEnabled val="1"/>
        </dgm:presLayoutVars>
      </dgm:prSet>
      <dgm:spPr/>
      <dgm:t>
        <a:bodyPr/>
        <a:lstStyle/>
        <a:p>
          <a:endParaRPr lang="es-ES"/>
        </a:p>
      </dgm:t>
    </dgm:pt>
    <dgm:pt modelId="{49B03AE0-4EDE-42DA-B6AA-F295BE93748F}" type="pres">
      <dgm:prSet presAssocID="{A3E22614-E00D-4C8B-8737-F131B9DA7EEE}" presName="sibTrans" presStyleCnt="0"/>
      <dgm:spPr/>
      <dgm:t>
        <a:bodyPr/>
        <a:lstStyle/>
        <a:p>
          <a:endParaRPr lang="es-ES"/>
        </a:p>
      </dgm:t>
    </dgm:pt>
    <dgm:pt modelId="{49F0F344-5FFF-4641-8070-EE570587757D}" type="pres">
      <dgm:prSet presAssocID="{C307DC46-23F0-432E-BDD2-249BEF8E5F59}" presName="node" presStyleLbl="node1" presStyleIdx="5" presStyleCnt="6">
        <dgm:presLayoutVars>
          <dgm:bulletEnabled val="1"/>
        </dgm:presLayoutVars>
      </dgm:prSet>
      <dgm:spPr/>
      <dgm:t>
        <a:bodyPr/>
        <a:lstStyle/>
        <a:p>
          <a:endParaRPr lang="es-ES"/>
        </a:p>
      </dgm:t>
    </dgm:pt>
  </dgm:ptLst>
  <dgm:cxnLst>
    <dgm:cxn modelId="{54A2F14C-D934-4C57-B702-49D04DB118B9}" srcId="{DC0D5A41-8988-4ACF-B61B-96D1AD92BD12}" destId="{3ABEE30F-421A-45F0-8B09-3A5F9297F157}" srcOrd="0" destOrd="0" parTransId="{4773185C-71C6-44AB-9472-352CA9AE7BCF}" sibTransId="{6FEE0E5A-2A42-41EE-8584-9DFD6B5DC324}"/>
    <dgm:cxn modelId="{B37D1628-6D28-425C-9D09-8BD06E117468}" type="presOf" srcId="{C307DC46-23F0-432E-BDD2-249BEF8E5F59}" destId="{49F0F344-5FFF-4641-8070-EE570587757D}" srcOrd="0" destOrd="0" presId="urn:microsoft.com/office/officeart/2005/8/layout/default"/>
    <dgm:cxn modelId="{C144661B-0DB2-4027-9CF9-C41CD1943BD0}" type="presOf" srcId="{3ABEE30F-421A-45F0-8B09-3A5F9297F157}" destId="{FA2D5925-DA95-4273-93A0-6BF8D1992CDB}" srcOrd="0" destOrd="0" presId="urn:microsoft.com/office/officeart/2005/8/layout/default"/>
    <dgm:cxn modelId="{77D616F2-3CB5-491A-B718-E835ED35F58C}" type="presOf" srcId="{6532BD0A-7863-4E7D-9BB1-8D94E02D2813}" destId="{C007F5A0-A245-4585-9B3A-866450D201F2}" srcOrd="0" destOrd="0" presId="urn:microsoft.com/office/officeart/2005/8/layout/default"/>
    <dgm:cxn modelId="{59977D4B-1554-4905-9E3A-2D6AF0EF047F}" type="presOf" srcId="{DC0D5A41-8988-4ACF-B61B-96D1AD92BD12}" destId="{48DED95A-CAFC-4DBB-935C-1F389A671800}" srcOrd="0" destOrd="0" presId="urn:microsoft.com/office/officeart/2005/8/layout/default"/>
    <dgm:cxn modelId="{DFBC996F-D2F6-48EF-8825-5EF28AB40DF0}" type="presOf" srcId="{A3051A82-C985-47FC-927C-6909C35D18B9}" destId="{D62F64B6-116C-46B3-8F46-B6CAEFFB36B8}" srcOrd="0" destOrd="0" presId="urn:microsoft.com/office/officeart/2005/8/layout/default"/>
    <dgm:cxn modelId="{612EBB7E-871F-4310-B313-8AA02DA1C322}" type="presOf" srcId="{82089570-2C27-4C1A-B856-63B13F127C1A}" destId="{2F3A8F7B-7806-4559-BA64-95058148C87A}" srcOrd="0" destOrd="0" presId="urn:microsoft.com/office/officeart/2005/8/layout/default"/>
    <dgm:cxn modelId="{D5583817-A6FD-4D78-89A2-CFB988A1D2CF}" srcId="{DC0D5A41-8988-4ACF-B61B-96D1AD92BD12}" destId="{C307DC46-23F0-432E-BDD2-249BEF8E5F59}" srcOrd="5" destOrd="0" parTransId="{491DD044-63F6-43B8-9E18-57087A03D598}" sibTransId="{584DDA12-B30C-44FD-9B26-A3362964DC5B}"/>
    <dgm:cxn modelId="{C31586AE-F927-4FE3-9CF6-8C37CB08C08C}" srcId="{DC0D5A41-8988-4ACF-B61B-96D1AD92BD12}" destId="{A3051A82-C985-47FC-927C-6909C35D18B9}" srcOrd="2" destOrd="0" parTransId="{6A397982-7369-4ED3-A3DD-5772F36FB4AD}" sibTransId="{B534CF04-15DE-43CC-87B1-CB6248A4506B}"/>
    <dgm:cxn modelId="{D48A3645-9891-45EA-BCA8-888E921108C6}" srcId="{DC0D5A41-8988-4ACF-B61B-96D1AD92BD12}" destId="{82089570-2C27-4C1A-B856-63B13F127C1A}" srcOrd="3" destOrd="0" parTransId="{C42415E0-F60D-4081-BFC1-F694429EE48D}" sibTransId="{8EBBDD1C-9A7C-4E68-BD89-78C4B9E8B406}"/>
    <dgm:cxn modelId="{E085BA22-CD79-45E4-BABA-F6669B1A18A7}" type="presOf" srcId="{A82D2098-7863-4765-BDD4-A0029B3BDC75}" destId="{AFE3F250-DD3B-417D-99AB-6DF08EF38BBA}" srcOrd="0" destOrd="0" presId="urn:microsoft.com/office/officeart/2005/8/layout/default"/>
    <dgm:cxn modelId="{5D735F2A-8B2D-4695-A3A9-7ACD80A372B8}" srcId="{DC0D5A41-8988-4ACF-B61B-96D1AD92BD12}" destId="{6532BD0A-7863-4E7D-9BB1-8D94E02D2813}" srcOrd="1" destOrd="0" parTransId="{7167527C-214A-40A5-A162-85A52835D2E1}" sibTransId="{E0F3904F-3A77-42F8-B29A-7FFB63EED7F1}"/>
    <dgm:cxn modelId="{14A4F77E-C611-4E64-8498-BC5C3E4E71B2}" srcId="{DC0D5A41-8988-4ACF-B61B-96D1AD92BD12}" destId="{A82D2098-7863-4765-BDD4-A0029B3BDC75}" srcOrd="4" destOrd="0" parTransId="{5FABF73D-1E30-42C5-B0F5-457139C113FA}" sibTransId="{A3E22614-E00D-4C8B-8737-F131B9DA7EEE}"/>
    <dgm:cxn modelId="{B8A895BC-4276-472C-9D72-4A4102B55DAD}" type="presParOf" srcId="{48DED95A-CAFC-4DBB-935C-1F389A671800}" destId="{FA2D5925-DA95-4273-93A0-6BF8D1992CDB}" srcOrd="0" destOrd="0" presId="urn:microsoft.com/office/officeart/2005/8/layout/default"/>
    <dgm:cxn modelId="{B564BF76-B8B9-4B79-B1B8-9683C51055B7}" type="presParOf" srcId="{48DED95A-CAFC-4DBB-935C-1F389A671800}" destId="{4B0AE387-EA3B-4E09-9E2D-B5E2AC8D4941}" srcOrd="1" destOrd="0" presId="urn:microsoft.com/office/officeart/2005/8/layout/default"/>
    <dgm:cxn modelId="{F4589C11-11D3-4E15-8C0E-ECC25CE21AD0}" type="presParOf" srcId="{48DED95A-CAFC-4DBB-935C-1F389A671800}" destId="{C007F5A0-A245-4585-9B3A-866450D201F2}" srcOrd="2" destOrd="0" presId="urn:microsoft.com/office/officeart/2005/8/layout/default"/>
    <dgm:cxn modelId="{C8B4D0D1-AFC3-4F0B-922F-122F43D5F01D}" type="presParOf" srcId="{48DED95A-CAFC-4DBB-935C-1F389A671800}" destId="{C837B560-38FC-4D42-9768-617D57C4D27C}" srcOrd="3" destOrd="0" presId="urn:microsoft.com/office/officeart/2005/8/layout/default"/>
    <dgm:cxn modelId="{CFA489FA-00D5-4B5F-B9BA-923EEF037CFA}" type="presParOf" srcId="{48DED95A-CAFC-4DBB-935C-1F389A671800}" destId="{D62F64B6-116C-46B3-8F46-B6CAEFFB36B8}" srcOrd="4" destOrd="0" presId="urn:microsoft.com/office/officeart/2005/8/layout/default"/>
    <dgm:cxn modelId="{5B296487-FF7F-4A49-8E52-71EA0D1BB617}" type="presParOf" srcId="{48DED95A-CAFC-4DBB-935C-1F389A671800}" destId="{ACF65C93-86A5-442F-BC55-DB7710028665}" srcOrd="5" destOrd="0" presId="urn:microsoft.com/office/officeart/2005/8/layout/default"/>
    <dgm:cxn modelId="{D4543E08-BC1D-4940-B64B-D31186F69BF2}" type="presParOf" srcId="{48DED95A-CAFC-4DBB-935C-1F389A671800}" destId="{2F3A8F7B-7806-4559-BA64-95058148C87A}" srcOrd="6" destOrd="0" presId="urn:microsoft.com/office/officeart/2005/8/layout/default"/>
    <dgm:cxn modelId="{AE09A217-228C-40AA-A1B2-117073260CB9}" type="presParOf" srcId="{48DED95A-CAFC-4DBB-935C-1F389A671800}" destId="{DB813DAA-DFA3-4FDC-9C35-2D1188226B28}" srcOrd="7" destOrd="0" presId="urn:microsoft.com/office/officeart/2005/8/layout/default"/>
    <dgm:cxn modelId="{F78B7D47-507F-4E19-B8C7-BDA023E07756}" type="presParOf" srcId="{48DED95A-CAFC-4DBB-935C-1F389A671800}" destId="{AFE3F250-DD3B-417D-99AB-6DF08EF38BBA}" srcOrd="8" destOrd="0" presId="urn:microsoft.com/office/officeart/2005/8/layout/default"/>
    <dgm:cxn modelId="{FC625222-D57D-422E-ABED-4C706EBE057A}" type="presParOf" srcId="{48DED95A-CAFC-4DBB-935C-1F389A671800}" destId="{49B03AE0-4EDE-42DA-B6AA-F295BE93748F}" srcOrd="9" destOrd="0" presId="urn:microsoft.com/office/officeart/2005/8/layout/default"/>
    <dgm:cxn modelId="{BF5E7D31-5242-4242-AB83-7F7875402BF9}" type="presParOf" srcId="{48DED95A-CAFC-4DBB-935C-1F389A671800}" destId="{49F0F344-5FFF-4641-8070-EE570587757D}" srcOrd="10"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2325BF5-B904-4538-BB30-DFF02FF067CE}" type="doc">
      <dgm:prSet loTypeId="urn:microsoft.com/office/officeart/2005/8/layout/cycle6" loCatId="cycle" qsTypeId="urn:microsoft.com/office/officeart/2005/8/quickstyle/3d1" qsCatId="3D" csTypeId="urn:microsoft.com/office/officeart/2005/8/colors/colorful5" csCatId="colorful" phldr="1"/>
      <dgm:spPr/>
      <dgm:t>
        <a:bodyPr/>
        <a:lstStyle/>
        <a:p>
          <a:endParaRPr lang="es-ES"/>
        </a:p>
      </dgm:t>
    </dgm:pt>
    <dgm:pt modelId="{D8C32CB6-0E10-4A0B-9D67-3FACBC694C40}">
      <dgm:prSet phldrT="[Texto]"/>
      <dgm:spPr/>
      <dgm:t>
        <a:bodyPr/>
        <a:lstStyle/>
        <a:p>
          <a:r>
            <a:rPr lang="es-ES"/>
            <a:t>Estrategia ciberfeminista</a:t>
          </a:r>
        </a:p>
      </dgm:t>
    </dgm:pt>
    <dgm:pt modelId="{DEC5AE90-71BD-44CB-AB79-0CFC47311BD8}" type="parTrans" cxnId="{EB94EBD6-6FFB-4FB5-8B1E-2E009A2FF75F}">
      <dgm:prSet/>
      <dgm:spPr/>
      <dgm:t>
        <a:bodyPr/>
        <a:lstStyle/>
        <a:p>
          <a:endParaRPr lang="es-ES"/>
        </a:p>
      </dgm:t>
    </dgm:pt>
    <dgm:pt modelId="{A1C0DB62-9B2D-470B-8101-6CF092200527}" type="sibTrans" cxnId="{EB94EBD6-6FFB-4FB5-8B1E-2E009A2FF75F}">
      <dgm:prSet/>
      <dgm:spPr/>
      <dgm:t>
        <a:bodyPr/>
        <a:lstStyle/>
        <a:p>
          <a:endParaRPr lang="es-ES"/>
        </a:p>
      </dgm:t>
    </dgm:pt>
    <dgm:pt modelId="{D516DAC5-CE21-4C51-861A-FEFB5C86DCBD}">
      <dgm:prSet phldrT="[Texto]"/>
      <dgm:spPr/>
      <dgm:t>
        <a:bodyPr/>
        <a:lstStyle/>
        <a:p>
          <a:r>
            <a:rPr lang="es-ES"/>
            <a:t>Pedagogía coeducativa</a:t>
          </a:r>
        </a:p>
      </dgm:t>
    </dgm:pt>
    <dgm:pt modelId="{6F32BCA6-5B2B-4469-83F3-4E6E1AF1D251}" type="parTrans" cxnId="{80833903-C77F-4BC0-ADEE-CAAA47DD1910}">
      <dgm:prSet/>
      <dgm:spPr/>
      <dgm:t>
        <a:bodyPr/>
        <a:lstStyle/>
        <a:p>
          <a:endParaRPr lang="es-ES"/>
        </a:p>
      </dgm:t>
    </dgm:pt>
    <dgm:pt modelId="{67E33BCA-39B6-4D53-8A75-765C8C28DB19}" type="sibTrans" cxnId="{80833903-C77F-4BC0-ADEE-CAAA47DD1910}">
      <dgm:prSet/>
      <dgm:spPr/>
      <dgm:t>
        <a:bodyPr/>
        <a:lstStyle/>
        <a:p>
          <a:endParaRPr lang="es-ES"/>
        </a:p>
      </dgm:t>
    </dgm:pt>
    <dgm:pt modelId="{F39AAC8D-672C-4858-9554-CF748986684E}">
      <dgm:prSet phldrT="[Texto]"/>
      <dgm:spPr/>
      <dgm:t>
        <a:bodyPr/>
        <a:lstStyle/>
        <a:p>
          <a:r>
            <a:rPr lang="es-ES"/>
            <a:t>E-habilidades</a:t>
          </a:r>
        </a:p>
      </dgm:t>
    </dgm:pt>
    <dgm:pt modelId="{1F53EE3B-A8BA-4728-8D39-8BD68BC78EC5}" type="parTrans" cxnId="{5BF383F4-044C-4098-BE72-BB829FFFAE1C}">
      <dgm:prSet/>
      <dgm:spPr/>
      <dgm:t>
        <a:bodyPr/>
        <a:lstStyle/>
        <a:p>
          <a:endParaRPr lang="es-ES"/>
        </a:p>
      </dgm:t>
    </dgm:pt>
    <dgm:pt modelId="{78AADBC3-4AF6-4A78-B367-843EA46D6CFA}" type="sibTrans" cxnId="{5BF383F4-044C-4098-BE72-BB829FFFAE1C}">
      <dgm:prSet/>
      <dgm:spPr/>
      <dgm:t>
        <a:bodyPr/>
        <a:lstStyle/>
        <a:p>
          <a:endParaRPr lang="es-ES"/>
        </a:p>
      </dgm:t>
    </dgm:pt>
    <dgm:pt modelId="{A7BE3F84-F3F7-4156-B862-CCF84DF32AC4}" type="pres">
      <dgm:prSet presAssocID="{92325BF5-B904-4538-BB30-DFF02FF067CE}" presName="cycle" presStyleCnt="0">
        <dgm:presLayoutVars>
          <dgm:dir/>
          <dgm:resizeHandles val="exact"/>
        </dgm:presLayoutVars>
      </dgm:prSet>
      <dgm:spPr/>
      <dgm:t>
        <a:bodyPr/>
        <a:lstStyle/>
        <a:p>
          <a:endParaRPr lang="es-ES"/>
        </a:p>
      </dgm:t>
    </dgm:pt>
    <dgm:pt modelId="{B5F5326F-86F4-41AE-938F-43A1FBFF123F}" type="pres">
      <dgm:prSet presAssocID="{D8C32CB6-0E10-4A0B-9D67-3FACBC694C40}" presName="node" presStyleLbl="node1" presStyleIdx="0" presStyleCnt="3">
        <dgm:presLayoutVars>
          <dgm:bulletEnabled val="1"/>
        </dgm:presLayoutVars>
      </dgm:prSet>
      <dgm:spPr/>
      <dgm:t>
        <a:bodyPr/>
        <a:lstStyle/>
        <a:p>
          <a:endParaRPr lang="es-ES"/>
        </a:p>
      </dgm:t>
    </dgm:pt>
    <dgm:pt modelId="{E43FF012-E5DE-4DC9-AF09-BF51BEB9D0FD}" type="pres">
      <dgm:prSet presAssocID="{D8C32CB6-0E10-4A0B-9D67-3FACBC694C40}" presName="spNode" presStyleCnt="0"/>
      <dgm:spPr/>
    </dgm:pt>
    <dgm:pt modelId="{24FC1646-271C-4FC0-AAD8-DED3D6747696}" type="pres">
      <dgm:prSet presAssocID="{A1C0DB62-9B2D-470B-8101-6CF092200527}" presName="sibTrans" presStyleLbl="sibTrans1D1" presStyleIdx="0" presStyleCnt="3"/>
      <dgm:spPr/>
      <dgm:t>
        <a:bodyPr/>
        <a:lstStyle/>
        <a:p>
          <a:endParaRPr lang="es-ES"/>
        </a:p>
      </dgm:t>
    </dgm:pt>
    <dgm:pt modelId="{D4AF529E-BE5C-402A-A08A-A7E6B09317E7}" type="pres">
      <dgm:prSet presAssocID="{D516DAC5-CE21-4C51-861A-FEFB5C86DCBD}" presName="node" presStyleLbl="node1" presStyleIdx="1" presStyleCnt="3">
        <dgm:presLayoutVars>
          <dgm:bulletEnabled val="1"/>
        </dgm:presLayoutVars>
      </dgm:prSet>
      <dgm:spPr/>
      <dgm:t>
        <a:bodyPr/>
        <a:lstStyle/>
        <a:p>
          <a:endParaRPr lang="es-ES"/>
        </a:p>
      </dgm:t>
    </dgm:pt>
    <dgm:pt modelId="{2C48EF83-08B0-410F-83D6-69FB33C0F27C}" type="pres">
      <dgm:prSet presAssocID="{D516DAC5-CE21-4C51-861A-FEFB5C86DCBD}" presName="spNode" presStyleCnt="0"/>
      <dgm:spPr/>
    </dgm:pt>
    <dgm:pt modelId="{473E2E5D-5231-4A94-8C28-51090E727756}" type="pres">
      <dgm:prSet presAssocID="{67E33BCA-39B6-4D53-8A75-765C8C28DB19}" presName="sibTrans" presStyleLbl="sibTrans1D1" presStyleIdx="1" presStyleCnt="3"/>
      <dgm:spPr/>
      <dgm:t>
        <a:bodyPr/>
        <a:lstStyle/>
        <a:p>
          <a:endParaRPr lang="es-ES"/>
        </a:p>
      </dgm:t>
    </dgm:pt>
    <dgm:pt modelId="{9924EFB8-20FB-4EDE-ABF7-44437414F1A4}" type="pres">
      <dgm:prSet presAssocID="{F39AAC8D-672C-4858-9554-CF748986684E}" presName="node" presStyleLbl="node1" presStyleIdx="2" presStyleCnt="3">
        <dgm:presLayoutVars>
          <dgm:bulletEnabled val="1"/>
        </dgm:presLayoutVars>
      </dgm:prSet>
      <dgm:spPr/>
      <dgm:t>
        <a:bodyPr/>
        <a:lstStyle/>
        <a:p>
          <a:endParaRPr lang="es-ES"/>
        </a:p>
      </dgm:t>
    </dgm:pt>
    <dgm:pt modelId="{DC5467B1-4139-4F62-96EA-CEB0DEA60363}" type="pres">
      <dgm:prSet presAssocID="{F39AAC8D-672C-4858-9554-CF748986684E}" presName="spNode" presStyleCnt="0"/>
      <dgm:spPr/>
    </dgm:pt>
    <dgm:pt modelId="{79BBFF8B-6EF4-4A5A-837A-0555FA676AC7}" type="pres">
      <dgm:prSet presAssocID="{78AADBC3-4AF6-4A78-B367-843EA46D6CFA}" presName="sibTrans" presStyleLbl="sibTrans1D1" presStyleIdx="2" presStyleCnt="3"/>
      <dgm:spPr/>
      <dgm:t>
        <a:bodyPr/>
        <a:lstStyle/>
        <a:p>
          <a:endParaRPr lang="es-ES"/>
        </a:p>
      </dgm:t>
    </dgm:pt>
  </dgm:ptLst>
  <dgm:cxnLst>
    <dgm:cxn modelId="{11AFCF6F-1C12-4F9A-B019-1E3C6CFBF80B}" type="presOf" srcId="{67E33BCA-39B6-4D53-8A75-765C8C28DB19}" destId="{473E2E5D-5231-4A94-8C28-51090E727756}" srcOrd="0" destOrd="0" presId="urn:microsoft.com/office/officeart/2005/8/layout/cycle6"/>
    <dgm:cxn modelId="{EB94EBD6-6FFB-4FB5-8B1E-2E009A2FF75F}" srcId="{92325BF5-B904-4538-BB30-DFF02FF067CE}" destId="{D8C32CB6-0E10-4A0B-9D67-3FACBC694C40}" srcOrd="0" destOrd="0" parTransId="{DEC5AE90-71BD-44CB-AB79-0CFC47311BD8}" sibTransId="{A1C0DB62-9B2D-470B-8101-6CF092200527}"/>
    <dgm:cxn modelId="{D25ACEED-71A2-4303-9DAE-2148E5EDA5D7}" type="presOf" srcId="{D516DAC5-CE21-4C51-861A-FEFB5C86DCBD}" destId="{D4AF529E-BE5C-402A-A08A-A7E6B09317E7}" srcOrd="0" destOrd="0" presId="urn:microsoft.com/office/officeart/2005/8/layout/cycle6"/>
    <dgm:cxn modelId="{5BF383F4-044C-4098-BE72-BB829FFFAE1C}" srcId="{92325BF5-B904-4538-BB30-DFF02FF067CE}" destId="{F39AAC8D-672C-4858-9554-CF748986684E}" srcOrd="2" destOrd="0" parTransId="{1F53EE3B-A8BA-4728-8D39-8BD68BC78EC5}" sibTransId="{78AADBC3-4AF6-4A78-B367-843EA46D6CFA}"/>
    <dgm:cxn modelId="{6C7223E7-F4C5-4FD2-8762-6D8E71AD1CD0}" type="presOf" srcId="{92325BF5-B904-4538-BB30-DFF02FF067CE}" destId="{A7BE3F84-F3F7-4156-B862-CCF84DF32AC4}" srcOrd="0" destOrd="0" presId="urn:microsoft.com/office/officeart/2005/8/layout/cycle6"/>
    <dgm:cxn modelId="{F012DA24-214B-44C5-88AD-197FB02A3CC4}" type="presOf" srcId="{A1C0DB62-9B2D-470B-8101-6CF092200527}" destId="{24FC1646-271C-4FC0-AAD8-DED3D6747696}" srcOrd="0" destOrd="0" presId="urn:microsoft.com/office/officeart/2005/8/layout/cycle6"/>
    <dgm:cxn modelId="{ABA0434D-CA0A-427F-8A62-9D399DEC50CC}" type="presOf" srcId="{D8C32CB6-0E10-4A0B-9D67-3FACBC694C40}" destId="{B5F5326F-86F4-41AE-938F-43A1FBFF123F}" srcOrd="0" destOrd="0" presId="urn:microsoft.com/office/officeart/2005/8/layout/cycle6"/>
    <dgm:cxn modelId="{80833903-C77F-4BC0-ADEE-CAAA47DD1910}" srcId="{92325BF5-B904-4538-BB30-DFF02FF067CE}" destId="{D516DAC5-CE21-4C51-861A-FEFB5C86DCBD}" srcOrd="1" destOrd="0" parTransId="{6F32BCA6-5B2B-4469-83F3-4E6E1AF1D251}" sibTransId="{67E33BCA-39B6-4D53-8A75-765C8C28DB19}"/>
    <dgm:cxn modelId="{D0C8F3BA-0829-41FF-A980-3F1E31A7D38A}" type="presOf" srcId="{78AADBC3-4AF6-4A78-B367-843EA46D6CFA}" destId="{79BBFF8B-6EF4-4A5A-837A-0555FA676AC7}" srcOrd="0" destOrd="0" presId="urn:microsoft.com/office/officeart/2005/8/layout/cycle6"/>
    <dgm:cxn modelId="{32A875D9-C21D-49A1-AA71-85E3C3C57AF0}" type="presOf" srcId="{F39AAC8D-672C-4858-9554-CF748986684E}" destId="{9924EFB8-20FB-4EDE-ABF7-44437414F1A4}" srcOrd="0" destOrd="0" presId="urn:microsoft.com/office/officeart/2005/8/layout/cycle6"/>
    <dgm:cxn modelId="{AE8C3B30-C47D-4735-A7FC-CF3126CA6D51}" type="presParOf" srcId="{A7BE3F84-F3F7-4156-B862-CCF84DF32AC4}" destId="{B5F5326F-86F4-41AE-938F-43A1FBFF123F}" srcOrd="0" destOrd="0" presId="urn:microsoft.com/office/officeart/2005/8/layout/cycle6"/>
    <dgm:cxn modelId="{5582937F-5F2E-42A3-9965-5E6C69115AAA}" type="presParOf" srcId="{A7BE3F84-F3F7-4156-B862-CCF84DF32AC4}" destId="{E43FF012-E5DE-4DC9-AF09-BF51BEB9D0FD}" srcOrd="1" destOrd="0" presId="urn:microsoft.com/office/officeart/2005/8/layout/cycle6"/>
    <dgm:cxn modelId="{17A0666B-9182-4702-A65D-2C6FE61751DA}" type="presParOf" srcId="{A7BE3F84-F3F7-4156-B862-CCF84DF32AC4}" destId="{24FC1646-271C-4FC0-AAD8-DED3D6747696}" srcOrd="2" destOrd="0" presId="urn:microsoft.com/office/officeart/2005/8/layout/cycle6"/>
    <dgm:cxn modelId="{48B35B79-0047-46AE-8746-555BD71D07D3}" type="presParOf" srcId="{A7BE3F84-F3F7-4156-B862-CCF84DF32AC4}" destId="{D4AF529E-BE5C-402A-A08A-A7E6B09317E7}" srcOrd="3" destOrd="0" presId="urn:microsoft.com/office/officeart/2005/8/layout/cycle6"/>
    <dgm:cxn modelId="{98DE2E9C-8922-47CC-9F03-A58594642237}" type="presParOf" srcId="{A7BE3F84-F3F7-4156-B862-CCF84DF32AC4}" destId="{2C48EF83-08B0-410F-83D6-69FB33C0F27C}" srcOrd="4" destOrd="0" presId="urn:microsoft.com/office/officeart/2005/8/layout/cycle6"/>
    <dgm:cxn modelId="{EF56AD9B-4A5E-4B46-A690-59C022E98AB0}" type="presParOf" srcId="{A7BE3F84-F3F7-4156-B862-CCF84DF32AC4}" destId="{473E2E5D-5231-4A94-8C28-51090E727756}" srcOrd="5" destOrd="0" presId="urn:microsoft.com/office/officeart/2005/8/layout/cycle6"/>
    <dgm:cxn modelId="{E07500A7-BCC6-4D5E-AC9B-6923257C62AC}" type="presParOf" srcId="{A7BE3F84-F3F7-4156-B862-CCF84DF32AC4}" destId="{9924EFB8-20FB-4EDE-ABF7-44437414F1A4}" srcOrd="6" destOrd="0" presId="urn:microsoft.com/office/officeart/2005/8/layout/cycle6"/>
    <dgm:cxn modelId="{4B097325-8DA2-4CEE-8261-8A67936A2D22}" type="presParOf" srcId="{A7BE3F84-F3F7-4156-B862-CCF84DF32AC4}" destId="{DC5467B1-4139-4F62-96EA-CEB0DEA60363}" srcOrd="7" destOrd="0" presId="urn:microsoft.com/office/officeart/2005/8/layout/cycle6"/>
    <dgm:cxn modelId="{1D6DE12F-57E7-49E6-A516-46921D46497F}" type="presParOf" srcId="{A7BE3F84-F3F7-4156-B862-CCF84DF32AC4}" destId="{79BBFF8B-6EF4-4A5A-837A-0555FA676AC7}" srcOrd="8"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427DF7-B6F9-4E9E-982B-E041064CBC98}">
      <dsp:nvSpPr>
        <dsp:cNvPr id="0" name=""/>
        <dsp:cNvSpPr/>
      </dsp:nvSpPr>
      <dsp:spPr>
        <a:xfrm>
          <a:off x="668043" y="488179"/>
          <a:ext cx="1251605" cy="834821"/>
        </a:xfrm>
        <a:prstGeom prst="rect">
          <a:avLst/>
        </a:prstGeom>
        <a:solidFill>
          <a:schemeClr val="accent2">
            <a:tint val="40000"/>
            <a:alpha val="90000"/>
            <a:hueOff val="0"/>
            <a:satOff val="0"/>
            <a:lumOff val="0"/>
            <a:alphaOff val="0"/>
          </a:schemeClr>
        </a:solidFill>
        <a:ln w="9525" cap="flat" cmpd="sng" algn="ctr">
          <a:solidFill>
            <a:schemeClr val="accent2">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Aventuras</a:t>
          </a:r>
        </a:p>
      </dsp:txBody>
      <dsp:txXfrm>
        <a:off x="868300" y="488179"/>
        <a:ext cx="1051348" cy="834821"/>
      </dsp:txXfrm>
    </dsp:sp>
    <dsp:sp modelId="{27081016-D1BB-4828-A3C8-65B953D032EE}">
      <dsp:nvSpPr>
        <dsp:cNvPr id="0" name=""/>
        <dsp:cNvSpPr/>
      </dsp:nvSpPr>
      <dsp:spPr>
        <a:xfrm>
          <a:off x="668043" y="1323000"/>
          <a:ext cx="1251605" cy="834821"/>
        </a:xfrm>
        <a:prstGeom prst="rect">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Estrategia</a:t>
          </a:r>
        </a:p>
      </dsp:txBody>
      <dsp:txXfrm>
        <a:off x="868300" y="1323000"/>
        <a:ext cx="1051348" cy="834821"/>
      </dsp:txXfrm>
    </dsp:sp>
    <dsp:sp modelId="{E0E90A5E-CF78-41A7-8A5C-305AEA2B552B}">
      <dsp:nvSpPr>
        <dsp:cNvPr id="0" name=""/>
        <dsp:cNvSpPr/>
      </dsp:nvSpPr>
      <dsp:spPr>
        <a:xfrm>
          <a:off x="668043" y="2157821"/>
          <a:ext cx="1251605" cy="834821"/>
        </a:xfrm>
        <a:prstGeom prst="rect">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Juegos de mesa</a:t>
          </a:r>
        </a:p>
      </dsp:txBody>
      <dsp:txXfrm>
        <a:off x="868300" y="2157821"/>
        <a:ext cx="1051348" cy="834821"/>
      </dsp:txXfrm>
    </dsp:sp>
    <dsp:sp modelId="{162A4C7C-4060-481E-B720-DB727234E348}">
      <dsp:nvSpPr>
        <dsp:cNvPr id="0" name=""/>
        <dsp:cNvSpPr/>
      </dsp:nvSpPr>
      <dsp:spPr>
        <a:xfrm>
          <a:off x="520" y="154417"/>
          <a:ext cx="834403" cy="83440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s-ES" sz="900" kern="1200">
              <a:latin typeface="Calibri"/>
              <a:ea typeface="+mn-ea"/>
              <a:cs typeface="+mn-cs"/>
            </a:rPr>
            <a:t>Compartdos</a:t>
          </a:r>
        </a:p>
      </dsp:txBody>
      <dsp:txXfrm>
        <a:off x="122715" y="276612"/>
        <a:ext cx="590013" cy="590013"/>
      </dsp:txXfrm>
    </dsp:sp>
    <dsp:sp modelId="{E48525AF-8E25-4333-BFF6-580A3C43CE6A}">
      <dsp:nvSpPr>
        <dsp:cNvPr id="0" name=""/>
        <dsp:cNvSpPr/>
      </dsp:nvSpPr>
      <dsp:spPr>
        <a:xfrm>
          <a:off x="2754053" y="488179"/>
          <a:ext cx="1251605" cy="834821"/>
        </a:xfrm>
        <a:prstGeom prst="rect">
          <a:avLst/>
        </a:prstGeom>
        <a:solidFill>
          <a:schemeClr val="accent5">
            <a:tint val="40000"/>
            <a:alpha val="90000"/>
            <a:hueOff val="0"/>
            <a:satOff val="0"/>
            <a:lumOff val="0"/>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Violencia (de combate, guerra)</a:t>
          </a:r>
        </a:p>
      </dsp:txBody>
      <dsp:txXfrm>
        <a:off x="2954310" y="488179"/>
        <a:ext cx="1051348" cy="834821"/>
      </dsp:txXfrm>
    </dsp:sp>
    <dsp:sp modelId="{84A64FBF-22C4-4917-A901-6825C395313B}">
      <dsp:nvSpPr>
        <dsp:cNvPr id="0" name=""/>
        <dsp:cNvSpPr/>
      </dsp:nvSpPr>
      <dsp:spPr>
        <a:xfrm>
          <a:off x="2754053" y="1323000"/>
          <a:ext cx="1251605" cy="834821"/>
        </a:xfrm>
        <a:prstGeom prst="rect">
          <a:avLst/>
        </a:prstGeom>
        <a:solidFill>
          <a:schemeClr val="accent6">
            <a:tint val="40000"/>
            <a:alpha val="90000"/>
            <a:hueOff val="0"/>
            <a:satOff val="0"/>
            <a:lumOff val="0"/>
            <a:alphaOff val="0"/>
          </a:schemeClr>
        </a:solidFill>
        <a:ln w="9525" cap="flat" cmpd="sng" algn="ctr">
          <a:solidFill>
            <a:schemeClr val="accent6">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Deportivos</a:t>
          </a:r>
        </a:p>
      </dsp:txBody>
      <dsp:txXfrm>
        <a:off x="2954310" y="1323000"/>
        <a:ext cx="1051348" cy="834821"/>
      </dsp:txXfrm>
    </dsp:sp>
    <dsp:sp modelId="{3BB0FAE5-CDCA-40C4-BDD9-78E6F7E4C692}">
      <dsp:nvSpPr>
        <dsp:cNvPr id="0" name=""/>
        <dsp:cNvSpPr/>
      </dsp:nvSpPr>
      <dsp:spPr>
        <a:xfrm>
          <a:off x="2754053" y="2157821"/>
          <a:ext cx="1251605" cy="834821"/>
        </a:xfrm>
        <a:prstGeom prst="rect">
          <a:avLst/>
        </a:prstGeom>
        <a:solidFill>
          <a:schemeClr val="accent2">
            <a:tint val="40000"/>
            <a:alpha val="90000"/>
            <a:hueOff val="0"/>
            <a:satOff val="0"/>
            <a:lumOff val="0"/>
            <a:alphaOff val="0"/>
          </a:schemeClr>
        </a:solidFill>
        <a:ln w="9525" cap="flat" cmpd="sng" algn="ctr">
          <a:solidFill>
            <a:schemeClr val="accent2">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Arcade (juegos tipo plataforma y laberinto virtuales)</a:t>
          </a:r>
        </a:p>
      </dsp:txBody>
      <dsp:txXfrm>
        <a:off x="2954310" y="2157821"/>
        <a:ext cx="1051348" cy="834821"/>
      </dsp:txXfrm>
    </dsp:sp>
    <dsp:sp modelId="{A07974B2-414B-4DD9-BFA6-5916CF86EA88}">
      <dsp:nvSpPr>
        <dsp:cNvPr id="0" name=""/>
        <dsp:cNvSpPr/>
      </dsp:nvSpPr>
      <dsp:spPr>
        <a:xfrm>
          <a:off x="2086530" y="154417"/>
          <a:ext cx="834403" cy="834403"/>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s-ES" sz="900" kern="1200">
              <a:latin typeface="Calibri"/>
              <a:ea typeface="+mn-ea"/>
              <a:cs typeface="+mn-cs"/>
            </a:rPr>
            <a:t>Chicos</a:t>
          </a:r>
        </a:p>
      </dsp:txBody>
      <dsp:txXfrm>
        <a:off x="2208725" y="276612"/>
        <a:ext cx="590013" cy="590013"/>
      </dsp:txXfrm>
    </dsp:sp>
    <dsp:sp modelId="{07534F21-6E24-446A-8176-2761B02949FE}">
      <dsp:nvSpPr>
        <dsp:cNvPr id="0" name=""/>
        <dsp:cNvSpPr/>
      </dsp:nvSpPr>
      <dsp:spPr>
        <a:xfrm>
          <a:off x="4840063" y="488179"/>
          <a:ext cx="1251605" cy="834821"/>
        </a:xfrm>
        <a:prstGeom prst="rect">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Simulación y construcciones </a:t>
          </a:r>
        </a:p>
      </dsp:txBody>
      <dsp:txXfrm>
        <a:off x="5040320" y="488179"/>
        <a:ext cx="1051348" cy="834821"/>
      </dsp:txXfrm>
    </dsp:sp>
    <dsp:sp modelId="{1EA08AC7-78A3-4D3B-A1EA-EBA7D470D6C6}">
      <dsp:nvSpPr>
        <dsp:cNvPr id="0" name=""/>
        <dsp:cNvSpPr/>
      </dsp:nvSpPr>
      <dsp:spPr>
        <a:xfrm>
          <a:off x="4840063" y="1323000"/>
          <a:ext cx="1251605" cy="834821"/>
        </a:xfrm>
        <a:prstGeom prst="rect">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Cuidado y protección</a:t>
          </a:r>
        </a:p>
      </dsp:txBody>
      <dsp:txXfrm>
        <a:off x="5040320" y="1323000"/>
        <a:ext cx="1051348" cy="834821"/>
      </dsp:txXfrm>
    </dsp:sp>
    <dsp:sp modelId="{2E4679BE-110B-4BB2-B3E7-96D041CF9974}">
      <dsp:nvSpPr>
        <dsp:cNvPr id="0" name=""/>
        <dsp:cNvSpPr/>
      </dsp:nvSpPr>
      <dsp:spPr>
        <a:xfrm>
          <a:off x="4840063" y="2157821"/>
          <a:ext cx="1251605" cy="834821"/>
        </a:xfrm>
        <a:prstGeom prst="rect">
          <a:avLst/>
        </a:prstGeom>
        <a:solidFill>
          <a:schemeClr val="accent5">
            <a:tint val="40000"/>
            <a:alpha val="90000"/>
            <a:hueOff val="0"/>
            <a:satOff val="0"/>
            <a:lumOff val="0"/>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0" tIns="78232" rIns="78232" bIns="78232" numCol="1" spcCol="1270" anchor="ctr" anchorCtr="0">
          <a:noAutofit/>
        </a:bodyPr>
        <a:lstStyle/>
        <a:p>
          <a:pPr lvl="0" algn="l" defTabSz="488950">
            <a:lnSpc>
              <a:spcPct val="90000"/>
            </a:lnSpc>
            <a:spcBef>
              <a:spcPct val="0"/>
            </a:spcBef>
            <a:spcAft>
              <a:spcPct val="35000"/>
            </a:spcAft>
          </a:pPr>
          <a:r>
            <a:rPr lang="es-ES" sz="1100" kern="1200">
              <a:latin typeface="Calibri"/>
              <a:ea typeface="+mn-ea"/>
              <a:cs typeface="+mn-cs"/>
            </a:rPr>
            <a:t>"Pink games" (princesas , Barbies, fantasía)</a:t>
          </a:r>
        </a:p>
      </dsp:txBody>
      <dsp:txXfrm>
        <a:off x="5040320" y="2157821"/>
        <a:ext cx="1051348" cy="834821"/>
      </dsp:txXfrm>
    </dsp:sp>
    <dsp:sp modelId="{6FAF5EB2-87A4-44FD-9E2E-4C49C227E1B8}">
      <dsp:nvSpPr>
        <dsp:cNvPr id="0" name=""/>
        <dsp:cNvSpPr/>
      </dsp:nvSpPr>
      <dsp:spPr>
        <a:xfrm>
          <a:off x="4172540" y="154417"/>
          <a:ext cx="834403" cy="834403"/>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s-ES" sz="900" kern="1200">
              <a:latin typeface="Calibri"/>
              <a:ea typeface="+mn-ea"/>
              <a:cs typeface="+mn-cs"/>
            </a:rPr>
            <a:t>Chicas</a:t>
          </a:r>
        </a:p>
      </dsp:txBody>
      <dsp:txXfrm>
        <a:off x="4294735" y="276612"/>
        <a:ext cx="590013" cy="5900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2D5925-DA95-4273-93A0-6BF8D1992CDB}">
      <dsp:nvSpPr>
        <dsp:cNvPr id="0" name=""/>
        <dsp:cNvSpPr/>
      </dsp:nvSpPr>
      <dsp:spPr>
        <a:xfrm>
          <a:off x="334775" y="547"/>
          <a:ext cx="1095342" cy="65720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Contenido de carácter sexual inapropiado</a:t>
          </a:r>
        </a:p>
      </dsp:txBody>
      <dsp:txXfrm>
        <a:off x="334775" y="547"/>
        <a:ext cx="1095342" cy="657205"/>
      </dsp:txXfrm>
    </dsp:sp>
    <dsp:sp modelId="{C007F5A0-A245-4585-9B3A-866450D201F2}">
      <dsp:nvSpPr>
        <dsp:cNvPr id="0" name=""/>
        <dsp:cNvSpPr/>
      </dsp:nvSpPr>
      <dsp:spPr>
        <a:xfrm>
          <a:off x="1539651" y="547"/>
          <a:ext cx="1095342" cy="657205"/>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Violencia, racismo o contenidos sexistas</a:t>
          </a:r>
        </a:p>
      </dsp:txBody>
      <dsp:txXfrm>
        <a:off x="1539651" y="547"/>
        <a:ext cx="1095342" cy="657205"/>
      </dsp:txXfrm>
    </dsp:sp>
    <dsp:sp modelId="{D62F64B6-116C-46B3-8F46-B6CAEFFB36B8}">
      <dsp:nvSpPr>
        <dsp:cNvPr id="0" name=""/>
        <dsp:cNvSpPr/>
      </dsp:nvSpPr>
      <dsp:spPr>
        <a:xfrm>
          <a:off x="2744528" y="547"/>
          <a:ext cx="1095342" cy="65720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Anorexia, bulimia o cuestiones estéticas</a:t>
          </a:r>
        </a:p>
      </dsp:txBody>
      <dsp:txXfrm>
        <a:off x="2744528" y="547"/>
        <a:ext cx="1095342" cy="657205"/>
      </dsp:txXfrm>
    </dsp:sp>
    <dsp:sp modelId="{2F3A8F7B-7806-4559-BA64-95058148C87A}">
      <dsp:nvSpPr>
        <dsp:cNvPr id="0" name=""/>
        <dsp:cNvSpPr/>
      </dsp:nvSpPr>
      <dsp:spPr>
        <a:xfrm>
          <a:off x="3949404" y="547"/>
          <a:ext cx="1095342" cy="657205"/>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Sectas o terrorismo</a:t>
          </a:r>
        </a:p>
      </dsp:txBody>
      <dsp:txXfrm>
        <a:off x="3949404" y="547"/>
        <a:ext cx="1095342" cy="657205"/>
      </dsp:txXfrm>
    </dsp:sp>
    <dsp:sp modelId="{AFE3F250-DD3B-417D-99AB-6DF08EF38BBA}">
      <dsp:nvSpPr>
        <dsp:cNvPr id="0" name=""/>
        <dsp:cNvSpPr/>
      </dsp:nvSpPr>
      <dsp:spPr>
        <a:xfrm>
          <a:off x="1539651" y="767286"/>
          <a:ext cx="1095342" cy="657205"/>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Contenido que vulnere los valores en que se educa al hijo</a:t>
          </a:r>
        </a:p>
      </dsp:txBody>
      <dsp:txXfrm>
        <a:off x="1539651" y="767286"/>
        <a:ext cx="1095342" cy="657205"/>
      </dsp:txXfrm>
    </dsp:sp>
    <dsp:sp modelId="{49F0F344-5FFF-4641-8070-EE570587757D}">
      <dsp:nvSpPr>
        <dsp:cNvPr id="0" name=""/>
        <dsp:cNvSpPr/>
      </dsp:nvSpPr>
      <dsp:spPr>
        <a:xfrm>
          <a:off x="2744528" y="767286"/>
          <a:ext cx="1095342" cy="65720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Contenido falso, inexacto o incierto</a:t>
          </a:r>
        </a:p>
      </dsp:txBody>
      <dsp:txXfrm>
        <a:off x="2744528" y="767286"/>
        <a:ext cx="1095342" cy="65720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F5326F-86F4-41AE-938F-43A1FBFF123F}">
      <dsp:nvSpPr>
        <dsp:cNvPr id="0" name=""/>
        <dsp:cNvSpPr/>
      </dsp:nvSpPr>
      <dsp:spPr>
        <a:xfrm>
          <a:off x="901976" y="64"/>
          <a:ext cx="896701" cy="582856"/>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Estrategia ciberfeminista</a:t>
          </a:r>
        </a:p>
      </dsp:txBody>
      <dsp:txXfrm>
        <a:off x="930429" y="28517"/>
        <a:ext cx="839795" cy="525950"/>
      </dsp:txXfrm>
    </dsp:sp>
    <dsp:sp modelId="{24FC1646-271C-4FC0-AAD8-DED3D6747696}">
      <dsp:nvSpPr>
        <dsp:cNvPr id="0" name=""/>
        <dsp:cNvSpPr/>
      </dsp:nvSpPr>
      <dsp:spPr>
        <a:xfrm>
          <a:off x="572008" y="291492"/>
          <a:ext cx="1556637" cy="1556637"/>
        </a:xfrm>
        <a:custGeom>
          <a:avLst/>
          <a:gdLst/>
          <a:ahLst/>
          <a:cxnLst/>
          <a:rect l="0" t="0" r="0" b="0"/>
          <a:pathLst>
            <a:path>
              <a:moveTo>
                <a:pt x="1233203" y="146764"/>
              </a:moveTo>
              <a:arcTo wR="778318" hR="778318" stAng="18345825" swAng="3651553"/>
            </a:path>
          </a:pathLst>
        </a:custGeom>
        <a:noFill/>
        <a:ln w="9525" cap="flat" cmpd="sng" algn="ctr">
          <a:solidFill>
            <a:schemeClr val="accent5">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D4AF529E-BE5C-402A-A08A-A7E6B09317E7}">
      <dsp:nvSpPr>
        <dsp:cNvPr id="0" name=""/>
        <dsp:cNvSpPr/>
      </dsp:nvSpPr>
      <dsp:spPr>
        <a:xfrm>
          <a:off x="1576020" y="1167543"/>
          <a:ext cx="896701" cy="582856"/>
        </a:xfrm>
        <a:prstGeom prst="roundRect">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Pedagogía coeducativa</a:t>
          </a:r>
        </a:p>
      </dsp:txBody>
      <dsp:txXfrm>
        <a:off x="1604473" y="1195996"/>
        <a:ext cx="839795" cy="525950"/>
      </dsp:txXfrm>
    </dsp:sp>
    <dsp:sp modelId="{473E2E5D-5231-4A94-8C28-51090E727756}">
      <dsp:nvSpPr>
        <dsp:cNvPr id="0" name=""/>
        <dsp:cNvSpPr/>
      </dsp:nvSpPr>
      <dsp:spPr>
        <a:xfrm>
          <a:off x="572008" y="291492"/>
          <a:ext cx="1556637" cy="1556637"/>
        </a:xfrm>
        <a:custGeom>
          <a:avLst/>
          <a:gdLst/>
          <a:ahLst/>
          <a:cxnLst/>
          <a:rect l="0" t="0" r="0" b="0"/>
          <a:pathLst>
            <a:path>
              <a:moveTo>
                <a:pt x="1149296" y="1462538"/>
              </a:moveTo>
              <a:arcTo wR="778318" hR="778318" stAng="3692031" swAng="3415938"/>
            </a:path>
          </a:pathLst>
        </a:custGeom>
        <a:noFill/>
        <a:ln w="9525" cap="flat" cmpd="sng" algn="ctr">
          <a:solidFill>
            <a:schemeClr val="accent5">
              <a:hueOff val="-4966938"/>
              <a:satOff val="19906"/>
              <a:lumOff val="4314"/>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9924EFB8-20FB-4EDE-ABF7-44437414F1A4}">
      <dsp:nvSpPr>
        <dsp:cNvPr id="0" name=""/>
        <dsp:cNvSpPr/>
      </dsp:nvSpPr>
      <dsp:spPr>
        <a:xfrm>
          <a:off x="227932" y="1167543"/>
          <a:ext cx="896701" cy="582856"/>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ES" sz="1000" kern="1200"/>
            <a:t>E-habilidades</a:t>
          </a:r>
        </a:p>
      </dsp:txBody>
      <dsp:txXfrm>
        <a:off x="256385" y="1195996"/>
        <a:ext cx="839795" cy="525950"/>
      </dsp:txXfrm>
    </dsp:sp>
    <dsp:sp modelId="{79BBFF8B-6EF4-4A5A-837A-0555FA676AC7}">
      <dsp:nvSpPr>
        <dsp:cNvPr id="0" name=""/>
        <dsp:cNvSpPr/>
      </dsp:nvSpPr>
      <dsp:spPr>
        <a:xfrm>
          <a:off x="572008" y="291492"/>
          <a:ext cx="1556637" cy="1556637"/>
        </a:xfrm>
        <a:custGeom>
          <a:avLst/>
          <a:gdLst/>
          <a:ahLst/>
          <a:cxnLst/>
          <a:rect l="0" t="0" r="0" b="0"/>
          <a:pathLst>
            <a:path>
              <a:moveTo>
                <a:pt x="5194" y="868086"/>
              </a:moveTo>
              <a:arcTo wR="778318" hR="778318" stAng="10402621" swAng="3651553"/>
            </a:path>
          </a:pathLst>
        </a:custGeom>
        <a:noFill/>
        <a:ln w="9525" cap="flat" cmpd="sng" algn="ctr">
          <a:solidFill>
            <a:schemeClr val="accent5">
              <a:hueOff val="-9933876"/>
              <a:satOff val="39811"/>
              <a:lumOff val="8628"/>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Cas051</b:Tag>
    <b:SourceType>Book</b:SourceType>
    <b:Guid>{B8CAAB83-C4F2-42E2-AB39-98A17B3C34FB}</b:Guid>
    <b:Author>
      <b:Author>
        <b:NameList>
          <b:Person>
            <b:Last>Castells</b:Last>
            <b:First>Manuel</b:First>
          </b:Person>
        </b:NameList>
      </b:Author>
    </b:Author>
    <b:Title>La era de la Información</b:Title>
    <b:Year>2005</b:Year>
    <b:City>Madrid</b:City>
    <b:Publisher>Alianza</b:Publisher>
    <b:RefOrder>1</b:RefOrder>
  </b:Source>
  <b:Source>
    <b:Tag>Waj04</b:Tag>
    <b:SourceType>Book</b:SourceType>
    <b:Guid>{4FA091FD-F861-4D5E-967D-EF1848249D15}</b:Guid>
    <b:Author>
      <b:Author>
        <b:NameList>
          <b:Person>
            <b:Last>Wajcman</b:Last>
            <b:First>Judy</b:First>
          </b:Person>
        </b:NameList>
      </b:Author>
    </b:Author>
    <b:Title>El Tecnofeminismo</b:Title>
    <b:Year>2004</b:Year>
    <b:City>Madrid</b:City>
    <b:Publisher>Feminismos</b:Publisher>
    <b:Edition>1º</b:Edition>
    <b:RefOrder>1</b:RefOrder>
  </b:Source>
  <b:Source>
    <b:Tag>Cas09</b:Tag>
    <b:SourceType>Book</b:SourceType>
    <b:Guid>{DCB691CB-BDA7-4BE3-958F-20E08E062FC6}</b:Guid>
    <b:Title>La brecha digital de género. Amantes y distantes</b:Title>
    <b:Year>2009</b:Year>
    <b:City>Madrid</b:City>
    <b:Publisher>UCM</b:Publisher>
    <b:Author>
      <b:Author>
        <b:NameList>
          <b:Person>
            <b:Last>Castaño</b:Last>
            <b:First>Cecilia</b:First>
          </b:Person>
          <b:Person>
            <b:Last>Martín</b:Last>
            <b:First>Juan</b:First>
          </b:Person>
          <b:Person>
            <b:Last>Martínez</b:Last>
            <b:First>José</b:First>
            <b:Middle>Luis</b:Middle>
          </b:Person>
        </b:NameList>
      </b:Author>
    </b:Author>
    <b:RefOrder>1</b:RefOrder>
  </b:Source>
  <b:Source>
    <b:Tag>Día01</b:Tag>
    <b:SourceType>JournalArticle</b:SourceType>
    <b:Guid>{65E832AD-DD1D-4731-89A0-872ECFAC5595}</b:Guid>
    <b:Author>
      <b:Author>
        <b:NameList>
          <b:Person>
            <b:Last>Díaz</b:Last>
            <b:First>Capitolina</b:First>
          </b:Person>
        </b:NameList>
      </b:Author>
    </b:Author>
    <b:Title>Las internautas de los institutos. "Chateo" y "navehación" como diferencias de género en la Red</b:Title>
    <b:JournalName>Asparkía. Investigació Feminista</b:JournalName>
    <b:Year>2001</b:Year>
    <b:Pages>53-65</b:Pages>
    <b:Issue>12</b:Issue>
    <b:RefOrder>3</b:RefOrder>
  </b:Source>
  <b:Source>
    <b:Tag>Cas10</b:Tag>
    <b:SourceType>BookSection</b:SourceType>
    <b:Guid>{D2CF806B-0A24-42C1-8E38-08749EB22C5A}</b:Guid>
    <b:Title>Marco conceptual sobre género y tecnología</b:Title>
    <b:Year>2010</b:Year>
    <b:City>Barcelona</b:City>
    <b:Publisher>UOC Ediciones</b:Publisher>
    <b:Author>
      <b:Author>
        <b:NameList>
          <b:Person>
            <b:Last>Castaño</b:Last>
            <b:First>Cecilia</b:First>
          </b:Person>
          <b:Person>
            <b:Last>Caprile</b:Last>
            <b:First>María</b:First>
          </b:Person>
        </b:NameList>
      </b:Author>
      <b:BookAuthor>
        <b:NameList>
          <b:Person>
            <b:Last>Castaño</b:Last>
            <b:First>Cecilia</b:First>
          </b:Person>
        </b:NameList>
      </b:BookAuthor>
      <b:Editor>
        <b:NameList>
          <b:Person>
            <b:Last>Castells</b:Last>
            <b:First>Manuel</b:First>
          </b:Person>
        </b:NameList>
      </b:Editor>
    </b:Author>
    <b:BookTitle>Género y TIC. Presencia, posición y políticas</b:BookTitle>
    <b:Pages>21-81</b:Pages>
    <b:ChapterNumber>1</b:ChapterNumber>
    <b:ShortTitle>Sociedad Red</b:ShortTitle>
    <b:RefOrder>4</b:RefOrder>
  </b:Source>
  <b:Source>
    <b:Tag>Sub01</b:Tag>
    <b:SourceType>BookSection</b:SourceType>
    <b:Guid>{B16CB59C-783C-4BC2-AE82-1662A450BB17}</b:Guid>
    <b:Title>¿Qué es educar? De la necesidad de reproducción a la necesidad de cambio</b:Title>
    <b:Year>2001</b:Year>
    <b:City>Madrid</b:City>
    <b:Publisher>Síntesis, S.A</b:Publisher>
    <b:Author>
      <b:Author>
        <b:NameList>
          <b:Person>
            <b:Last>Subirats</b:Last>
            <b:First>Marina</b:First>
          </b:Person>
        </b:NameList>
      </b:Author>
      <b:BookAuthor>
        <b:NameList>
          <b:Person>
            <b:Last>Tomé</b:Last>
            <b:First>Amparo</b:First>
          </b:Person>
          <b:Person>
            <b:Last>Rambla</b:Last>
            <b:First>Xabier</b:First>
          </b:Person>
        </b:NameList>
      </b:BookAuthor>
    </b:Author>
    <b:BookTitle>Contra el sexismo. Coeducación y democracia en la escuela</b:BookTitle>
    <b:Pages>17-38</b:Pages>
    <b:RefOrder>1</b:RefOrder>
  </b:Source>
  <b:Source>
    <b:Tag>Pan06</b:Tag>
    <b:SourceType>InternetSite</b:SourceType>
    <b:Guid>{9174D0C2-7269-4D43-A904-28493E9381B1}</b:Guid>
    <b:Title>Pantallas amigas</b:Title>
    <b:Year>2015</b:Year>
    <b:Author>
      <b:Author>
        <b:Corporate>Pantallas amigas</b:Corporate>
      </b:Author>
    </b:Author>
    <b:Month>06</b:Month>
    <b:Day>06</b:Day>
    <b:URL>http://www.abc.es/familia-educacion/20150527/abci-programa-finlandia-acoso-201505261029.html</b:URL>
    <b:RefOrder>2</b:RefOrder>
  </b:Source>
</b:Sources>
</file>

<file path=customXml/itemProps1.xml><?xml version="1.0" encoding="utf-8"?>
<ds:datastoreItem xmlns:ds="http://schemas.openxmlformats.org/officeDocument/2006/customXml" ds:itemID="{94CE380F-D89A-4347-BC28-80D4C59BB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23</Pages>
  <Words>7770</Words>
  <Characters>42735</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PORTATILPC</dc:creator>
  <cp:keywords/>
  <dc:description/>
  <cp:lastModifiedBy>PORTATILPC</cp:lastModifiedBy>
  <cp:revision>6</cp:revision>
  <dcterms:created xsi:type="dcterms:W3CDTF">2015-06-20T13:01:00Z</dcterms:created>
  <dcterms:modified xsi:type="dcterms:W3CDTF">2015-06-21T12:42:00Z</dcterms:modified>
</cp:coreProperties>
</file>