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8.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9.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0686" w:rsidRDefault="00C30686" w:rsidP="00C30686">
      <w:pPr>
        <w:pBdr>
          <w:bottom w:val="single" w:sz="4" w:space="1" w:color="auto"/>
        </w:pBdr>
        <w:spacing w:line="480" w:lineRule="auto"/>
        <w:jc w:val="center"/>
        <w:rPr>
          <w:rFonts w:ascii="Times New Roman" w:hAnsi="Times New Roman" w:cs="Times New Roman"/>
          <w:i/>
          <w:sz w:val="24"/>
        </w:rPr>
      </w:pPr>
      <w:r>
        <w:rPr>
          <w:rFonts w:ascii="Times New Roman" w:hAnsi="Times New Roman" w:cs="Times New Roman"/>
          <w:i/>
          <w:sz w:val="24"/>
        </w:rPr>
        <w:t xml:space="preserve">CRISIS Y DESCONTENTO. EL AUMENTO DE LA ABSTENCIÓN </w:t>
      </w:r>
      <w:r w:rsidR="00DA15B2">
        <w:rPr>
          <w:rFonts w:ascii="Times New Roman" w:hAnsi="Times New Roman" w:cs="Times New Roman"/>
          <w:i/>
          <w:sz w:val="24"/>
        </w:rPr>
        <w:t xml:space="preserve">CRÍTICA </w:t>
      </w:r>
      <w:r>
        <w:rPr>
          <w:rFonts w:ascii="Times New Roman" w:hAnsi="Times New Roman" w:cs="Times New Roman"/>
          <w:i/>
          <w:sz w:val="24"/>
        </w:rPr>
        <w:t>EN EL SUR DE EUROPA</w:t>
      </w:r>
      <w:r w:rsidR="00DA15B2">
        <w:rPr>
          <w:rFonts w:ascii="Times New Roman" w:hAnsi="Times New Roman" w:cs="Times New Roman"/>
          <w:i/>
          <w:sz w:val="24"/>
        </w:rPr>
        <w:t>,</w:t>
      </w:r>
      <w:r>
        <w:rPr>
          <w:rFonts w:ascii="Times New Roman" w:hAnsi="Times New Roman" w:cs="Times New Roman"/>
          <w:i/>
          <w:sz w:val="24"/>
        </w:rPr>
        <w:t xml:space="preserve"> 2002-2012</w:t>
      </w:r>
    </w:p>
    <w:p w:rsidR="00C30686" w:rsidRDefault="00C30686" w:rsidP="00C30686">
      <w:pPr>
        <w:spacing w:line="240" w:lineRule="auto"/>
        <w:jc w:val="both"/>
        <w:rPr>
          <w:rFonts w:ascii="Times New Roman" w:hAnsi="Times New Roman" w:cs="Times New Roman"/>
          <w:i/>
          <w:sz w:val="24"/>
        </w:rPr>
      </w:pPr>
    </w:p>
    <w:p w:rsidR="00C30686" w:rsidRDefault="00C30686" w:rsidP="00C30686">
      <w:pPr>
        <w:spacing w:line="276" w:lineRule="auto"/>
        <w:jc w:val="both"/>
        <w:rPr>
          <w:rFonts w:ascii="Times New Roman" w:hAnsi="Times New Roman" w:cs="Times New Roman"/>
          <w:i/>
          <w:sz w:val="24"/>
        </w:rPr>
      </w:pPr>
      <w:r>
        <w:rPr>
          <w:rFonts w:ascii="Times New Roman" w:hAnsi="Times New Roman" w:cs="Times New Roman"/>
          <w:i/>
          <w:sz w:val="24"/>
        </w:rPr>
        <w:t xml:space="preserve">Abstract: </w:t>
      </w:r>
      <w:r>
        <w:rPr>
          <w:rFonts w:ascii="Times New Roman" w:hAnsi="Times New Roman" w:cs="Times New Roman"/>
          <w:sz w:val="24"/>
        </w:rPr>
        <w:t>Durante los últimos años, la crisis económica ha sido, con justicia, objeto de investigación. Sin embargo, son pocos los estudios que abordan su relación con el abstencionismo y</w:t>
      </w:r>
      <w:r w:rsidRPr="0040044B">
        <w:rPr>
          <w:rFonts w:ascii="Times New Roman" w:hAnsi="Times New Roman" w:cs="Times New Roman"/>
          <w:color w:val="FF0000"/>
          <w:sz w:val="24"/>
        </w:rPr>
        <w:t>,</w:t>
      </w:r>
      <w:r>
        <w:rPr>
          <w:rFonts w:ascii="Times New Roman" w:hAnsi="Times New Roman" w:cs="Times New Roman"/>
          <w:sz w:val="24"/>
        </w:rPr>
        <w:t xml:space="preserve"> cómo esto representa la evolución de la brecha entre ciudadanos y partidos políticos bajo dichas circunstancias. Dibujar un camino en este sentido es precisamente el objetivo de mi trabajo. </w:t>
      </w:r>
    </w:p>
    <w:p w:rsidR="00C30686" w:rsidRDefault="00C30686" w:rsidP="00C30686">
      <w:pPr>
        <w:spacing w:line="276" w:lineRule="auto"/>
        <w:rPr>
          <w:rFonts w:ascii="Times New Roman" w:hAnsi="Times New Roman" w:cs="Times New Roman"/>
          <w:i/>
          <w:sz w:val="24"/>
        </w:rPr>
      </w:pPr>
      <w:r>
        <w:rPr>
          <w:rFonts w:ascii="Times New Roman" w:hAnsi="Times New Roman" w:cs="Times New Roman"/>
          <w:i/>
          <w:sz w:val="24"/>
        </w:rPr>
        <w:t>Keywords: abstención, crisis, descontento, cambio, “salida”, Sur de Europa.</w:t>
      </w:r>
    </w:p>
    <w:p w:rsidR="00C30686" w:rsidRDefault="00C30686" w:rsidP="00C30686">
      <w:pPr>
        <w:spacing w:line="360" w:lineRule="auto"/>
        <w:rPr>
          <w:rFonts w:ascii="Times New Roman" w:hAnsi="Times New Roman" w:cs="Times New Roman"/>
          <w:b/>
          <w:sz w:val="24"/>
        </w:rPr>
      </w:pPr>
    </w:p>
    <w:p w:rsidR="00DA15B2" w:rsidRDefault="00DA15B2" w:rsidP="00C30686">
      <w:pPr>
        <w:spacing w:line="360" w:lineRule="auto"/>
        <w:rPr>
          <w:rFonts w:ascii="Times New Roman" w:hAnsi="Times New Roman" w:cs="Times New Roman"/>
          <w:b/>
          <w:sz w:val="24"/>
        </w:rPr>
      </w:pPr>
    </w:p>
    <w:p w:rsidR="00DA15B2" w:rsidRDefault="00DA15B2" w:rsidP="00C30686">
      <w:pPr>
        <w:spacing w:line="360" w:lineRule="auto"/>
        <w:rPr>
          <w:rFonts w:ascii="Times New Roman" w:hAnsi="Times New Roman" w:cs="Times New Roman"/>
          <w:b/>
          <w:sz w:val="24"/>
        </w:rPr>
      </w:pPr>
    </w:p>
    <w:p w:rsidR="00DA15B2" w:rsidRDefault="00DA15B2" w:rsidP="00C30686">
      <w:pPr>
        <w:spacing w:line="360" w:lineRule="auto"/>
        <w:rPr>
          <w:rFonts w:ascii="Times New Roman" w:hAnsi="Times New Roman" w:cs="Times New Roman"/>
          <w:b/>
          <w:sz w:val="24"/>
        </w:rPr>
      </w:pPr>
    </w:p>
    <w:p w:rsidR="00DA15B2" w:rsidRDefault="00DA15B2" w:rsidP="00C30686">
      <w:pPr>
        <w:spacing w:line="360" w:lineRule="auto"/>
        <w:rPr>
          <w:rFonts w:ascii="Times New Roman" w:hAnsi="Times New Roman" w:cs="Times New Roman"/>
          <w:b/>
          <w:sz w:val="24"/>
        </w:rPr>
      </w:pPr>
    </w:p>
    <w:p w:rsidR="00C30686" w:rsidRDefault="00C30686" w:rsidP="00C30686">
      <w:pPr>
        <w:spacing w:line="360" w:lineRule="auto"/>
        <w:rPr>
          <w:rFonts w:ascii="Times New Roman" w:hAnsi="Times New Roman" w:cs="Times New Roman"/>
          <w:b/>
          <w:sz w:val="24"/>
        </w:rPr>
      </w:pPr>
      <w:r>
        <w:rPr>
          <w:rFonts w:ascii="Times New Roman" w:hAnsi="Times New Roman" w:cs="Times New Roman"/>
          <w:b/>
          <w:sz w:val="24"/>
        </w:rPr>
        <w:t>Introducción</w:t>
      </w:r>
    </w:p>
    <w:p w:rsidR="00C30686" w:rsidRDefault="00C30686" w:rsidP="00C30686">
      <w:pPr>
        <w:spacing w:line="360" w:lineRule="auto"/>
        <w:jc w:val="both"/>
        <w:rPr>
          <w:rFonts w:ascii="Times New Roman" w:hAnsi="Times New Roman" w:cs="Times New Roman"/>
          <w:sz w:val="24"/>
        </w:rPr>
      </w:pPr>
      <w:r>
        <w:rPr>
          <w:rFonts w:ascii="Times New Roman" w:hAnsi="Times New Roman" w:cs="Times New Roman"/>
          <w:sz w:val="24"/>
        </w:rPr>
        <w:t xml:space="preserve">Desde hace algunos años, el aumento de la abstención en Europa es una pauta contrastada (Balis, 2007; Mair, 2005). No obstante, podemos apreciar notables incrementos en los niveles de abstención desde el comienzo de la crisis, especialmente en el Sur de Europa, como muestra </w:t>
      </w:r>
      <w:r w:rsidRPr="00B34840">
        <w:rPr>
          <w:rFonts w:ascii="Times New Roman" w:hAnsi="Times New Roman" w:cs="Times New Roman"/>
          <w:sz w:val="24"/>
        </w:rPr>
        <w:t>el gráfico 1</w:t>
      </w:r>
      <w:r>
        <w:rPr>
          <w:rFonts w:ascii="Times New Roman" w:hAnsi="Times New Roman" w:cs="Times New Roman"/>
          <w:sz w:val="24"/>
        </w:rPr>
        <w:t>, donde tal incremento ha sido no sólo significativo, sino homogéneo, por contraposición a lo ocurrido en el resto de Europa Occidental (gráfico 2). Este trabajo se centrará, pues, en ofrecer un análisis e interpretación del auge del fenómeno de la abstención en el Sur de Europa desde el inicio, en 2008, de la Gran Recesión. Lo que aquí se propone es el establecimiento de una relación entre ambos fenómenos, entendiendo el crecimiento de la abstención como respuesta al contexto político de la crisis, y como una de las características del ciclo político en que España, Grecia, Italia y Portugal se han visto envueltos tras el estallido de la crisis</w:t>
      </w:r>
    </w:p>
    <w:p w:rsidR="00C30686" w:rsidRDefault="00C30686" w:rsidP="00C30686">
      <w:pPr>
        <w:spacing w:line="360" w:lineRule="auto"/>
        <w:jc w:val="both"/>
        <w:rPr>
          <w:rFonts w:ascii="Times New Roman" w:hAnsi="Times New Roman" w:cs="Times New Roman"/>
          <w:b/>
          <w:sz w:val="24"/>
        </w:rPr>
      </w:pPr>
    </w:p>
    <w:p w:rsidR="00C30686" w:rsidRDefault="00C30686" w:rsidP="00C30686">
      <w:pPr>
        <w:spacing w:line="360" w:lineRule="auto"/>
        <w:jc w:val="both"/>
        <w:rPr>
          <w:rFonts w:ascii="Times New Roman" w:hAnsi="Times New Roman" w:cs="Times New Roman"/>
          <w:sz w:val="24"/>
        </w:rPr>
      </w:pPr>
      <w:r>
        <w:rPr>
          <w:rFonts w:ascii="Times New Roman" w:hAnsi="Times New Roman" w:cs="Times New Roman"/>
          <w:b/>
          <w:sz w:val="24"/>
        </w:rPr>
        <w:lastRenderedPageBreak/>
        <w:t>Gráfico 1.</w:t>
      </w:r>
      <w:r>
        <w:rPr>
          <w:rFonts w:ascii="Times New Roman" w:hAnsi="Times New Roman" w:cs="Times New Roman"/>
          <w:sz w:val="24"/>
        </w:rPr>
        <w:t xml:space="preserve"> Abstención en el Sur de Europa, 2002-2012</w:t>
      </w:r>
      <w:r>
        <w:rPr>
          <w:rStyle w:val="Refdenotaalpie"/>
          <w:rFonts w:ascii="Times New Roman" w:hAnsi="Times New Roman" w:cs="Times New Roman"/>
          <w:sz w:val="24"/>
        </w:rPr>
        <w:footnoteReference w:id="1"/>
      </w:r>
      <w:r>
        <w:rPr>
          <w:rFonts w:ascii="Times New Roman" w:hAnsi="Times New Roman" w:cs="Times New Roman"/>
          <w:sz w:val="24"/>
        </w:rPr>
        <w:t>.</w:t>
      </w:r>
    </w:p>
    <w:p w:rsidR="00C30686" w:rsidRDefault="00C30686" w:rsidP="00C30686">
      <w:pPr>
        <w:spacing w:line="360" w:lineRule="auto"/>
        <w:jc w:val="both"/>
        <w:rPr>
          <w:rFonts w:ascii="Times New Roman" w:hAnsi="Times New Roman" w:cs="Times New Roman"/>
          <w:sz w:val="24"/>
        </w:rPr>
      </w:pPr>
      <w:r>
        <w:rPr>
          <w:noProof/>
          <w:lang w:eastAsia="es-ES"/>
        </w:rPr>
        <w:drawing>
          <wp:inline distT="0" distB="0" distL="0" distR="0">
            <wp:extent cx="5086350" cy="1905000"/>
            <wp:effectExtent l="0" t="0" r="0" b="0"/>
            <wp:docPr id="3"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30686" w:rsidRDefault="00C30686" w:rsidP="00C30686">
      <w:pPr>
        <w:spacing w:line="360" w:lineRule="auto"/>
        <w:rPr>
          <w:rFonts w:ascii="Times New Roman" w:hAnsi="Times New Roman" w:cs="Times New Roman"/>
          <w:i/>
          <w:sz w:val="24"/>
        </w:rPr>
      </w:pPr>
      <w:r>
        <w:rPr>
          <w:rFonts w:ascii="Times New Roman" w:hAnsi="Times New Roman" w:cs="Times New Roman"/>
          <w:i/>
          <w:sz w:val="24"/>
        </w:rPr>
        <w:t>Fuente: electionresources.org.</w:t>
      </w:r>
    </w:p>
    <w:p w:rsidR="00C30686" w:rsidRDefault="00C30686" w:rsidP="00C30686">
      <w:pPr>
        <w:spacing w:line="360" w:lineRule="auto"/>
        <w:jc w:val="center"/>
        <w:rPr>
          <w:rFonts w:ascii="Times New Roman" w:hAnsi="Times New Roman" w:cs="Times New Roman"/>
          <w:b/>
          <w:sz w:val="24"/>
        </w:rPr>
      </w:pPr>
    </w:p>
    <w:p w:rsidR="00C30686" w:rsidRDefault="00C30686" w:rsidP="00C30686">
      <w:pPr>
        <w:spacing w:line="360" w:lineRule="auto"/>
        <w:rPr>
          <w:rFonts w:ascii="Times New Roman" w:hAnsi="Times New Roman" w:cs="Times New Roman"/>
          <w:sz w:val="24"/>
        </w:rPr>
      </w:pPr>
      <w:r>
        <w:rPr>
          <w:rFonts w:ascii="Times New Roman" w:hAnsi="Times New Roman" w:cs="Times New Roman"/>
          <w:b/>
          <w:sz w:val="24"/>
        </w:rPr>
        <w:t>Gráfico 2</w:t>
      </w:r>
      <w:r>
        <w:rPr>
          <w:rFonts w:ascii="Times New Roman" w:hAnsi="Times New Roman" w:cs="Times New Roman"/>
          <w:sz w:val="24"/>
        </w:rPr>
        <w:t xml:space="preserve">. Abstención </w:t>
      </w:r>
      <w:r w:rsidR="00196C5D">
        <w:rPr>
          <w:rFonts w:ascii="Times New Roman" w:hAnsi="Times New Roman" w:cs="Times New Roman"/>
          <w:sz w:val="24"/>
        </w:rPr>
        <w:t>en Europa Occidental desde 2002.</w:t>
      </w:r>
      <w:r w:rsidR="00196C5D">
        <w:rPr>
          <w:noProof/>
          <w:lang w:eastAsia="es-ES"/>
        </w:rPr>
        <w:drawing>
          <wp:inline distT="0" distB="0" distL="0" distR="0" wp14:anchorId="19475F5D" wp14:editId="62223BA7">
            <wp:extent cx="5181600" cy="2228850"/>
            <wp:effectExtent l="0" t="0" r="0" b="0"/>
            <wp:docPr id="13" name="Gráfico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30686" w:rsidRDefault="00C30686" w:rsidP="00196C5D">
      <w:pPr>
        <w:spacing w:line="360" w:lineRule="auto"/>
        <w:rPr>
          <w:rFonts w:ascii="Times New Roman" w:hAnsi="Times New Roman" w:cs="Times New Roman"/>
          <w:i/>
          <w:sz w:val="24"/>
        </w:rPr>
      </w:pPr>
      <w:r>
        <w:rPr>
          <w:rFonts w:ascii="Times New Roman" w:hAnsi="Times New Roman" w:cs="Times New Roman"/>
          <w:i/>
        </w:rPr>
        <w:t>Fuente: electionresources.org</w:t>
      </w:r>
    </w:p>
    <w:p w:rsidR="00C30686" w:rsidRDefault="00C30686" w:rsidP="00C30686">
      <w:pPr>
        <w:spacing w:line="360" w:lineRule="auto"/>
        <w:ind w:firstLine="708"/>
        <w:jc w:val="both"/>
        <w:rPr>
          <w:rFonts w:ascii="Times New Roman" w:hAnsi="Times New Roman" w:cs="Times New Roman"/>
          <w:sz w:val="24"/>
        </w:rPr>
      </w:pPr>
      <w:r>
        <w:rPr>
          <w:rFonts w:ascii="Times New Roman" w:hAnsi="Times New Roman" w:cs="Times New Roman"/>
          <w:sz w:val="24"/>
        </w:rPr>
        <w:t xml:space="preserve">Sabemos por Anduiza (1993) </w:t>
      </w:r>
      <w:r w:rsidRPr="00390AB6">
        <w:rPr>
          <w:rFonts w:ascii="Times New Roman" w:hAnsi="Times New Roman" w:cs="Times New Roman"/>
          <w:sz w:val="24"/>
        </w:rPr>
        <w:t>que la abstención puede relacionarse con factores institucionales (en los cuales se centra André Blais,</w:t>
      </w:r>
      <w:r>
        <w:rPr>
          <w:rFonts w:ascii="Times New Roman" w:hAnsi="Times New Roman" w:cs="Times New Roman"/>
          <w:sz w:val="24"/>
        </w:rPr>
        <w:t xml:space="preserve">  1996; 2006; 2007; 2010) como el sistema electoral o de partidos, el bicameralismo o la dicotomía presidencialismo/ parlamentarismo, o individuales, de entre los que destacan las características sociodemográficas como el hábitat (Font, 1995), el sexo, el nivel de estudios (Justel, 1993), y la edad (Franklin, 2004), siendo estos últimos los que han mostrado efectos significativos sobre dicho comportamiento. Centraré mi trabajo en el análisis de los </w:t>
      </w:r>
      <w:r>
        <w:rPr>
          <w:rFonts w:ascii="Times New Roman" w:hAnsi="Times New Roman" w:cs="Times New Roman"/>
          <w:sz w:val="24"/>
        </w:rPr>
        <w:lastRenderedPageBreak/>
        <w:t xml:space="preserve">factores individuales que puedan recoger la influencia de la crisis.  Se analizará aquí la abstención en dos momentos: 2002 y 2012, esto es, las elecciones habidas antes y durante la crisis económica. Así, trataré de responder a la siguiente pregunta: </w:t>
      </w:r>
      <w:r w:rsidR="00DA15B2">
        <w:rPr>
          <w:rFonts w:ascii="Times New Roman" w:hAnsi="Times New Roman" w:cs="Times New Roman"/>
          <w:i/>
          <w:sz w:val="24"/>
        </w:rPr>
        <w:t>¿Qué cambios se han producido en la abstención en el Sur de Europa durante la crisis y qué mensaje envía este comportamiento</w:t>
      </w:r>
      <w:r w:rsidRPr="00126F0A">
        <w:rPr>
          <w:rFonts w:ascii="Times New Roman" w:hAnsi="Times New Roman" w:cs="Times New Roman"/>
          <w:i/>
          <w:sz w:val="24"/>
        </w:rPr>
        <w:t>?</w:t>
      </w:r>
    </w:p>
    <w:p w:rsidR="00C30686" w:rsidRDefault="00C30686" w:rsidP="00C30686">
      <w:pPr>
        <w:spacing w:line="360" w:lineRule="auto"/>
        <w:jc w:val="both"/>
        <w:rPr>
          <w:rFonts w:ascii="Times New Roman" w:hAnsi="Times New Roman" w:cs="Times New Roman"/>
          <w:sz w:val="24"/>
        </w:rPr>
      </w:pPr>
    </w:p>
    <w:p w:rsidR="00C30686" w:rsidRDefault="00C30686" w:rsidP="00C30686">
      <w:pPr>
        <w:spacing w:line="360" w:lineRule="auto"/>
        <w:jc w:val="both"/>
        <w:rPr>
          <w:rFonts w:ascii="Times New Roman" w:hAnsi="Times New Roman" w:cs="Times New Roman"/>
          <w:b/>
          <w:sz w:val="24"/>
        </w:rPr>
      </w:pPr>
      <w:r>
        <w:rPr>
          <w:rFonts w:ascii="Times New Roman" w:hAnsi="Times New Roman" w:cs="Times New Roman"/>
          <w:b/>
          <w:sz w:val="24"/>
        </w:rPr>
        <w:t>Abstención y crisis en el Sur de Europa</w:t>
      </w:r>
    </w:p>
    <w:p w:rsidR="00C30686" w:rsidRDefault="00C30686" w:rsidP="00C30686">
      <w:pPr>
        <w:spacing w:line="360" w:lineRule="auto"/>
        <w:ind w:firstLine="708"/>
        <w:jc w:val="both"/>
        <w:rPr>
          <w:rFonts w:ascii="Times New Roman" w:hAnsi="Times New Roman" w:cs="Times New Roman"/>
          <w:sz w:val="24"/>
        </w:rPr>
      </w:pPr>
      <w:r>
        <w:rPr>
          <w:rFonts w:ascii="Times New Roman" w:hAnsi="Times New Roman" w:cs="Times New Roman"/>
          <w:sz w:val="24"/>
        </w:rPr>
        <w:t>En los últimos años, la crisis económica ha mostrado una equivalencia en el escenario político que ha generado sentimientos de descontento y de insatisfacción (con la actuación de gobiernos y partidos, el funcionamiento de la democracia) entre los ciudadanos. Ante este cambio en el contexto, cabe plantear explicaciones alternativas del fenómeno de la abstención, las cuales tengan en cuenta la crisis (Rosenstone, 1982) y que amplíen el catálogo de las ya propuestas (Font, 1993; Justel, 1993) Boix y Riba, 2000; Franklin, 2004)</w:t>
      </w:r>
      <w:r w:rsidRPr="007F0297">
        <w:rPr>
          <w:rFonts w:ascii="Times New Roman" w:hAnsi="Times New Roman" w:cs="Times New Roman"/>
          <w:color w:val="FF0000"/>
          <w:sz w:val="24"/>
        </w:rPr>
        <w:t>,</w:t>
      </w:r>
      <w:r>
        <w:rPr>
          <w:rFonts w:ascii="Times New Roman" w:hAnsi="Times New Roman" w:cs="Times New Roman"/>
          <w:sz w:val="24"/>
        </w:rPr>
        <w:t xml:space="preserve"> de carácter sociodemográfico o técnico. Así, las hipótesis de investigación asumirán la depresión de la participación electoral debido a circunstancias económicas adversas (Blais, 2000) y al aumento de actitudes políticas negativas (insatisfacción y desconfianza principalmente) originadas por tales circunstancias (Montero et al, 2013).</w:t>
      </w:r>
    </w:p>
    <w:p w:rsidR="00C30686" w:rsidRDefault="00C30686" w:rsidP="00C30686">
      <w:pPr>
        <w:spacing w:line="360" w:lineRule="auto"/>
        <w:jc w:val="both"/>
        <w:rPr>
          <w:rFonts w:ascii="Times New Roman" w:hAnsi="Times New Roman" w:cs="Times New Roman"/>
          <w:sz w:val="24"/>
        </w:rPr>
      </w:pPr>
    </w:p>
    <w:p w:rsidR="00C30686" w:rsidRPr="0058015B" w:rsidRDefault="00C30686" w:rsidP="00C30686">
      <w:pPr>
        <w:spacing w:line="360" w:lineRule="auto"/>
        <w:jc w:val="both"/>
        <w:rPr>
          <w:rFonts w:ascii="Times New Roman" w:hAnsi="Times New Roman" w:cs="Times New Roman"/>
          <w:sz w:val="24"/>
        </w:rPr>
      </w:pPr>
      <w:r w:rsidRPr="00390AB6">
        <w:rPr>
          <w:rFonts w:ascii="Times New Roman" w:hAnsi="Times New Roman" w:cs="Times New Roman"/>
          <w:i/>
          <w:sz w:val="24"/>
        </w:rPr>
        <w:t xml:space="preserve">Los costes de la participación </w:t>
      </w:r>
    </w:p>
    <w:p w:rsidR="00C30686" w:rsidRPr="00390AB6" w:rsidRDefault="00C30686" w:rsidP="00C30686">
      <w:pPr>
        <w:spacing w:line="360" w:lineRule="auto"/>
        <w:ind w:firstLine="708"/>
        <w:jc w:val="both"/>
        <w:rPr>
          <w:rFonts w:ascii="Times New Roman" w:hAnsi="Times New Roman" w:cs="Times New Roman"/>
          <w:sz w:val="24"/>
          <w:szCs w:val="24"/>
        </w:rPr>
      </w:pPr>
      <w:r w:rsidRPr="00390AB6">
        <w:rPr>
          <w:rFonts w:ascii="Times New Roman" w:hAnsi="Times New Roman" w:cs="Times New Roman"/>
          <w:sz w:val="24"/>
          <w:szCs w:val="24"/>
        </w:rPr>
        <w:t xml:space="preserve">Antes de analizar el papel que ha jugado la crisis en el aumento de la abstención en el Sur de Europa, conviene revisar qué se considera participación política y por qué el voto es su forma más extendida. De esta manera, quizás se comprenda mejor la importancia de la abstención y del mensaje que podría atribuírsele. Se </w:t>
      </w:r>
      <w:r>
        <w:rPr>
          <w:rFonts w:ascii="Times New Roman" w:hAnsi="Times New Roman" w:cs="Times New Roman"/>
          <w:sz w:val="24"/>
          <w:szCs w:val="24"/>
        </w:rPr>
        <w:t xml:space="preserve">tomará, como punto de partida, </w:t>
      </w:r>
      <w:r w:rsidRPr="00390AB6">
        <w:rPr>
          <w:rFonts w:ascii="Times New Roman" w:hAnsi="Times New Roman" w:cs="Times New Roman"/>
          <w:sz w:val="24"/>
          <w:szCs w:val="24"/>
        </w:rPr>
        <w:t xml:space="preserve">la definición de participación política propuesta por Verba y Nie, (1972:2), según la cual “la participación política se refiere a aquellas actividades de los ciudadanos que están más o menos directamente destinadas a influir en la elección de las personas que gobiernan o en las acciones que adoptan”. </w:t>
      </w:r>
    </w:p>
    <w:p w:rsidR="00C30686" w:rsidRDefault="00C30686" w:rsidP="00C30686">
      <w:pPr>
        <w:spacing w:line="360" w:lineRule="auto"/>
        <w:ind w:firstLine="708"/>
        <w:jc w:val="both"/>
        <w:rPr>
          <w:rFonts w:ascii="Times New Roman" w:hAnsi="Times New Roman" w:cs="Times New Roman"/>
          <w:sz w:val="24"/>
          <w:szCs w:val="24"/>
        </w:rPr>
      </w:pPr>
      <w:r w:rsidRPr="00390AB6">
        <w:rPr>
          <w:rFonts w:ascii="Times New Roman" w:hAnsi="Times New Roman" w:cs="Times New Roman"/>
          <w:sz w:val="24"/>
          <w:szCs w:val="24"/>
        </w:rPr>
        <w:t xml:space="preserve">Esto me permite exponer los distintos modos de participación política y ubicarme, concretamente, en la electoral. Según esta definición, la participación política engloba hasta cinco modos de acción, que se distinguen entre sí de acuerdo a cómo se </w:t>
      </w:r>
      <w:r w:rsidRPr="00390AB6">
        <w:rPr>
          <w:rFonts w:ascii="Times New Roman" w:hAnsi="Times New Roman" w:cs="Times New Roman"/>
          <w:sz w:val="24"/>
          <w:szCs w:val="24"/>
        </w:rPr>
        <w:lastRenderedPageBreak/>
        <w:t>caracterizan en las distintas dimensiones que proponen Verba, Nie y Kim (1978), las cuales son indicadores de sus costes, beneficios y alcance, esencialmente</w:t>
      </w:r>
      <w:r>
        <w:rPr>
          <w:rFonts w:ascii="Times New Roman" w:hAnsi="Times New Roman" w:cs="Times New Roman"/>
          <w:sz w:val="24"/>
          <w:szCs w:val="24"/>
        </w:rPr>
        <w:t>.</w:t>
      </w:r>
    </w:p>
    <w:p w:rsidR="00C30686" w:rsidRPr="00390AB6" w:rsidRDefault="00C30686" w:rsidP="00C30686">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Sin embargo, </w:t>
      </w:r>
      <w:r w:rsidRPr="00390AB6">
        <w:rPr>
          <w:rFonts w:ascii="Times New Roman" w:hAnsi="Times New Roman" w:cs="Times New Roman"/>
          <w:sz w:val="24"/>
          <w:szCs w:val="24"/>
        </w:rPr>
        <w:t>la absten</w:t>
      </w:r>
      <w:r>
        <w:rPr>
          <w:rFonts w:ascii="Times New Roman" w:hAnsi="Times New Roman" w:cs="Times New Roman"/>
          <w:sz w:val="24"/>
          <w:szCs w:val="24"/>
        </w:rPr>
        <w:t>ción será vista aquí no como un comportamiento de bajos costes</w:t>
      </w:r>
      <w:r>
        <w:rPr>
          <w:rStyle w:val="Refdenotaalpie"/>
          <w:rFonts w:ascii="Times New Roman" w:hAnsi="Times New Roman" w:cs="Times New Roman"/>
          <w:sz w:val="24"/>
          <w:szCs w:val="24"/>
        </w:rPr>
        <w:footnoteReference w:id="2"/>
      </w:r>
      <w:r>
        <w:rPr>
          <w:rFonts w:ascii="Times New Roman" w:hAnsi="Times New Roman" w:cs="Times New Roman"/>
          <w:sz w:val="24"/>
          <w:szCs w:val="24"/>
        </w:rPr>
        <w:t>, sino como una decisión meditada de “salida crítica”. E</w:t>
      </w:r>
      <w:r w:rsidRPr="00390AB6">
        <w:rPr>
          <w:rFonts w:ascii="Times New Roman" w:hAnsi="Times New Roman" w:cs="Times New Roman"/>
          <w:sz w:val="24"/>
          <w:szCs w:val="24"/>
        </w:rPr>
        <w:t>s decir, un abandono voluntario del voto derivado del impacto de la crisis,</w:t>
      </w:r>
      <w:r>
        <w:rPr>
          <w:rFonts w:ascii="Times New Roman" w:hAnsi="Times New Roman" w:cs="Times New Roman"/>
          <w:sz w:val="24"/>
          <w:szCs w:val="24"/>
        </w:rPr>
        <w:t xml:space="preserve"> y las valoraciones de la calidad del sistema político y sus principales actores, generalmente negativas, que se han extendido en los países del Sur de Europa durante los últimos años. De este modo, se está rechazando como única explicación la que sostiene que la abstención sea un fenómeno racional, o la consecuencia de la “apatía” o “pereza” políticas. </w:t>
      </w:r>
      <w:r w:rsidRPr="00390AB6">
        <w:rPr>
          <w:rFonts w:ascii="Times New Roman" w:hAnsi="Times New Roman" w:cs="Times New Roman"/>
          <w:sz w:val="24"/>
          <w:szCs w:val="24"/>
        </w:rPr>
        <w:t>El modo de participación política viene determinado por</w:t>
      </w:r>
      <w:r>
        <w:rPr>
          <w:rFonts w:ascii="Times New Roman" w:hAnsi="Times New Roman" w:cs="Times New Roman"/>
          <w:sz w:val="24"/>
          <w:szCs w:val="24"/>
        </w:rPr>
        <w:t xml:space="preserve"> la relación costes-beneficios, especialmente si tenemos en cuenta el</w:t>
      </w:r>
      <w:r w:rsidRPr="00390AB6">
        <w:rPr>
          <w:rFonts w:ascii="Times New Roman" w:hAnsi="Times New Roman" w:cs="Times New Roman"/>
          <w:sz w:val="24"/>
          <w:szCs w:val="24"/>
        </w:rPr>
        <w:t xml:space="preserve"> incremento </w:t>
      </w:r>
      <w:r>
        <w:rPr>
          <w:rFonts w:ascii="Times New Roman" w:hAnsi="Times New Roman" w:cs="Times New Roman"/>
          <w:sz w:val="24"/>
          <w:szCs w:val="24"/>
        </w:rPr>
        <w:t>registrado en los últimos tiempos en</w:t>
      </w:r>
      <w:r w:rsidRPr="00390AB6">
        <w:rPr>
          <w:rFonts w:ascii="Times New Roman" w:hAnsi="Times New Roman" w:cs="Times New Roman"/>
          <w:sz w:val="24"/>
          <w:szCs w:val="24"/>
        </w:rPr>
        <w:t xml:space="preserve"> otras formas de participación más costosas, como el asociacionismo o la impli</w:t>
      </w:r>
      <w:r>
        <w:rPr>
          <w:rFonts w:ascii="Times New Roman" w:hAnsi="Times New Roman" w:cs="Times New Roman"/>
          <w:sz w:val="24"/>
          <w:szCs w:val="24"/>
        </w:rPr>
        <w:t xml:space="preserve">cación en movimientos sociales, que requieren de elevados niveles de compromiso e interés político, los cuales podrían estar presentes en una abstención crítica. </w:t>
      </w:r>
    </w:p>
    <w:p w:rsidR="00C30686" w:rsidRDefault="00C30686" w:rsidP="00C30686">
      <w:pPr>
        <w:spacing w:line="360" w:lineRule="auto"/>
        <w:ind w:firstLine="708"/>
        <w:jc w:val="both"/>
        <w:rPr>
          <w:rFonts w:ascii="Times New Roman" w:hAnsi="Times New Roman" w:cs="Times New Roman"/>
          <w:sz w:val="24"/>
          <w:szCs w:val="24"/>
        </w:rPr>
      </w:pPr>
    </w:p>
    <w:p w:rsidR="00C30686" w:rsidRDefault="00C30686" w:rsidP="00C30686">
      <w:pPr>
        <w:spacing w:line="360" w:lineRule="auto"/>
        <w:jc w:val="both"/>
        <w:rPr>
          <w:rFonts w:ascii="Times New Roman" w:hAnsi="Times New Roman" w:cs="Times New Roman"/>
          <w:i/>
          <w:sz w:val="24"/>
          <w:szCs w:val="24"/>
        </w:rPr>
      </w:pPr>
      <w:r>
        <w:rPr>
          <w:rFonts w:ascii="Times New Roman" w:hAnsi="Times New Roman" w:cs="Times New Roman"/>
          <w:i/>
          <w:sz w:val="24"/>
          <w:szCs w:val="24"/>
        </w:rPr>
        <w:t>Ciclos interconectados. Circunstancias económicas extraordinarias y participación electoral</w:t>
      </w:r>
    </w:p>
    <w:p w:rsidR="00C30686" w:rsidRPr="00126F0A" w:rsidRDefault="00C30686" w:rsidP="00C30686">
      <w:pPr>
        <w:spacing w:line="360" w:lineRule="auto"/>
        <w:jc w:val="both"/>
        <w:rPr>
          <w:rFonts w:ascii="Times New Roman" w:hAnsi="Times New Roman" w:cs="Times New Roman"/>
          <w:sz w:val="24"/>
          <w:szCs w:val="24"/>
        </w:rPr>
      </w:pPr>
      <w:r>
        <w:rPr>
          <w:rFonts w:ascii="Times New Roman" w:hAnsi="Times New Roman" w:cs="Times New Roman"/>
          <w:sz w:val="24"/>
          <w:szCs w:val="24"/>
        </w:rPr>
        <w:t>En tanto que la política se desarrolla en contextos determinados, es innegable la influencia que éstos ejercen sobre aquélla. Por lo tanto, es innegable la relación que puede establecerse entre ciclos políticos y económicos (</w:t>
      </w:r>
      <w:r>
        <w:rPr>
          <w:rFonts w:ascii="Times New Roman" w:hAnsi="Times New Roman" w:cs="Times New Roman"/>
          <w:color w:val="000000" w:themeColor="text1"/>
          <w:sz w:val="24"/>
        </w:rPr>
        <w:t>Goldstein, 1988; Silvestre 2003)</w:t>
      </w:r>
      <w:r>
        <w:rPr>
          <w:rFonts w:ascii="Times New Roman" w:hAnsi="Times New Roman" w:cs="Times New Roman"/>
          <w:sz w:val="24"/>
          <w:szCs w:val="24"/>
        </w:rPr>
        <w:t xml:space="preserve">. </w:t>
      </w:r>
    </w:p>
    <w:p w:rsidR="00C30686" w:rsidRDefault="00C30686" w:rsidP="00C30686">
      <w:pPr>
        <w:spacing w:line="360" w:lineRule="auto"/>
        <w:ind w:firstLine="708"/>
        <w:jc w:val="both"/>
        <w:rPr>
          <w:rFonts w:ascii="Times New Roman" w:hAnsi="Times New Roman" w:cs="Times New Roman"/>
          <w:sz w:val="24"/>
        </w:rPr>
      </w:pPr>
      <w:r>
        <w:rPr>
          <w:rFonts w:ascii="Times New Roman" w:hAnsi="Times New Roman" w:cs="Times New Roman"/>
          <w:sz w:val="24"/>
        </w:rPr>
        <w:t xml:space="preserve">Según Rosenstone (1982), las circunstancias económicas extraordinarias, que podrían ser consideradas como un nuevo ciclo, pueden ejercer sobre el voto tres efectos: no afectar en absoluto, incrementar el voto o incrementar la abstención. Tras analizar las tres posibilidades propuestas (en relación con la crisis económica de los años setenta y las elecciones estadounidenses de la misma década), Rosenstone concluye que, ante circunstancias extraordinarias (también positivas, pero sobre todo negativas), los ciudadanos acuden más a las urnas para expresar su descontento y, eventualmente, castigar al partido que consideren responsable de dicha situación. Sin embargo, lo único </w:t>
      </w:r>
      <w:r>
        <w:rPr>
          <w:rFonts w:ascii="Times New Roman" w:hAnsi="Times New Roman" w:cs="Times New Roman"/>
          <w:sz w:val="24"/>
        </w:rPr>
        <w:lastRenderedPageBreak/>
        <w:t xml:space="preserve">que se cumple en España, Grecia, Italia y Portugal, de la explicación de Rosenstone, es el cambio en el </w:t>
      </w:r>
      <w:r w:rsidRPr="0073542A">
        <w:rPr>
          <w:rFonts w:ascii="Times New Roman" w:hAnsi="Times New Roman" w:cs="Times New Roman"/>
          <w:i/>
          <w:sz w:val="24"/>
        </w:rPr>
        <w:t xml:space="preserve">incumbent, </w:t>
      </w:r>
      <w:r>
        <w:rPr>
          <w:rFonts w:ascii="Times New Roman" w:hAnsi="Times New Roman" w:cs="Times New Roman"/>
          <w:sz w:val="24"/>
        </w:rPr>
        <w:t>pues el ciclo político desatado por la crisis del 2008 no se caracteriza, precisamente, por el incremento de la participación electoral, sino todo lo contrario. Como ya mostré en los gráficos 1 y 2, la abstención viene creciendo desde los años 90, siendo este incremento más acusado desde 2008. Tal crecimiento, coincide, además, con el auge de sentimientos y actitudes políticas negativas, como los elevados niveles de  insatisfacción con el funcionamiento de la democracia</w:t>
      </w:r>
      <w:r>
        <w:rPr>
          <w:rStyle w:val="Refdenotaalpie"/>
          <w:rFonts w:ascii="Times New Roman" w:hAnsi="Times New Roman" w:cs="Times New Roman"/>
          <w:sz w:val="24"/>
        </w:rPr>
        <w:footnoteReference w:id="3"/>
      </w:r>
      <w:r>
        <w:rPr>
          <w:rFonts w:ascii="Times New Roman" w:hAnsi="Times New Roman" w:cs="Times New Roman"/>
          <w:sz w:val="24"/>
        </w:rPr>
        <w:t xml:space="preserve"> o las consideración extendida del bajo rendimiento del conjunto de las instituciones políticas, tanto a nivel nacional como supranacional, por parte de los ciudadanos. </w:t>
      </w:r>
    </w:p>
    <w:p w:rsidR="00C30686" w:rsidRDefault="00C30686" w:rsidP="00C30686">
      <w:pPr>
        <w:spacing w:line="360" w:lineRule="auto"/>
        <w:jc w:val="both"/>
        <w:rPr>
          <w:rFonts w:ascii="Times New Roman" w:hAnsi="Times New Roman" w:cs="Times New Roman"/>
          <w:sz w:val="24"/>
        </w:rPr>
      </w:pPr>
      <w:r>
        <w:rPr>
          <w:rFonts w:ascii="Times New Roman" w:hAnsi="Times New Roman" w:cs="Times New Roman"/>
          <w:sz w:val="24"/>
        </w:rPr>
        <w:tab/>
        <w:t>Si a esto le sumamos los crecientes sentimientos de desconfianza hacia representantes y partidos políticos (una de las principales razones que explicarían el nacimiento y apoyo recibido por movimientos como el 15M), parece razonable esperar, que, tal como sucedió, la abstención aumentara. Recordando a Hirschman (1970), la “salida” de la organización, en este caso, el mercado electoral, tiene lugar toda vez que los consumidores (los votantes) creen agotada la “voz” o posibilidad de comunicar un mensaje por otras vías, y/o consideran que los bienes ofrecidos no son de la suficiente calidad para su consumo. Si extendemos ahora los conceptos de salida y voz, la abstención como salida implicaría, de algún modo, el abandono de este mercado por la baja calidad de sus productos, mas no por el deseo de dejar de participar.  El aumento de la participación política de protesta, (incluso entre quienes se decantan por la abstención, como veremos más adelante) parece confirmar esta idea. Además, permite caracterizar el ciclo político actual como de protesta (Cepeda, 2013).</w:t>
      </w:r>
    </w:p>
    <w:p w:rsidR="00C30686" w:rsidRDefault="00C30686" w:rsidP="00C30686">
      <w:pPr>
        <w:spacing w:line="360" w:lineRule="auto"/>
        <w:ind w:firstLine="708"/>
        <w:jc w:val="both"/>
        <w:rPr>
          <w:rFonts w:ascii="Times New Roman" w:hAnsi="Times New Roman" w:cs="Times New Roman"/>
          <w:color w:val="000000" w:themeColor="text1"/>
          <w:sz w:val="24"/>
        </w:rPr>
      </w:pPr>
      <w:r>
        <w:rPr>
          <w:rFonts w:ascii="Times New Roman" w:hAnsi="Times New Roman" w:cs="Times New Roman"/>
          <w:sz w:val="24"/>
        </w:rPr>
        <w:t>Esta protesta vendría caracterizada, de acuerdo con Tarrow (2004)</w:t>
      </w:r>
      <w:r>
        <w:rPr>
          <w:rFonts w:ascii="Times New Roman" w:hAnsi="Times New Roman" w:cs="Times New Roman"/>
          <w:color w:val="000000" w:themeColor="text1"/>
          <w:sz w:val="24"/>
        </w:rPr>
        <w:t xml:space="preserve">por: (i)una fuerte extensión de la magnitud de la protesta (aumento de la asistencia a manifestaciones, que se verá en el </w:t>
      </w:r>
      <w:r w:rsidRPr="00A2436D">
        <w:rPr>
          <w:rFonts w:ascii="Times New Roman" w:hAnsi="Times New Roman" w:cs="Times New Roman"/>
          <w:color w:val="000000" w:themeColor="text1"/>
          <w:sz w:val="24"/>
        </w:rPr>
        <w:t>gráfico 6); (ii) su extensión en un prolongado periodo de tiempo (desde 2008 hasta la fecha); (iii) alcanza a amplios sectores del conjunto de los movimientos sociales (estamos asistiendo incluso al nacimiento de movimientos y organizaciones nuevas, como los movimientos M12M en Portugal o 15M en España, o el M5E en Italia. Por otra parte, se registra la participación en los mismos de las clases</w:t>
      </w:r>
      <w:r>
        <w:rPr>
          <w:rFonts w:ascii="Times New Roman" w:hAnsi="Times New Roman" w:cs="Times New Roman"/>
          <w:color w:val="000000" w:themeColor="text1"/>
          <w:sz w:val="24"/>
        </w:rPr>
        <w:t xml:space="preserve"> medias, Cepeda 2013; Karamichas, 2012); (iv) afectan a la mayoría del territorio </w:t>
      </w:r>
      <w:r>
        <w:rPr>
          <w:rFonts w:ascii="Times New Roman" w:hAnsi="Times New Roman" w:cs="Times New Roman"/>
          <w:color w:val="000000" w:themeColor="text1"/>
          <w:sz w:val="24"/>
        </w:rPr>
        <w:lastRenderedPageBreak/>
        <w:t>nacional. Todos estos rasgos están presentes en el ciclo político que vive el Sur de Europa, por impacto del ciclo macroeconómico de la Gran Recesión Frank y Fuentes, 1987 y 1992; Kern, Marien y Hooghe, 2015).</w:t>
      </w:r>
    </w:p>
    <w:p w:rsidR="00C30686" w:rsidRPr="00B27605" w:rsidRDefault="00C30686" w:rsidP="00C30686">
      <w:pPr>
        <w:spacing w:line="360" w:lineRule="auto"/>
        <w:jc w:val="both"/>
        <w:rPr>
          <w:rFonts w:ascii="Times New Roman" w:hAnsi="Times New Roman" w:cs="Times New Roman"/>
          <w:sz w:val="24"/>
        </w:rPr>
      </w:pPr>
    </w:p>
    <w:p w:rsidR="00C30686" w:rsidRPr="004615FF" w:rsidRDefault="00C30686" w:rsidP="00C30686">
      <w:pPr>
        <w:spacing w:line="360" w:lineRule="auto"/>
        <w:rPr>
          <w:rFonts w:ascii="Times New Roman" w:hAnsi="Times New Roman" w:cs="Times New Roman"/>
          <w:b/>
          <w:sz w:val="24"/>
        </w:rPr>
      </w:pPr>
      <w:r w:rsidRPr="004615FF">
        <w:rPr>
          <w:rFonts w:ascii="Times New Roman" w:hAnsi="Times New Roman" w:cs="Times New Roman"/>
          <w:b/>
          <w:sz w:val="24"/>
        </w:rPr>
        <w:t>Diseño de inve</w:t>
      </w:r>
      <w:r>
        <w:rPr>
          <w:rFonts w:ascii="Times New Roman" w:hAnsi="Times New Roman" w:cs="Times New Roman"/>
          <w:b/>
          <w:sz w:val="24"/>
        </w:rPr>
        <w:t>stigación y selección de casos</w:t>
      </w:r>
    </w:p>
    <w:p w:rsidR="00C30686" w:rsidRDefault="00C30686" w:rsidP="00C30686">
      <w:pPr>
        <w:spacing w:line="360" w:lineRule="auto"/>
        <w:jc w:val="both"/>
        <w:rPr>
          <w:rFonts w:ascii="Times New Roman" w:hAnsi="Times New Roman" w:cs="Times New Roman"/>
          <w:sz w:val="24"/>
        </w:rPr>
      </w:pPr>
      <w:r>
        <w:rPr>
          <w:rFonts w:ascii="Times New Roman" w:hAnsi="Times New Roman" w:cs="Times New Roman"/>
          <w:sz w:val="24"/>
        </w:rPr>
        <w:t xml:space="preserve">El presente trabajo busca las razones que pueden explicar el aumento </w:t>
      </w:r>
      <w:r w:rsidRPr="00044C55">
        <w:rPr>
          <w:rFonts w:ascii="Times New Roman" w:hAnsi="Times New Roman" w:cs="Times New Roman"/>
          <w:sz w:val="24"/>
        </w:rPr>
        <w:t>de la abstención</w:t>
      </w:r>
      <w:r>
        <w:rPr>
          <w:rFonts w:ascii="Times New Roman" w:hAnsi="Times New Roman" w:cs="Times New Roman"/>
          <w:sz w:val="24"/>
        </w:rPr>
        <w:t xml:space="preserve"> en el Sur de Europa en los últimos años</w:t>
      </w:r>
      <w:r w:rsidRPr="00044C55">
        <w:rPr>
          <w:rFonts w:ascii="Times New Roman" w:hAnsi="Times New Roman" w:cs="Times New Roman"/>
          <w:sz w:val="24"/>
        </w:rPr>
        <w:t xml:space="preserve"> y observar </w:t>
      </w:r>
      <w:r w:rsidR="00804A11">
        <w:rPr>
          <w:rFonts w:ascii="Times New Roman" w:hAnsi="Times New Roman" w:cs="Times New Roman"/>
          <w:sz w:val="24"/>
        </w:rPr>
        <w:t xml:space="preserve">hasta qué punto durante la crisis, la abstención ha sido escogida como forma de enviar un mensaje de descontento con su actuación a los representantes políticos. </w:t>
      </w:r>
      <w:r w:rsidRPr="00044C55">
        <w:rPr>
          <w:rFonts w:ascii="Times New Roman" w:hAnsi="Times New Roman" w:cs="Times New Roman"/>
          <w:sz w:val="24"/>
        </w:rPr>
        <w:t>Me fijaré, por la especial intensidad que la crisis presenta en ellos, y por compartir una serie de características</w:t>
      </w:r>
      <w:r>
        <w:rPr>
          <w:rFonts w:ascii="Times New Roman" w:hAnsi="Times New Roman" w:cs="Times New Roman"/>
          <w:sz w:val="24"/>
        </w:rPr>
        <w:t xml:space="preserve"> (culturas políticas, sistemas institucionales, además de representar todos ellos lo que ha dado en llamarse el “capitalismo mediterráneo”</w:t>
      </w:r>
      <w:r>
        <w:rPr>
          <w:rStyle w:val="Refdenotaalpie"/>
          <w:rFonts w:ascii="Times New Roman" w:hAnsi="Times New Roman" w:cs="Times New Roman"/>
          <w:sz w:val="24"/>
        </w:rPr>
        <w:footnoteReference w:id="4"/>
      </w:r>
      <w:r>
        <w:rPr>
          <w:rFonts w:ascii="Times New Roman" w:hAnsi="Times New Roman" w:cs="Times New Roman"/>
          <w:sz w:val="24"/>
        </w:rPr>
        <w:t xml:space="preserve">) </w:t>
      </w:r>
      <w:r w:rsidRPr="00044C55">
        <w:rPr>
          <w:rFonts w:ascii="Times New Roman" w:hAnsi="Times New Roman" w:cs="Times New Roman"/>
          <w:sz w:val="24"/>
        </w:rPr>
        <w:t>que permiten considerarlos en conjunto, en los países del Sur de Europa: Grecia</w:t>
      </w:r>
      <w:r w:rsidRPr="00044C55">
        <w:rPr>
          <w:rStyle w:val="Refdenotaalpie"/>
          <w:rFonts w:ascii="Times New Roman" w:hAnsi="Times New Roman" w:cs="Times New Roman"/>
          <w:sz w:val="24"/>
        </w:rPr>
        <w:footnoteReference w:id="5"/>
      </w:r>
      <w:r w:rsidR="00804A11">
        <w:rPr>
          <w:rFonts w:ascii="Times New Roman" w:hAnsi="Times New Roman" w:cs="Times New Roman"/>
          <w:sz w:val="24"/>
        </w:rPr>
        <w:t xml:space="preserve">, Italia, Portugal y España. </w:t>
      </w:r>
      <w:r w:rsidRPr="00044C55">
        <w:rPr>
          <w:rFonts w:ascii="Times New Roman" w:hAnsi="Times New Roman" w:cs="Times New Roman"/>
          <w:sz w:val="24"/>
        </w:rPr>
        <w:t xml:space="preserve">Además, servirán como casos probatorios de las hipótesis manejadas, que se exponen en el epígrafe siguiente. De no cumplirse allí donde la crisis ha mostrado una mayor impronta económica y política, cabe esperar que, </w:t>
      </w:r>
      <w:r w:rsidR="00804A11">
        <w:rPr>
          <w:rFonts w:ascii="Times New Roman" w:hAnsi="Times New Roman" w:cs="Times New Roman"/>
          <w:sz w:val="24"/>
        </w:rPr>
        <w:t xml:space="preserve">de extenderse los análisis al conjunto de la Unión Europea, los resultados obtenidos refutaran nuevamente los presupuestos planteados. Por otra parte, este trabajo constituye una primera incursión en los cambios de significado que han adquirido, para los ciudadanos del Sur de Europa, los distintos comportamientos políticos, a fin de determinar qué se considera en el momento presente participación convencional, protesta, etc. </w:t>
      </w:r>
    </w:p>
    <w:p w:rsidR="00C30686" w:rsidRPr="00044C55" w:rsidRDefault="00C30686" w:rsidP="00C30686">
      <w:pPr>
        <w:spacing w:line="360" w:lineRule="auto"/>
        <w:ind w:firstLine="708"/>
        <w:jc w:val="both"/>
        <w:rPr>
          <w:rFonts w:ascii="Times New Roman" w:hAnsi="Times New Roman" w:cs="Times New Roman"/>
          <w:sz w:val="24"/>
        </w:rPr>
      </w:pPr>
      <w:r w:rsidRPr="00044C55">
        <w:rPr>
          <w:rFonts w:ascii="Times New Roman" w:hAnsi="Times New Roman" w:cs="Times New Roman"/>
          <w:sz w:val="24"/>
        </w:rPr>
        <w:t xml:space="preserve">Se realizará un análisis comparado de la abstención con carácter sincrónico (todos los países considerados se tendrán en cuenta en los mismos momentos temporales), </w:t>
      </w:r>
      <w:r>
        <w:rPr>
          <w:rFonts w:ascii="Times New Roman" w:hAnsi="Times New Roman" w:cs="Times New Roman"/>
          <w:sz w:val="24"/>
        </w:rPr>
        <w:t>pero atendiendo a la evolución de cada uno de los casos.  En este estudio</w:t>
      </w:r>
      <w:r w:rsidRPr="00044C55">
        <w:rPr>
          <w:rFonts w:ascii="Times New Roman" w:hAnsi="Times New Roman" w:cs="Times New Roman"/>
          <w:sz w:val="24"/>
        </w:rPr>
        <w:t>, se tomarán en consideración las elecciones acaecidas en cada uno de los países de la muestra inmediatamente previas.</w:t>
      </w:r>
    </w:p>
    <w:p w:rsidR="00C30686" w:rsidRPr="00044C55" w:rsidRDefault="00C30686" w:rsidP="00C30686">
      <w:pPr>
        <w:spacing w:line="360" w:lineRule="auto"/>
        <w:ind w:firstLine="708"/>
        <w:jc w:val="both"/>
        <w:rPr>
          <w:rFonts w:ascii="Times New Roman" w:hAnsi="Times New Roman" w:cs="Times New Roman"/>
          <w:sz w:val="24"/>
        </w:rPr>
      </w:pPr>
      <w:r w:rsidRPr="00044C55">
        <w:rPr>
          <w:rFonts w:ascii="Times New Roman" w:hAnsi="Times New Roman" w:cs="Times New Roman"/>
          <w:sz w:val="24"/>
        </w:rPr>
        <w:lastRenderedPageBreak/>
        <w:t xml:space="preserve">El estudio será eminentemente cuantitativo, tomando las olas primera y sexta de la Encuesta Social Europea (ESS), correspondientes a los años 2002 y 2012ya que capturan las circunstancias de normalidad, por un lado, y de crisis, por otro. </w:t>
      </w:r>
      <w:r>
        <w:rPr>
          <w:rFonts w:ascii="Times New Roman" w:hAnsi="Times New Roman" w:cs="Times New Roman"/>
          <w:sz w:val="24"/>
        </w:rPr>
        <w:t>Se</w:t>
      </w:r>
      <w:r w:rsidRPr="00044C55">
        <w:rPr>
          <w:rFonts w:ascii="Times New Roman" w:hAnsi="Times New Roman" w:cs="Times New Roman"/>
          <w:sz w:val="24"/>
        </w:rPr>
        <w:t xml:space="preserve"> complementará con una observación y análisis cualitativo de la evolución de algunos indicadores económicos, como el PIB</w:t>
      </w:r>
      <w:r>
        <w:rPr>
          <w:rFonts w:ascii="Times New Roman" w:hAnsi="Times New Roman" w:cs="Times New Roman"/>
          <w:sz w:val="24"/>
        </w:rPr>
        <w:t xml:space="preserve">, cuyas caídas en el Sur de Europa pueden verse en el gráfico 6 de la sección siguiente. </w:t>
      </w:r>
      <w:r w:rsidRPr="00044C55">
        <w:rPr>
          <w:rFonts w:ascii="Times New Roman" w:hAnsi="Times New Roman" w:cs="Times New Roman"/>
          <w:sz w:val="24"/>
        </w:rPr>
        <w:t xml:space="preserve">Con este diseño se busca estimar la influencia de una pluralidad de variables independientes sobre la abstención. </w:t>
      </w:r>
    </w:p>
    <w:p w:rsidR="00C30686" w:rsidRPr="00044C55" w:rsidRDefault="00C30686" w:rsidP="00C30686">
      <w:pPr>
        <w:spacing w:line="360" w:lineRule="auto"/>
        <w:jc w:val="both"/>
        <w:rPr>
          <w:rFonts w:ascii="Times New Roman" w:hAnsi="Times New Roman" w:cs="Times New Roman"/>
          <w:i/>
          <w:sz w:val="24"/>
        </w:rPr>
      </w:pPr>
    </w:p>
    <w:p w:rsidR="00C30686" w:rsidRPr="004615FF" w:rsidRDefault="00C30686" w:rsidP="00C30686">
      <w:pPr>
        <w:spacing w:line="360" w:lineRule="auto"/>
        <w:jc w:val="both"/>
        <w:rPr>
          <w:rFonts w:ascii="Times New Roman" w:hAnsi="Times New Roman" w:cs="Times New Roman"/>
          <w:b/>
          <w:sz w:val="24"/>
        </w:rPr>
      </w:pPr>
      <w:r w:rsidRPr="004615FF">
        <w:rPr>
          <w:rFonts w:ascii="Times New Roman" w:hAnsi="Times New Roman" w:cs="Times New Roman"/>
          <w:b/>
          <w:sz w:val="24"/>
        </w:rPr>
        <w:t>Pregunta de investigación, hipótesis y variables</w:t>
      </w:r>
    </w:p>
    <w:p w:rsidR="00C30686" w:rsidRDefault="00C30686" w:rsidP="00C30686">
      <w:pPr>
        <w:tabs>
          <w:tab w:val="left" w:pos="426"/>
        </w:tabs>
        <w:spacing w:line="360" w:lineRule="auto"/>
        <w:jc w:val="both"/>
        <w:rPr>
          <w:rFonts w:ascii="Times New Roman" w:hAnsi="Times New Roman" w:cs="Times New Roman"/>
          <w:i/>
          <w:sz w:val="24"/>
        </w:rPr>
      </w:pPr>
      <w:r w:rsidRPr="00044C55">
        <w:rPr>
          <w:rFonts w:ascii="Times New Roman" w:hAnsi="Times New Roman" w:cs="Times New Roman"/>
          <w:sz w:val="24"/>
        </w:rPr>
        <w:t>Como ya se expuso en la introducción, la cuestión a la que trato de dar respuesta,</w:t>
      </w:r>
      <w:r w:rsidR="00804A11">
        <w:rPr>
          <w:rFonts w:ascii="Times New Roman" w:hAnsi="Times New Roman" w:cs="Times New Roman"/>
          <w:sz w:val="24"/>
        </w:rPr>
        <w:t xml:space="preserve"> dice así: </w:t>
      </w:r>
      <w:r w:rsidR="00804A11">
        <w:rPr>
          <w:rFonts w:ascii="Times New Roman" w:hAnsi="Times New Roman" w:cs="Times New Roman"/>
          <w:i/>
          <w:sz w:val="24"/>
        </w:rPr>
        <w:t>¿Qué cambios se han producido en la abstención en el Sur de Europa durante la crisis y qué mensaje envía este comportamiento</w:t>
      </w:r>
      <w:r w:rsidR="00804A11" w:rsidRPr="00126F0A">
        <w:rPr>
          <w:rFonts w:ascii="Times New Roman" w:hAnsi="Times New Roman" w:cs="Times New Roman"/>
          <w:i/>
          <w:sz w:val="24"/>
        </w:rPr>
        <w:t>?</w:t>
      </w:r>
    </w:p>
    <w:p w:rsidR="00204653" w:rsidRPr="00204653" w:rsidRDefault="00204653" w:rsidP="00C30686">
      <w:pPr>
        <w:tabs>
          <w:tab w:val="left" w:pos="426"/>
        </w:tabs>
        <w:spacing w:line="360" w:lineRule="auto"/>
        <w:jc w:val="both"/>
        <w:rPr>
          <w:rFonts w:ascii="Times New Roman" w:hAnsi="Times New Roman" w:cs="Times New Roman"/>
          <w:sz w:val="24"/>
        </w:rPr>
      </w:pPr>
      <w:r>
        <w:rPr>
          <w:rFonts w:ascii="Times New Roman" w:hAnsi="Times New Roman" w:cs="Times New Roman"/>
          <w:sz w:val="24"/>
        </w:rPr>
        <w:tab/>
        <w:t xml:space="preserve">Dado que la pregunta se centra en el significado de la abstención o el mensaje que ésta pudiera constituir, en base a las actitudes dominantes en ella, lo que resulta de interés es desarrollar tales actitudes en forma de perfiles cuya distribución podamos observar. Ante el crecimiento de actitudes políticas negativas, como el descontento, el rechazo y la desconfianza en instituciones y representantes, serán los perfiles que recojan dicha carga negativa, esto es, críticos y desafectos, los que se espera que crezcan, como se recoge en la siguiente hipótesis. </w:t>
      </w:r>
    </w:p>
    <w:p w:rsidR="00F513DE" w:rsidRDefault="00F513DE" w:rsidP="00C30686">
      <w:pPr>
        <w:tabs>
          <w:tab w:val="left" w:pos="426"/>
        </w:tabs>
        <w:spacing w:line="360" w:lineRule="auto"/>
        <w:jc w:val="both"/>
        <w:rPr>
          <w:rFonts w:ascii="Times New Roman" w:hAnsi="Times New Roman" w:cs="Times New Roman"/>
          <w:i/>
          <w:sz w:val="24"/>
        </w:rPr>
      </w:pPr>
      <w:r w:rsidRPr="005D6431">
        <w:rPr>
          <w:rFonts w:ascii="Times New Roman" w:hAnsi="Times New Roman" w:cs="Times New Roman"/>
          <w:b/>
          <w:sz w:val="24"/>
          <w:highlight w:val="cyan"/>
        </w:rPr>
        <w:t>H1.</w:t>
      </w:r>
      <w:r w:rsidR="008E0855">
        <w:rPr>
          <w:rFonts w:ascii="Times New Roman" w:hAnsi="Times New Roman" w:cs="Times New Roman"/>
          <w:b/>
          <w:sz w:val="24"/>
          <w:highlight w:val="cyan"/>
        </w:rPr>
        <w:t>A</w:t>
      </w:r>
      <w:r w:rsidRPr="005D6431">
        <w:rPr>
          <w:rFonts w:ascii="Times New Roman" w:hAnsi="Times New Roman" w:cs="Times New Roman"/>
          <w:b/>
          <w:sz w:val="24"/>
          <w:highlight w:val="cyan"/>
        </w:rPr>
        <w:t>:</w:t>
      </w:r>
      <w:r w:rsidRPr="005D6431">
        <w:rPr>
          <w:rFonts w:ascii="Times New Roman" w:hAnsi="Times New Roman" w:cs="Times New Roman"/>
          <w:i/>
          <w:sz w:val="24"/>
          <w:highlight w:val="cyan"/>
        </w:rPr>
        <w:t xml:space="preserve"> </w:t>
      </w:r>
      <w:r>
        <w:rPr>
          <w:rFonts w:ascii="Times New Roman" w:hAnsi="Times New Roman" w:cs="Times New Roman"/>
          <w:i/>
          <w:sz w:val="24"/>
        </w:rPr>
        <w:t xml:space="preserve">De entre los abstencionistas, se espera que hayan crecido los perfiles crítico y desafecto de manera significativa. </w:t>
      </w:r>
    </w:p>
    <w:p w:rsidR="008E0855" w:rsidRDefault="008E0855" w:rsidP="00C30686">
      <w:pPr>
        <w:tabs>
          <w:tab w:val="left" w:pos="426"/>
        </w:tabs>
        <w:spacing w:line="360" w:lineRule="auto"/>
        <w:jc w:val="both"/>
        <w:rPr>
          <w:rFonts w:ascii="Times New Roman" w:hAnsi="Times New Roman" w:cs="Times New Roman"/>
          <w:i/>
          <w:sz w:val="24"/>
        </w:rPr>
      </w:pPr>
      <w:r>
        <w:rPr>
          <w:rFonts w:ascii="Times New Roman" w:hAnsi="Times New Roman" w:cs="Times New Roman"/>
          <w:sz w:val="24"/>
        </w:rPr>
        <w:tab/>
        <w:t>Se espera, además, que entre los abstencionistas críticos estén presentes el interés y el compromiso político, lo cual podría manifestarse en su participación a través de otras vías, como las acciones clásicas de protesta, construyendo un discurso de salida más completo.</w:t>
      </w:r>
    </w:p>
    <w:p w:rsidR="008E0855" w:rsidRDefault="008E0855" w:rsidP="00C30686">
      <w:pPr>
        <w:tabs>
          <w:tab w:val="left" w:pos="426"/>
        </w:tabs>
        <w:spacing w:line="360" w:lineRule="auto"/>
        <w:jc w:val="both"/>
        <w:rPr>
          <w:rFonts w:ascii="Times New Roman" w:hAnsi="Times New Roman" w:cs="Times New Roman"/>
          <w:i/>
          <w:sz w:val="24"/>
        </w:rPr>
      </w:pPr>
      <w:r w:rsidRPr="00804A11">
        <w:rPr>
          <w:rFonts w:ascii="Times New Roman" w:hAnsi="Times New Roman" w:cs="Times New Roman"/>
          <w:b/>
          <w:sz w:val="24"/>
          <w:highlight w:val="cyan"/>
        </w:rPr>
        <w:t>H.1.B:</w:t>
      </w:r>
      <w:r>
        <w:rPr>
          <w:rFonts w:ascii="Times New Roman" w:hAnsi="Times New Roman" w:cs="Times New Roman"/>
          <w:i/>
          <w:sz w:val="24"/>
        </w:rPr>
        <w:t xml:space="preserve"> Para considerar crítica la abstención, se espera que, de entre aquéllos ciudadanos que se abstienen, tengan lugar otras formas de participación, como la asistencia a manifestaciones. </w:t>
      </w:r>
    </w:p>
    <w:p w:rsidR="00C30686" w:rsidRDefault="00C30686" w:rsidP="00C30686">
      <w:pPr>
        <w:spacing w:line="360" w:lineRule="auto"/>
        <w:ind w:firstLine="708"/>
        <w:jc w:val="both"/>
        <w:rPr>
          <w:rFonts w:ascii="Times New Roman" w:hAnsi="Times New Roman" w:cs="Times New Roman"/>
          <w:sz w:val="24"/>
        </w:rPr>
      </w:pPr>
      <w:r>
        <w:rPr>
          <w:rFonts w:ascii="Times New Roman" w:hAnsi="Times New Roman" w:cs="Times New Roman"/>
          <w:sz w:val="24"/>
        </w:rPr>
        <w:lastRenderedPageBreak/>
        <w:t>Las variables independientes actitudinales se operacionalizan en los indicadores de desconfianza (</w:t>
      </w:r>
      <w:r w:rsidR="0020781F">
        <w:rPr>
          <w:rFonts w:ascii="Times New Roman" w:hAnsi="Times New Roman" w:cs="Times New Roman"/>
          <w:sz w:val="24"/>
        </w:rPr>
        <w:t>hacia el parlamento nacional</w:t>
      </w:r>
      <w:r w:rsidR="00BA5987">
        <w:rPr>
          <w:rStyle w:val="Refdenotaalpie"/>
          <w:rFonts w:ascii="Times New Roman" w:hAnsi="Times New Roman" w:cs="Times New Roman"/>
          <w:sz w:val="24"/>
        </w:rPr>
        <w:footnoteReference w:id="6"/>
      </w:r>
      <w:r w:rsidR="0020781F">
        <w:rPr>
          <w:rFonts w:ascii="Times New Roman" w:hAnsi="Times New Roman" w:cs="Times New Roman"/>
          <w:sz w:val="24"/>
        </w:rPr>
        <w:t xml:space="preserve">, por ser la principal institución del sistema político de todos los casos seleccionados, y aquélla en la que es posible identificar con mayor facilidad a los representantes, y, por ello, establecer </w:t>
      </w:r>
      <w:r w:rsidR="00BA5987">
        <w:rPr>
          <w:rFonts w:ascii="Times New Roman" w:hAnsi="Times New Roman" w:cs="Times New Roman"/>
          <w:sz w:val="24"/>
        </w:rPr>
        <w:t>responsabilidades</w:t>
      </w:r>
      <w:r w:rsidR="00BA5987">
        <w:rPr>
          <w:rStyle w:val="Refdenotaalpie"/>
          <w:rFonts w:ascii="Times New Roman" w:hAnsi="Times New Roman" w:cs="Times New Roman"/>
          <w:sz w:val="24"/>
        </w:rPr>
        <w:footnoteReference w:id="7"/>
      </w:r>
      <w:r>
        <w:rPr>
          <w:rFonts w:ascii="Times New Roman" w:hAnsi="Times New Roman" w:cs="Times New Roman"/>
          <w:sz w:val="24"/>
        </w:rPr>
        <w:t xml:space="preserve">) </w:t>
      </w:r>
      <w:r w:rsidR="0020781F">
        <w:rPr>
          <w:rFonts w:ascii="Times New Roman" w:hAnsi="Times New Roman" w:cs="Times New Roman"/>
          <w:sz w:val="24"/>
        </w:rPr>
        <w:t xml:space="preserve">e </w:t>
      </w:r>
      <w:r>
        <w:rPr>
          <w:rFonts w:ascii="Times New Roman" w:hAnsi="Times New Roman" w:cs="Times New Roman"/>
          <w:sz w:val="24"/>
        </w:rPr>
        <w:t xml:space="preserve"> interés político (Blais, 2000; García Albacete, Lorente y Martín, </w:t>
      </w:r>
      <w:r>
        <w:rPr>
          <w:rFonts w:ascii="Times New Roman" w:hAnsi="Times New Roman" w:cs="Times New Roman"/>
          <w:i/>
          <w:sz w:val="24"/>
        </w:rPr>
        <w:t>forthco</w:t>
      </w:r>
      <w:r w:rsidRPr="009B081A">
        <w:rPr>
          <w:rFonts w:ascii="Times New Roman" w:hAnsi="Times New Roman" w:cs="Times New Roman"/>
          <w:i/>
          <w:sz w:val="24"/>
        </w:rPr>
        <w:t>ming</w:t>
      </w:r>
      <w:r>
        <w:rPr>
          <w:rFonts w:ascii="Times New Roman" w:hAnsi="Times New Roman" w:cs="Times New Roman"/>
          <w:sz w:val="24"/>
        </w:rPr>
        <w:t xml:space="preserve">), </w:t>
      </w:r>
      <w:r w:rsidR="0020781F">
        <w:rPr>
          <w:rFonts w:ascii="Times New Roman" w:hAnsi="Times New Roman" w:cs="Times New Roman"/>
          <w:sz w:val="24"/>
        </w:rPr>
        <w:t xml:space="preserve">en tanto que estas dos variables , según su presencia o ausencia, dan lugar </w:t>
      </w:r>
      <w:r w:rsidR="0020781F" w:rsidRPr="00EA22FF">
        <w:rPr>
          <w:rFonts w:ascii="Times New Roman" w:hAnsi="Times New Roman" w:cs="Times New Roman"/>
          <w:sz w:val="24"/>
        </w:rPr>
        <w:t>a los cuatro perfiles o rasgos ciudadanos que serán analizados</w:t>
      </w:r>
      <w:r w:rsidR="00BA5987" w:rsidRPr="00EA22FF">
        <w:rPr>
          <w:rFonts w:ascii="Times New Roman" w:hAnsi="Times New Roman" w:cs="Times New Roman"/>
          <w:sz w:val="24"/>
        </w:rPr>
        <w:t xml:space="preserve">, creados en base a Montero, Sanz y Navarrete (2013). </w:t>
      </w:r>
    </w:p>
    <w:p w:rsidR="00F513DE" w:rsidRDefault="00F513DE" w:rsidP="00C30686">
      <w:pPr>
        <w:spacing w:line="360" w:lineRule="auto"/>
        <w:ind w:firstLine="708"/>
        <w:jc w:val="both"/>
        <w:rPr>
          <w:rFonts w:ascii="Times New Roman" w:hAnsi="Times New Roman" w:cs="Times New Roman"/>
          <w:sz w:val="24"/>
        </w:rPr>
      </w:pPr>
      <w:r>
        <w:rPr>
          <w:rFonts w:ascii="Times New Roman" w:hAnsi="Times New Roman" w:cs="Times New Roman"/>
          <w:sz w:val="24"/>
        </w:rPr>
        <w:t xml:space="preserve">Se presentará la evolución de una serie de variables económicas (niveles de satisfacción con la economía, PIB y tasa de desempleo) para contextualizar el ciclo económico que ha dado origen a este ciclo político de crítica y protesta. Después, se pasará a presentar unos modelos actitudinales en los que se aúna, el interés político que muestran los ciudadanos del Sur de Europa con la confianza que les inspiran las instituciones, en este caso, los parlamentos nacionales </w:t>
      </w:r>
    </w:p>
    <w:p w:rsidR="00C30686" w:rsidRPr="00241D10" w:rsidRDefault="00C30686" w:rsidP="00C30686">
      <w:pPr>
        <w:spacing w:line="360" w:lineRule="auto"/>
        <w:ind w:firstLine="708"/>
        <w:jc w:val="both"/>
        <w:rPr>
          <w:rFonts w:ascii="Times New Roman" w:hAnsi="Times New Roman" w:cs="Times New Roman"/>
          <w:sz w:val="24"/>
        </w:rPr>
      </w:pPr>
      <w:r>
        <w:rPr>
          <w:rFonts w:ascii="Times New Roman" w:hAnsi="Times New Roman" w:cs="Times New Roman"/>
          <w:sz w:val="24"/>
        </w:rPr>
        <w:t>En todo momento la variable dependiente será la abstención (su aumento en los últimos años en España, Grecia, Italia y Portugal).</w:t>
      </w:r>
    </w:p>
    <w:p w:rsidR="00C30686" w:rsidRPr="00A444F8" w:rsidRDefault="00C30686" w:rsidP="00C30686">
      <w:pPr>
        <w:tabs>
          <w:tab w:val="left" w:pos="426"/>
        </w:tabs>
        <w:spacing w:line="360" w:lineRule="auto"/>
        <w:jc w:val="both"/>
        <w:rPr>
          <w:rFonts w:ascii="Times New Roman" w:hAnsi="Times New Roman" w:cs="Times New Roman"/>
          <w:sz w:val="24"/>
        </w:rPr>
      </w:pPr>
    </w:p>
    <w:p w:rsidR="00F513DE" w:rsidRDefault="00F513DE" w:rsidP="00C30686">
      <w:pPr>
        <w:spacing w:line="360" w:lineRule="auto"/>
        <w:jc w:val="both"/>
        <w:rPr>
          <w:rFonts w:ascii="Times New Roman" w:hAnsi="Times New Roman" w:cs="Times New Roman"/>
          <w:b/>
          <w:sz w:val="24"/>
        </w:rPr>
      </w:pPr>
    </w:p>
    <w:p w:rsidR="00C30686" w:rsidRPr="0028706A" w:rsidRDefault="00C30686" w:rsidP="00C30686">
      <w:pPr>
        <w:spacing w:line="360" w:lineRule="auto"/>
        <w:jc w:val="both"/>
        <w:rPr>
          <w:rFonts w:ascii="Times New Roman" w:hAnsi="Times New Roman" w:cs="Times New Roman"/>
          <w:b/>
          <w:sz w:val="24"/>
        </w:rPr>
      </w:pPr>
      <w:r w:rsidRPr="0028706A">
        <w:rPr>
          <w:rFonts w:ascii="Times New Roman" w:hAnsi="Times New Roman" w:cs="Times New Roman"/>
          <w:b/>
          <w:sz w:val="24"/>
        </w:rPr>
        <w:t>Análisis y discusión de resultados</w:t>
      </w:r>
    </w:p>
    <w:p w:rsidR="00C30686" w:rsidRDefault="00C30686" w:rsidP="00C30686">
      <w:pPr>
        <w:spacing w:line="360" w:lineRule="auto"/>
        <w:jc w:val="both"/>
        <w:rPr>
          <w:rFonts w:ascii="Times New Roman" w:hAnsi="Times New Roman" w:cs="Times New Roman"/>
          <w:sz w:val="24"/>
        </w:rPr>
      </w:pPr>
      <w:r w:rsidRPr="005A0F04">
        <w:rPr>
          <w:rFonts w:ascii="Times New Roman" w:hAnsi="Times New Roman" w:cs="Times New Roman"/>
          <w:sz w:val="24"/>
        </w:rPr>
        <w:t xml:space="preserve">En este apartado, procederé a exponer los resultados de los análisis realizados.  Para llevarlos a cabo, se han utilizado datos de las olas </w:t>
      </w:r>
      <w:r>
        <w:rPr>
          <w:rFonts w:ascii="Times New Roman" w:hAnsi="Times New Roman" w:cs="Times New Roman"/>
          <w:sz w:val="24"/>
        </w:rPr>
        <w:t>primera</w:t>
      </w:r>
      <w:r w:rsidRPr="005A0F04">
        <w:rPr>
          <w:rFonts w:ascii="Times New Roman" w:hAnsi="Times New Roman" w:cs="Times New Roman"/>
          <w:sz w:val="24"/>
        </w:rPr>
        <w:t xml:space="preserve"> y sexta de la Encuesta Social Europea (ESS), complementados con datos </w:t>
      </w:r>
      <w:r>
        <w:rPr>
          <w:rFonts w:ascii="Times New Roman" w:hAnsi="Times New Roman" w:cs="Times New Roman"/>
          <w:sz w:val="24"/>
        </w:rPr>
        <w:t>del Banco Mundial y la Comisión Europea</w:t>
      </w:r>
      <w:r w:rsidRPr="005A0F04">
        <w:rPr>
          <w:rFonts w:ascii="Times New Roman" w:hAnsi="Times New Roman" w:cs="Times New Roman"/>
          <w:sz w:val="24"/>
        </w:rPr>
        <w:t xml:space="preserve"> para las tasa</w:t>
      </w:r>
      <w:r>
        <w:rPr>
          <w:rFonts w:ascii="Times New Roman" w:hAnsi="Times New Roman" w:cs="Times New Roman"/>
          <w:sz w:val="24"/>
        </w:rPr>
        <w:t>s de paro de la eurozona y los E</w:t>
      </w:r>
      <w:r w:rsidRPr="005A0F04">
        <w:rPr>
          <w:rFonts w:ascii="Times New Roman" w:hAnsi="Times New Roman" w:cs="Times New Roman"/>
          <w:sz w:val="24"/>
        </w:rPr>
        <w:t>stados miembros y el producto interior bruto (PIB</w:t>
      </w:r>
      <w:r>
        <w:rPr>
          <w:rFonts w:ascii="Times New Roman" w:hAnsi="Times New Roman" w:cs="Times New Roman"/>
          <w:sz w:val="24"/>
        </w:rPr>
        <w:t>), que se mostrarán en tablas subsiguientes.</w:t>
      </w:r>
    </w:p>
    <w:p w:rsidR="00C30686" w:rsidRPr="00622814" w:rsidRDefault="00C30686" w:rsidP="00C30686">
      <w:pPr>
        <w:spacing w:line="360" w:lineRule="auto"/>
        <w:ind w:firstLine="708"/>
        <w:jc w:val="both"/>
        <w:rPr>
          <w:rFonts w:ascii="Times New Roman" w:hAnsi="Times New Roman" w:cs="Times New Roman"/>
          <w:sz w:val="24"/>
        </w:rPr>
      </w:pPr>
      <w:r>
        <w:rPr>
          <w:rFonts w:ascii="Times New Roman" w:eastAsia="Times New Roman" w:hAnsi="Times New Roman" w:cs="Times New Roman"/>
          <w:sz w:val="24"/>
          <w:szCs w:val="23"/>
          <w:lang w:eastAsia="es-ES"/>
        </w:rPr>
        <w:t xml:space="preserve">Toda vez que el crecimiento de la abstención en el Sur de Europa quedó probado en el gráfico 1 paso ahora a describir someramente la evolución de la crisis económica en dichos países. </w:t>
      </w:r>
    </w:p>
    <w:p w:rsidR="00C30686" w:rsidRDefault="00C30686" w:rsidP="00C30686">
      <w:pPr>
        <w:spacing w:after="0" w:line="360" w:lineRule="auto"/>
        <w:ind w:firstLine="708"/>
        <w:jc w:val="both"/>
        <w:rPr>
          <w:rFonts w:ascii="Times New Roman" w:eastAsia="Times New Roman" w:hAnsi="Times New Roman" w:cs="Times New Roman"/>
          <w:sz w:val="24"/>
          <w:szCs w:val="23"/>
          <w:lang w:eastAsia="es-ES"/>
        </w:rPr>
      </w:pPr>
      <w:r>
        <w:rPr>
          <w:rFonts w:ascii="Times New Roman" w:eastAsia="Times New Roman" w:hAnsi="Times New Roman" w:cs="Times New Roman"/>
          <w:sz w:val="24"/>
          <w:szCs w:val="23"/>
          <w:lang w:eastAsia="es-ES"/>
        </w:rPr>
        <w:lastRenderedPageBreak/>
        <w:t xml:space="preserve">Así, se han de establecer variaciones acaecidas en el PIB para observar cuál es realmente el efecto de la crisis en la economía de estos países, y si es posible apreciar en la abstención un correlato de esta situación.  El siguiente gráfico las variaciones en el PIB en algunos países europeos, para apreciar mejor las diferencias entre los países objeto de estudio y el conjunto de la U.E. </w:t>
      </w:r>
    </w:p>
    <w:p w:rsidR="00EA22FF" w:rsidRDefault="00EA22FF" w:rsidP="00EA22FF">
      <w:pPr>
        <w:spacing w:line="360" w:lineRule="auto"/>
        <w:rPr>
          <w:rFonts w:ascii="Times New Roman" w:hAnsi="Times New Roman" w:cs="Times New Roman"/>
          <w:b/>
          <w:sz w:val="24"/>
        </w:rPr>
      </w:pPr>
    </w:p>
    <w:p w:rsidR="00C30686" w:rsidRDefault="00C30686" w:rsidP="00EA22FF">
      <w:pPr>
        <w:spacing w:line="360" w:lineRule="auto"/>
        <w:rPr>
          <w:rFonts w:ascii="Times New Roman" w:hAnsi="Times New Roman" w:cs="Times New Roman"/>
          <w:sz w:val="24"/>
        </w:rPr>
      </w:pPr>
      <w:r>
        <w:rPr>
          <w:rFonts w:ascii="Times New Roman" w:hAnsi="Times New Roman" w:cs="Times New Roman"/>
          <w:b/>
          <w:sz w:val="24"/>
        </w:rPr>
        <w:t>Gráfico 3</w:t>
      </w:r>
      <w:r w:rsidRPr="00A444F8">
        <w:rPr>
          <w:rFonts w:ascii="Times New Roman" w:hAnsi="Times New Roman" w:cs="Times New Roman"/>
          <w:b/>
          <w:sz w:val="24"/>
        </w:rPr>
        <w:t>.</w:t>
      </w:r>
      <w:r>
        <w:rPr>
          <w:rFonts w:ascii="Times New Roman" w:hAnsi="Times New Roman" w:cs="Times New Roman"/>
          <w:sz w:val="24"/>
        </w:rPr>
        <w:t xml:space="preserve"> Caídas del PIB en el Sur de Europa, 2002-2012, en dólares reales</w:t>
      </w:r>
    </w:p>
    <w:p w:rsidR="00EA22FF" w:rsidRDefault="00EA22FF" w:rsidP="00EA22FF">
      <w:pPr>
        <w:spacing w:line="360" w:lineRule="auto"/>
        <w:rPr>
          <w:rFonts w:ascii="Times New Roman" w:hAnsi="Times New Roman" w:cs="Times New Roman"/>
          <w:sz w:val="24"/>
        </w:rPr>
      </w:pPr>
      <w:r w:rsidRPr="00A444F8">
        <w:rPr>
          <w:rFonts w:ascii="Times New Roman" w:hAnsi="Times New Roman" w:cs="Times New Roman"/>
          <w:noProof/>
          <w:sz w:val="24"/>
          <w:lang w:eastAsia="es-ES"/>
        </w:rPr>
        <w:drawing>
          <wp:inline distT="0" distB="0" distL="0" distR="0" wp14:anchorId="38092AE7" wp14:editId="52BFC179">
            <wp:extent cx="5334000" cy="2019300"/>
            <wp:effectExtent l="19050" t="0" r="19050" b="0"/>
            <wp:docPr id="9"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30686" w:rsidRDefault="00C30686" w:rsidP="00EA22FF">
      <w:pPr>
        <w:spacing w:line="360" w:lineRule="auto"/>
        <w:jc w:val="both"/>
        <w:rPr>
          <w:rFonts w:ascii="Times New Roman" w:hAnsi="Times New Roman" w:cs="Times New Roman"/>
          <w:i/>
        </w:rPr>
      </w:pPr>
      <w:r>
        <w:rPr>
          <w:rFonts w:ascii="Times New Roman" w:hAnsi="Times New Roman" w:cs="Times New Roman"/>
          <w:i/>
        </w:rPr>
        <w:t>Fuente: Banco Mundial.</w:t>
      </w:r>
    </w:p>
    <w:p w:rsidR="00C30686" w:rsidRDefault="00C30686" w:rsidP="00C30686">
      <w:pPr>
        <w:spacing w:line="360" w:lineRule="auto"/>
        <w:ind w:firstLine="708"/>
        <w:jc w:val="both"/>
        <w:rPr>
          <w:rFonts w:ascii="Times New Roman" w:hAnsi="Times New Roman" w:cs="Times New Roman"/>
          <w:sz w:val="24"/>
        </w:rPr>
      </w:pPr>
      <w:r>
        <w:rPr>
          <w:rFonts w:ascii="Times New Roman" w:eastAsia="Times New Roman" w:hAnsi="Times New Roman" w:cs="Times New Roman"/>
          <w:sz w:val="24"/>
          <w:szCs w:val="23"/>
          <w:lang w:eastAsia="es-ES"/>
        </w:rPr>
        <w:t>Tales decrecimientos han encontrado además su expresión en una reducción de los gastos sociales (en ocasiones impuesta desde la UE como condición para rescates y préstamos que  podría estar influyendo en el descontento creciente y así en la abstención) pueden atribuirse, según Royo(2014) al carácter extractivo de las instituciones políticas y económicas de los países del Sur de Europa (economía basada en el sector de la construcción en España, mercado laboral poco flexible y de escasa movilidad y bajos niveles de productividad en Portugal, déficit fiscal y endeudamiento continuado que supone niveles del PIB superiores al 10% y las prestaciones estatales en Grecia –donde se ha criticado además el gran tamaño de su sector público- e Italia). Todos los casos comparten la presencia de instituciones extractivas y falta de consenso político (divergencias entre Partido Popular y Partido Socialista en España en cuanto a la gestión de la crisis,; frenos a la producción legislativa en Portugal y Grecia, donde los primeros ministros se han visto forzados a dimitir, o la imposición del gobierno tecnócrata de Monti en Italia, seguida de la irrupción en el Parlamento, en las elecciones subsiguientes, del Movimiento 5 Estrellas) que, con menor intensidad en España, han llevado a la inestabilidad política.</w:t>
      </w:r>
    </w:p>
    <w:p w:rsidR="00C30686" w:rsidRDefault="00C30686" w:rsidP="00C30686">
      <w:pPr>
        <w:spacing w:after="0" w:line="360" w:lineRule="auto"/>
        <w:jc w:val="both"/>
        <w:rPr>
          <w:rFonts w:ascii="Times New Roman" w:eastAsia="Times New Roman" w:hAnsi="Times New Roman" w:cs="Times New Roman"/>
          <w:sz w:val="24"/>
          <w:szCs w:val="23"/>
          <w:lang w:eastAsia="es-ES"/>
        </w:rPr>
      </w:pPr>
    </w:p>
    <w:p w:rsidR="00C30686" w:rsidRPr="00DE15F7" w:rsidRDefault="00C30686" w:rsidP="00C30686">
      <w:pPr>
        <w:spacing w:line="360" w:lineRule="auto"/>
        <w:jc w:val="both"/>
        <w:rPr>
          <w:rFonts w:ascii="Times New Roman" w:hAnsi="Times New Roman" w:cs="Times New Roman"/>
          <w:i/>
          <w:sz w:val="24"/>
        </w:rPr>
      </w:pPr>
      <w:r w:rsidRPr="00DE15F7">
        <w:rPr>
          <w:rFonts w:ascii="Times New Roman" w:hAnsi="Times New Roman" w:cs="Times New Roman"/>
          <w:i/>
          <w:sz w:val="24"/>
        </w:rPr>
        <w:t>La crisis del 2008: Peculiaridades y efectos en el Sur de Europa</w:t>
      </w:r>
    </w:p>
    <w:p w:rsidR="00C30686" w:rsidRDefault="00C30686" w:rsidP="00C30686">
      <w:pPr>
        <w:spacing w:after="0" w:line="360" w:lineRule="auto"/>
        <w:jc w:val="both"/>
        <w:rPr>
          <w:rFonts w:ascii="Times New Roman" w:hAnsi="Times New Roman" w:cs="Times New Roman"/>
          <w:sz w:val="24"/>
        </w:rPr>
      </w:pPr>
      <w:r w:rsidRPr="006468AA">
        <w:rPr>
          <w:rFonts w:ascii="Times New Roman" w:hAnsi="Times New Roman" w:cs="Times New Roman"/>
          <w:sz w:val="24"/>
        </w:rPr>
        <w:t>La actual crisis presenta algunas peculiaridades, que permiten diferenciarla de las anteriores. Para Lindvall, (2013)</w:t>
      </w:r>
      <w:r w:rsidRPr="006468AA">
        <w:rPr>
          <w:rStyle w:val="Refdenotaalpie"/>
          <w:rFonts w:ascii="Times New Roman" w:hAnsi="Times New Roman" w:cs="Times New Roman"/>
          <w:sz w:val="24"/>
        </w:rPr>
        <w:footnoteReference w:id="8"/>
      </w:r>
      <w:r w:rsidRPr="006468AA">
        <w:rPr>
          <w:rFonts w:ascii="Times New Roman" w:hAnsi="Times New Roman" w:cs="Times New Roman"/>
          <w:sz w:val="24"/>
        </w:rPr>
        <w:t>,</w:t>
      </w:r>
      <w:r w:rsidRPr="005A0F04">
        <w:rPr>
          <w:rFonts w:ascii="Times New Roman" w:hAnsi="Times New Roman" w:cs="Times New Roman"/>
          <w:sz w:val="24"/>
        </w:rPr>
        <w:t xml:space="preserve"> quien analiza y compara veinte elecciones sucedidas durante la Gran Depresión y la presente Gran Recesión (como el autor califica a la crisis actual</w:t>
      </w:r>
      <w:r>
        <w:rPr>
          <w:rFonts w:ascii="Times New Roman" w:hAnsi="Times New Roman" w:cs="Times New Roman"/>
          <w:sz w:val="24"/>
        </w:rPr>
        <w:t xml:space="preserve">) </w:t>
      </w:r>
      <w:r w:rsidRPr="005A0F04">
        <w:rPr>
          <w:rFonts w:ascii="Times New Roman" w:hAnsi="Times New Roman" w:cs="Times New Roman"/>
          <w:sz w:val="24"/>
        </w:rPr>
        <w:t xml:space="preserve">la situación vigente no supondrá el mismo espacio de oportunidad política que ofreció la crisis de los años treinta, para los partidos de izquierda y centro-izquierda, lo cual no es óbice para que de ambas se deriven importantes repercusiones políticas. </w:t>
      </w:r>
    </w:p>
    <w:p w:rsidR="00C30686" w:rsidRDefault="00C30686" w:rsidP="00C30686">
      <w:pPr>
        <w:spacing w:after="0" w:line="360" w:lineRule="auto"/>
        <w:ind w:firstLine="708"/>
        <w:jc w:val="both"/>
        <w:rPr>
          <w:rFonts w:ascii="Times New Roman" w:hAnsi="Times New Roman" w:cs="Times New Roman"/>
          <w:sz w:val="24"/>
        </w:rPr>
      </w:pPr>
      <w:r w:rsidRPr="00044C55">
        <w:rPr>
          <w:rFonts w:ascii="Times New Roman" w:hAnsi="Times New Roman" w:cs="Times New Roman"/>
          <w:sz w:val="24"/>
        </w:rPr>
        <w:t>Pontusson y Raess (2012)</w:t>
      </w:r>
      <w:r w:rsidRPr="005A0F04">
        <w:rPr>
          <w:rFonts w:ascii="Times New Roman" w:hAnsi="Times New Roman" w:cs="Times New Roman"/>
          <w:sz w:val="24"/>
        </w:rPr>
        <w:t xml:space="preserve"> coincidirán con Lindvall en que las respuestas de los gobiernos están siendo distintas en ambos casos, teniendo en cuenta, a día de hoy, un menor abanico de posibilidades. Lindvall afirma que el abanico de posibilidades contempladas hoy es “considerablemente más estrecho” (2013:2) que durante la Gran Depresión. Este hecho lo califican Pontusson y Raess (2012:23) de “respuestas políticas heterodoxas”, de tipo macroeconómico, que se caracterizan por la presencia de un único patrón de respuesta común en todos los países de la Unión Europea (y especialmente, cabe señalar, en la Zona Euro), así como por la ausencia de otras  propuestas que tuvieron en los años treinta un éxito constatado. Una de las razones del descontento que provoca la actual crisis podría encontrarse, de hecho, aquí, ya que en muchos casos las </w:t>
      </w:r>
      <w:r>
        <w:rPr>
          <w:rFonts w:ascii="Times New Roman" w:hAnsi="Times New Roman" w:cs="Times New Roman"/>
          <w:sz w:val="24"/>
        </w:rPr>
        <w:t xml:space="preserve">medidas aplicadas no están redundando en la mejora de la calidad de vida de los ciudadanos (lo que conduce al aumento del descontento según Pappas y O’Malley, 2014, y con ello a la protesta). Un buen ejemplo de ello son los todavía elevados niveles de paro, recogidos en el </w:t>
      </w:r>
      <w:r w:rsidRPr="00CE5380">
        <w:rPr>
          <w:rFonts w:ascii="Times New Roman" w:hAnsi="Times New Roman" w:cs="Times New Roman"/>
          <w:sz w:val="24"/>
        </w:rPr>
        <w:t>gráfico 4</w:t>
      </w:r>
    </w:p>
    <w:p w:rsidR="004B0978" w:rsidRDefault="004B0978" w:rsidP="004B0978">
      <w:pPr>
        <w:spacing w:after="0" w:line="360" w:lineRule="auto"/>
        <w:ind w:firstLine="708"/>
        <w:jc w:val="both"/>
        <w:rPr>
          <w:rFonts w:ascii="Times New Roman" w:eastAsia="Times New Roman" w:hAnsi="Times New Roman" w:cs="Times New Roman"/>
          <w:sz w:val="24"/>
          <w:szCs w:val="23"/>
          <w:lang w:eastAsia="es-ES"/>
        </w:rPr>
      </w:pPr>
      <w:r>
        <w:rPr>
          <w:rFonts w:ascii="Times New Roman" w:eastAsia="Times New Roman" w:hAnsi="Times New Roman" w:cs="Times New Roman"/>
          <w:sz w:val="24"/>
          <w:szCs w:val="23"/>
          <w:lang w:eastAsia="es-ES"/>
        </w:rPr>
        <w:t xml:space="preserve">De acuerdo con lo establecido en las hipótesis H.1.A y H.1. B, la abstención, durante la crisis y su deseo de enviar un mensaje de protesta viene motivado por el aumento de las actitudes políticas negativas. Estas vienen recogidas a continuación en las tablas 1 y 2.  </w:t>
      </w:r>
    </w:p>
    <w:p w:rsidR="004B0978" w:rsidRDefault="004B0978" w:rsidP="004B0978">
      <w:pPr>
        <w:spacing w:after="0" w:line="360" w:lineRule="auto"/>
        <w:jc w:val="both"/>
        <w:rPr>
          <w:rFonts w:ascii="Times New Roman" w:eastAsia="Times New Roman" w:hAnsi="Times New Roman" w:cs="Times New Roman"/>
          <w:sz w:val="24"/>
          <w:szCs w:val="23"/>
          <w:lang w:eastAsia="es-ES"/>
        </w:rPr>
      </w:pPr>
      <w:r w:rsidRPr="00302103">
        <w:rPr>
          <w:rFonts w:ascii="Times New Roman" w:hAnsi="Times New Roman" w:cs="Times New Roman"/>
          <w:noProof/>
          <w:sz w:val="20"/>
          <w:lang w:eastAsia="es-ES"/>
        </w:rPr>
        <w:lastRenderedPageBreak/>
        <w:drawing>
          <wp:inline distT="0" distB="0" distL="0" distR="0" wp14:anchorId="13E98F8C" wp14:editId="0234BB0A">
            <wp:extent cx="5400040" cy="2066925"/>
            <wp:effectExtent l="0" t="0" r="0" b="0"/>
            <wp:docPr id="6"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30686" w:rsidRPr="00F4554D" w:rsidRDefault="00C30686" w:rsidP="004B0978">
      <w:pPr>
        <w:spacing w:after="0" w:line="360" w:lineRule="auto"/>
        <w:ind w:right="-35"/>
        <w:jc w:val="both"/>
        <w:rPr>
          <w:rFonts w:ascii="Times New Roman" w:hAnsi="Times New Roman" w:cs="Times New Roman"/>
          <w:color w:val="000000" w:themeColor="text1"/>
        </w:rPr>
      </w:pPr>
      <w:r>
        <w:rPr>
          <w:rFonts w:ascii="Times New Roman" w:hAnsi="Times New Roman" w:cs="Times New Roman"/>
          <w:i/>
          <w:color w:val="000000" w:themeColor="text1"/>
        </w:rPr>
        <w:t>Fuente</w:t>
      </w:r>
      <w:proofErr w:type="gramStart"/>
      <w:r>
        <w:rPr>
          <w:rFonts w:ascii="Times New Roman" w:hAnsi="Times New Roman" w:cs="Times New Roman"/>
          <w:i/>
          <w:color w:val="000000" w:themeColor="text1"/>
        </w:rPr>
        <w:t>:EUSTAT</w:t>
      </w:r>
      <w:proofErr w:type="gramEnd"/>
      <w:r>
        <w:rPr>
          <w:rFonts w:ascii="Times New Roman" w:hAnsi="Times New Roman" w:cs="Times New Roman"/>
          <w:i/>
          <w:color w:val="000000" w:themeColor="text1"/>
        </w:rPr>
        <w:t xml:space="preserve">. </w:t>
      </w:r>
      <w:r w:rsidRPr="00F4554D">
        <w:rPr>
          <w:rFonts w:ascii="Times New Roman" w:hAnsi="Times New Roman" w:cs="Times New Roman"/>
          <w:color w:val="000000" w:themeColor="text1"/>
        </w:rPr>
        <w:t>Media de la Eurozona, 12%.</w:t>
      </w:r>
    </w:p>
    <w:p w:rsidR="00C30686" w:rsidRDefault="00C30686" w:rsidP="00C30686">
      <w:pPr>
        <w:spacing w:after="0" w:line="360" w:lineRule="auto"/>
        <w:ind w:right="-35"/>
        <w:jc w:val="both"/>
        <w:rPr>
          <w:rFonts w:ascii="Times New Roman" w:hAnsi="Times New Roman" w:cs="Times New Roman"/>
          <w:sz w:val="20"/>
        </w:rPr>
      </w:pPr>
    </w:p>
    <w:p w:rsidR="00C30686" w:rsidRPr="005A0F04" w:rsidRDefault="00C30686" w:rsidP="00C30686">
      <w:pPr>
        <w:spacing w:after="0" w:line="360" w:lineRule="auto"/>
        <w:jc w:val="both"/>
        <w:rPr>
          <w:rFonts w:ascii="Times New Roman" w:eastAsia="Times New Roman" w:hAnsi="Times New Roman" w:cs="Times New Roman"/>
          <w:sz w:val="24"/>
          <w:szCs w:val="23"/>
          <w:lang w:eastAsia="es-ES"/>
        </w:rPr>
      </w:pPr>
    </w:p>
    <w:p w:rsidR="00C30686" w:rsidRPr="002B7C33" w:rsidRDefault="00C30686" w:rsidP="00C30686">
      <w:pPr>
        <w:spacing w:after="0" w:line="360" w:lineRule="auto"/>
        <w:ind w:right="-35" w:firstLine="708"/>
        <w:jc w:val="both"/>
        <w:rPr>
          <w:rFonts w:ascii="Times New Roman" w:eastAsia="Times New Roman" w:hAnsi="Times New Roman" w:cs="Times New Roman"/>
          <w:b/>
          <w:sz w:val="24"/>
          <w:szCs w:val="23"/>
          <w:u w:val="single"/>
          <w:lang w:eastAsia="es-ES"/>
        </w:rPr>
      </w:pPr>
      <w:r>
        <w:rPr>
          <w:rFonts w:ascii="Times New Roman" w:eastAsia="Times New Roman" w:hAnsi="Times New Roman" w:cs="Times New Roman"/>
          <w:b/>
          <w:sz w:val="24"/>
          <w:szCs w:val="23"/>
          <w:u w:val="single"/>
          <w:lang w:eastAsia="es-ES"/>
        </w:rPr>
        <w:t>Tabla 1</w:t>
      </w:r>
      <w:r w:rsidRPr="00577C6D">
        <w:rPr>
          <w:rFonts w:ascii="Times New Roman" w:eastAsia="Times New Roman" w:hAnsi="Times New Roman" w:cs="Times New Roman"/>
          <w:b/>
          <w:sz w:val="24"/>
          <w:szCs w:val="23"/>
          <w:u w:val="single"/>
          <w:lang w:eastAsia="es-ES"/>
        </w:rPr>
        <w:t xml:space="preserve">. </w:t>
      </w:r>
      <w:r w:rsidRPr="00951124">
        <w:rPr>
          <w:rFonts w:ascii="Times New Roman" w:eastAsia="Times New Roman" w:hAnsi="Times New Roman" w:cs="Times New Roman"/>
          <w:sz w:val="24"/>
          <w:szCs w:val="23"/>
          <w:u w:val="single"/>
          <w:lang w:eastAsia="es-ES"/>
        </w:rPr>
        <w:t>Desconfianza en instituciones en el Sur de Europa, 2002-12, en porcentaje</w:t>
      </w:r>
    </w:p>
    <w:tbl>
      <w:tblPr>
        <w:tblStyle w:val="Tablaconcuadrcula"/>
        <w:tblW w:w="87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898"/>
        <w:gridCol w:w="898"/>
        <w:gridCol w:w="869"/>
        <w:gridCol w:w="870"/>
        <w:gridCol w:w="810"/>
        <w:gridCol w:w="810"/>
        <w:gridCol w:w="952"/>
        <w:gridCol w:w="952"/>
      </w:tblGrid>
      <w:tr w:rsidR="00C30686" w:rsidRPr="00877A41" w:rsidTr="00FF5604">
        <w:trPr>
          <w:trHeight w:val="260"/>
          <w:jc w:val="center"/>
        </w:trPr>
        <w:tc>
          <w:tcPr>
            <w:tcW w:w="1730" w:type="dxa"/>
          </w:tcPr>
          <w:p w:rsidR="00C30686" w:rsidRPr="00877A41" w:rsidRDefault="00C30686" w:rsidP="00FF5604">
            <w:pPr>
              <w:rPr>
                <w:rFonts w:ascii="Times New Roman" w:hAnsi="Times New Roman" w:cs="Times New Roman"/>
                <w:sz w:val="24"/>
                <w:szCs w:val="24"/>
              </w:rPr>
            </w:pPr>
          </w:p>
        </w:tc>
        <w:tc>
          <w:tcPr>
            <w:tcW w:w="1796" w:type="dxa"/>
            <w:gridSpan w:val="2"/>
            <w:tcBorders>
              <w:bottom w:val="double" w:sz="4"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España</w:t>
            </w:r>
          </w:p>
        </w:tc>
        <w:tc>
          <w:tcPr>
            <w:tcW w:w="1739" w:type="dxa"/>
            <w:gridSpan w:val="2"/>
            <w:tcBorders>
              <w:bottom w:val="double" w:sz="4"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Grecia</w:t>
            </w:r>
            <w:r w:rsidR="00F513DE">
              <w:rPr>
                <w:rFonts w:ascii="Times New Roman" w:hAnsi="Times New Roman" w:cs="Times New Roman"/>
                <w:sz w:val="24"/>
                <w:szCs w:val="24"/>
              </w:rPr>
              <w:t>*</w:t>
            </w:r>
          </w:p>
        </w:tc>
        <w:tc>
          <w:tcPr>
            <w:tcW w:w="1620" w:type="dxa"/>
            <w:gridSpan w:val="2"/>
            <w:tcBorders>
              <w:bottom w:val="double" w:sz="4"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Italia</w:t>
            </w:r>
          </w:p>
        </w:tc>
        <w:tc>
          <w:tcPr>
            <w:tcW w:w="1904" w:type="dxa"/>
            <w:gridSpan w:val="2"/>
            <w:tcBorders>
              <w:bottom w:val="double" w:sz="4"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Portugal</w:t>
            </w:r>
          </w:p>
        </w:tc>
      </w:tr>
      <w:tr w:rsidR="00C30686" w:rsidRPr="00877A41" w:rsidTr="00FF5604">
        <w:trPr>
          <w:trHeight w:val="135"/>
          <w:jc w:val="center"/>
        </w:trPr>
        <w:tc>
          <w:tcPr>
            <w:tcW w:w="1730" w:type="dxa"/>
            <w:vMerge w:val="restart"/>
          </w:tcPr>
          <w:p w:rsidR="00C30686" w:rsidRPr="00877A41" w:rsidRDefault="00C30686" w:rsidP="00FF5604">
            <w:pPr>
              <w:rPr>
                <w:rFonts w:ascii="Times New Roman" w:hAnsi="Times New Roman" w:cs="Times New Roman"/>
                <w:sz w:val="24"/>
                <w:szCs w:val="24"/>
              </w:rPr>
            </w:pPr>
            <w:r>
              <w:rPr>
                <w:rFonts w:ascii="Times New Roman" w:hAnsi="Times New Roman" w:cs="Times New Roman"/>
                <w:sz w:val="24"/>
                <w:szCs w:val="24"/>
              </w:rPr>
              <w:t>Políticos</w:t>
            </w:r>
          </w:p>
        </w:tc>
        <w:tc>
          <w:tcPr>
            <w:tcW w:w="898" w:type="dxa"/>
            <w:tcBorders>
              <w:top w:val="double" w:sz="4" w:space="0" w:color="auto"/>
              <w:bottom w:val="single" w:sz="4"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2002</w:t>
            </w:r>
          </w:p>
        </w:tc>
        <w:tc>
          <w:tcPr>
            <w:tcW w:w="898" w:type="dxa"/>
            <w:tcBorders>
              <w:top w:val="double" w:sz="4" w:space="0" w:color="auto"/>
              <w:bottom w:val="single" w:sz="4"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2012</w:t>
            </w:r>
          </w:p>
        </w:tc>
        <w:tc>
          <w:tcPr>
            <w:tcW w:w="869" w:type="dxa"/>
            <w:tcBorders>
              <w:top w:val="double" w:sz="4" w:space="0" w:color="auto"/>
              <w:bottom w:val="single" w:sz="4"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2002</w:t>
            </w:r>
          </w:p>
        </w:tc>
        <w:tc>
          <w:tcPr>
            <w:tcW w:w="870" w:type="dxa"/>
            <w:tcBorders>
              <w:top w:val="double" w:sz="4" w:space="0" w:color="auto"/>
              <w:bottom w:val="single" w:sz="4" w:space="0" w:color="auto"/>
            </w:tcBorders>
          </w:tcPr>
          <w:p w:rsidR="00C30686" w:rsidRPr="0037406D" w:rsidRDefault="00C30686" w:rsidP="00FF5604">
            <w:pPr>
              <w:rPr>
                <w:rFonts w:ascii="Times New Roman" w:hAnsi="Times New Roman" w:cs="Times New Roman"/>
                <w:color w:val="000000" w:themeColor="text1"/>
                <w:sz w:val="24"/>
                <w:szCs w:val="24"/>
              </w:rPr>
            </w:pPr>
            <w:r w:rsidRPr="0037406D">
              <w:rPr>
                <w:rFonts w:ascii="Times New Roman" w:hAnsi="Times New Roman" w:cs="Times New Roman"/>
                <w:color w:val="000000" w:themeColor="text1"/>
                <w:sz w:val="24"/>
                <w:szCs w:val="24"/>
              </w:rPr>
              <w:t>201</w:t>
            </w:r>
            <w:r w:rsidR="00F513DE">
              <w:rPr>
                <w:rFonts w:ascii="Times New Roman" w:hAnsi="Times New Roman" w:cs="Times New Roman"/>
                <w:color w:val="000000" w:themeColor="text1"/>
                <w:sz w:val="24"/>
                <w:szCs w:val="24"/>
              </w:rPr>
              <w:t>0</w:t>
            </w:r>
          </w:p>
        </w:tc>
        <w:tc>
          <w:tcPr>
            <w:tcW w:w="810" w:type="dxa"/>
            <w:tcBorders>
              <w:top w:val="double" w:sz="4" w:space="0" w:color="auto"/>
              <w:bottom w:val="single" w:sz="4"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2002</w:t>
            </w:r>
          </w:p>
        </w:tc>
        <w:tc>
          <w:tcPr>
            <w:tcW w:w="810" w:type="dxa"/>
            <w:tcBorders>
              <w:top w:val="double" w:sz="4" w:space="0" w:color="auto"/>
              <w:bottom w:val="single" w:sz="4"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2012</w:t>
            </w:r>
          </w:p>
        </w:tc>
        <w:tc>
          <w:tcPr>
            <w:tcW w:w="952" w:type="dxa"/>
            <w:tcBorders>
              <w:top w:val="double" w:sz="4" w:space="0" w:color="auto"/>
              <w:bottom w:val="single" w:sz="4"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2002</w:t>
            </w:r>
          </w:p>
        </w:tc>
        <w:tc>
          <w:tcPr>
            <w:tcW w:w="952" w:type="dxa"/>
            <w:tcBorders>
              <w:top w:val="double" w:sz="4" w:space="0" w:color="auto"/>
              <w:bottom w:val="single" w:sz="4"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2012</w:t>
            </w:r>
          </w:p>
        </w:tc>
      </w:tr>
      <w:tr w:rsidR="00C30686" w:rsidRPr="00877A41" w:rsidTr="00FF5604">
        <w:trPr>
          <w:trHeight w:val="135"/>
          <w:jc w:val="center"/>
        </w:trPr>
        <w:tc>
          <w:tcPr>
            <w:tcW w:w="1730" w:type="dxa"/>
            <w:vMerge/>
          </w:tcPr>
          <w:p w:rsidR="00C30686" w:rsidRPr="00877A41" w:rsidRDefault="00C30686" w:rsidP="00FF5604">
            <w:pPr>
              <w:rPr>
                <w:rFonts w:ascii="Times New Roman" w:hAnsi="Times New Roman" w:cs="Times New Roman"/>
                <w:sz w:val="24"/>
                <w:szCs w:val="24"/>
              </w:rPr>
            </w:pPr>
          </w:p>
        </w:tc>
        <w:tc>
          <w:tcPr>
            <w:tcW w:w="898" w:type="dxa"/>
            <w:tcBorders>
              <w:top w:val="single" w:sz="4"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64</w:t>
            </w:r>
          </w:p>
        </w:tc>
        <w:tc>
          <w:tcPr>
            <w:tcW w:w="898" w:type="dxa"/>
            <w:tcBorders>
              <w:top w:val="single" w:sz="4"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85</w:t>
            </w:r>
          </w:p>
        </w:tc>
        <w:tc>
          <w:tcPr>
            <w:tcW w:w="869" w:type="dxa"/>
            <w:tcBorders>
              <w:top w:val="single" w:sz="4"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64</w:t>
            </w:r>
          </w:p>
        </w:tc>
        <w:tc>
          <w:tcPr>
            <w:tcW w:w="870" w:type="dxa"/>
            <w:tcBorders>
              <w:top w:val="single" w:sz="4" w:space="0" w:color="auto"/>
            </w:tcBorders>
          </w:tcPr>
          <w:p w:rsidR="00C30686" w:rsidRPr="00C520E5" w:rsidRDefault="00C520E5" w:rsidP="00FF5604">
            <w:pPr>
              <w:rPr>
                <w:rFonts w:ascii="Times New Roman" w:hAnsi="Times New Roman" w:cs="Times New Roman"/>
                <w:sz w:val="24"/>
                <w:szCs w:val="24"/>
              </w:rPr>
            </w:pPr>
            <w:r w:rsidRPr="00C520E5">
              <w:rPr>
                <w:rFonts w:ascii="Times New Roman" w:hAnsi="Times New Roman" w:cs="Times New Roman"/>
                <w:sz w:val="24"/>
                <w:szCs w:val="24"/>
              </w:rPr>
              <w:t>91</w:t>
            </w:r>
          </w:p>
        </w:tc>
        <w:tc>
          <w:tcPr>
            <w:tcW w:w="810" w:type="dxa"/>
            <w:tcBorders>
              <w:top w:val="single" w:sz="4"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62</w:t>
            </w:r>
          </w:p>
        </w:tc>
        <w:tc>
          <w:tcPr>
            <w:tcW w:w="810" w:type="dxa"/>
            <w:tcBorders>
              <w:top w:val="single" w:sz="4"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84</w:t>
            </w:r>
          </w:p>
        </w:tc>
        <w:tc>
          <w:tcPr>
            <w:tcW w:w="952" w:type="dxa"/>
            <w:tcBorders>
              <w:top w:val="single" w:sz="4"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75</w:t>
            </w:r>
          </w:p>
        </w:tc>
        <w:tc>
          <w:tcPr>
            <w:tcW w:w="952" w:type="dxa"/>
            <w:tcBorders>
              <w:top w:val="single" w:sz="4"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90</w:t>
            </w:r>
          </w:p>
        </w:tc>
      </w:tr>
      <w:tr w:rsidR="00C30686" w:rsidRPr="00877A41" w:rsidTr="00FF5604">
        <w:trPr>
          <w:trHeight w:val="506"/>
          <w:jc w:val="center"/>
        </w:trPr>
        <w:tc>
          <w:tcPr>
            <w:tcW w:w="1730" w:type="dxa"/>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Parlamento Nacional</w:t>
            </w:r>
          </w:p>
        </w:tc>
        <w:tc>
          <w:tcPr>
            <w:tcW w:w="898" w:type="dxa"/>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37</w:t>
            </w:r>
          </w:p>
        </w:tc>
        <w:tc>
          <w:tcPr>
            <w:tcW w:w="898" w:type="dxa"/>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62</w:t>
            </w:r>
          </w:p>
        </w:tc>
        <w:tc>
          <w:tcPr>
            <w:tcW w:w="869" w:type="dxa"/>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41</w:t>
            </w:r>
          </w:p>
        </w:tc>
        <w:tc>
          <w:tcPr>
            <w:tcW w:w="870" w:type="dxa"/>
          </w:tcPr>
          <w:p w:rsidR="00C30686" w:rsidRPr="00C520E5" w:rsidRDefault="00C520E5" w:rsidP="00FF5604">
            <w:pPr>
              <w:rPr>
                <w:rFonts w:ascii="Times New Roman" w:hAnsi="Times New Roman" w:cs="Times New Roman"/>
                <w:sz w:val="24"/>
                <w:szCs w:val="24"/>
              </w:rPr>
            </w:pPr>
            <w:r w:rsidRPr="00C520E5">
              <w:rPr>
                <w:rFonts w:ascii="Times New Roman" w:hAnsi="Times New Roman" w:cs="Times New Roman"/>
                <w:sz w:val="24"/>
                <w:szCs w:val="24"/>
              </w:rPr>
              <w:t>71</w:t>
            </w:r>
          </w:p>
        </w:tc>
        <w:tc>
          <w:tcPr>
            <w:tcW w:w="810" w:type="dxa"/>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37</w:t>
            </w:r>
          </w:p>
        </w:tc>
        <w:tc>
          <w:tcPr>
            <w:tcW w:w="810" w:type="dxa"/>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67</w:t>
            </w:r>
          </w:p>
        </w:tc>
        <w:tc>
          <w:tcPr>
            <w:tcW w:w="952" w:type="dxa"/>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45</w:t>
            </w:r>
          </w:p>
        </w:tc>
        <w:tc>
          <w:tcPr>
            <w:tcW w:w="952" w:type="dxa"/>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78</w:t>
            </w:r>
          </w:p>
        </w:tc>
      </w:tr>
      <w:tr w:rsidR="00C30686" w:rsidRPr="00877A41" w:rsidTr="00FF5604">
        <w:trPr>
          <w:trHeight w:val="345"/>
          <w:jc w:val="center"/>
        </w:trPr>
        <w:tc>
          <w:tcPr>
            <w:tcW w:w="1730" w:type="dxa"/>
            <w:tcBorders>
              <w:bottom w:val="single" w:sz="12"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Unión Europea</w:t>
            </w:r>
          </w:p>
        </w:tc>
        <w:tc>
          <w:tcPr>
            <w:tcW w:w="898" w:type="dxa"/>
            <w:tcBorders>
              <w:bottom w:val="single" w:sz="12"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37</w:t>
            </w:r>
          </w:p>
        </w:tc>
        <w:tc>
          <w:tcPr>
            <w:tcW w:w="898" w:type="dxa"/>
            <w:tcBorders>
              <w:bottom w:val="single" w:sz="12"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52</w:t>
            </w:r>
          </w:p>
        </w:tc>
        <w:tc>
          <w:tcPr>
            <w:tcW w:w="869" w:type="dxa"/>
            <w:tcBorders>
              <w:bottom w:val="single" w:sz="12"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25</w:t>
            </w:r>
          </w:p>
        </w:tc>
        <w:tc>
          <w:tcPr>
            <w:tcW w:w="870" w:type="dxa"/>
            <w:tcBorders>
              <w:bottom w:val="single" w:sz="12" w:space="0" w:color="auto"/>
            </w:tcBorders>
          </w:tcPr>
          <w:p w:rsidR="00C30686" w:rsidRPr="00C520E5" w:rsidRDefault="00C520E5" w:rsidP="00FF5604">
            <w:pPr>
              <w:rPr>
                <w:rFonts w:ascii="Times New Roman" w:hAnsi="Times New Roman" w:cs="Times New Roman"/>
                <w:sz w:val="24"/>
                <w:szCs w:val="24"/>
              </w:rPr>
            </w:pPr>
            <w:r w:rsidRPr="00C520E5">
              <w:rPr>
                <w:rFonts w:ascii="Times New Roman" w:hAnsi="Times New Roman" w:cs="Times New Roman"/>
                <w:sz w:val="24"/>
                <w:szCs w:val="24"/>
              </w:rPr>
              <w:t>81</w:t>
            </w:r>
          </w:p>
        </w:tc>
        <w:tc>
          <w:tcPr>
            <w:tcW w:w="810" w:type="dxa"/>
            <w:tcBorders>
              <w:bottom w:val="single" w:sz="12"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27</w:t>
            </w:r>
          </w:p>
        </w:tc>
        <w:tc>
          <w:tcPr>
            <w:tcW w:w="810" w:type="dxa"/>
            <w:tcBorders>
              <w:bottom w:val="single" w:sz="12"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45</w:t>
            </w:r>
          </w:p>
        </w:tc>
        <w:tc>
          <w:tcPr>
            <w:tcW w:w="952" w:type="dxa"/>
            <w:tcBorders>
              <w:bottom w:val="single" w:sz="12"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37</w:t>
            </w:r>
          </w:p>
        </w:tc>
        <w:tc>
          <w:tcPr>
            <w:tcW w:w="952" w:type="dxa"/>
            <w:tcBorders>
              <w:bottom w:val="single" w:sz="12"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65</w:t>
            </w:r>
          </w:p>
        </w:tc>
      </w:tr>
      <w:tr w:rsidR="00C30686" w:rsidRPr="00877A41" w:rsidTr="00FF5604">
        <w:trPr>
          <w:trHeight w:val="50"/>
          <w:jc w:val="center"/>
        </w:trPr>
        <w:tc>
          <w:tcPr>
            <w:tcW w:w="1730" w:type="dxa"/>
            <w:tcBorders>
              <w:top w:val="single" w:sz="12" w:space="0" w:color="auto"/>
            </w:tcBorders>
          </w:tcPr>
          <w:p w:rsidR="00C30686" w:rsidRPr="00877A41" w:rsidRDefault="00C30686" w:rsidP="00FF5604">
            <w:pPr>
              <w:rPr>
                <w:rFonts w:ascii="Times New Roman" w:hAnsi="Times New Roman" w:cs="Times New Roman"/>
                <w:i/>
                <w:sz w:val="24"/>
                <w:szCs w:val="24"/>
              </w:rPr>
            </w:pPr>
            <w:r w:rsidRPr="00877A41">
              <w:rPr>
                <w:rFonts w:ascii="Times New Roman" w:hAnsi="Times New Roman" w:cs="Times New Roman"/>
                <w:i/>
                <w:szCs w:val="24"/>
              </w:rPr>
              <w:t>Fuente: ESS</w:t>
            </w:r>
          </w:p>
        </w:tc>
        <w:tc>
          <w:tcPr>
            <w:tcW w:w="898" w:type="dxa"/>
            <w:tcBorders>
              <w:top w:val="single" w:sz="12" w:space="0" w:color="auto"/>
            </w:tcBorders>
          </w:tcPr>
          <w:p w:rsidR="00C30686" w:rsidRPr="00877A41" w:rsidRDefault="00C30686" w:rsidP="00FF5604">
            <w:pPr>
              <w:rPr>
                <w:rFonts w:ascii="Times New Roman" w:hAnsi="Times New Roman" w:cs="Times New Roman"/>
                <w:sz w:val="24"/>
                <w:szCs w:val="24"/>
              </w:rPr>
            </w:pPr>
          </w:p>
        </w:tc>
        <w:tc>
          <w:tcPr>
            <w:tcW w:w="898" w:type="dxa"/>
            <w:tcBorders>
              <w:top w:val="single" w:sz="12" w:space="0" w:color="auto"/>
            </w:tcBorders>
          </w:tcPr>
          <w:p w:rsidR="00C30686" w:rsidRPr="00877A41" w:rsidRDefault="00C30686" w:rsidP="00FF5604">
            <w:pPr>
              <w:rPr>
                <w:rFonts w:ascii="Times New Roman" w:hAnsi="Times New Roman" w:cs="Times New Roman"/>
                <w:sz w:val="24"/>
                <w:szCs w:val="24"/>
              </w:rPr>
            </w:pPr>
          </w:p>
        </w:tc>
        <w:tc>
          <w:tcPr>
            <w:tcW w:w="869" w:type="dxa"/>
            <w:tcBorders>
              <w:top w:val="single" w:sz="12" w:space="0" w:color="auto"/>
            </w:tcBorders>
          </w:tcPr>
          <w:p w:rsidR="00C30686" w:rsidRPr="00877A41" w:rsidRDefault="00C30686" w:rsidP="00FF5604">
            <w:pPr>
              <w:rPr>
                <w:rFonts w:ascii="Times New Roman" w:hAnsi="Times New Roman" w:cs="Times New Roman"/>
                <w:sz w:val="24"/>
                <w:szCs w:val="24"/>
              </w:rPr>
            </w:pPr>
          </w:p>
        </w:tc>
        <w:tc>
          <w:tcPr>
            <w:tcW w:w="870" w:type="dxa"/>
            <w:tcBorders>
              <w:top w:val="single" w:sz="12" w:space="0" w:color="auto"/>
            </w:tcBorders>
          </w:tcPr>
          <w:p w:rsidR="00C30686" w:rsidRPr="00877A41" w:rsidRDefault="00C30686" w:rsidP="00FF5604">
            <w:pPr>
              <w:rPr>
                <w:rFonts w:ascii="Times New Roman" w:hAnsi="Times New Roman" w:cs="Times New Roman"/>
                <w:sz w:val="24"/>
                <w:szCs w:val="24"/>
              </w:rPr>
            </w:pPr>
          </w:p>
        </w:tc>
        <w:tc>
          <w:tcPr>
            <w:tcW w:w="810" w:type="dxa"/>
            <w:tcBorders>
              <w:top w:val="single" w:sz="12" w:space="0" w:color="auto"/>
            </w:tcBorders>
          </w:tcPr>
          <w:p w:rsidR="00C30686" w:rsidRPr="00877A41" w:rsidRDefault="00C30686" w:rsidP="00FF5604">
            <w:pPr>
              <w:rPr>
                <w:rFonts w:ascii="Times New Roman" w:hAnsi="Times New Roman" w:cs="Times New Roman"/>
                <w:sz w:val="24"/>
                <w:szCs w:val="24"/>
              </w:rPr>
            </w:pPr>
          </w:p>
        </w:tc>
        <w:tc>
          <w:tcPr>
            <w:tcW w:w="810" w:type="dxa"/>
            <w:tcBorders>
              <w:top w:val="single" w:sz="12" w:space="0" w:color="auto"/>
            </w:tcBorders>
          </w:tcPr>
          <w:p w:rsidR="00C30686" w:rsidRPr="00877A41" w:rsidRDefault="00C30686" w:rsidP="00FF5604">
            <w:pPr>
              <w:rPr>
                <w:rFonts w:ascii="Times New Roman" w:hAnsi="Times New Roman" w:cs="Times New Roman"/>
                <w:sz w:val="24"/>
                <w:szCs w:val="24"/>
              </w:rPr>
            </w:pPr>
          </w:p>
        </w:tc>
        <w:tc>
          <w:tcPr>
            <w:tcW w:w="952" w:type="dxa"/>
            <w:tcBorders>
              <w:top w:val="single" w:sz="12" w:space="0" w:color="auto"/>
            </w:tcBorders>
          </w:tcPr>
          <w:p w:rsidR="00C30686" w:rsidRPr="00877A41" w:rsidRDefault="00C30686" w:rsidP="00FF5604">
            <w:pPr>
              <w:rPr>
                <w:rFonts w:ascii="Times New Roman" w:hAnsi="Times New Roman" w:cs="Times New Roman"/>
                <w:sz w:val="24"/>
                <w:szCs w:val="24"/>
              </w:rPr>
            </w:pPr>
          </w:p>
        </w:tc>
        <w:tc>
          <w:tcPr>
            <w:tcW w:w="952" w:type="dxa"/>
            <w:tcBorders>
              <w:top w:val="single" w:sz="12" w:space="0" w:color="auto"/>
            </w:tcBorders>
          </w:tcPr>
          <w:p w:rsidR="00C30686" w:rsidRPr="00877A41" w:rsidRDefault="00C30686" w:rsidP="00FF5604">
            <w:pPr>
              <w:rPr>
                <w:rFonts w:ascii="Times New Roman" w:hAnsi="Times New Roman" w:cs="Times New Roman"/>
                <w:sz w:val="24"/>
                <w:szCs w:val="24"/>
              </w:rPr>
            </w:pPr>
          </w:p>
        </w:tc>
      </w:tr>
    </w:tbl>
    <w:p w:rsidR="00C30686" w:rsidRDefault="00F513DE" w:rsidP="00F513DE">
      <w:pPr>
        <w:spacing w:after="0" w:line="360" w:lineRule="auto"/>
        <w:jc w:val="both"/>
        <w:rPr>
          <w:rFonts w:ascii="Times New Roman" w:eastAsia="Times New Roman" w:hAnsi="Times New Roman" w:cs="Times New Roman"/>
          <w:sz w:val="24"/>
          <w:szCs w:val="23"/>
          <w:u w:val="single"/>
          <w:lang w:eastAsia="es-ES"/>
        </w:rPr>
      </w:pPr>
      <w:r w:rsidRPr="00C520E5">
        <w:rPr>
          <w:rFonts w:ascii="Times New Roman" w:eastAsia="Times New Roman" w:hAnsi="Times New Roman" w:cs="Times New Roman"/>
          <w:sz w:val="20"/>
          <w:szCs w:val="23"/>
          <w:u w:val="single"/>
          <w:lang w:eastAsia="es-ES"/>
        </w:rPr>
        <w:t>*Los datos para Grecia son siempre 2010, al no estar incluida en la ESS de 2012</w:t>
      </w:r>
      <w:r>
        <w:rPr>
          <w:rFonts w:ascii="Times New Roman" w:eastAsia="Times New Roman" w:hAnsi="Times New Roman" w:cs="Times New Roman"/>
          <w:sz w:val="24"/>
          <w:szCs w:val="23"/>
          <w:u w:val="single"/>
          <w:lang w:eastAsia="es-ES"/>
        </w:rPr>
        <w:t>.</w:t>
      </w:r>
    </w:p>
    <w:p w:rsidR="0093144F" w:rsidRPr="00577C6D" w:rsidRDefault="0093144F" w:rsidP="00C30686">
      <w:pPr>
        <w:spacing w:after="0" w:line="360" w:lineRule="auto"/>
        <w:ind w:firstLine="708"/>
        <w:jc w:val="both"/>
        <w:rPr>
          <w:rFonts w:ascii="Times New Roman" w:eastAsia="Times New Roman" w:hAnsi="Times New Roman" w:cs="Times New Roman"/>
          <w:sz w:val="24"/>
          <w:szCs w:val="23"/>
          <w:u w:val="single"/>
          <w:lang w:eastAsia="es-ES"/>
        </w:rPr>
      </w:pPr>
    </w:p>
    <w:p w:rsidR="00C30686" w:rsidRPr="00577C6D" w:rsidRDefault="00C30686" w:rsidP="00C30686">
      <w:pPr>
        <w:spacing w:after="0" w:line="360" w:lineRule="auto"/>
        <w:ind w:firstLine="708"/>
        <w:jc w:val="both"/>
        <w:rPr>
          <w:rFonts w:ascii="Times New Roman" w:eastAsia="Times New Roman" w:hAnsi="Times New Roman" w:cs="Times New Roman"/>
          <w:b/>
          <w:sz w:val="24"/>
          <w:szCs w:val="23"/>
          <w:u w:val="single"/>
          <w:lang w:eastAsia="es-ES"/>
        </w:rPr>
      </w:pPr>
      <w:r>
        <w:rPr>
          <w:rFonts w:ascii="Times New Roman" w:eastAsia="Times New Roman" w:hAnsi="Times New Roman" w:cs="Times New Roman"/>
          <w:b/>
          <w:sz w:val="24"/>
          <w:szCs w:val="23"/>
          <w:u w:val="single"/>
          <w:lang w:eastAsia="es-ES"/>
        </w:rPr>
        <w:t>Tabla 2</w:t>
      </w:r>
      <w:r w:rsidRPr="00577C6D">
        <w:rPr>
          <w:rFonts w:ascii="Times New Roman" w:eastAsia="Times New Roman" w:hAnsi="Times New Roman" w:cs="Times New Roman"/>
          <w:b/>
          <w:sz w:val="24"/>
          <w:szCs w:val="23"/>
          <w:u w:val="single"/>
          <w:lang w:eastAsia="es-ES"/>
        </w:rPr>
        <w:t xml:space="preserve">. </w:t>
      </w:r>
      <w:r w:rsidRPr="00951124">
        <w:rPr>
          <w:rFonts w:ascii="Times New Roman" w:eastAsia="Times New Roman" w:hAnsi="Times New Roman" w:cs="Times New Roman"/>
          <w:sz w:val="24"/>
          <w:szCs w:val="23"/>
          <w:u w:val="single"/>
          <w:lang w:eastAsia="es-ES"/>
        </w:rPr>
        <w:t>Evolución de la insatisfacción en el Sur de Europa, 2002-12, en porcentaje</w:t>
      </w:r>
    </w:p>
    <w:tbl>
      <w:tblPr>
        <w:tblStyle w:val="Tablaconcuadrcula"/>
        <w:tblW w:w="87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898"/>
        <w:gridCol w:w="898"/>
        <w:gridCol w:w="869"/>
        <w:gridCol w:w="870"/>
        <w:gridCol w:w="810"/>
        <w:gridCol w:w="810"/>
        <w:gridCol w:w="952"/>
        <w:gridCol w:w="952"/>
      </w:tblGrid>
      <w:tr w:rsidR="00C30686" w:rsidRPr="00877A41" w:rsidTr="00FF5604">
        <w:trPr>
          <w:trHeight w:val="260"/>
          <w:jc w:val="center"/>
        </w:trPr>
        <w:tc>
          <w:tcPr>
            <w:tcW w:w="1730" w:type="dxa"/>
          </w:tcPr>
          <w:p w:rsidR="00C30686" w:rsidRPr="00877A41" w:rsidRDefault="00C30686" w:rsidP="00FF5604">
            <w:pPr>
              <w:rPr>
                <w:rFonts w:ascii="Times New Roman" w:hAnsi="Times New Roman" w:cs="Times New Roman"/>
                <w:sz w:val="24"/>
                <w:szCs w:val="24"/>
              </w:rPr>
            </w:pPr>
          </w:p>
        </w:tc>
        <w:tc>
          <w:tcPr>
            <w:tcW w:w="1796" w:type="dxa"/>
            <w:gridSpan w:val="2"/>
            <w:tcBorders>
              <w:bottom w:val="double" w:sz="4"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España</w:t>
            </w:r>
          </w:p>
        </w:tc>
        <w:tc>
          <w:tcPr>
            <w:tcW w:w="1739" w:type="dxa"/>
            <w:gridSpan w:val="2"/>
            <w:tcBorders>
              <w:bottom w:val="double" w:sz="4"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Grecia</w:t>
            </w:r>
          </w:p>
        </w:tc>
        <w:tc>
          <w:tcPr>
            <w:tcW w:w="1620" w:type="dxa"/>
            <w:gridSpan w:val="2"/>
            <w:tcBorders>
              <w:bottom w:val="double" w:sz="4"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Italia</w:t>
            </w:r>
          </w:p>
        </w:tc>
        <w:tc>
          <w:tcPr>
            <w:tcW w:w="1904" w:type="dxa"/>
            <w:gridSpan w:val="2"/>
            <w:tcBorders>
              <w:bottom w:val="double" w:sz="4"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Portugal</w:t>
            </w:r>
          </w:p>
        </w:tc>
      </w:tr>
      <w:tr w:rsidR="00C30686" w:rsidRPr="00877A41" w:rsidTr="00FF5604">
        <w:trPr>
          <w:trHeight w:val="135"/>
          <w:jc w:val="center"/>
        </w:trPr>
        <w:tc>
          <w:tcPr>
            <w:tcW w:w="1730" w:type="dxa"/>
            <w:vMerge w:val="restart"/>
          </w:tcPr>
          <w:p w:rsidR="00C30686" w:rsidRPr="00877A41" w:rsidRDefault="00C30686" w:rsidP="00FF5604">
            <w:pPr>
              <w:rPr>
                <w:rFonts w:ascii="Times New Roman" w:hAnsi="Times New Roman" w:cs="Times New Roman"/>
                <w:sz w:val="24"/>
                <w:szCs w:val="24"/>
              </w:rPr>
            </w:pPr>
            <w:r>
              <w:rPr>
                <w:rFonts w:ascii="Times New Roman" w:hAnsi="Times New Roman" w:cs="Times New Roman"/>
                <w:sz w:val="24"/>
                <w:szCs w:val="24"/>
              </w:rPr>
              <w:t>Gobierno</w:t>
            </w:r>
          </w:p>
        </w:tc>
        <w:tc>
          <w:tcPr>
            <w:tcW w:w="898" w:type="dxa"/>
            <w:tcBorders>
              <w:top w:val="double" w:sz="4" w:space="0" w:color="auto"/>
              <w:bottom w:val="single" w:sz="4"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2002</w:t>
            </w:r>
          </w:p>
        </w:tc>
        <w:tc>
          <w:tcPr>
            <w:tcW w:w="898" w:type="dxa"/>
            <w:tcBorders>
              <w:top w:val="double" w:sz="4" w:space="0" w:color="auto"/>
              <w:bottom w:val="single" w:sz="4"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2012</w:t>
            </w:r>
          </w:p>
        </w:tc>
        <w:tc>
          <w:tcPr>
            <w:tcW w:w="869" w:type="dxa"/>
            <w:tcBorders>
              <w:top w:val="double" w:sz="4" w:space="0" w:color="auto"/>
              <w:bottom w:val="single" w:sz="4"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2002</w:t>
            </w:r>
          </w:p>
        </w:tc>
        <w:tc>
          <w:tcPr>
            <w:tcW w:w="870" w:type="dxa"/>
            <w:tcBorders>
              <w:top w:val="double" w:sz="4" w:space="0" w:color="auto"/>
              <w:bottom w:val="single" w:sz="4" w:space="0" w:color="auto"/>
            </w:tcBorders>
          </w:tcPr>
          <w:p w:rsidR="00C30686" w:rsidRPr="0037406D" w:rsidRDefault="00C30686" w:rsidP="00FF5604">
            <w:pPr>
              <w:rPr>
                <w:rFonts w:ascii="Times New Roman" w:hAnsi="Times New Roman" w:cs="Times New Roman"/>
                <w:color w:val="000000" w:themeColor="text1"/>
                <w:sz w:val="24"/>
                <w:szCs w:val="24"/>
              </w:rPr>
            </w:pPr>
            <w:r w:rsidRPr="0037406D">
              <w:rPr>
                <w:rFonts w:ascii="Times New Roman" w:hAnsi="Times New Roman" w:cs="Times New Roman"/>
                <w:color w:val="000000" w:themeColor="text1"/>
                <w:sz w:val="24"/>
                <w:szCs w:val="24"/>
              </w:rPr>
              <w:t>201</w:t>
            </w:r>
            <w:r w:rsidR="00F513DE">
              <w:rPr>
                <w:rFonts w:ascii="Times New Roman" w:hAnsi="Times New Roman" w:cs="Times New Roman"/>
                <w:color w:val="000000" w:themeColor="text1"/>
                <w:sz w:val="24"/>
                <w:szCs w:val="24"/>
              </w:rPr>
              <w:t>0</w:t>
            </w:r>
          </w:p>
        </w:tc>
        <w:tc>
          <w:tcPr>
            <w:tcW w:w="810" w:type="dxa"/>
            <w:tcBorders>
              <w:top w:val="double" w:sz="4" w:space="0" w:color="auto"/>
              <w:bottom w:val="single" w:sz="4"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2002</w:t>
            </w:r>
          </w:p>
        </w:tc>
        <w:tc>
          <w:tcPr>
            <w:tcW w:w="810" w:type="dxa"/>
            <w:tcBorders>
              <w:top w:val="double" w:sz="4" w:space="0" w:color="auto"/>
              <w:bottom w:val="single" w:sz="4"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2012</w:t>
            </w:r>
          </w:p>
        </w:tc>
        <w:tc>
          <w:tcPr>
            <w:tcW w:w="952" w:type="dxa"/>
            <w:tcBorders>
              <w:top w:val="double" w:sz="4" w:space="0" w:color="auto"/>
              <w:bottom w:val="single" w:sz="4"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2002</w:t>
            </w:r>
          </w:p>
        </w:tc>
        <w:tc>
          <w:tcPr>
            <w:tcW w:w="952" w:type="dxa"/>
            <w:tcBorders>
              <w:top w:val="double" w:sz="4" w:space="0" w:color="auto"/>
              <w:bottom w:val="single" w:sz="4" w:space="0" w:color="auto"/>
            </w:tcBorders>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2012</w:t>
            </w:r>
          </w:p>
        </w:tc>
      </w:tr>
      <w:tr w:rsidR="00C30686" w:rsidRPr="00877A41" w:rsidTr="00FF5604">
        <w:trPr>
          <w:trHeight w:val="135"/>
          <w:jc w:val="center"/>
        </w:trPr>
        <w:tc>
          <w:tcPr>
            <w:tcW w:w="1730" w:type="dxa"/>
            <w:vMerge/>
          </w:tcPr>
          <w:p w:rsidR="00C30686" w:rsidRPr="00877A41" w:rsidRDefault="00C30686" w:rsidP="00FF5604">
            <w:pPr>
              <w:rPr>
                <w:rFonts w:ascii="Times New Roman" w:hAnsi="Times New Roman" w:cs="Times New Roman"/>
                <w:sz w:val="24"/>
                <w:szCs w:val="24"/>
              </w:rPr>
            </w:pPr>
          </w:p>
        </w:tc>
        <w:tc>
          <w:tcPr>
            <w:tcW w:w="898" w:type="dxa"/>
            <w:tcBorders>
              <w:top w:val="single" w:sz="4" w:space="0" w:color="auto"/>
            </w:tcBorders>
          </w:tcPr>
          <w:p w:rsidR="00C30686" w:rsidRPr="00877A41" w:rsidRDefault="00C30686" w:rsidP="00FF5604">
            <w:pPr>
              <w:rPr>
                <w:rFonts w:ascii="Times New Roman" w:hAnsi="Times New Roman" w:cs="Times New Roman"/>
                <w:sz w:val="24"/>
                <w:szCs w:val="24"/>
              </w:rPr>
            </w:pPr>
            <w:r>
              <w:rPr>
                <w:rFonts w:ascii="Times New Roman" w:hAnsi="Times New Roman" w:cs="Times New Roman"/>
                <w:sz w:val="24"/>
                <w:szCs w:val="24"/>
              </w:rPr>
              <w:t>50</w:t>
            </w:r>
          </w:p>
        </w:tc>
        <w:tc>
          <w:tcPr>
            <w:tcW w:w="898" w:type="dxa"/>
            <w:tcBorders>
              <w:top w:val="single" w:sz="4" w:space="0" w:color="auto"/>
            </w:tcBorders>
          </w:tcPr>
          <w:p w:rsidR="00C30686" w:rsidRPr="00877A41" w:rsidRDefault="00C30686" w:rsidP="00FF5604">
            <w:pPr>
              <w:rPr>
                <w:rFonts w:ascii="Times New Roman" w:hAnsi="Times New Roman" w:cs="Times New Roman"/>
                <w:sz w:val="24"/>
                <w:szCs w:val="24"/>
              </w:rPr>
            </w:pPr>
            <w:r>
              <w:rPr>
                <w:rFonts w:ascii="Times New Roman" w:hAnsi="Times New Roman" w:cs="Times New Roman"/>
                <w:sz w:val="24"/>
                <w:szCs w:val="24"/>
              </w:rPr>
              <w:t>77</w:t>
            </w:r>
          </w:p>
        </w:tc>
        <w:tc>
          <w:tcPr>
            <w:tcW w:w="869" w:type="dxa"/>
            <w:tcBorders>
              <w:top w:val="single" w:sz="4" w:space="0" w:color="auto"/>
            </w:tcBorders>
          </w:tcPr>
          <w:p w:rsidR="00C30686" w:rsidRPr="00877A41" w:rsidRDefault="00C30686" w:rsidP="00FF5604">
            <w:pPr>
              <w:rPr>
                <w:rFonts w:ascii="Times New Roman" w:hAnsi="Times New Roman" w:cs="Times New Roman"/>
                <w:sz w:val="24"/>
                <w:szCs w:val="24"/>
              </w:rPr>
            </w:pPr>
            <w:r>
              <w:rPr>
                <w:rFonts w:ascii="Times New Roman" w:hAnsi="Times New Roman" w:cs="Times New Roman"/>
                <w:sz w:val="24"/>
                <w:szCs w:val="24"/>
              </w:rPr>
              <w:t>54</w:t>
            </w:r>
          </w:p>
        </w:tc>
        <w:tc>
          <w:tcPr>
            <w:tcW w:w="870" w:type="dxa"/>
            <w:tcBorders>
              <w:top w:val="single" w:sz="4" w:space="0" w:color="auto"/>
            </w:tcBorders>
          </w:tcPr>
          <w:p w:rsidR="00C30686" w:rsidRPr="00C520E5" w:rsidRDefault="00C520E5" w:rsidP="00FF5604">
            <w:pPr>
              <w:rPr>
                <w:rFonts w:ascii="Times New Roman" w:hAnsi="Times New Roman" w:cs="Times New Roman"/>
                <w:sz w:val="24"/>
                <w:szCs w:val="24"/>
              </w:rPr>
            </w:pPr>
            <w:r w:rsidRPr="00C520E5">
              <w:rPr>
                <w:rFonts w:ascii="Times New Roman" w:hAnsi="Times New Roman" w:cs="Times New Roman"/>
                <w:sz w:val="24"/>
                <w:szCs w:val="24"/>
              </w:rPr>
              <w:t>87</w:t>
            </w:r>
          </w:p>
        </w:tc>
        <w:tc>
          <w:tcPr>
            <w:tcW w:w="810" w:type="dxa"/>
            <w:tcBorders>
              <w:top w:val="single" w:sz="4" w:space="0" w:color="auto"/>
            </w:tcBorders>
          </w:tcPr>
          <w:p w:rsidR="00C30686" w:rsidRPr="00877A41" w:rsidRDefault="00C30686" w:rsidP="00FF5604">
            <w:pPr>
              <w:rPr>
                <w:rFonts w:ascii="Times New Roman" w:hAnsi="Times New Roman" w:cs="Times New Roman"/>
                <w:sz w:val="24"/>
                <w:szCs w:val="24"/>
              </w:rPr>
            </w:pPr>
            <w:r>
              <w:rPr>
                <w:rFonts w:ascii="Times New Roman" w:hAnsi="Times New Roman" w:cs="Times New Roman"/>
                <w:sz w:val="24"/>
                <w:szCs w:val="24"/>
              </w:rPr>
              <w:t>55</w:t>
            </w:r>
          </w:p>
        </w:tc>
        <w:tc>
          <w:tcPr>
            <w:tcW w:w="810" w:type="dxa"/>
            <w:tcBorders>
              <w:top w:val="single" w:sz="4" w:space="0" w:color="auto"/>
            </w:tcBorders>
          </w:tcPr>
          <w:p w:rsidR="00C30686" w:rsidRPr="00877A41" w:rsidRDefault="00C30686" w:rsidP="00FF5604">
            <w:pPr>
              <w:rPr>
                <w:rFonts w:ascii="Times New Roman" w:hAnsi="Times New Roman" w:cs="Times New Roman"/>
                <w:sz w:val="24"/>
                <w:szCs w:val="24"/>
              </w:rPr>
            </w:pPr>
            <w:r>
              <w:rPr>
                <w:rFonts w:ascii="Times New Roman" w:hAnsi="Times New Roman" w:cs="Times New Roman"/>
                <w:sz w:val="24"/>
                <w:szCs w:val="24"/>
              </w:rPr>
              <w:t>73</w:t>
            </w:r>
          </w:p>
        </w:tc>
        <w:tc>
          <w:tcPr>
            <w:tcW w:w="952" w:type="dxa"/>
            <w:tcBorders>
              <w:top w:val="single" w:sz="4" w:space="0" w:color="auto"/>
            </w:tcBorders>
          </w:tcPr>
          <w:p w:rsidR="00C30686" w:rsidRPr="00877A41" w:rsidRDefault="00C30686" w:rsidP="00FF5604">
            <w:pPr>
              <w:rPr>
                <w:rFonts w:ascii="Times New Roman" w:hAnsi="Times New Roman" w:cs="Times New Roman"/>
                <w:sz w:val="24"/>
                <w:szCs w:val="24"/>
              </w:rPr>
            </w:pPr>
            <w:r>
              <w:rPr>
                <w:rFonts w:ascii="Times New Roman" w:hAnsi="Times New Roman" w:cs="Times New Roman"/>
                <w:sz w:val="24"/>
                <w:szCs w:val="24"/>
              </w:rPr>
              <w:t>6</w:t>
            </w:r>
            <w:r w:rsidRPr="00877A41">
              <w:rPr>
                <w:rFonts w:ascii="Times New Roman" w:hAnsi="Times New Roman" w:cs="Times New Roman"/>
                <w:sz w:val="24"/>
                <w:szCs w:val="24"/>
              </w:rPr>
              <w:t>5</w:t>
            </w:r>
          </w:p>
        </w:tc>
        <w:tc>
          <w:tcPr>
            <w:tcW w:w="952" w:type="dxa"/>
            <w:tcBorders>
              <w:top w:val="single" w:sz="4" w:space="0" w:color="auto"/>
            </w:tcBorders>
          </w:tcPr>
          <w:p w:rsidR="00C30686" w:rsidRPr="00877A41" w:rsidRDefault="00C30686" w:rsidP="00FF5604">
            <w:pPr>
              <w:rPr>
                <w:rFonts w:ascii="Times New Roman" w:hAnsi="Times New Roman" w:cs="Times New Roman"/>
                <w:sz w:val="24"/>
                <w:szCs w:val="24"/>
              </w:rPr>
            </w:pPr>
            <w:r>
              <w:rPr>
                <w:rFonts w:ascii="Times New Roman" w:hAnsi="Times New Roman" w:cs="Times New Roman"/>
                <w:sz w:val="24"/>
                <w:szCs w:val="24"/>
              </w:rPr>
              <w:t>85</w:t>
            </w:r>
          </w:p>
        </w:tc>
      </w:tr>
      <w:tr w:rsidR="00C30686" w:rsidRPr="00877A41" w:rsidTr="00FF5604">
        <w:trPr>
          <w:trHeight w:val="506"/>
          <w:jc w:val="center"/>
        </w:trPr>
        <w:tc>
          <w:tcPr>
            <w:tcW w:w="1730" w:type="dxa"/>
          </w:tcPr>
          <w:p w:rsidR="00C30686" w:rsidRPr="00877A41" w:rsidRDefault="00C30686" w:rsidP="00FF5604">
            <w:pPr>
              <w:rPr>
                <w:rFonts w:ascii="Times New Roman" w:hAnsi="Times New Roman" w:cs="Times New Roman"/>
                <w:sz w:val="24"/>
                <w:szCs w:val="24"/>
              </w:rPr>
            </w:pPr>
            <w:r>
              <w:rPr>
                <w:rFonts w:ascii="Times New Roman" w:hAnsi="Times New Roman" w:cs="Times New Roman"/>
                <w:sz w:val="24"/>
                <w:szCs w:val="24"/>
              </w:rPr>
              <w:t>Democracia</w:t>
            </w:r>
          </w:p>
        </w:tc>
        <w:tc>
          <w:tcPr>
            <w:tcW w:w="898" w:type="dxa"/>
          </w:tcPr>
          <w:p w:rsidR="00C30686" w:rsidRPr="00877A41" w:rsidRDefault="00C30686" w:rsidP="00FF5604">
            <w:pPr>
              <w:rPr>
                <w:rFonts w:ascii="Times New Roman" w:hAnsi="Times New Roman" w:cs="Times New Roman"/>
                <w:sz w:val="24"/>
                <w:szCs w:val="24"/>
              </w:rPr>
            </w:pPr>
            <w:r>
              <w:rPr>
                <w:rFonts w:ascii="Times New Roman" w:hAnsi="Times New Roman" w:cs="Times New Roman"/>
                <w:sz w:val="24"/>
                <w:szCs w:val="24"/>
              </w:rPr>
              <w:t>23</w:t>
            </w:r>
          </w:p>
        </w:tc>
        <w:tc>
          <w:tcPr>
            <w:tcW w:w="898" w:type="dxa"/>
          </w:tcPr>
          <w:p w:rsidR="00C30686" w:rsidRPr="00877A41" w:rsidRDefault="00C30686" w:rsidP="00FF5604">
            <w:pPr>
              <w:rPr>
                <w:rFonts w:ascii="Times New Roman" w:hAnsi="Times New Roman" w:cs="Times New Roman"/>
                <w:sz w:val="24"/>
                <w:szCs w:val="24"/>
              </w:rPr>
            </w:pPr>
            <w:r>
              <w:rPr>
                <w:rFonts w:ascii="Times New Roman" w:hAnsi="Times New Roman" w:cs="Times New Roman"/>
                <w:sz w:val="24"/>
                <w:szCs w:val="24"/>
              </w:rPr>
              <w:t>53</w:t>
            </w:r>
          </w:p>
        </w:tc>
        <w:tc>
          <w:tcPr>
            <w:tcW w:w="869" w:type="dxa"/>
          </w:tcPr>
          <w:p w:rsidR="00C30686" w:rsidRPr="00877A41" w:rsidRDefault="00C30686" w:rsidP="00FF5604">
            <w:pPr>
              <w:rPr>
                <w:rFonts w:ascii="Times New Roman" w:hAnsi="Times New Roman" w:cs="Times New Roman"/>
                <w:sz w:val="24"/>
                <w:szCs w:val="24"/>
              </w:rPr>
            </w:pPr>
            <w:r>
              <w:rPr>
                <w:rFonts w:ascii="Times New Roman" w:hAnsi="Times New Roman" w:cs="Times New Roman"/>
                <w:sz w:val="24"/>
                <w:szCs w:val="24"/>
              </w:rPr>
              <w:t>29</w:t>
            </w:r>
          </w:p>
        </w:tc>
        <w:tc>
          <w:tcPr>
            <w:tcW w:w="870" w:type="dxa"/>
          </w:tcPr>
          <w:p w:rsidR="00C30686" w:rsidRPr="00C520E5" w:rsidRDefault="00C520E5" w:rsidP="00FF5604">
            <w:pPr>
              <w:rPr>
                <w:rFonts w:ascii="Times New Roman" w:hAnsi="Times New Roman" w:cs="Times New Roman"/>
                <w:sz w:val="24"/>
                <w:szCs w:val="24"/>
              </w:rPr>
            </w:pPr>
            <w:r w:rsidRPr="00C520E5">
              <w:rPr>
                <w:rFonts w:ascii="Times New Roman" w:hAnsi="Times New Roman" w:cs="Times New Roman"/>
                <w:sz w:val="24"/>
                <w:szCs w:val="24"/>
              </w:rPr>
              <w:t>72</w:t>
            </w:r>
          </w:p>
        </w:tc>
        <w:tc>
          <w:tcPr>
            <w:tcW w:w="810" w:type="dxa"/>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37</w:t>
            </w:r>
          </w:p>
        </w:tc>
        <w:tc>
          <w:tcPr>
            <w:tcW w:w="810" w:type="dxa"/>
          </w:tcPr>
          <w:p w:rsidR="00C30686" w:rsidRPr="00877A41" w:rsidRDefault="00C30686" w:rsidP="00FF5604">
            <w:pPr>
              <w:rPr>
                <w:rFonts w:ascii="Times New Roman" w:hAnsi="Times New Roman" w:cs="Times New Roman"/>
                <w:sz w:val="24"/>
                <w:szCs w:val="24"/>
              </w:rPr>
            </w:pPr>
            <w:r>
              <w:rPr>
                <w:rFonts w:ascii="Times New Roman" w:hAnsi="Times New Roman" w:cs="Times New Roman"/>
                <w:sz w:val="24"/>
                <w:szCs w:val="24"/>
              </w:rPr>
              <w:t>52</w:t>
            </w:r>
          </w:p>
        </w:tc>
        <w:tc>
          <w:tcPr>
            <w:tcW w:w="952" w:type="dxa"/>
          </w:tcPr>
          <w:p w:rsidR="00C30686" w:rsidRPr="00877A41" w:rsidRDefault="00C30686" w:rsidP="00FF5604">
            <w:pPr>
              <w:rPr>
                <w:rFonts w:ascii="Times New Roman" w:hAnsi="Times New Roman" w:cs="Times New Roman"/>
                <w:sz w:val="24"/>
                <w:szCs w:val="24"/>
              </w:rPr>
            </w:pPr>
            <w:r w:rsidRPr="00877A41">
              <w:rPr>
                <w:rFonts w:ascii="Times New Roman" w:hAnsi="Times New Roman" w:cs="Times New Roman"/>
                <w:sz w:val="24"/>
                <w:szCs w:val="24"/>
              </w:rPr>
              <w:t>4</w:t>
            </w:r>
            <w:r>
              <w:rPr>
                <w:rFonts w:ascii="Times New Roman" w:hAnsi="Times New Roman" w:cs="Times New Roman"/>
                <w:sz w:val="24"/>
                <w:szCs w:val="24"/>
              </w:rPr>
              <w:t>3</w:t>
            </w:r>
          </w:p>
        </w:tc>
        <w:tc>
          <w:tcPr>
            <w:tcW w:w="952" w:type="dxa"/>
          </w:tcPr>
          <w:p w:rsidR="00C30686" w:rsidRPr="00877A41" w:rsidRDefault="00C30686" w:rsidP="00FF5604">
            <w:pPr>
              <w:rPr>
                <w:rFonts w:ascii="Times New Roman" w:hAnsi="Times New Roman" w:cs="Times New Roman"/>
                <w:sz w:val="24"/>
                <w:szCs w:val="24"/>
              </w:rPr>
            </w:pPr>
            <w:r>
              <w:rPr>
                <w:rFonts w:ascii="Times New Roman" w:hAnsi="Times New Roman" w:cs="Times New Roman"/>
                <w:sz w:val="24"/>
                <w:szCs w:val="24"/>
              </w:rPr>
              <w:t>55</w:t>
            </w:r>
          </w:p>
        </w:tc>
      </w:tr>
      <w:tr w:rsidR="00C30686" w:rsidRPr="00877A41" w:rsidTr="00FF5604">
        <w:trPr>
          <w:trHeight w:val="345"/>
          <w:jc w:val="center"/>
        </w:trPr>
        <w:tc>
          <w:tcPr>
            <w:tcW w:w="1730" w:type="dxa"/>
            <w:tcBorders>
              <w:bottom w:val="single" w:sz="12" w:space="0" w:color="auto"/>
            </w:tcBorders>
          </w:tcPr>
          <w:p w:rsidR="00C30686" w:rsidRPr="00877A41" w:rsidRDefault="00C30686" w:rsidP="00FF5604">
            <w:pPr>
              <w:rPr>
                <w:rFonts w:ascii="Times New Roman" w:hAnsi="Times New Roman" w:cs="Times New Roman"/>
                <w:sz w:val="24"/>
                <w:szCs w:val="24"/>
              </w:rPr>
            </w:pPr>
            <w:r>
              <w:rPr>
                <w:rFonts w:ascii="Times New Roman" w:hAnsi="Times New Roman" w:cs="Times New Roman"/>
                <w:sz w:val="24"/>
                <w:szCs w:val="24"/>
              </w:rPr>
              <w:t>Economía</w:t>
            </w:r>
          </w:p>
        </w:tc>
        <w:tc>
          <w:tcPr>
            <w:tcW w:w="898" w:type="dxa"/>
            <w:tcBorders>
              <w:bottom w:val="single" w:sz="12" w:space="0" w:color="auto"/>
            </w:tcBorders>
          </w:tcPr>
          <w:p w:rsidR="00C30686" w:rsidRPr="00877A41" w:rsidRDefault="00C30686" w:rsidP="00FF5604">
            <w:pPr>
              <w:rPr>
                <w:rFonts w:ascii="Times New Roman" w:hAnsi="Times New Roman" w:cs="Times New Roman"/>
                <w:sz w:val="24"/>
                <w:szCs w:val="24"/>
              </w:rPr>
            </w:pPr>
            <w:r>
              <w:rPr>
                <w:rFonts w:ascii="Times New Roman" w:hAnsi="Times New Roman" w:cs="Times New Roman"/>
                <w:sz w:val="24"/>
                <w:szCs w:val="24"/>
              </w:rPr>
              <w:t>40</w:t>
            </w:r>
          </w:p>
        </w:tc>
        <w:tc>
          <w:tcPr>
            <w:tcW w:w="898" w:type="dxa"/>
            <w:tcBorders>
              <w:bottom w:val="single" w:sz="12" w:space="0" w:color="auto"/>
            </w:tcBorders>
          </w:tcPr>
          <w:p w:rsidR="00C30686" w:rsidRPr="00877A41" w:rsidRDefault="00C30686" w:rsidP="00FF5604">
            <w:pPr>
              <w:rPr>
                <w:rFonts w:ascii="Times New Roman" w:hAnsi="Times New Roman" w:cs="Times New Roman"/>
                <w:sz w:val="24"/>
                <w:szCs w:val="24"/>
              </w:rPr>
            </w:pPr>
            <w:r>
              <w:rPr>
                <w:rFonts w:ascii="Times New Roman" w:hAnsi="Times New Roman" w:cs="Times New Roman"/>
                <w:sz w:val="24"/>
                <w:szCs w:val="24"/>
              </w:rPr>
              <w:t>85</w:t>
            </w:r>
          </w:p>
        </w:tc>
        <w:tc>
          <w:tcPr>
            <w:tcW w:w="869" w:type="dxa"/>
            <w:tcBorders>
              <w:bottom w:val="single" w:sz="12" w:space="0" w:color="auto"/>
            </w:tcBorders>
          </w:tcPr>
          <w:p w:rsidR="00C30686" w:rsidRPr="00877A41" w:rsidRDefault="00C30686" w:rsidP="00FF5604">
            <w:pPr>
              <w:rPr>
                <w:rFonts w:ascii="Times New Roman" w:hAnsi="Times New Roman" w:cs="Times New Roman"/>
                <w:sz w:val="24"/>
                <w:szCs w:val="24"/>
              </w:rPr>
            </w:pPr>
            <w:r>
              <w:rPr>
                <w:rFonts w:ascii="Times New Roman" w:hAnsi="Times New Roman" w:cs="Times New Roman"/>
                <w:sz w:val="24"/>
                <w:szCs w:val="24"/>
              </w:rPr>
              <w:t>61</w:t>
            </w:r>
          </w:p>
        </w:tc>
        <w:tc>
          <w:tcPr>
            <w:tcW w:w="870" w:type="dxa"/>
            <w:tcBorders>
              <w:bottom w:val="single" w:sz="12" w:space="0" w:color="auto"/>
            </w:tcBorders>
          </w:tcPr>
          <w:p w:rsidR="00C30686" w:rsidRPr="00C520E5" w:rsidRDefault="00C520E5" w:rsidP="00FF5604">
            <w:pPr>
              <w:rPr>
                <w:rFonts w:ascii="Times New Roman" w:hAnsi="Times New Roman" w:cs="Times New Roman"/>
                <w:sz w:val="24"/>
                <w:szCs w:val="24"/>
              </w:rPr>
            </w:pPr>
            <w:r w:rsidRPr="00C520E5">
              <w:rPr>
                <w:rFonts w:ascii="Times New Roman" w:hAnsi="Times New Roman" w:cs="Times New Roman"/>
                <w:sz w:val="24"/>
                <w:szCs w:val="24"/>
              </w:rPr>
              <w:t>94</w:t>
            </w:r>
          </w:p>
        </w:tc>
        <w:tc>
          <w:tcPr>
            <w:tcW w:w="810" w:type="dxa"/>
            <w:tcBorders>
              <w:bottom w:val="single" w:sz="12" w:space="0" w:color="auto"/>
            </w:tcBorders>
          </w:tcPr>
          <w:p w:rsidR="00C30686" w:rsidRPr="00877A41" w:rsidRDefault="00C30686" w:rsidP="00FF5604">
            <w:pPr>
              <w:rPr>
                <w:rFonts w:ascii="Times New Roman" w:hAnsi="Times New Roman" w:cs="Times New Roman"/>
                <w:sz w:val="24"/>
                <w:szCs w:val="24"/>
              </w:rPr>
            </w:pPr>
            <w:r>
              <w:rPr>
                <w:rFonts w:ascii="Times New Roman" w:hAnsi="Times New Roman" w:cs="Times New Roman"/>
                <w:sz w:val="24"/>
                <w:szCs w:val="24"/>
              </w:rPr>
              <w:t>54</w:t>
            </w:r>
          </w:p>
        </w:tc>
        <w:tc>
          <w:tcPr>
            <w:tcW w:w="810" w:type="dxa"/>
            <w:tcBorders>
              <w:bottom w:val="single" w:sz="12" w:space="0" w:color="auto"/>
            </w:tcBorders>
          </w:tcPr>
          <w:p w:rsidR="00C30686" w:rsidRPr="00877A41" w:rsidRDefault="00C30686" w:rsidP="00FF5604">
            <w:pPr>
              <w:rPr>
                <w:rFonts w:ascii="Times New Roman" w:hAnsi="Times New Roman" w:cs="Times New Roman"/>
                <w:sz w:val="24"/>
                <w:szCs w:val="24"/>
              </w:rPr>
            </w:pPr>
            <w:r>
              <w:rPr>
                <w:rFonts w:ascii="Times New Roman" w:hAnsi="Times New Roman" w:cs="Times New Roman"/>
                <w:sz w:val="24"/>
                <w:szCs w:val="24"/>
              </w:rPr>
              <w:t>69</w:t>
            </w:r>
          </w:p>
        </w:tc>
        <w:tc>
          <w:tcPr>
            <w:tcW w:w="952" w:type="dxa"/>
            <w:tcBorders>
              <w:bottom w:val="single" w:sz="12" w:space="0" w:color="auto"/>
            </w:tcBorders>
          </w:tcPr>
          <w:p w:rsidR="00C30686" w:rsidRPr="00877A41" w:rsidRDefault="00C30686" w:rsidP="00FF5604">
            <w:pPr>
              <w:rPr>
                <w:rFonts w:ascii="Times New Roman" w:hAnsi="Times New Roman" w:cs="Times New Roman"/>
                <w:sz w:val="24"/>
                <w:szCs w:val="24"/>
              </w:rPr>
            </w:pPr>
            <w:r>
              <w:rPr>
                <w:rFonts w:ascii="Times New Roman" w:hAnsi="Times New Roman" w:cs="Times New Roman"/>
                <w:sz w:val="24"/>
                <w:szCs w:val="24"/>
              </w:rPr>
              <w:t>8</w:t>
            </w:r>
            <w:r w:rsidRPr="00877A41">
              <w:rPr>
                <w:rFonts w:ascii="Times New Roman" w:hAnsi="Times New Roman" w:cs="Times New Roman"/>
                <w:sz w:val="24"/>
                <w:szCs w:val="24"/>
              </w:rPr>
              <w:t>7</w:t>
            </w:r>
          </w:p>
        </w:tc>
        <w:tc>
          <w:tcPr>
            <w:tcW w:w="952" w:type="dxa"/>
            <w:tcBorders>
              <w:bottom w:val="single" w:sz="12" w:space="0" w:color="auto"/>
            </w:tcBorders>
          </w:tcPr>
          <w:p w:rsidR="00C30686" w:rsidRPr="00877A41" w:rsidRDefault="00C30686" w:rsidP="00FF5604">
            <w:pPr>
              <w:rPr>
                <w:rFonts w:ascii="Times New Roman" w:hAnsi="Times New Roman" w:cs="Times New Roman"/>
                <w:sz w:val="24"/>
                <w:szCs w:val="24"/>
              </w:rPr>
            </w:pPr>
            <w:r>
              <w:rPr>
                <w:rFonts w:ascii="Times New Roman" w:hAnsi="Times New Roman" w:cs="Times New Roman"/>
                <w:sz w:val="24"/>
                <w:szCs w:val="24"/>
              </w:rPr>
              <w:t>90</w:t>
            </w:r>
          </w:p>
        </w:tc>
      </w:tr>
      <w:tr w:rsidR="00C30686" w:rsidRPr="00877A41" w:rsidTr="00FF5604">
        <w:trPr>
          <w:trHeight w:val="131"/>
          <w:jc w:val="center"/>
        </w:trPr>
        <w:tc>
          <w:tcPr>
            <w:tcW w:w="1730" w:type="dxa"/>
            <w:tcBorders>
              <w:top w:val="single" w:sz="12" w:space="0" w:color="auto"/>
            </w:tcBorders>
          </w:tcPr>
          <w:p w:rsidR="00C30686" w:rsidRPr="00877A41" w:rsidRDefault="00C30686" w:rsidP="00FF5604">
            <w:pPr>
              <w:rPr>
                <w:rFonts w:ascii="Times New Roman" w:hAnsi="Times New Roman" w:cs="Times New Roman"/>
                <w:i/>
                <w:sz w:val="24"/>
                <w:szCs w:val="24"/>
              </w:rPr>
            </w:pPr>
            <w:r w:rsidRPr="00877A41">
              <w:rPr>
                <w:rFonts w:ascii="Times New Roman" w:hAnsi="Times New Roman" w:cs="Times New Roman"/>
                <w:i/>
                <w:szCs w:val="24"/>
              </w:rPr>
              <w:t>Fuente: ESS</w:t>
            </w:r>
          </w:p>
        </w:tc>
        <w:tc>
          <w:tcPr>
            <w:tcW w:w="898" w:type="dxa"/>
            <w:tcBorders>
              <w:top w:val="single" w:sz="12" w:space="0" w:color="auto"/>
            </w:tcBorders>
          </w:tcPr>
          <w:p w:rsidR="00C30686" w:rsidRPr="00877A41" w:rsidRDefault="00C30686" w:rsidP="00FF5604">
            <w:pPr>
              <w:rPr>
                <w:rFonts w:ascii="Times New Roman" w:hAnsi="Times New Roman" w:cs="Times New Roman"/>
                <w:sz w:val="24"/>
                <w:szCs w:val="24"/>
              </w:rPr>
            </w:pPr>
          </w:p>
        </w:tc>
        <w:tc>
          <w:tcPr>
            <w:tcW w:w="898" w:type="dxa"/>
            <w:tcBorders>
              <w:top w:val="single" w:sz="12" w:space="0" w:color="auto"/>
            </w:tcBorders>
          </w:tcPr>
          <w:p w:rsidR="00C30686" w:rsidRPr="00877A41" w:rsidRDefault="00C30686" w:rsidP="00FF5604">
            <w:pPr>
              <w:rPr>
                <w:rFonts w:ascii="Times New Roman" w:hAnsi="Times New Roman" w:cs="Times New Roman"/>
                <w:sz w:val="24"/>
                <w:szCs w:val="24"/>
              </w:rPr>
            </w:pPr>
          </w:p>
        </w:tc>
        <w:tc>
          <w:tcPr>
            <w:tcW w:w="869" w:type="dxa"/>
            <w:tcBorders>
              <w:top w:val="single" w:sz="12" w:space="0" w:color="auto"/>
            </w:tcBorders>
          </w:tcPr>
          <w:p w:rsidR="00C30686" w:rsidRPr="00877A41" w:rsidRDefault="00C30686" w:rsidP="00FF5604">
            <w:pPr>
              <w:rPr>
                <w:rFonts w:ascii="Times New Roman" w:hAnsi="Times New Roman" w:cs="Times New Roman"/>
                <w:sz w:val="24"/>
                <w:szCs w:val="24"/>
              </w:rPr>
            </w:pPr>
          </w:p>
        </w:tc>
        <w:tc>
          <w:tcPr>
            <w:tcW w:w="870" w:type="dxa"/>
            <w:tcBorders>
              <w:top w:val="single" w:sz="12" w:space="0" w:color="auto"/>
            </w:tcBorders>
          </w:tcPr>
          <w:p w:rsidR="00C30686" w:rsidRPr="00877A41" w:rsidRDefault="00C30686" w:rsidP="00FF5604">
            <w:pPr>
              <w:rPr>
                <w:rFonts w:ascii="Times New Roman" w:hAnsi="Times New Roman" w:cs="Times New Roman"/>
                <w:sz w:val="24"/>
                <w:szCs w:val="24"/>
              </w:rPr>
            </w:pPr>
          </w:p>
        </w:tc>
        <w:tc>
          <w:tcPr>
            <w:tcW w:w="810" w:type="dxa"/>
            <w:tcBorders>
              <w:top w:val="single" w:sz="12" w:space="0" w:color="auto"/>
            </w:tcBorders>
          </w:tcPr>
          <w:p w:rsidR="00C30686" w:rsidRPr="00877A41" w:rsidRDefault="00C30686" w:rsidP="00FF5604">
            <w:pPr>
              <w:rPr>
                <w:rFonts w:ascii="Times New Roman" w:hAnsi="Times New Roman" w:cs="Times New Roman"/>
                <w:sz w:val="24"/>
                <w:szCs w:val="24"/>
              </w:rPr>
            </w:pPr>
          </w:p>
        </w:tc>
        <w:tc>
          <w:tcPr>
            <w:tcW w:w="810" w:type="dxa"/>
            <w:tcBorders>
              <w:top w:val="single" w:sz="12" w:space="0" w:color="auto"/>
            </w:tcBorders>
          </w:tcPr>
          <w:p w:rsidR="00C30686" w:rsidRPr="00877A41" w:rsidRDefault="00C30686" w:rsidP="00FF5604">
            <w:pPr>
              <w:rPr>
                <w:rFonts w:ascii="Times New Roman" w:hAnsi="Times New Roman" w:cs="Times New Roman"/>
                <w:sz w:val="24"/>
                <w:szCs w:val="24"/>
              </w:rPr>
            </w:pPr>
          </w:p>
        </w:tc>
        <w:tc>
          <w:tcPr>
            <w:tcW w:w="952" w:type="dxa"/>
            <w:tcBorders>
              <w:top w:val="single" w:sz="12" w:space="0" w:color="auto"/>
            </w:tcBorders>
          </w:tcPr>
          <w:p w:rsidR="00C30686" w:rsidRPr="00877A41" w:rsidRDefault="00C30686" w:rsidP="00FF5604">
            <w:pPr>
              <w:rPr>
                <w:rFonts w:ascii="Times New Roman" w:hAnsi="Times New Roman" w:cs="Times New Roman"/>
                <w:sz w:val="24"/>
                <w:szCs w:val="24"/>
              </w:rPr>
            </w:pPr>
          </w:p>
        </w:tc>
        <w:tc>
          <w:tcPr>
            <w:tcW w:w="952" w:type="dxa"/>
            <w:tcBorders>
              <w:top w:val="single" w:sz="12" w:space="0" w:color="auto"/>
            </w:tcBorders>
          </w:tcPr>
          <w:p w:rsidR="00C30686" w:rsidRPr="00877A41" w:rsidRDefault="00C30686" w:rsidP="00FF5604">
            <w:pPr>
              <w:rPr>
                <w:rFonts w:ascii="Times New Roman" w:hAnsi="Times New Roman" w:cs="Times New Roman"/>
                <w:sz w:val="24"/>
                <w:szCs w:val="24"/>
              </w:rPr>
            </w:pPr>
          </w:p>
        </w:tc>
      </w:tr>
    </w:tbl>
    <w:p w:rsidR="00C30686" w:rsidRDefault="00C30686" w:rsidP="00C30686">
      <w:pPr>
        <w:spacing w:after="0" w:line="360" w:lineRule="auto"/>
        <w:ind w:firstLine="708"/>
        <w:jc w:val="both"/>
        <w:rPr>
          <w:rFonts w:ascii="Times New Roman" w:eastAsia="Times New Roman" w:hAnsi="Times New Roman" w:cs="Times New Roman"/>
          <w:sz w:val="24"/>
          <w:szCs w:val="23"/>
          <w:lang w:eastAsia="es-ES"/>
        </w:rPr>
      </w:pPr>
    </w:p>
    <w:p w:rsidR="00C30686" w:rsidRDefault="00C30686" w:rsidP="00C30686">
      <w:pPr>
        <w:spacing w:after="0" w:line="360" w:lineRule="auto"/>
        <w:ind w:firstLine="708"/>
        <w:jc w:val="both"/>
        <w:rPr>
          <w:rFonts w:ascii="Times New Roman" w:hAnsi="Times New Roman" w:cs="Times New Roman"/>
          <w:sz w:val="24"/>
        </w:rPr>
      </w:pPr>
      <w:r>
        <w:rPr>
          <w:rFonts w:ascii="Times New Roman" w:eastAsia="Times New Roman" w:hAnsi="Times New Roman" w:cs="Times New Roman"/>
          <w:sz w:val="24"/>
          <w:szCs w:val="23"/>
          <w:lang w:eastAsia="es-ES"/>
        </w:rPr>
        <w:t xml:space="preserve">La insatisfacción con la democracia puede derivarse, por contagio, de la insatisfacción con la actuación de los ejecutivos nacionales y de las directrices a los gobiernos procedentes de Bruselas. De este modo quizás los ciudadanos perciban que sus representantes rinden cuentas antes a otros poderes que a ellos mismos, cuestionando la </w:t>
      </w:r>
      <w:r w:rsidRPr="002B7C33">
        <w:rPr>
          <w:rFonts w:ascii="Times New Roman" w:eastAsia="Times New Roman" w:hAnsi="Times New Roman" w:cs="Times New Roman"/>
          <w:i/>
          <w:sz w:val="24"/>
          <w:szCs w:val="23"/>
          <w:lang w:eastAsia="es-ES"/>
        </w:rPr>
        <w:t>accountability,</w:t>
      </w:r>
      <w:r>
        <w:rPr>
          <w:rFonts w:ascii="Times New Roman" w:eastAsia="Times New Roman" w:hAnsi="Times New Roman" w:cs="Times New Roman"/>
          <w:sz w:val="24"/>
          <w:szCs w:val="23"/>
          <w:lang w:eastAsia="es-ES"/>
        </w:rPr>
        <w:t xml:space="preserve"> una de las dimensiones esenciales de la democracia (y </w:t>
      </w:r>
      <w:r>
        <w:rPr>
          <w:rFonts w:ascii="Times New Roman" w:eastAsia="Times New Roman" w:hAnsi="Times New Roman" w:cs="Times New Roman"/>
          <w:sz w:val="24"/>
          <w:szCs w:val="23"/>
          <w:lang w:eastAsia="es-ES"/>
        </w:rPr>
        <w:lastRenderedPageBreak/>
        <w:t>con ello su buena marcha).  El auge de dichas actitudes negativas se produce en un ambiente dominado por un creciente interés político. E</w:t>
      </w:r>
      <w:r>
        <w:rPr>
          <w:rFonts w:ascii="Times New Roman" w:hAnsi="Times New Roman" w:cs="Times New Roman"/>
          <w:sz w:val="24"/>
        </w:rPr>
        <w:t>n los últimos años y en contra quizás de lo esperado, ha aumentado en muchos países de Europa, especialmente en el Sur (gráficos 4 y 5). Esto contradice (excepcionalmente) lo confirmado con carácter general por nuestra disciplina: la correlación positiva entre interés y voto.</w:t>
      </w:r>
    </w:p>
    <w:p w:rsidR="00C30686" w:rsidRPr="0004514A" w:rsidRDefault="00C30686" w:rsidP="00C30686">
      <w:pPr>
        <w:spacing w:after="0" w:line="360" w:lineRule="auto"/>
        <w:ind w:firstLine="708"/>
        <w:jc w:val="both"/>
        <w:rPr>
          <w:rFonts w:ascii="Times New Roman" w:eastAsia="Times New Roman" w:hAnsi="Times New Roman" w:cs="Times New Roman"/>
          <w:sz w:val="24"/>
          <w:szCs w:val="23"/>
          <w:lang w:eastAsia="es-ES"/>
        </w:rPr>
      </w:pPr>
    </w:p>
    <w:p w:rsidR="00C30686" w:rsidRDefault="004B0978" w:rsidP="004B0978">
      <w:pPr>
        <w:spacing w:after="0" w:line="360" w:lineRule="auto"/>
        <w:jc w:val="both"/>
        <w:rPr>
          <w:rFonts w:ascii="Times New Roman" w:eastAsia="Times New Roman" w:hAnsi="Times New Roman" w:cs="Times New Roman"/>
          <w:sz w:val="24"/>
          <w:szCs w:val="23"/>
          <w:lang w:eastAsia="es-ES"/>
        </w:rPr>
      </w:pPr>
      <w:r w:rsidRPr="00C81B0E">
        <w:rPr>
          <w:rFonts w:ascii="Times New Roman" w:hAnsi="Times New Roman" w:cs="Times New Roman"/>
          <w:noProof/>
          <w:color w:val="FF0000"/>
          <w:sz w:val="24"/>
          <w:lang w:eastAsia="es-ES"/>
        </w:rPr>
        <w:drawing>
          <wp:inline distT="0" distB="0" distL="0" distR="0" wp14:anchorId="4C791B0A" wp14:editId="5D0F2CBE">
            <wp:extent cx="5391150" cy="2333625"/>
            <wp:effectExtent l="0" t="0" r="0" b="0"/>
            <wp:docPr id="2"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30686" w:rsidRDefault="00C30686" w:rsidP="004B0978">
      <w:pPr>
        <w:spacing w:line="360" w:lineRule="auto"/>
        <w:jc w:val="both"/>
        <w:rPr>
          <w:rFonts w:ascii="Times New Roman" w:hAnsi="Times New Roman" w:cs="Times New Roman"/>
          <w:sz w:val="20"/>
        </w:rPr>
      </w:pPr>
      <w:r w:rsidRPr="00C81B0E">
        <w:rPr>
          <w:rFonts w:ascii="Times New Roman" w:hAnsi="Times New Roman" w:cs="Times New Roman"/>
          <w:i/>
        </w:rPr>
        <w:t>Fuente: ESS (2002-2012)</w:t>
      </w:r>
      <w:r w:rsidRPr="00C81B0E">
        <w:rPr>
          <w:rFonts w:ascii="Times New Roman" w:hAnsi="Times New Roman" w:cs="Times New Roman"/>
          <w:sz w:val="20"/>
        </w:rPr>
        <w:t>*Se representan las observaciones según datos disponibles</w:t>
      </w:r>
    </w:p>
    <w:p w:rsidR="00C30686" w:rsidRDefault="00C30686" w:rsidP="00C30686">
      <w:pPr>
        <w:spacing w:line="360" w:lineRule="auto"/>
        <w:ind w:firstLine="708"/>
        <w:jc w:val="both"/>
        <w:rPr>
          <w:rFonts w:ascii="Times New Roman" w:hAnsi="Times New Roman" w:cs="Times New Roman"/>
          <w:sz w:val="24"/>
        </w:rPr>
      </w:pPr>
    </w:p>
    <w:p w:rsidR="00C30686" w:rsidRPr="00A2436D" w:rsidRDefault="00C30686" w:rsidP="00C30686">
      <w:pPr>
        <w:spacing w:line="360" w:lineRule="auto"/>
        <w:ind w:firstLine="708"/>
        <w:jc w:val="both"/>
        <w:rPr>
          <w:rFonts w:ascii="Times New Roman" w:hAnsi="Times New Roman" w:cs="Times New Roman"/>
          <w:sz w:val="24"/>
        </w:rPr>
      </w:pPr>
      <w:r>
        <w:rPr>
          <w:rFonts w:ascii="Times New Roman" w:hAnsi="Times New Roman" w:cs="Times New Roman"/>
          <w:sz w:val="24"/>
        </w:rPr>
        <w:t xml:space="preserve">Aunque el interés por la política ha crecido también en otros países europeos especialmente en la región escandinava (Noruega, Dinamarca, Finlandia; también en Francia y Alemania), no muestran la misma tendencia que el Sur, donde el crecimiento es mayor (salvo Grecia) y continuado (España e Italia) o estable (Portugal).  En el Sur de Europa de hecho aumenta el interés que muestran los abstencionistas. Con una confianza superior al 99 por ciento en todos los análisis, los abstencionistas de España (que pasa del 13 por cien de interés entre los abstencionistas en 2002 al 22 por ciento en 2012) e Italia (del 17 por cien de interés en 2002 al 23 en 2012) están, en los años de la crisis, más interesados por la política que antes. En Portugal aumentan los abstencionistas que sienten mucho interés por la política (pasando de apenas un 2 por ciento en 2002 al 7 por cien en 2012). </w:t>
      </w:r>
      <w:r w:rsidR="00F513DE">
        <w:rPr>
          <w:rFonts w:ascii="Times New Roman" w:hAnsi="Times New Roman" w:cs="Times New Roman"/>
          <w:sz w:val="24"/>
        </w:rPr>
        <w:t xml:space="preserve"> </w:t>
      </w:r>
      <w:r w:rsidR="00F513DE" w:rsidRPr="00C520E5">
        <w:rPr>
          <w:rFonts w:ascii="Times New Roman" w:hAnsi="Times New Roman" w:cs="Times New Roman"/>
          <w:sz w:val="24"/>
        </w:rPr>
        <w:t>Se volverá con el interés más adelante, cuando se comenten los modelos de ciudadano desarrollados y su evolución entre 2002 y 2012.</w:t>
      </w:r>
    </w:p>
    <w:p w:rsidR="00C30686" w:rsidRDefault="00C30686" w:rsidP="0093144F">
      <w:pPr>
        <w:spacing w:after="0" w:line="360" w:lineRule="auto"/>
        <w:ind w:firstLine="708"/>
        <w:jc w:val="both"/>
        <w:rPr>
          <w:rFonts w:ascii="Times New Roman" w:eastAsia="Times New Roman" w:hAnsi="Times New Roman" w:cs="Times New Roman"/>
          <w:sz w:val="24"/>
          <w:szCs w:val="23"/>
          <w:lang w:eastAsia="es-ES"/>
        </w:rPr>
      </w:pPr>
      <w:r>
        <w:rPr>
          <w:rFonts w:ascii="Times New Roman" w:eastAsia="Times New Roman" w:hAnsi="Times New Roman" w:cs="Times New Roman"/>
          <w:sz w:val="24"/>
          <w:szCs w:val="23"/>
          <w:lang w:eastAsia="es-ES"/>
        </w:rPr>
        <w:t xml:space="preserve">Sin embargo, el descontento y la salida (abstención) no implica necesariamente el desentendimiento total del sistema político o el abandono rotundo de la participación como señalara Blais (2008). Durante la crisis, la asistencia a manifestaciones se ha </w:t>
      </w:r>
      <w:r>
        <w:rPr>
          <w:rFonts w:ascii="Times New Roman" w:eastAsia="Times New Roman" w:hAnsi="Times New Roman" w:cs="Times New Roman"/>
          <w:sz w:val="24"/>
          <w:szCs w:val="23"/>
          <w:lang w:eastAsia="es-ES"/>
        </w:rPr>
        <w:lastRenderedPageBreak/>
        <w:t xml:space="preserve">disparado, como muestra el gráfico 6. </w:t>
      </w:r>
      <w:r w:rsidRPr="004164AD">
        <w:rPr>
          <w:rFonts w:ascii="Times New Roman" w:eastAsia="Times New Roman" w:hAnsi="Times New Roman" w:cs="Times New Roman"/>
          <w:sz w:val="24"/>
          <w:szCs w:val="23"/>
          <w:lang w:eastAsia="es-ES"/>
        </w:rPr>
        <w:t>De entre los abstencionistas del sur de Europa</w:t>
      </w:r>
      <w:r>
        <w:rPr>
          <w:rStyle w:val="Refdenotaalpie"/>
          <w:rFonts w:ascii="Times New Roman" w:eastAsia="Times New Roman" w:hAnsi="Times New Roman" w:cs="Times New Roman"/>
          <w:sz w:val="24"/>
          <w:szCs w:val="23"/>
          <w:lang w:eastAsia="es-ES"/>
        </w:rPr>
        <w:footnoteReference w:id="9"/>
      </w:r>
      <w:r w:rsidRPr="004164AD">
        <w:rPr>
          <w:rFonts w:ascii="Times New Roman" w:eastAsia="Times New Roman" w:hAnsi="Times New Roman" w:cs="Times New Roman"/>
          <w:sz w:val="24"/>
          <w:szCs w:val="23"/>
          <w:lang w:eastAsia="es-ES"/>
        </w:rPr>
        <w:t>, los más interesados en política son españoles y portugueses, con un 27 y 31 por ciento de interés respectivamente (en 2002, España presenta un 18 por cien y Portugal un 24</w:t>
      </w:r>
      <w:r>
        <w:rPr>
          <w:rFonts w:ascii="Times New Roman" w:eastAsia="Times New Roman" w:hAnsi="Times New Roman" w:cs="Times New Roman"/>
          <w:sz w:val="24"/>
          <w:szCs w:val="23"/>
          <w:lang w:eastAsia="es-ES"/>
        </w:rPr>
        <w:t>)</w:t>
      </w:r>
      <w:r w:rsidRPr="004164AD">
        <w:rPr>
          <w:rFonts w:ascii="Times New Roman" w:eastAsia="Times New Roman" w:hAnsi="Times New Roman" w:cs="Times New Roman"/>
          <w:sz w:val="24"/>
          <w:szCs w:val="23"/>
          <w:lang w:eastAsia="es-ES"/>
        </w:rPr>
        <w:t>. España y Portugal son también los países donde más se manifiestan los abstencionistas, un 17y 20 por cien, lo que representa para Portugal la llamativa subida de un 12 por ciento.En Italia, pasan a manifestarse de un 5 a un 13 por cien de los abstencionistas, y, de entre ellos, el 17 por ciento muestra interés por la política en 2012, frente al 8 por ciento que lo hacía en 2002.</w:t>
      </w:r>
    </w:p>
    <w:p w:rsidR="0093144F" w:rsidRDefault="0093144F" w:rsidP="0093144F">
      <w:pPr>
        <w:spacing w:after="0" w:line="360" w:lineRule="auto"/>
        <w:ind w:firstLine="708"/>
        <w:jc w:val="both"/>
        <w:rPr>
          <w:rFonts w:ascii="Times New Roman" w:eastAsia="Times New Roman" w:hAnsi="Times New Roman" w:cs="Times New Roman"/>
          <w:sz w:val="24"/>
          <w:szCs w:val="23"/>
          <w:lang w:eastAsia="es-ES"/>
        </w:rPr>
      </w:pPr>
    </w:p>
    <w:p w:rsidR="0093144F" w:rsidRDefault="009A4FA4" w:rsidP="009A4FA4">
      <w:pPr>
        <w:spacing w:after="0" w:line="360" w:lineRule="auto"/>
        <w:jc w:val="both"/>
        <w:rPr>
          <w:rFonts w:ascii="Times New Roman" w:eastAsia="Times New Roman" w:hAnsi="Times New Roman" w:cs="Times New Roman"/>
          <w:sz w:val="24"/>
          <w:szCs w:val="23"/>
          <w:lang w:eastAsia="es-ES"/>
        </w:rPr>
      </w:pPr>
      <w:r w:rsidRPr="00302103">
        <w:rPr>
          <w:noProof/>
          <w:lang w:eastAsia="es-ES"/>
        </w:rPr>
        <w:drawing>
          <wp:inline distT="0" distB="0" distL="0" distR="0" wp14:anchorId="6991E6FA" wp14:editId="1D56EF39">
            <wp:extent cx="5400040" cy="2066925"/>
            <wp:effectExtent l="0" t="0" r="0" b="0"/>
            <wp:docPr id="1"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3144F" w:rsidRDefault="0093144F" w:rsidP="009A4FA4">
      <w:pPr>
        <w:spacing w:after="0" w:line="360" w:lineRule="auto"/>
        <w:jc w:val="both"/>
        <w:rPr>
          <w:rFonts w:ascii="Times New Roman" w:eastAsia="Times New Roman" w:hAnsi="Times New Roman" w:cs="Times New Roman"/>
          <w:i/>
          <w:szCs w:val="23"/>
          <w:lang w:eastAsia="es-ES"/>
        </w:rPr>
      </w:pPr>
      <w:r w:rsidRPr="00E068B7">
        <w:rPr>
          <w:rFonts w:ascii="Times New Roman" w:eastAsia="Times New Roman" w:hAnsi="Times New Roman" w:cs="Times New Roman"/>
          <w:i/>
          <w:szCs w:val="23"/>
          <w:lang w:eastAsia="es-ES"/>
        </w:rPr>
        <w:t>Fuente: ESS.</w:t>
      </w:r>
    </w:p>
    <w:p w:rsidR="0093144F" w:rsidRDefault="0093144F" w:rsidP="0093144F">
      <w:pPr>
        <w:spacing w:after="0" w:line="360" w:lineRule="auto"/>
        <w:ind w:firstLine="708"/>
        <w:jc w:val="both"/>
        <w:rPr>
          <w:rFonts w:ascii="Times New Roman" w:eastAsia="Times New Roman" w:hAnsi="Times New Roman" w:cs="Times New Roman"/>
          <w:sz w:val="24"/>
          <w:szCs w:val="23"/>
          <w:lang w:eastAsia="es-ES"/>
        </w:rPr>
      </w:pPr>
    </w:p>
    <w:p w:rsidR="00C30686" w:rsidRDefault="00C30686" w:rsidP="00C30686">
      <w:pPr>
        <w:spacing w:after="0" w:line="360" w:lineRule="auto"/>
        <w:ind w:firstLine="708"/>
        <w:jc w:val="both"/>
        <w:rPr>
          <w:rFonts w:ascii="Times New Roman" w:eastAsia="Times New Roman" w:hAnsi="Times New Roman" w:cs="Times New Roman"/>
          <w:sz w:val="24"/>
          <w:szCs w:val="23"/>
          <w:lang w:eastAsia="es-ES"/>
        </w:rPr>
      </w:pPr>
      <w:r>
        <w:rPr>
          <w:rFonts w:ascii="Times New Roman" w:eastAsia="Times New Roman" w:hAnsi="Times New Roman" w:cs="Times New Roman"/>
          <w:sz w:val="24"/>
          <w:szCs w:val="23"/>
          <w:lang w:eastAsia="es-ES"/>
        </w:rPr>
        <w:t>Este crecimiento más destacado en Portugal y España quizás se deba a la inminencia del rescate europeo (que empero nunca llegó) y las constantes entrevistas entre dirigentes españoles y portugueses con representantes y altos organismos comunitarios. Mientras en Grecia, el colapso institucional podría haber generado un desenganche total entre ciudadanos e instituciones (véase Pappas y O’Malley, 2014).</w:t>
      </w:r>
    </w:p>
    <w:p w:rsidR="00C30686" w:rsidRDefault="00C30686" w:rsidP="00C30686">
      <w:pPr>
        <w:spacing w:after="0" w:line="360" w:lineRule="auto"/>
        <w:ind w:firstLine="708"/>
        <w:jc w:val="both"/>
        <w:rPr>
          <w:rFonts w:ascii="Times New Roman" w:eastAsia="Times New Roman" w:hAnsi="Times New Roman" w:cs="Times New Roman"/>
          <w:sz w:val="24"/>
          <w:szCs w:val="23"/>
          <w:lang w:eastAsia="es-ES"/>
        </w:rPr>
      </w:pPr>
      <w:r>
        <w:rPr>
          <w:rFonts w:ascii="Times New Roman" w:eastAsia="Times New Roman" w:hAnsi="Times New Roman" w:cs="Times New Roman"/>
          <w:sz w:val="24"/>
          <w:szCs w:val="23"/>
          <w:lang w:eastAsia="es-ES"/>
        </w:rPr>
        <w:t xml:space="preserve">Obsérvese además que la asistencia general a manifestaciones ha crecido en todos los países del Sur de Europa, como muestra el gráfico 10. España presenta un pico de crecida en 2004 asociado a las manifestaciones en protesta por la participación en la Guerra de Irak y de condena tras los atentados de Atocha (11-M). </w:t>
      </w:r>
    </w:p>
    <w:p w:rsidR="00C30686" w:rsidRPr="002D6D7A" w:rsidRDefault="00C30686" w:rsidP="00C30686">
      <w:pPr>
        <w:spacing w:after="0" w:line="360" w:lineRule="auto"/>
        <w:ind w:firstLine="708"/>
        <w:jc w:val="both"/>
        <w:rPr>
          <w:rFonts w:ascii="Times New Roman" w:eastAsia="Times New Roman" w:hAnsi="Times New Roman" w:cs="Times New Roman"/>
          <w:sz w:val="24"/>
          <w:szCs w:val="23"/>
          <w:lang w:eastAsia="es-ES"/>
        </w:rPr>
      </w:pPr>
    </w:p>
    <w:p w:rsidR="0093144F" w:rsidRDefault="0093144F" w:rsidP="00C30686">
      <w:pPr>
        <w:spacing w:after="0" w:line="360" w:lineRule="auto"/>
        <w:jc w:val="both"/>
        <w:rPr>
          <w:rFonts w:ascii="Times New Roman" w:eastAsia="Times New Roman" w:hAnsi="Times New Roman" w:cs="Times New Roman"/>
          <w:sz w:val="24"/>
          <w:szCs w:val="23"/>
          <w:highlight w:val="yellow"/>
          <w:lang w:eastAsia="es-ES"/>
        </w:rPr>
      </w:pPr>
    </w:p>
    <w:p w:rsidR="0037473A" w:rsidRPr="00BB61C1" w:rsidRDefault="00BB61C1" w:rsidP="00C30686">
      <w:pPr>
        <w:spacing w:after="0" w:line="360" w:lineRule="auto"/>
        <w:jc w:val="both"/>
        <w:rPr>
          <w:rFonts w:ascii="Times New Roman" w:eastAsia="Times New Roman" w:hAnsi="Times New Roman" w:cs="Times New Roman"/>
          <w:i/>
          <w:sz w:val="24"/>
          <w:szCs w:val="23"/>
          <w:lang w:eastAsia="es-ES"/>
        </w:rPr>
      </w:pPr>
      <w:r w:rsidRPr="00BB61C1">
        <w:rPr>
          <w:rFonts w:ascii="Times New Roman" w:eastAsia="Times New Roman" w:hAnsi="Times New Roman" w:cs="Times New Roman"/>
          <w:i/>
          <w:sz w:val="24"/>
          <w:szCs w:val="23"/>
          <w:lang w:eastAsia="es-ES"/>
        </w:rPr>
        <w:lastRenderedPageBreak/>
        <w:t>El comportamiento de los abstencionistas en el contexto de la crisis. ¿Cambio de mensaje?</w:t>
      </w:r>
    </w:p>
    <w:p w:rsidR="0037473A" w:rsidRDefault="00303614" w:rsidP="00C30686">
      <w:pPr>
        <w:spacing w:after="0" w:line="360" w:lineRule="auto"/>
        <w:jc w:val="both"/>
        <w:rPr>
          <w:rFonts w:ascii="Times New Roman" w:eastAsia="Times New Roman" w:hAnsi="Times New Roman" w:cs="Times New Roman"/>
          <w:sz w:val="24"/>
          <w:szCs w:val="23"/>
          <w:lang w:eastAsia="es-ES"/>
        </w:rPr>
      </w:pPr>
      <w:r>
        <w:rPr>
          <w:rFonts w:ascii="Times New Roman" w:eastAsia="Times New Roman" w:hAnsi="Times New Roman" w:cs="Times New Roman"/>
          <w:sz w:val="24"/>
          <w:szCs w:val="23"/>
          <w:lang w:eastAsia="es-ES"/>
        </w:rPr>
        <w:t>En primer lugar, y d</w:t>
      </w:r>
      <w:r w:rsidR="0037473A">
        <w:rPr>
          <w:rFonts w:ascii="Times New Roman" w:eastAsia="Times New Roman" w:hAnsi="Times New Roman" w:cs="Times New Roman"/>
          <w:sz w:val="24"/>
          <w:szCs w:val="23"/>
          <w:lang w:eastAsia="es-ES"/>
        </w:rPr>
        <w:t xml:space="preserve">ado que las variables independientes son </w:t>
      </w:r>
      <w:r>
        <w:rPr>
          <w:rFonts w:ascii="Times New Roman" w:eastAsia="Times New Roman" w:hAnsi="Times New Roman" w:cs="Times New Roman"/>
          <w:sz w:val="24"/>
          <w:szCs w:val="23"/>
          <w:lang w:eastAsia="es-ES"/>
        </w:rPr>
        <w:t>de tipo actitudinal</w:t>
      </w:r>
      <w:r w:rsidR="0037473A">
        <w:rPr>
          <w:rFonts w:ascii="Times New Roman" w:eastAsia="Times New Roman" w:hAnsi="Times New Roman" w:cs="Times New Roman"/>
          <w:sz w:val="24"/>
          <w:szCs w:val="23"/>
          <w:lang w:eastAsia="es-ES"/>
        </w:rPr>
        <w:t xml:space="preserve">, es interesante conocer cómo han aumentado los sentimientos de desconfianza e insatisfacción entre los abstencionistas, de modo que se aprecie mejor el cambio ocurrido desde el estallido de la Gran Recesión. </w:t>
      </w:r>
      <w:r>
        <w:rPr>
          <w:rFonts w:ascii="Times New Roman" w:eastAsia="Times New Roman" w:hAnsi="Times New Roman" w:cs="Times New Roman"/>
          <w:sz w:val="24"/>
          <w:szCs w:val="23"/>
          <w:lang w:eastAsia="es-ES"/>
        </w:rPr>
        <w:t>Esto, además, constituye un paso previo a la elaboración de los d</w:t>
      </w:r>
      <w:r w:rsidR="00EE6091">
        <w:rPr>
          <w:rFonts w:ascii="Times New Roman" w:eastAsia="Times New Roman" w:hAnsi="Times New Roman" w:cs="Times New Roman"/>
          <w:sz w:val="24"/>
          <w:szCs w:val="23"/>
          <w:lang w:eastAsia="es-ES"/>
        </w:rPr>
        <w:t>istintos perfiles de ciudadano, así como la prueba de la H.1.B</w:t>
      </w:r>
    </w:p>
    <w:tbl>
      <w:tblPr>
        <w:tblpPr w:leftFromText="141" w:rightFromText="141" w:vertAnchor="text" w:horzAnchor="page" w:tblpX="6201" w:tblpY="526"/>
        <w:tblW w:w="4646" w:type="dxa"/>
        <w:tblCellMar>
          <w:left w:w="70" w:type="dxa"/>
          <w:right w:w="70" w:type="dxa"/>
        </w:tblCellMar>
        <w:tblLook w:val="04A0" w:firstRow="1" w:lastRow="0" w:firstColumn="1" w:lastColumn="0" w:noHBand="0" w:noVBand="1"/>
      </w:tblPr>
      <w:tblGrid>
        <w:gridCol w:w="1993"/>
        <w:gridCol w:w="1307"/>
        <w:gridCol w:w="1346"/>
      </w:tblGrid>
      <w:tr w:rsidR="00303614" w:rsidRPr="0037473A" w:rsidTr="00303614">
        <w:trPr>
          <w:trHeight w:val="232"/>
        </w:trPr>
        <w:tc>
          <w:tcPr>
            <w:tcW w:w="4646" w:type="dxa"/>
            <w:gridSpan w:val="3"/>
            <w:tcBorders>
              <w:top w:val="nil"/>
              <w:left w:val="nil"/>
              <w:bottom w:val="double" w:sz="6" w:space="0" w:color="auto"/>
              <w:right w:val="nil"/>
            </w:tcBorders>
            <w:shd w:val="clear" w:color="000000" w:fill="FFFFFF"/>
            <w:noWrap/>
            <w:vAlign w:val="bottom"/>
            <w:hideMark/>
          </w:tcPr>
          <w:p w:rsidR="00303614" w:rsidRPr="0037473A" w:rsidRDefault="00303614" w:rsidP="00303614">
            <w:pPr>
              <w:spacing w:after="0" w:line="240" w:lineRule="auto"/>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b/>
                <w:bCs/>
                <w:color w:val="000000"/>
                <w:sz w:val="24"/>
                <w:szCs w:val="24"/>
                <w:lang w:eastAsia="es-ES"/>
              </w:rPr>
              <w:t xml:space="preserve">Tabla </w:t>
            </w:r>
            <w:r>
              <w:rPr>
                <w:rFonts w:ascii="Times New Roman" w:eastAsia="Times New Roman" w:hAnsi="Times New Roman" w:cs="Times New Roman"/>
                <w:b/>
                <w:bCs/>
                <w:color w:val="000000"/>
                <w:sz w:val="24"/>
                <w:szCs w:val="24"/>
                <w:lang w:eastAsia="es-ES"/>
              </w:rPr>
              <w:t>4</w:t>
            </w:r>
            <w:r w:rsidRPr="0037473A">
              <w:rPr>
                <w:rFonts w:ascii="Times New Roman" w:eastAsia="Times New Roman" w:hAnsi="Times New Roman" w:cs="Times New Roman"/>
                <w:color w:val="000000"/>
                <w:sz w:val="24"/>
                <w:szCs w:val="24"/>
                <w:lang w:eastAsia="es-ES"/>
              </w:rPr>
              <w:t>.Desconfianza hacia la UE entre los abstencionistas</w:t>
            </w:r>
          </w:p>
        </w:tc>
      </w:tr>
      <w:tr w:rsidR="00303614" w:rsidRPr="0037473A" w:rsidTr="00303614">
        <w:trPr>
          <w:trHeight w:val="243"/>
        </w:trPr>
        <w:tc>
          <w:tcPr>
            <w:tcW w:w="1993" w:type="dxa"/>
            <w:tcBorders>
              <w:top w:val="nil"/>
              <w:left w:val="nil"/>
              <w:bottom w:val="nil"/>
              <w:right w:val="nil"/>
            </w:tcBorders>
            <w:shd w:val="clear" w:color="000000" w:fill="FFFFFF"/>
            <w:noWrap/>
            <w:vAlign w:val="bottom"/>
            <w:hideMark/>
          </w:tcPr>
          <w:p w:rsidR="00303614" w:rsidRPr="0037473A" w:rsidRDefault="00303614" w:rsidP="00303614">
            <w:pPr>
              <w:spacing w:after="0" w:line="240" w:lineRule="auto"/>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 </w:t>
            </w:r>
          </w:p>
        </w:tc>
        <w:tc>
          <w:tcPr>
            <w:tcW w:w="1307" w:type="dxa"/>
            <w:tcBorders>
              <w:top w:val="nil"/>
              <w:left w:val="nil"/>
              <w:bottom w:val="double" w:sz="6" w:space="0" w:color="auto"/>
              <w:right w:val="nil"/>
            </w:tcBorders>
            <w:shd w:val="clear" w:color="000000" w:fill="FFFFFF"/>
            <w:noWrap/>
            <w:vAlign w:val="center"/>
            <w:hideMark/>
          </w:tcPr>
          <w:p w:rsidR="00303614" w:rsidRPr="0037473A" w:rsidRDefault="00303614" w:rsidP="00303614">
            <w:pPr>
              <w:spacing w:after="0" w:line="240" w:lineRule="auto"/>
              <w:jc w:val="center"/>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2002</w:t>
            </w:r>
          </w:p>
        </w:tc>
        <w:tc>
          <w:tcPr>
            <w:tcW w:w="1346" w:type="dxa"/>
            <w:tcBorders>
              <w:top w:val="nil"/>
              <w:left w:val="nil"/>
              <w:bottom w:val="double" w:sz="6" w:space="0" w:color="auto"/>
              <w:right w:val="nil"/>
            </w:tcBorders>
            <w:shd w:val="clear" w:color="000000" w:fill="FFFFFF"/>
            <w:noWrap/>
            <w:vAlign w:val="center"/>
            <w:hideMark/>
          </w:tcPr>
          <w:p w:rsidR="00303614" w:rsidRPr="0037473A" w:rsidRDefault="00303614" w:rsidP="00303614">
            <w:pPr>
              <w:spacing w:after="0" w:line="240" w:lineRule="auto"/>
              <w:jc w:val="center"/>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2012</w:t>
            </w:r>
          </w:p>
        </w:tc>
      </w:tr>
      <w:tr w:rsidR="00303614" w:rsidRPr="0037473A" w:rsidTr="00303614">
        <w:trPr>
          <w:trHeight w:val="232"/>
        </w:trPr>
        <w:tc>
          <w:tcPr>
            <w:tcW w:w="1993" w:type="dxa"/>
            <w:tcBorders>
              <w:top w:val="nil"/>
              <w:left w:val="nil"/>
              <w:bottom w:val="nil"/>
              <w:right w:val="nil"/>
            </w:tcBorders>
            <w:shd w:val="clear" w:color="000000" w:fill="FFFFFF"/>
            <w:noWrap/>
            <w:vAlign w:val="bottom"/>
            <w:hideMark/>
          </w:tcPr>
          <w:p w:rsidR="00303614" w:rsidRPr="0037473A" w:rsidRDefault="00303614" w:rsidP="00303614">
            <w:pPr>
              <w:spacing w:after="0" w:line="240" w:lineRule="auto"/>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España</w:t>
            </w:r>
          </w:p>
        </w:tc>
        <w:tc>
          <w:tcPr>
            <w:tcW w:w="1307" w:type="dxa"/>
            <w:tcBorders>
              <w:top w:val="nil"/>
              <w:left w:val="nil"/>
              <w:bottom w:val="nil"/>
              <w:right w:val="nil"/>
            </w:tcBorders>
            <w:shd w:val="clear" w:color="000000" w:fill="FFFFFF"/>
            <w:noWrap/>
            <w:vAlign w:val="bottom"/>
            <w:hideMark/>
          </w:tcPr>
          <w:p w:rsidR="00303614" w:rsidRPr="0037473A" w:rsidRDefault="00303614" w:rsidP="00303614">
            <w:pPr>
              <w:spacing w:after="0" w:line="240" w:lineRule="auto"/>
              <w:jc w:val="right"/>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38,3</w:t>
            </w:r>
          </w:p>
        </w:tc>
        <w:tc>
          <w:tcPr>
            <w:tcW w:w="1346" w:type="dxa"/>
            <w:tcBorders>
              <w:top w:val="nil"/>
              <w:left w:val="nil"/>
              <w:bottom w:val="nil"/>
              <w:right w:val="nil"/>
            </w:tcBorders>
            <w:shd w:val="clear" w:color="000000" w:fill="FFFFFF"/>
            <w:noWrap/>
            <w:vAlign w:val="bottom"/>
            <w:hideMark/>
          </w:tcPr>
          <w:p w:rsidR="00303614" w:rsidRPr="0037473A" w:rsidRDefault="00303614" w:rsidP="00303614">
            <w:pPr>
              <w:spacing w:after="0" w:line="240" w:lineRule="auto"/>
              <w:jc w:val="right"/>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52,1</w:t>
            </w:r>
          </w:p>
        </w:tc>
      </w:tr>
      <w:tr w:rsidR="00B9078E" w:rsidRPr="0037473A" w:rsidTr="00303614">
        <w:trPr>
          <w:trHeight w:val="221"/>
        </w:trPr>
        <w:tc>
          <w:tcPr>
            <w:tcW w:w="1993" w:type="dxa"/>
            <w:tcBorders>
              <w:top w:val="nil"/>
              <w:left w:val="nil"/>
              <w:bottom w:val="nil"/>
              <w:right w:val="nil"/>
            </w:tcBorders>
            <w:shd w:val="clear" w:color="000000" w:fill="FFFFFF"/>
            <w:noWrap/>
            <w:vAlign w:val="bottom"/>
            <w:hideMark/>
          </w:tcPr>
          <w:p w:rsidR="00B9078E" w:rsidRPr="0037473A" w:rsidRDefault="00B9078E" w:rsidP="00B9078E">
            <w:pPr>
              <w:spacing w:after="0" w:line="240" w:lineRule="auto"/>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Grecia</w:t>
            </w:r>
          </w:p>
        </w:tc>
        <w:tc>
          <w:tcPr>
            <w:tcW w:w="1307" w:type="dxa"/>
            <w:tcBorders>
              <w:top w:val="nil"/>
              <w:left w:val="nil"/>
              <w:bottom w:val="nil"/>
              <w:right w:val="nil"/>
            </w:tcBorders>
            <w:shd w:val="clear" w:color="000000" w:fill="FFFFFF"/>
            <w:noWrap/>
            <w:vAlign w:val="bottom"/>
            <w:hideMark/>
          </w:tcPr>
          <w:p w:rsidR="00B9078E" w:rsidRPr="0037473A" w:rsidRDefault="00B9078E" w:rsidP="00B9078E">
            <w:pPr>
              <w:spacing w:after="0" w:line="240" w:lineRule="auto"/>
              <w:jc w:val="right"/>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30,6</w:t>
            </w:r>
          </w:p>
        </w:tc>
        <w:tc>
          <w:tcPr>
            <w:tcW w:w="1346" w:type="dxa"/>
            <w:tcBorders>
              <w:top w:val="nil"/>
              <w:left w:val="nil"/>
              <w:bottom w:val="nil"/>
              <w:right w:val="nil"/>
            </w:tcBorders>
            <w:shd w:val="clear" w:color="000000" w:fill="FFFFFF"/>
            <w:noWrap/>
            <w:vAlign w:val="bottom"/>
            <w:hideMark/>
          </w:tcPr>
          <w:p w:rsidR="00B9078E" w:rsidRPr="00C520E5" w:rsidRDefault="00B9078E" w:rsidP="00B9078E">
            <w:pPr>
              <w:spacing w:after="0" w:line="240" w:lineRule="auto"/>
              <w:jc w:val="right"/>
              <w:rPr>
                <w:rFonts w:ascii="Times New Roman" w:eastAsia="Times New Roman" w:hAnsi="Times New Roman" w:cs="Times New Roman"/>
                <w:color w:val="000000"/>
                <w:lang w:eastAsia="es-ES"/>
              </w:rPr>
            </w:pPr>
            <w:r w:rsidRPr="0037473A">
              <w:rPr>
                <w:rFonts w:ascii="Calibri" w:eastAsia="Times New Roman" w:hAnsi="Calibri" w:cs="Times New Roman"/>
                <w:color w:val="000000"/>
                <w:lang w:eastAsia="es-ES"/>
              </w:rPr>
              <w:t> </w:t>
            </w:r>
            <w:r w:rsidRPr="00C520E5">
              <w:rPr>
                <w:rFonts w:ascii="Times New Roman" w:eastAsia="Times New Roman" w:hAnsi="Times New Roman" w:cs="Times New Roman"/>
                <w:color w:val="000000"/>
                <w:sz w:val="24"/>
                <w:lang w:eastAsia="es-ES"/>
              </w:rPr>
              <w:t>77</w:t>
            </w:r>
            <w:r>
              <w:rPr>
                <w:rFonts w:ascii="Times New Roman" w:eastAsia="Times New Roman" w:hAnsi="Times New Roman" w:cs="Times New Roman"/>
                <w:color w:val="000000"/>
                <w:sz w:val="24"/>
                <w:lang w:eastAsia="es-ES"/>
              </w:rPr>
              <w:t>*</w:t>
            </w:r>
          </w:p>
        </w:tc>
      </w:tr>
      <w:tr w:rsidR="00B9078E" w:rsidRPr="0037473A" w:rsidTr="00303614">
        <w:trPr>
          <w:trHeight w:val="221"/>
        </w:trPr>
        <w:tc>
          <w:tcPr>
            <w:tcW w:w="1993" w:type="dxa"/>
            <w:tcBorders>
              <w:top w:val="nil"/>
              <w:left w:val="nil"/>
              <w:bottom w:val="nil"/>
              <w:right w:val="nil"/>
            </w:tcBorders>
            <w:shd w:val="clear" w:color="000000" w:fill="FFFFFF"/>
            <w:noWrap/>
            <w:vAlign w:val="bottom"/>
            <w:hideMark/>
          </w:tcPr>
          <w:p w:rsidR="00B9078E" w:rsidRPr="0037473A" w:rsidRDefault="00B9078E" w:rsidP="00B9078E">
            <w:pPr>
              <w:spacing w:after="0" w:line="240" w:lineRule="auto"/>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Italia</w:t>
            </w:r>
          </w:p>
        </w:tc>
        <w:tc>
          <w:tcPr>
            <w:tcW w:w="1307" w:type="dxa"/>
            <w:tcBorders>
              <w:top w:val="nil"/>
              <w:left w:val="nil"/>
              <w:bottom w:val="nil"/>
              <w:right w:val="nil"/>
            </w:tcBorders>
            <w:shd w:val="clear" w:color="000000" w:fill="FFFFFF"/>
            <w:noWrap/>
            <w:vAlign w:val="bottom"/>
            <w:hideMark/>
          </w:tcPr>
          <w:p w:rsidR="00B9078E" w:rsidRPr="0037473A" w:rsidRDefault="00B9078E" w:rsidP="00B9078E">
            <w:pPr>
              <w:spacing w:after="0" w:line="240" w:lineRule="auto"/>
              <w:jc w:val="right"/>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39'6*</w:t>
            </w:r>
          </w:p>
        </w:tc>
        <w:tc>
          <w:tcPr>
            <w:tcW w:w="1346" w:type="dxa"/>
            <w:tcBorders>
              <w:top w:val="nil"/>
              <w:left w:val="nil"/>
              <w:bottom w:val="nil"/>
              <w:right w:val="nil"/>
            </w:tcBorders>
            <w:shd w:val="clear" w:color="000000" w:fill="FFFFFF"/>
            <w:noWrap/>
            <w:vAlign w:val="bottom"/>
            <w:hideMark/>
          </w:tcPr>
          <w:p w:rsidR="00B9078E" w:rsidRPr="0037473A" w:rsidRDefault="00B9078E" w:rsidP="00B9078E">
            <w:pPr>
              <w:spacing w:after="0" w:line="240" w:lineRule="auto"/>
              <w:jc w:val="right"/>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58,2*</w:t>
            </w:r>
          </w:p>
        </w:tc>
      </w:tr>
      <w:tr w:rsidR="00B9078E" w:rsidRPr="0037473A" w:rsidTr="00303614">
        <w:trPr>
          <w:trHeight w:val="232"/>
        </w:trPr>
        <w:tc>
          <w:tcPr>
            <w:tcW w:w="1993" w:type="dxa"/>
            <w:tcBorders>
              <w:top w:val="nil"/>
              <w:left w:val="nil"/>
              <w:bottom w:val="single" w:sz="8" w:space="0" w:color="auto"/>
              <w:right w:val="nil"/>
            </w:tcBorders>
            <w:shd w:val="clear" w:color="000000" w:fill="FFFFFF"/>
            <w:noWrap/>
            <w:vAlign w:val="bottom"/>
            <w:hideMark/>
          </w:tcPr>
          <w:p w:rsidR="00B9078E" w:rsidRPr="0037473A" w:rsidRDefault="00B9078E" w:rsidP="00B9078E">
            <w:pPr>
              <w:spacing w:after="0" w:line="240" w:lineRule="auto"/>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Portugal</w:t>
            </w:r>
          </w:p>
        </w:tc>
        <w:tc>
          <w:tcPr>
            <w:tcW w:w="1307" w:type="dxa"/>
            <w:tcBorders>
              <w:top w:val="nil"/>
              <w:left w:val="nil"/>
              <w:bottom w:val="single" w:sz="8" w:space="0" w:color="auto"/>
              <w:right w:val="nil"/>
            </w:tcBorders>
            <w:shd w:val="clear" w:color="000000" w:fill="FFFFFF"/>
            <w:noWrap/>
            <w:vAlign w:val="bottom"/>
            <w:hideMark/>
          </w:tcPr>
          <w:p w:rsidR="00B9078E" w:rsidRPr="0037473A" w:rsidRDefault="00B9078E" w:rsidP="00B9078E">
            <w:pPr>
              <w:spacing w:after="0" w:line="240" w:lineRule="auto"/>
              <w:jc w:val="right"/>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42,2</w:t>
            </w:r>
          </w:p>
        </w:tc>
        <w:tc>
          <w:tcPr>
            <w:tcW w:w="1346" w:type="dxa"/>
            <w:tcBorders>
              <w:top w:val="nil"/>
              <w:left w:val="nil"/>
              <w:bottom w:val="single" w:sz="8" w:space="0" w:color="auto"/>
              <w:right w:val="nil"/>
            </w:tcBorders>
            <w:shd w:val="clear" w:color="000000" w:fill="FFFFFF"/>
            <w:noWrap/>
            <w:vAlign w:val="bottom"/>
            <w:hideMark/>
          </w:tcPr>
          <w:p w:rsidR="00B9078E" w:rsidRPr="0037473A" w:rsidRDefault="00B9078E" w:rsidP="00B9078E">
            <w:pPr>
              <w:spacing w:after="0" w:line="240" w:lineRule="auto"/>
              <w:jc w:val="right"/>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70,4*</w:t>
            </w:r>
          </w:p>
        </w:tc>
      </w:tr>
      <w:tr w:rsidR="00B9078E" w:rsidRPr="0037473A" w:rsidTr="00303614">
        <w:trPr>
          <w:trHeight w:val="221"/>
        </w:trPr>
        <w:tc>
          <w:tcPr>
            <w:tcW w:w="3300" w:type="dxa"/>
            <w:gridSpan w:val="2"/>
            <w:tcBorders>
              <w:top w:val="nil"/>
              <w:left w:val="single" w:sz="8" w:space="0" w:color="auto"/>
              <w:bottom w:val="nil"/>
              <w:right w:val="nil"/>
            </w:tcBorders>
            <w:shd w:val="clear" w:color="000000" w:fill="FFFFFF"/>
            <w:noWrap/>
            <w:vAlign w:val="bottom"/>
            <w:hideMark/>
          </w:tcPr>
          <w:p w:rsidR="00B9078E" w:rsidRPr="0037473A" w:rsidRDefault="00B9078E" w:rsidP="00B9078E">
            <w:pPr>
              <w:spacing w:after="0" w:line="240" w:lineRule="auto"/>
              <w:rPr>
                <w:rFonts w:ascii="Times New Roman" w:eastAsia="Times New Roman" w:hAnsi="Times New Roman" w:cs="Times New Roman"/>
                <w:i/>
                <w:iCs/>
                <w:color w:val="000000"/>
                <w:lang w:eastAsia="es-ES"/>
              </w:rPr>
            </w:pPr>
            <w:r w:rsidRPr="0037473A">
              <w:rPr>
                <w:rFonts w:ascii="Times New Roman" w:eastAsia="Times New Roman" w:hAnsi="Times New Roman" w:cs="Times New Roman"/>
                <w:i/>
                <w:iCs/>
                <w:color w:val="000000"/>
                <w:lang w:eastAsia="es-ES"/>
              </w:rPr>
              <w:t>Fuente: ESS</w:t>
            </w:r>
          </w:p>
        </w:tc>
        <w:tc>
          <w:tcPr>
            <w:tcW w:w="1346" w:type="dxa"/>
            <w:tcBorders>
              <w:top w:val="nil"/>
              <w:left w:val="nil"/>
              <w:bottom w:val="nil"/>
              <w:right w:val="nil"/>
            </w:tcBorders>
            <w:shd w:val="clear" w:color="000000" w:fill="FFFFFF"/>
            <w:noWrap/>
            <w:vAlign w:val="bottom"/>
            <w:hideMark/>
          </w:tcPr>
          <w:p w:rsidR="00B9078E" w:rsidRPr="0037473A" w:rsidRDefault="00B9078E" w:rsidP="00B9078E">
            <w:pPr>
              <w:spacing w:after="0" w:line="240" w:lineRule="auto"/>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 </w:t>
            </w:r>
          </w:p>
        </w:tc>
      </w:tr>
    </w:tbl>
    <w:p w:rsidR="0037473A" w:rsidRDefault="0037473A" w:rsidP="00303614">
      <w:pPr>
        <w:spacing w:after="0" w:line="360" w:lineRule="auto"/>
        <w:rPr>
          <w:rFonts w:ascii="Times New Roman" w:eastAsia="Times New Roman" w:hAnsi="Times New Roman" w:cs="Times New Roman"/>
          <w:sz w:val="24"/>
          <w:szCs w:val="23"/>
          <w:lang w:eastAsia="es-ES"/>
        </w:rPr>
      </w:pPr>
    </w:p>
    <w:tbl>
      <w:tblPr>
        <w:tblpPr w:leftFromText="141" w:rightFromText="141" w:vertAnchor="text" w:horzAnchor="page" w:tblpX="936" w:tblpY="67"/>
        <w:tblW w:w="4770" w:type="dxa"/>
        <w:tblCellMar>
          <w:left w:w="70" w:type="dxa"/>
          <w:right w:w="70" w:type="dxa"/>
        </w:tblCellMar>
        <w:tblLook w:val="04A0" w:firstRow="1" w:lastRow="0" w:firstColumn="1" w:lastColumn="0" w:noHBand="0" w:noVBand="1"/>
      </w:tblPr>
      <w:tblGrid>
        <w:gridCol w:w="2030"/>
        <w:gridCol w:w="1370"/>
        <w:gridCol w:w="1370"/>
      </w:tblGrid>
      <w:tr w:rsidR="00303614" w:rsidRPr="0037473A" w:rsidTr="00303614">
        <w:trPr>
          <w:trHeight w:val="297"/>
        </w:trPr>
        <w:tc>
          <w:tcPr>
            <w:tcW w:w="4770" w:type="dxa"/>
            <w:gridSpan w:val="3"/>
            <w:tcBorders>
              <w:top w:val="nil"/>
              <w:left w:val="nil"/>
              <w:bottom w:val="double" w:sz="6" w:space="0" w:color="auto"/>
              <w:right w:val="nil"/>
            </w:tcBorders>
            <w:shd w:val="clear" w:color="000000" w:fill="FFFFFF"/>
            <w:noWrap/>
            <w:vAlign w:val="bottom"/>
            <w:hideMark/>
          </w:tcPr>
          <w:p w:rsidR="00303614" w:rsidRPr="0037473A" w:rsidRDefault="00303614" w:rsidP="00303614">
            <w:pPr>
              <w:spacing w:after="0" w:line="240" w:lineRule="auto"/>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b/>
                <w:bCs/>
                <w:color w:val="000000"/>
                <w:sz w:val="24"/>
                <w:szCs w:val="24"/>
                <w:lang w:eastAsia="es-ES"/>
              </w:rPr>
              <w:t xml:space="preserve">Tabla </w:t>
            </w:r>
            <w:r>
              <w:rPr>
                <w:rFonts w:ascii="Times New Roman" w:eastAsia="Times New Roman" w:hAnsi="Times New Roman" w:cs="Times New Roman"/>
                <w:b/>
                <w:bCs/>
                <w:color w:val="000000"/>
                <w:sz w:val="24"/>
                <w:szCs w:val="24"/>
                <w:lang w:eastAsia="es-ES"/>
              </w:rPr>
              <w:t>3</w:t>
            </w:r>
            <w:r w:rsidRPr="0037473A">
              <w:rPr>
                <w:rFonts w:ascii="Times New Roman" w:eastAsia="Times New Roman" w:hAnsi="Times New Roman" w:cs="Times New Roman"/>
                <w:color w:val="000000"/>
                <w:sz w:val="24"/>
                <w:szCs w:val="24"/>
                <w:lang w:eastAsia="es-ES"/>
              </w:rPr>
              <w:t>.Desconfianza Parlamento entre los abstencionistas</w:t>
            </w:r>
          </w:p>
        </w:tc>
      </w:tr>
      <w:tr w:rsidR="00303614" w:rsidRPr="0037473A" w:rsidTr="00303614">
        <w:trPr>
          <w:trHeight w:val="311"/>
        </w:trPr>
        <w:tc>
          <w:tcPr>
            <w:tcW w:w="2030" w:type="dxa"/>
            <w:tcBorders>
              <w:top w:val="nil"/>
              <w:left w:val="nil"/>
              <w:bottom w:val="nil"/>
              <w:right w:val="nil"/>
            </w:tcBorders>
            <w:shd w:val="clear" w:color="000000" w:fill="FFFFFF"/>
            <w:noWrap/>
            <w:vAlign w:val="bottom"/>
            <w:hideMark/>
          </w:tcPr>
          <w:p w:rsidR="00303614" w:rsidRPr="0037473A" w:rsidRDefault="00303614" w:rsidP="00303614">
            <w:pPr>
              <w:spacing w:after="0" w:line="240" w:lineRule="auto"/>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 </w:t>
            </w:r>
          </w:p>
        </w:tc>
        <w:tc>
          <w:tcPr>
            <w:tcW w:w="1370" w:type="dxa"/>
            <w:tcBorders>
              <w:top w:val="nil"/>
              <w:left w:val="nil"/>
              <w:bottom w:val="double" w:sz="6" w:space="0" w:color="auto"/>
              <w:right w:val="nil"/>
            </w:tcBorders>
            <w:shd w:val="clear" w:color="000000" w:fill="FFFFFF"/>
            <w:noWrap/>
            <w:vAlign w:val="center"/>
            <w:hideMark/>
          </w:tcPr>
          <w:p w:rsidR="00303614" w:rsidRPr="0037473A" w:rsidRDefault="00303614" w:rsidP="00303614">
            <w:pPr>
              <w:spacing w:after="0" w:line="240" w:lineRule="auto"/>
              <w:jc w:val="center"/>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2002</w:t>
            </w:r>
          </w:p>
        </w:tc>
        <w:tc>
          <w:tcPr>
            <w:tcW w:w="1370" w:type="dxa"/>
            <w:tcBorders>
              <w:top w:val="nil"/>
              <w:left w:val="nil"/>
              <w:bottom w:val="double" w:sz="6" w:space="0" w:color="auto"/>
              <w:right w:val="nil"/>
            </w:tcBorders>
            <w:shd w:val="clear" w:color="000000" w:fill="FFFFFF"/>
            <w:noWrap/>
            <w:vAlign w:val="center"/>
            <w:hideMark/>
          </w:tcPr>
          <w:p w:rsidR="00303614" w:rsidRPr="0037473A" w:rsidRDefault="00303614" w:rsidP="00303614">
            <w:pPr>
              <w:spacing w:after="0" w:line="240" w:lineRule="auto"/>
              <w:jc w:val="center"/>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2012</w:t>
            </w:r>
          </w:p>
        </w:tc>
      </w:tr>
      <w:tr w:rsidR="00303614" w:rsidRPr="0037473A" w:rsidTr="00303614">
        <w:trPr>
          <w:trHeight w:val="297"/>
        </w:trPr>
        <w:tc>
          <w:tcPr>
            <w:tcW w:w="2030" w:type="dxa"/>
            <w:tcBorders>
              <w:top w:val="nil"/>
              <w:left w:val="nil"/>
              <w:bottom w:val="nil"/>
              <w:right w:val="nil"/>
            </w:tcBorders>
            <w:shd w:val="clear" w:color="000000" w:fill="FFFFFF"/>
            <w:noWrap/>
            <w:vAlign w:val="bottom"/>
            <w:hideMark/>
          </w:tcPr>
          <w:p w:rsidR="00303614" w:rsidRPr="0037473A" w:rsidRDefault="00303614" w:rsidP="00303614">
            <w:pPr>
              <w:spacing w:after="0" w:line="240" w:lineRule="auto"/>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España</w:t>
            </w:r>
          </w:p>
        </w:tc>
        <w:tc>
          <w:tcPr>
            <w:tcW w:w="1370" w:type="dxa"/>
            <w:tcBorders>
              <w:top w:val="nil"/>
              <w:left w:val="nil"/>
              <w:bottom w:val="nil"/>
              <w:right w:val="nil"/>
            </w:tcBorders>
            <w:shd w:val="clear" w:color="000000" w:fill="FFFFFF"/>
            <w:noWrap/>
            <w:vAlign w:val="bottom"/>
            <w:hideMark/>
          </w:tcPr>
          <w:p w:rsidR="00303614" w:rsidRPr="0037473A" w:rsidRDefault="00303614" w:rsidP="00303614">
            <w:pPr>
              <w:spacing w:after="0" w:line="240" w:lineRule="auto"/>
              <w:jc w:val="right"/>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40,7</w:t>
            </w:r>
          </w:p>
        </w:tc>
        <w:tc>
          <w:tcPr>
            <w:tcW w:w="1370" w:type="dxa"/>
            <w:tcBorders>
              <w:top w:val="nil"/>
              <w:left w:val="nil"/>
              <w:bottom w:val="nil"/>
              <w:right w:val="nil"/>
            </w:tcBorders>
            <w:shd w:val="clear" w:color="000000" w:fill="FFFFFF"/>
            <w:noWrap/>
            <w:vAlign w:val="bottom"/>
            <w:hideMark/>
          </w:tcPr>
          <w:p w:rsidR="00303614" w:rsidRPr="0037473A" w:rsidRDefault="00303614" w:rsidP="00303614">
            <w:pPr>
              <w:spacing w:after="0" w:line="240" w:lineRule="auto"/>
              <w:jc w:val="right"/>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66,1</w:t>
            </w:r>
          </w:p>
        </w:tc>
      </w:tr>
      <w:tr w:rsidR="00303614" w:rsidRPr="0037473A" w:rsidTr="00303614">
        <w:trPr>
          <w:trHeight w:val="283"/>
        </w:trPr>
        <w:tc>
          <w:tcPr>
            <w:tcW w:w="2030" w:type="dxa"/>
            <w:tcBorders>
              <w:top w:val="nil"/>
              <w:left w:val="nil"/>
              <w:bottom w:val="nil"/>
              <w:right w:val="nil"/>
            </w:tcBorders>
            <w:shd w:val="clear" w:color="000000" w:fill="FFFFFF"/>
            <w:noWrap/>
            <w:vAlign w:val="bottom"/>
            <w:hideMark/>
          </w:tcPr>
          <w:p w:rsidR="00303614" w:rsidRPr="0037473A" w:rsidRDefault="00303614" w:rsidP="00303614">
            <w:pPr>
              <w:spacing w:after="0" w:line="240" w:lineRule="auto"/>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Grecia</w:t>
            </w:r>
          </w:p>
        </w:tc>
        <w:tc>
          <w:tcPr>
            <w:tcW w:w="1370" w:type="dxa"/>
            <w:tcBorders>
              <w:top w:val="nil"/>
              <w:left w:val="nil"/>
              <w:bottom w:val="nil"/>
              <w:right w:val="nil"/>
            </w:tcBorders>
            <w:shd w:val="clear" w:color="000000" w:fill="FFFFFF"/>
            <w:noWrap/>
            <w:vAlign w:val="bottom"/>
            <w:hideMark/>
          </w:tcPr>
          <w:p w:rsidR="00303614" w:rsidRPr="0037473A" w:rsidRDefault="00303614" w:rsidP="00303614">
            <w:pPr>
              <w:spacing w:after="0" w:line="240" w:lineRule="auto"/>
              <w:jc w:val="right"/>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42,4</w:t>
            </w:r>
          </w:p>
        </w:tc>
        <w:tc>
          <w:tcPr>
            <w:tcW w:w="1370" w:type="dxa"/>
            <w:tcBorders>
              <w:top w:val="nil"/>
              <w:left w:val="nil"/>
              <w:bottom w:val="nil"/>
              <w:right w:val="nil"/>
            </w:tcBorders>
            <w:shd w:val="clear" w:color="000000" w:fill="FFFFFF"/>
            <w:noWrap/>
            <w:vAlign w:val="bottom"/>
            <w:hideMark/>
          </w:tcPr>
          <w:p w:rsidR="00303614" w:rsidRPr="00C520E5" w:rsidRDefault="00B9078E" w:rsidP="00C520E5">
            <w:pPr>
              <w:spacing w:after="0" w:line="240" w:lineRule="auto"/>
              <w:jc w:val="right"/>
              <w:rPr>
                <w:rFonts w:ascii="Times New Roman" w:eastAsia="Times New Roman" w:hAnsi="Times New Roman" w:cs="Times New Roman"/>
                <w:color w:val="000000"/>
                <w:lang w:eastAsia="es-ES"/>
              </w:rPr>
            </w:pPr>
            <w:r>
              <w:rPr>
                <w:rFonts w:ascii="Times New Roman" w:eastAsia="Times New Roman" w:hAnsi="Times New Roman" w:cs="Times New Roman"/>
                <w:color w:val="000000"/>
                <w:lang w:eastAsia="es-ES"/>
              </w:rPr>
              <w:t>85</w:t>
            </w:r>
          </w:p>
        </w:tc>
      </w:tr>
      <w:tr w:rsidR="00303614" w:rsidRPr="0037473A" w:rsidTr="00303614">
        <w:trPr>
          <w:trHeight w:val="283"/>
        </w:trPr>
        <w:tc>
          <w:tcPr>
            <w:tcW w:w="2030" w:type="dxa"/>
            <w:tcBorders>
              <w:top w:val="nil"/>
              <w:left w:val="nil"/>
              <w:bottom w:val="nil"/>
              <w:right w:val="nil"/>
            </w:tcBorders>
            <w:shd w:val="clear" w:color="000000" w:fill="FFFFFF"/>
            <w:noWrap/>
            <w:vAlign w:val="bottom"/>
            <w:hideMark/>
          </w:tcPr>
          <w:p w:rsidR="00303614" w:rsidRPr="0037473A" w:rsidRDefault="00303614" w:rsidP="00303614">
            <w:pPr>
              <w:spacing w:after="0" w:line="240" w:lineRule="auto"/>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Italia</w:t>
            </w:r>
          </w:p>
        </w:tc>
        <w:tc>
          <w:tcPr>
            <w:tcW w:w="1370" w:type="dxa"/>
            <w:tcBorders>
              <w:top w:val="nil"/>
              <w:left w:val="nil"/>
              <w:bottom w:val="nil"/>
              <w:right w:val="nil"/>
            </w:tcBorders>
            <w:shd w:val="clear" w:color="000000" w:fill="FFFFFF"/>
            <w:noWrap/>
            <w:vAlign w:val="bottom"/>
            <w:hideMark/>
          </w:tcPr>
          <w:p w:rsidR="00303614" w:rsidRPr="0037473A" w:rsidRDefault="00303614" w:rsidP="00303614">
            <w:pPr>
              <w:spacing w:after="0" w:line="240" w:lineRule="auto"/>
              <w:jc w:val="right"/>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48,2*</w:t>
            </w:r>
          </w:p>
        </w:tc>
        <w:tc>
          <w:tcPr>
            <w:tcW w:w="1370" w:type="dxa"/>
            <w:tcBorders>
              <w:top w:val="nil"/>
              <w:left w:val="nil"/>
              <w:bottom w:val="nil"/>
              <w:right w:val="nil"/>
            </w:tcBorders>
            <w:shd w:val="clear" w:color="000000" w:fill="FFFFFF"/>
            <w:noWrap/>
            <w:vAlign w:val="bottom"/>
            <w:hideMark/>
          </w:tcPr>
          <w:p w:rsidR="00303614" w:rsidRPr="0037473A" w:rsidRDefault="00303614" w:rsidP="00303614">
            <w:pPr>
              <w:spacing w:after="0" w:line="240" w:lineRule="auto"/>
              <w:jc w:val="right"/>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79*</w:t>
            </w:r>
          </w:p>
        </w:tc>
      </w:tr>
      <w:tr w:rsidR="00303614" w:rsidRPr="0037473A" w:rsidTr="00303614">
        <w:trPr>
          <w:trHeight w:val="297"/>
        </w:trPr>
        <w:tc>
          <w:tcPr>
            <w:tcW w:w="2030" w:type="dxa"/>
            <w:tcBorders>
              <w:top w:val="nil"/>
              <w:left w:val="nil"/>
              <w:bottom w:val="single" w:sz="8" w:space="0" w:color="auto"/>
              <w:right w:val="nil"/>
            </w:tcBorders>
            <w:shd w:val="clear" w:color="000000" w:fill="FFFFFF"/>
            <w:noWrap/>
            <w:vAlign w:val="bottom"/>
            <w:hideMark/>
          </w:tcPr>
          <w:p w:rsidR="00303614" w:rsidRPr="0037473A" w:rsidRDefault="00303614" w:rsidP="00303614">
            <w:pPr>
              <w:spacing w:after="0" w:line="240" w:lineRule="auto"/>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Portugal</w:t>
            </w:r>
          </w:p>
        </w:tc>
        <w:tc>
          <w:tcPr>
            <w:tcW w:w="1370" w:type="dxa"/>
            <w:tcBorders>
              <w:top w:val="nil"/>
              <w:left w:val="nil"/>
              <w:bottom w:val="single" w:sz="8" w:space="0" w:color="auto"/>
              <w:right w:val="nil"/>
            </w:tcBorders>
            <w:shd w:val="clear" w:color="000000" w:fill="FFFFFF"/>
            <w:noWrap/>
            <w:vAlign w:val="bottom"/>
            <w:hideMark/>
          </w:tcPr>
          <w:p w:rsidR="00303614" w:rsidRPr="0037473A" w:rsidRDefault="00303614" w:rsidP="00303614">
            <w:pPr>
              <w:spacing w:after="0" w:line="240" w:lineRule="auto"/>
              <w:jc w:val="right"/>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58,7*</w:t>
            </w:r>
          </w:p>
        </w:tc>
        <w:tc>
          <w:tcPr>
            <w:tcW w:w="1370" w:type="dxa"/>
            <w:tcBorders>
              <w:top w:val="nil"/>
              <w:left w:val="nil"/>
              <w:bottom w:val="single" w:sz="8" w:space="0" w:color="auto"/>
              <w:right w:val="nil"/>
            </w:tcBorders>
            <w:shd w:val="clear" w:color="000000" w:fill="FFFFFF"/>
            <w:noWrap/>
            <w:vAlign w:val="bottom"/>
            <w:hideMark/>
          </w:tcPr>
          <w:p w:rsidR="00303614" w:rsidRPr="0037473A" w:rsidRDefault="00303614" w:rsidP="00303614">
            <w:pPr>
              <w:spacing w:after="0" w:line="240" w:lineRule="auto"/>
              <w:jc w:val="right"/>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84,8*</w:t>
            </w:r>
          </w:p>
        </w:tc>
      </w:tr>
      <w:tr w:rsidR="00303614" w:rsidRPr="0037473A" w:rsidTr="00303614">
        <w:trPr>
          <w:trHeight w:val="283"/>
        </w:trPr>
        <w:tc>
          <w:tcPr>
            <w:tcW w:w="3400" w:type="dxa"/>
            <w:gridSpan w:val="2"/>
            <w:tcBorders>
              <w:top w:val="nil"/>
              <w:left w:val="single" w:sz="8" w:space="0" w:color="auto"/>
              <w:bottom w:val="nil"/>
              <w:right w:val="nil"/>
            </w:tcBorders>
            <w:shd w:val="clear" w:color="000000" w:fill="FFFFFF"/>
            <w:noWrap/>
            <w:vAlign w:val="bottom"/>
            <w:hideMark/>
          </w:tcPr>
          <w:p w:rsidR="00303614" w:rsidRPr="0037473A" w:rsidRDefault="00303614" w:rsidP="00303614">
            <w:pPr>
              <w:spacing w:after="0" w:line="240" w:lineRule="auto"/>
              <w:rPr>
                <w:rFonts w:ascii="Times New Roman" w:eastAsia="Times New Roman" w:hAnsi="Times New Roman" w:cs="Times New Roman"/>
                <w:i/>
                <w:iCs/>
                <w:color w:val="000000"/>
                <w:lang w:eastAsia="es-ES"/>
              </w:rPr>
            </w:pPr>
            <w:r w:rsidRPr="0037473A">
              <w:rPr>
                <w:rFonts w:ascii="Times New Roman" w:eastAsia="Times New Roman" w:hAnsi="Times New Roman" w:cs="Times New Roman"/>
                <w:i/>
                <w:iCs/>
                <w:color w:val="000000"/>
                <w:lang w:eastAsia="es-ES"/>
              </w:rPr>
              <w:t>Fuente: ESS</w:t>
            </w:r>
          </w:p>
        </w:tc>
        <w:tc>
          <w:tcPr>
            <w:tcW w:w="1370" w:type="dxa"/>
            <w:tcBorders>
              <w:top w:val="nil"/>
              <w:left w:val="nil"/>
              <w:bottom w:val="nil"/>
              <w:right w:val="nil"/>
            </w:tcBorders>
            <w:shd w:val="clear" w:color="000000" w:fill="FFFFFF"/>
            <w:noWrap/>
            <w:vAlign w:val="bottom"/>
            <w:hideMark/>
          </w:tcPr>
          <w:p w:rsidR="00303614" w:rsidRPr="0037473A" w:rsidRDefault="00303614" w:rsidP="00303614">
            <w:pPr>
              <w:spacing w:after="0" w:line="240" w:lineRule="auto"/>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 </w:t>
            </w:r>
          </w:p>
        </w:tc>
      </w:tr>
    </w:tbl>
    <w:p w:rsidR="0037473A" w:rsidRDefault="0037473A" w:rsidP="00C30686">
      <w:pPr>
        <w:spacing w:after="0" w:line="360" w:lineRule="auto"/>
        <w:jc w:val="both"/>
        <w:rPr>
          <w:rFonts w:ascii="Times New Roman" w:eastAsia="Times New Roman" w:hAnsi="Times New Roman" w:cs="Times New Roman"/>
          <w:sz w:val="24"/>
          <w:szCs w:val="23"/>
          <w:lang w:eastAsia="es-ES"/>
        </w:rPr>
      </w:pPr>
    </w:p>
    <w:p w:rsidR="0037473A" w:rsidRDefault="0037473A" w:rsidP="00C30686">
      <w:pPr>
        <w:spacing w:after="0" w:line="360" w:lineRule="auto"/>
        <w:jc w:val="both"/>
        <w:rPr>
          <w:rFonts w:ascii="Times New Roman" w:eastAsia="Times New Roman" w:hAnsi="Times New Roman" w:cs="Times New Roman"/>
          <w:sz w:val="24"/>
          <w:szCs w:val="23"/>
          <w:lang w:eastAsia="es-ES"/>
        </w:rPr>
      </w:pPr>
    </w:p>
    <w:tbl>
      <w:tblPr>
        <w:tblW w:w="5610" w:type="dxa"/>
        <w:jc w:val="center"/>
        <w:tblCellMar>
          <w:left w:w="70" w:type="dxa"/>
          <w:right w:w="70" w:type="dxa"/>
        </w:tblCellMar>
        <w:tblLook w:val="04A0" w:firstRow="1" w:lastRow="0" w:firstColumn="1" w:lastColumn="0" w:noHBand="0" w:noVBand="1"/>
      </w:tblPr>
      <w:tblGrid>
        <w:gridCol w:w="2387"/>
        <w:gridCol w:w="1611"/>
        <w:gridCol w:w="1612"/>
      </w:tblGrid>
      <w:tr w:rsidR="0037473A" w:rsidRPr="0037473A" w:rsidTr="00303614">
        <w:trPr>
          <w:trHeight w:val="276"/>
          <w:jc w:val="center"/>
        </w:trPr>
        <w:tc>
          <w:tcPr>
            <w:tcW w:w="5609" w:type="dxa"/>
            <w:gridSpan w:val="3"/>
            <w:tcBorders>
              <w:top w:val="nil"/>
              <w:left w:val="nil"/>
              <w:bottom w:val="double" w:sz="6" w:space="0" w:color="auto"/>
              <w:right w:val="nil"/>
            </w:tcBorders>
            <w:shd w:val="clear" w:color="000000" w:fill="FFFFFF"/>
            <w:noWrap/>
            <w:vAlign w:val="bottom"/>
            <w:hideMark/>
          </w:tcPr>
          <w:p w:rsidR="0037473A" w:rsidRPr="0037473A" w:rsidRDefault="0037473A" w:rsidP="00047FAD">
            <w:pPr>
              <w:spacing w:after="0" w:line="240" w:lineRule="auto"/>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b/>
                <w:bCs/>
                <w:color w:val="000000"/>
                <w:sz w:val="24"/>
                <w:szCs w:val="24"/>
                <w:lang w:eastAsia="es-ES"/>
              </w:rPr>
              <w:t xml:space="preserve">Tabla </w:t>
            </w:r>
            <w:r w:rsidR="00047FAD">
              <w:rPr>
                <w:rFonts w:ascii="Times New Roman" w:eastAsia="Times New Roman" w:hAnsi="Times New Roman" w:cs="Times New Roman"/>
                <w:b/>
                <w:bCs/>
                <w:color w:val="000000"/>
                <w:sz w:val="24"/>
                <w:szCs w:val="24"/>
                <w:lang w:eastAsia="es-ES"/>
              </w:rPr>
              <w:t>5</w:t>
            </w:r>
            <w:r w:rsidRPr="0037473A">
              <w:rPr>
                <w:rFonts w:ascii="Times New Roman" w:eastAsia="Times New Roman" w:hAnsi="Times New Roman" w:cs="Times New Roman"/>
                <w:color w:val="000000"/>
                <w:sz w:val="24"/>
                <w:szCs w:val="24"/>
                <w:lang w:eastAsia="es-ES"/>
              </w:rPr>
              <w:t>.Insatisfacción con el gobierno entre los abstencionistas</w:t>
            </w:r>
          </w:p>
        </w:tc>
      </w:tr>
      <w:tr w:rsidR="0037473A" w:rsidRPr="0037473A" w:rsidTr="00303614">
        <w:trPr>
          <w:trHeight w:val="288"/>
          <w:jc w:val="center"/>
        </w:trPr>
        <w:tc>
          <w:tcPr>
            <w:tcW w:w="2387" w:type="dxa"/>
            <w:tcBorders>
              <w:top w:val="nil"/>
              <w:left w:val="nil"/>
              <w:bottom w:val="nil"/>
              <w:right w:val="nil"/>
            </w:tcBorders>
            <w:shd w:val="clear" w:color="000000" w:fill="FFFFFF"/>
            <w:noWrap/>
            <w:vAlign w:val="bottom"/>
            <w:hideMark/>
          </w:tcPr>
          <w:p w:rsidR="0037473A" w:rsidRPr="0037473A" w:rsidRDefault="0037473A" w:rsidP="0037473A">
            <w:pPr>
              <w:spacing w:after="0" w:line="240" w:lineRule="auto"/>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 </w:t>
            </w:r>
          </w:p>
        </w:tc>
        <w:tc>
          <w:tcPr>
            <w:tcW w:w="1611" w:type="dxa"/>
            <w:tcBorders>
              <w:top w:val="nil"/>
              <w:left w:val="nil"/>
              <w:bottom w:val="double" w:sz="6" w:space="0" w:color="auto"/>
              <w:right w:val="nil"/>
            </w:tcBorders>
            <w:shd w:val="clear" w:color="000000" w:fill="FFFFFF"/>
            <w:noWrap/>
            <w:vAlign w:val="center"/>
            <w:hideMark/>
          </w:tcPr>
          <w:p w:rsidR="0037473A" w:rsidRPr="0037473A" w:rsidRDefault="0037473A" w:rsidP="0037473A">
            <w:pPr>
              <w:spacing w:after="0" w:line="240" w:lineRule="auto"/>
              <w:jc w:val="center"/>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2002</w:t>
            </w:r>
          </w:p>
        </w:tc>
        <w:tc>
          <w:tcPr>
            <w:tcW w:w="1612" w:type="dxa"/>
            <w:tcBorders>
              <w:top w:val="nil"/>
              <w:left w:val="nil"/>
              <w:bottom w:val="double" w:sz="6" w:space="0" w:color="auto"/>
              <w:right w:val="nil"/>
            </w:tcBorders>
            <w:shd w:val="clear" w:color="000000" w:fill="FFFFFF"/>
            <w:noWrap/>
            <w:vAlign w:val="center"/>
            <w:hideMark/>
          </w:tcPr>
          <w:p w:rsidR="0037473A" w:rsidRPr="0037473A" w:rsidRDefault="0037473A" w:rsidP="0037473A">
            <w:pPr>
              <w:spacing w:after="0" w:line="240" w:lineRule="auto"/>
              <w:jc w:val="center"/>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2012</w:t>
            </w:r>
          </w:p>
        </w:tc>
      </w:tr>
      <w:tr w:rsidR="0037473A" w:rsidRPr="0037473A" w:rsidTr="00303614">
        <w:trPr>
          <w:trHeight w:val="276"/>
          <w:jc w:val="center"/>
        </w:trPr>
        <w:tc>
          <w:tcPr>
            <w:tcW w:w="2387" w:type="dxa"/>
            <w:tcBorders>
              <w:top w:val="nil"/>
              <w:left w:val="nil"/>
              <w:bottom w:val="nil"/>
              <w:right w:val="nil"/>
            </w:tcBorders>
            <w:shd w:val="clear" w:color="000000" w:fill="FFFFFF"/>
            <w:noWrap/>
            <w:vAlign w:val="bottom"/>
            <w:hideMark/>
          </w:tcPr>
          <w:p w:rsidR="0037473A" w:rsidRPr="0037473A" w:rsidRDefault="0037473A" w:rsidP="0037473A">
            <w:pPr>
              <w:spacing w:after="0" w:line="240" w:lineRule="auto"/>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España</w:t>
            </w:r>
          </w:p>
        </w:tc>
        <w:tc>
          <w:tcPr>
            <w:tcW w:w="1611" w:type="dxa"/>
            <w:tcBorders>
              <w:top w:val="nil"/>
              <w:left w:val="nil"/>
              <w:bottom w:val="nil"/>
              <w:right w:val="nil"/>
            </w:tcBorders>
            <w:shd w:val="clear" w:color="000000" w:fill="FFFFFF"/>
            <w:noWrap/>
            <w:vAlign w:val="bottom"/>
            <w:hideMark/>
          </w:tcPr>
          <w:p w:rsidR="0037473A" w:rsidRPr="0037473A" w:rsidRDefault="0037473A" w:rsidP="0037473A">
            <w:pPr>
              <w:spacing w:after="0" w:line="240" w:lineRule="auto"/>
              <w:jc w:val="right"/>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52,4</w:t>
            </w:r>
          </w:p>
        </w:tc>
        <w:tc>
          <w:tcPr>
            <w:tcW w:w="1612" w:type="dxa"/>
            <w:tcBorders>
              <w:top w:val="nil"/>
              <w:left w:val="nil"/>
              <w:bottom w:val="nil"/>
              <w:right w:val="nil"/>
            </w:tcBorders>
            <w:shd w:val="clear" w:color="000000" w:fill="FFFFFF"/>
            <w:noWrap/>
            <w:vAlign w:val="bottom"/>
            <w:hideMark/>
          </w:tcPr>
          <w:p w:rsidR="0037473A" w:rsidRPr="0037473A" w:rsidRDefault="0037473A" w:rsidP="0037473A">
            <w:pPr>
              <w:spacing w:after="0" w:line="240" w:lineRule="auto"/>
              <w:jc w:val="right"/>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78,4</w:t>
            </w:r>
          </w:p>
        </w:tc>
      </w:tr>
      <w:tr w:rsidR="0037473A" w:rsidRPr="0037473A" w:rsidTr="00303614">
        <w:trPr>
          <w:trHeight w:val="262"/>
          <w:jc w:val="center"/>
        </w:trPr>
        <w:tc>
          <w:tcPr>
            <w:tcW w:w="2387" w:type="dxa"/>
            <w:tcBorders>
              <w:top w:val="nil"/>
              <w:left w:val="nil"/>
              <w:bottom w:val="nil"/>
              <w:right w:val="nil"/>
            </w:tcBorders>
            <w:shd w:val="clear" w:color="000000" w:fill="FFFFFF"/>
            <w:noWrap/>
            <w:vAlign w:val="bottom"/>
            <w:hideMark/>
          </w:tcPr>
          <w:p w:rsidR="0037473A" w:rsidRPr="0037473A" w:rsidRDefault="0037473A" w:rsidP="0037473A">
            <w:pPr>
              <w:spacing w:after="0" w:line="240" w:lineRule="auto"/>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Grecia</w:t>
            </w:r>
          </w:p>
        </w:tc>
        <w:tc>
          <w:tcPr>
            <w:tcW w:w="1611" w:type="dxa"/>
            <w:tcBorders>
              <w:top w:val="nil"/>
              <w:left w:val="nil"/>
              <w:bottom w:val="nil"/>
              <w:right w:val="nil"/>
            </w:tcBorders>
            <w:shd w:val="clear" w:color="000000" w:fill="FFFFFF"/>
            <w:noWrap/>
            <w:vAlign w:val="bottom"/>
            <w:hideMark/>
          </w:tcPr>
          <w:p w:rsidR="0037473A" w:rsidRPr="0037473A" w:rsidRDefault="0037473A" w:rsidP="0037473A">
            <w:pPr>
              <w:spacing w:after="0" w:line="240" w:lineRule="auto"/>
              <w:jc w:val="right"/>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55,8</w:t>
            </w:r>
          </w:p>
        </w:tc>
        <w:tc>
          <w:tcPr>
            <w:tcW w:w="1612" w:type="dxa"/>
            <w:tcBorders>
              <w:top w:val="nil"/>
              <w:left w:val="nil"/>
              <w:bottom w:val="nil"/>
              <w:right w:val="nil"/>
            </w:tcBorders>
            <w:shd w:val="clear" w:color="000000" w:fill="FFFFFF"/>
            <w:noWrap/>
            <w:vAlign w:val="bottom"/>
            <w:hideMark/>
          </w:tcPr>
          <w:p w:rsidR="0037473A" w:rsidRPr="0037473A" w:rsidRDefault="0037473A" w:rsidP="00B9078E">
            <w:pPr>
              <w:spacing w:after="0" w:line="240" w:lineRule="auto"/>
              <w:jc w:val="right"/>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 </w:t>
            </w:r>
            <w:r w:rsidR="00B9078E">
              <w:rPr>
                <w:rFonts w:ascii="Times New Roman" w:eastAsia="Times New Roman" w:hAnsi="Times New Roman" w:cs="Times New Roman"/>
                <w:color w:val="000000"/>
                <w:sz w:val="24"/>
                <w:szCs w:val="24"/>
                <w:lang w:eastAsia="es-ES"/>
              </w:rPr>
              <w:t>89*</w:t>
            </w:r>
          </w:p>
        </w:tc>
      </w:tr>
      <w:tr w:rsidR="0037473A" w:rsidRPr="0037473A" w:rsidTr="00303614">
        <w:trPr>
          <w:trHeight w:val="262"/>
          <w:jc w:val="center"/>
        </w:trPr>
        <w:tc>
          <w:tcPr>
            <w:tcW w:w="2387" w:type="dxa"/>
            <w:tcBorders>
              <w:top w:val="nil"/>
              <w:left w:val="nil"/>
              <w:bottom w:val="nil"/>
              <w:right w:val="nil"/>
            </w:tcBorders>
            <w:shd w:val="clear" w:color="000000" w:fill="FFFFFF"/>
            <w:noWrap/>
            <w:vAlign w:val="bottom"/>
            <w:hideMark/>
          </w:tcPr>
          <w:p w:rsidR="0037473A" w:rsidRPr="0037473A" w:rsidRDefault="0037473A" w:rsidP="0037473A">
            <w:pPr>
              <w:spacing w:after="0" w:line="240" w:lineRule="auto"/>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Italia</w:t>
            </w:r>
          </w:p>
        </w:tc>
        <w:tc>
          <w:tcPr>
            <w:tcW w:w="1611" w:type="dxa"/>
            <w:tcBorders>
              <w:top w:val="nil"/>
              <w:left w:val="nil"/>
              <w:bottom w:val="nil"/>
              <w:right w:val="nil"/>
            </w:tcBorders>
            <w:shd w:val="clear" w:color="000000" w:fill="FFFFFF"/>
            <w:noWrap/>
            <w:vAlign w:val="bottom"/>
            <w:hideMark/>
          </w:tcPr>
          <w:p w:rsidR="0037473A" w:rsidRPr="0037473A" w:rsidRDefault="0037473A" w:rsidP="0037473A">
            <w:pPr>
              <w:spacing w:after="0" w:line="240" w:lineRule="auto"/>
              <w:jc w:val="right"/>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60,2</w:t>
            </w:r>
          </w:p>
        </w:tc>
        <w:tc>
          <w:tcPr>
            <w:tcW w:w="1612" w:type="dxa"/>
            <w:tcBorders>
              <w:top w:val="nil"/>
              <w:left w:val="nil"/>
              <w:bottom w:val="nil"/>
              <w:right w:val="nil"/>
            </w:tcBorders>
            <w:shd w:val="clear" w:color="000000" w:fill="FFFFFF"/>
            <w:noWrap/>
            <w:vAlign w:val="bottom"/>
            <w:hideMark/>
          </w:tcPr>
          <w:p w:rsidR="0037473A" w:rsidRPr="0037473A" w:rsidRDefault="0037473A" w:rsidP="0037473A">
            <w:pPr>
              <w:spacing w:after="0" w:line="240" w:lineRule="auto"/>
              <w:jc w:val="right"/>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81,9*</w:t>
            </w:r>
          </w:p>
        </w:tc>
      </w:tr>
      <w:tr w:rsidR="0037473A" w:rsidRPr="0037473A" w:rsidTr="00303614">
        <w:trPr>
          <w:trHeight w:val="276"/>
          <w:jc w:val="center"/>
        </w:trPr>
        <w:tc>
          <w:tcPr>
            <w:tcW w:w="2387" w:type="dxa"/>
            <w:tcBorders>
              <w:top w:val="nil"/>
              <w:left w:val="nil"/>
              <w:bottom w:val="single" w:sz="8" w:space="0" w:color="auto"/>
              <w:right w:val="nil"/>
            </w:tcBorders>
            <w:shd w:val="clear" w:color="000000" w:fill="FFFFFF"/>
            <w:noWrap/>
            <w:vAlign w:val="bottom"/>
            <w:hideMark/>
          </w:tcPr>
          <w:p w:rsidR="0037473A" w:rsidRPr="0037473A" w:rsidRDefault="0037473A" w:rsidP="0037473A">
            <w:pPr>
              <w:spacing w:after="0" w:line="240" w:lineRule="auto"/>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Portugal</w:t>
            </w:r>
          </w:p>
        </w:tc>
        <w:tc>
          <w:tcPr>
            <w:tcW w:w="1611" w:type="dxa"/>
            <w:tcBorders>
              <w:top w:val="nil"/>
              <w:left w:val="nil"/>
              <w:bottom w:val="single" w:sz="8" w:space="0" w:color="auto"/>
              <w:right w:val="nil"/>
            </w:tcBorders>
            <w:shd w:val="clear" w:color="000000" w:fill="FFFFFF"/>
            <w:noWrap/>
            <w:vAlign w:val="bottom"/>
            <w:hideMark/>
          </w:tcPr>
          <w:p w:rsidR="0037473A" w:rsidRPr="0037473A" w:rsidRDefault="0037473A" w:rsidP="0037473A">
            <w:pPr>
              <w:spacing w:after="0" w:line="240" w:lineRule="auto"/>
              <w:jc w:val="right"/>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72,3*</w:t>
            </w:r>
          </w:p>
        </w:tc>
        <w:tc>
          <w:tcPr>
            <w:tcW w:w="1612" w:type="dxa"/>
            <w:tcBorders>
              <w:top w:val="nil"/>
              <w:left w:val="nil"/>
              <w:bottom w:val="single" w:sz="8" w:space="0" w:color="auto"/>
              <w:right w:val="nil"/>
            </w:tcBorders>
            <w:shd w:val="clear" w:color="000000" w:fill="FFFFFF"/>
            <w:noWrap/>
            <w:vAlign w:val="bottom"/>
            <w:hideMark/>
          </w:tcPr>
          <w:p w:rsidR="0037473A" w:rsidRPr="0037473A" w:rsidRDefault="0037473A" w:rsidP="0037473A">
            <w:pPr>
              <w:spacing w:after="0" w:line="240" w:lineRule="auto"/>
              <w:jc w:val="right"/>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90,3*</w:t>
            </w:r>
          </w:p>
        </w:tc>
      </w:tr>
      <w:tr w:rsidR="0037473A" w:rsidRPr="0037473A" w:rsidTr="00303614">
        <w:trPr>
          <w:trHeight w:val="262"/>
          <w:jc w:val="center"/>
        </w:trPr>
        <w:tc>
          <w:tcPr>
            <w:tcW w:w="3997" w:type="dxa"/>
            <w:gridSpan w:val="2"/>
            <w:tcBorders>
              <w:top w:val="nil"/>
              <w:left w:val="single" w:sz="8" w:space="0" w:color="auto"/>
              <w:bottom w:val="nil"/>
              <w:right w:val="nil"/>
            </w:tcBorders>
            <w:shd w:val="clear" w:color="000000" w:fill="FFFFFF"/>
            <w:noWrap/>
            <w:vAlign w:val="bottom"/>
            <w:hideMark/>
          </w:tcPr>
          <w:p w:rsidR="0037473A" w:rsidRPr="0037473A" w:rsidRDefault="0037473A" w:rsidP="0037473A">
            <w:pPr>
              <w:spacing w:after="0" w:line="240" w:lineRule="auto"/>
              <w:rPr>
                <w:rFonts w:ascii="Times New Roman" w:eastAsia="Times New Roman" w:hAnsi="Times New Roman" w:cs="Times New Roman"/>
                <w:i/>
                <w:iCs/>
                <w:color w:val="000000"/>
                <w:lang w:eastAsia="es-ES"/>
              </w:rPr>
            </w:pPr>
            <w:r w:rsidRPr="0037473A">
              <w:rPr>
                <w:rFonts w:ascii="Times New Roman" w:eastAsia="Times New Roman" w:hAnsi="Times New Roman" w:cs="Times New Roman"/>
                <w:i/>
                <w:iCs/>
                <w:color w:val="000000"/>
                <w:lang w:eastAsia="es-ES"/>
              </w:rPr>
              <w:t>Fuente: ESS</w:t>
            </w:r>
          </w:p>
        </w:tc>
        <w:tc>
          <w:tcPr>
            <w:tcW w:w="1612" w:type="dxa"/>
            <w:tcBorders>
              <w:top w:val="nil"/>
              <w:left w:val="nil"/>
              <w:bottom w:val="nil"/>
              <w:right w:val="nil"/>
            </w:tcBorders>
            <w:shd w:val="clear" w:color="000000" w:fill="FFFFFF"/>
            <w:noWrap/>
            <w:vAlign w:val="bottom"/>
            <w:hideMark/>
          </w:tcPr>
          <w:p w:rsidR="0037473A" w:rsidRPr="0037473A" w:rsidRDefault="0037473A" w:rsidP="0037473A">
            <w:pPr>
              <w:spacing w:after="0" w:line="240" w:lineRule="auto"/>
              <w:rPr>
                <w:rFonts w:ascii="Times New Roman" w:eastAsia="Times New Roman" w:hAnsi="Times New Roman" w:cs="Times New Roman"/>
                <w:color w:val="000000"/>
                <w:sz w:val="24"/>
                <w:szCs w:val="24"/>
                <w:lang w:eastAsia="es-ES"/>
              </w:rPr>
            </w:pPr>
            <w:r w:rsidRPr="0037473A">
              <w:rPr>
                <w:rFonts w:ascii="Times New Roman" w:eastAsia="Times New Roman" w:hAnsi="Times New Roman" w:cs="Times New Roman"/>
                <w:color w:val="000000"/>
                <w:sz w:val="24"/>
                <w:szCs w:val="24"/>
                <w:lang w:eastAsia="es-ES"/>
              </w:rPr>
              <w:t> </w:t>
            </w:r>
          </w:p>
        </w:tc>
      </w:tr>
    </w:tbl>
    <w:p w:rsidR="0037473A" w:rsidRDefault="0037473A" w:rsidP="00C30686">
      <w:pPr>
        <w:spacing w:after="0" w:line="360" w:lineRule="auto"/>
        <w:jc w:val="both"/>
        <w:rPr>
          <w:rFonts w:ascii="Times New Roman" w:eastAsia="Times New Roman" w:hAnsi="Times New Roman" w:cs="Times New Roman"/>
          <w:sz w:val="24"/>
          <w:szCs w:val="23"/>
          <w:lang w:eastAsia="es-ES"/>
        </w:rPr>
      </w:pPr>
    </w:p>
    <w:p w:rsidR="0037473A" w:rsidRPr="0037473A" w:rsidRDefault="0037473A" w:rsidP="00C30686">
      <w:pPr>
        <w:spacing w:after="0" w:line="360" w:lineRule="auto"/>
        <w:jc w:val="both"/>
        <w:rPr>
          <w:rFonts w:ascii="Times New Roman" w:eastAsia="Times New Roman" w:hAnsi="Times New Roman" w:cs="Times New Roman"/>
          <w:i/>
          <w:sz w:val="20"/>
          <w:szCs w:val="23"/>
          <w:lang w:eastAsia="es-ES"/>
        </w:rPr>
      </w:pPr>
      <w:r w:rsidRPr="0037473A">
        <w:rPr>
          <w:rFonts w:ascii="Times New Roman" w:eastAsia="Times New Roman" w:hAnsi="Times New Roman" w:cs="Times New Roman"/>
          <w:i/>
          <w:sz w:val="20"/>
          <w:szCs w:val="23"/>
          <w:lang w:eastAsia="es-ES"/>
        </w:rPr>
        <w:t xml:space="preserve">*Los casos son estadísticamente significativos. </w:t>
      </w:r>
    </w:p>
    <w:p w:rsidR="0037473A" w:rsidRDefault="0037473A" w:rsidP="00C30686">
      <w:pPr>
        <w:spacing w:after="0" w:line="360" w:lineRule="auto"/>
        <w:jc w:val="both"/>
        <w:rPr>
          <w:rFonts w:ascii="Times New Roman" w:eastAsia="Times New Roman" w:hAnsi="Times New Roman" w:cs="Times New Roman"/>
          <w:sz w:val="24"/>
          <w:szCs w:val="23"/>
          <w:lang w:eastAsia="es-ES"/>
        </w:rPr>
      </w:pPr>
    </w:p>
    <w:p w:rsidR="00A64401" w:rsidRDefault="0037473A" w:rsidP="00303614">
      <w:pPr>
        <w:spacing w:after="0" w:line="360" w:lineRule="auto"/>
        <w:ind w:firstLine="708"/>
        <w:jc w:val="both"/>
        <w:rPr>
          <w:rFonts w:ascii="Times New Roman" w:eastAsia="Times New Roman" w:hAnsi="Times New Roman" w:cs="Times New Roman"/>
          <w:sz w:val="24"/>
          <w:szCs w:val="23"/>
          <w:lang w:eastAsia="es-ES"/>
        </w:rPr>
      </w:pPr>
      <w:r>
        <w:rPr>
          <w:rFonts w:ascii="Times New Roman" w:eastAsia="Times New Roman" w:hAnsi="Times New Roman" w:cs="Times New Roman"/>
          <w:sz w:val="24"/>
          <w:szCs w:val="23"/>
          <w:lang w:eastAsia="es-ES"/>
        </w:rPr>
        <w:t>Como p</w:t>
      </w:r>
      <w:r w:rsidR="00047FAD">
        <w:rPr>
          <w:rFonts w:ascii="Times New Roman" w:eastAsia="Times New Roman" w:hAnsi="Times New Roman" w:cs="Times New Roman"/>
          <w:sz w:val="24"/>
          <w:szCs w:val="23"/>
          <w:lang w:eastAsia="es-ES"/>
        </w:rPr>
        <w:t xml:space="preserve">uede verse, para todos los países, las actitudes negativas se acrecientan entre aquéllos que se abstienen, entre el 2002 y el 2012, esto es, antes y después de la crisis. </w:t>
      </w:r>
      <w:r w:rsidR="00303614">
        <w:rPr>
          <w:rFonts w:ascii="Times New Roman" w:eastAsia="Times New Roman" w:hAnsi="Times New Roman" w:cs="Times New Roman"/>
          <w:sz w:val="24"/>
          <w:szCs w:val="23"/>
          <w:lang w:eastAsia="es-ES"/>
        </w:rPr>
        <w:t xml:space="preserve"> </w:t>
      </w:r>
      <w:r w:rsidR="00A64401">
        <w:rPr>
          <w:rFonts w:ascii="Times New Roman" w:eastAsia="Times New Roman" w:hAnsi="Times New Roman" w:cs="Times New Roman"/>
          <w:sz w:val="24"/>
          <w:szCs w:val="23"/>
          <w:lang w:eastAsia="es-ES"/>
        </w:rPr>
        <w:t xml:space="preserve">Una vez comprobado esto, me fijaré en la evolución del comportamiento de protesta (tanto abstención entre quienes se sientan insatisfechos con el estado de la economía, lo cual muestra la conexión entre el ciclo político y el ciclo económico) como asistencia a manifestaciones (entre los abstencionistas, para comprobar si, como dije arriba, muestran participación política por vía extraparlamentaria). </w:t>
      </w:r>
    </w:p>
    <w:p w:rsidR="00A64401" w:rsidRDefault="00A64401" w:rsidP="00C30686">
      <w:pPr>
        <w:spacing w:after="0" w:line="360" w:lineRule="auto"/>
        <w:jc w:val="both"/>
        <w:rPr>
          <w:rFonts w:ascii="Times New Roman" w:eastAsia="Times New Roman" w:hAnsi="Times New Roman" w:cs="Times New Roman"/>
          <w:sz w:val="24"/>
          <w:szCs w:val="23"/>
          <w:lang w:eastAsia="es-ES"/>
        </w:rPr>
      </w:pPr>
    </w:p>
    <w:p w:rsidR="00A64401" w:rsidRDefault="00A64401" w:rsidP="00C30686">
      <w:pPr>
        <w:spacing w:after="0" w:line="360" w:lineRule="auto"/>
        <w:jc w:val="both"/>
        <w:rPr>
          <w:rFonts w:ascii="Times New Roman" w:eastAsia="Times New Roman" w:hAnsi="Times New Roman" w:cs="Times New Roman"/>
          <w:sz w:val="24"/>
          <w:szCs w:val="23"/>
          <w:lang w:eastAsia="es-ES"/>
        </w:rPr>
      </w:pPr>
    </w:p>
    <w:tbl>
      <w:tblPr>
        <w:tblpPr w:leftFromText="141" w:rightFromText="141" w:vertAnchor="text" w:horzAnchor="page" w:tblpX="966" w:tblpY="34"/>
        <w:tblW w:w="4748" w:type="dxa"/>
        <w:tblCellMar>
          <w:left w:w="70" w:type="dxa"/>
          <w:right w:w="70" w:type="dxa"/>
        </w:tblCellMar>
        <w:tblLook w:val="04A0" w:firstRow="1" w:lastRow="0" w:firstColumn="1" w:lastColumn="0" w:noHBand="0" w:noVBand="1"/>
      </w:tblPr>
      <w:tblGrid>
        <w:gridCol w:w="2401"/>
        <w:gridCol w:w="1108"/>
        <w:gridCol w:w="1239"/>
      </w:tblGrid>
      <w:tr w:rsidR="00303614" w:rsidRPr="00A64401" w:rsidTr="00303614">
        <w:trPr>
          <w:trHeight w:val="251"/>
        </w:trPr>
        <w:tc>
          <w:tcPr>
            <w:tcW w:w="4748" w:type="dxa"/>
            <w:gridSpan w:val="3"/>
            <w:tcBorders>
              <w:top w:val="nil"/>
              <w:left w:val="nil"/>
              <w:bottom w:val="double" w:sz="6" w:space="0" w:color="auto"/>
              <w:right w:val="nil"/>
            </w:tcBorders>
            <w:shd w:val="clear" w:color="000000" w:fill="FFFFFF"/>
            <w:noWrap/>
            <w:vAlign w:val="bottom"/>
            <w:hideMark/>
          </w:tcPr>
          <w:p w:rsidR="00303614" w:rsidRPr="00A64401" w:rsidRDefault="00303614" w:rsidP="00303614">
            <w:pPr>
              <w:spacing w:after="0" w:line="240" w:lineRule="auto"/>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b/>
                <w:color w:val="000000"/>
                <w:sz w:val="24"/>
                <w:szCs w:val="24"/>
                <w:lang w:eastAsia="es-ES"/>
              </w:rPr>
              <w:lastRenderedPageBreak/>
              <w:t>Tabla 6</w:t>
            </w:r>
            <w:r w:rsidRPr="00A64401">
              <w:rPr>
                <w:rFonts w:ascii="Times New Roman" w:eastAsia="Times New Roman" w:hAnsi="Times New Roman" w:cs="Times New Roman"/>
                <w:color w:val="000000"/>
                <w:sz w:val="24"/>
                <w:szCs w:val="24"/>
                <w:lang w:eastAsia="es-ES"/>
              </w:rPr>
              <w:t>. Abstención entre los insatisfechos con la economía, en %</w:t>
            </w:r>
          </w:p>
        </w:tc>
      </w:tr>
      <w:tr w:rsidR="00303614" w:rsidRPr="00A64401" w:rsidTr="00303614">
        <w:trPr>
          <w:trHeight w:val="251"/>
        </w:trPr>
        <w:tc>
          <w:tcPr>
            <w:tcW w:w="2401" w:type="dxa"/>
            <w:tcBorders>
              <w:top w:val="nil"/>
              <w:left w:val="nil"/>
              <w:bottom w:val="nil"/>
              <w:right w:val="nil"/>
            </w:tcBorders>
            <w:shd w:val="clear" w:color="000000" w:fill="FFFFFF"/>
            <w:noWrap/>
            <w:vAlign w:val="bottom"/>
            <w:hideMark/>
          </w:tcPr>
          <w:p w:rsidR="00303614" w:rsidRPr="00A64401" w:rsidRDefault="00303614" w:rsidP="00303614">
            <w:pPr>
              <w:spacing w:after="0" w:line="240" w:lineRule="auto"/>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color w:val="000000"/>
                <w:sz w:val="24"/>
                <w:szCs w:val="24"/>
                <w:lang w:eastAsia="es-ES"/>
              </w:rPr>
              <w:t> </w:t>
            </w:r>
          </w:p>
        </w:tc>
        <w:tc>
          <w:tcPr>
            <w:tcW w:w="1108" w:type="dxa"/>
            <w:tcBorders>
              <w:top w:val="nil"/>
              <w:left w:val="nil"/>
              <w:bottom w:val="single" w:sz="4" w:space="0" w:color="auto"/>
              <w:right w:val="nil"/>
            </w:tcBorders>
            <w:shd w:val="clear" w:color="000000" w:fill="FFFFFF"/>
            <w:noWrap/>
            <w:vAlign w:val="bottom"/>
            <w:hideMark/>
          </w:tcPr>
          <w:p w:rsidR="00303614" w:rsidRPr="00A64401" w:rsidRDefault="00303614" w:rsidP="00303614">
            <w:pPr>
              <w:spacing w:after="0" w:line="240" w:lineRule="auto"/>
              <w:jc w:val="center"/>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color w:val="000000"/>
                <w:sz w:val="24"/>
                <w:szCs w:val="24"/>
                <w:lang w:eastAsia="es-ES"/>
              </w:rPr>
              <w:t>2002</w:t>
            </w:r>
          </w:p>
        </w:tc>
        <w:tc>
          <w:tcPr>
            <w:tcW w:w="1239" w:type="dxa"/>
            <w:tcBorders>
              <w:top w:val="nil"/>
              <w:left w:val="nil"/>
              <w:bottom w:val="single" w:sz="4" w:space="0" w:color="auto"/>
              <w:right w:val="nil"/>
            </w:tcBorders>
            <w:shd w:val="clear" w:color="000000" w:fill="FFFFFF"/>
            <w:noWrap/>
            <w:vAlign w:val="bottom"/>
            <w:hideMark/>
          </w:tcPr>
          <w:p w:rsidR="00303614" w:rsidRPr="00A64401" w:rsidRDefault="00303614" w:rsidP="00303614">
            <w:pPr>
              <w:spacing w:after="0" w:line="240" w:lineRule="auto"/>
              <w:jc w:val="center"/>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color w:val="000000"/>
                <w:sz w:val="24"/>
                <w:szCs w:val="24"/>
                <w:lang w:eastAsia="es-ES"/>
              </w:rPr>
              <w:t>2012</w:t>
            </w:r>
          </w:p>
        </w:tc>
      </w:tr>
      <w:tr w:rsidR="00303614" w:rsidRPr="00A64401" w:rsidTr="00303614">
        <w:trPr>
          <w:trHeight w:val="343"/>
        </w:trPr>
        <w:tc>
          <w:tcPr>
            <w:tcW w:w="2401" w:type="dxa"/>
            <w:tcBorders>
              <w:top w:val="nil"/>
              <w:left w:val="nil"/>
              <w:bottom w:val="nil"/>
              <w:right w:val="nil"/>
            </w:tcBorders>
            <w:shd w:val="clear" w:color="000000" w:fill="FFFFFF"/>
            <w:noWrap/>
            <w:vAlign w:val="bottom"/>
            <w:hideMark/>
          </w:tcPr>
          <w:p w:rsidR="00303614" w:rsidRPr="00A64401" w:rsidRDefault="00303614" w:rsidP="00303614">
            <w:pPr>
              <w:spacing w:after="0" w:line="240" w:lineRule="auto"/>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color w:val="000000"/>
                <w:sz w:val="24"/>
                <w:szCs w:val="24"/>
                <w:lang w:eastAsia="es-ES"/>
              </w:rPr>
              <w:t>España</w:t>
            </w:r>
          </w:p>
        </w:tc>
        <w:tc>
          <w:tcPr>
            <w:tcW w:w="1108" w:type="dxa"/>
            <w:tcBorders>
              <w:top w:val="nil"/>
              <w:left w:val="nil"/>
              <w:bottom w:val="nil"/>
              <w:right w:val="nil"/>
            </w:tcBorders>
            <w:shd w:val="clear" w:color="000000" w:fill="FFFFFF"/>
            <w:noWrap/>
            <w:vAlign w:val="bottom"/>
            <w:hideMark/>
          </w:tcPr>
          <w:p w:rsidR="00303614" w:rsidRPr="00A64401" w:rsidRDefault="00303614" w:rsidP="00303614">
            <w:pPr>
              <w:spacing w:after="0" w:line="240" w:lineRule="auto"/>
              <w:jc w:val="center"/>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color w:val="000000"/>
                <w:sz w:val="24"/>
                <w:szCs w:val="24"/>
                <w:lang w:eastAsia="es-ES"/>
              </w:rPr>
              <w:t>21</w:t>
            </w:r>
          </w:p>
        </w:tc>
        <w:tc>
          <w:tcPr>
            <w:tcW w:w="1239" w:type="dxa"/>
            <w:tcBorders>
              <w:top w:val="nil"/>
              <w:left w:val="nil"/>
              <w:bottom w:val="nil"/>
              <w:right w:val="nil"/>
            </w:tcBorders>
            <w:shd w:val="clear" w:color="000000" w:fill="FFFFFF"/>
            <w:noWrap/>
            <w:vAlign w:val="bottom"/>
            <w:hideMark/>
          </w:tcPr>
          <w:p w:rsidR="00303614" w:rsidRPr="00A64401" w:rsidRDefault="00303614" w:rsidP="00303614">
            <w:pPr>
              <w:spacing w:after="0" w:line="240" w:lineRule="auto"/>
              <w:jc w:val="center"/>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color w:val="000000"/>
                <w:sz w:val="24"/>
                <w:szCs w:val="24"/>
                <w:lang w:eastAsia="es-ES"/>
              </w:rPr>
              <w:t>22,7*</w:t>
            </w:r>
          </w:p>
        </w:tc>
      </w:tr>
      <w:tr w:rsidR="00303614" w:rsidRPr="00A64401" w:rsidTr="00303614">
        <w:trPr>
          <w:trHeight w:val="239"/>
        </w:trPr>
        <w:tc>
          <w:tcPr>
            <w:tcW w:w="2401" w:type="dxa"/>
            <w:tcBorders>
              <w:top w:val="nil"/>
              <w:left w:val="nil"/>
              <w:bottom w:val="nil"/>
              <w:right w:val="nil"/>
            </w:tcBorders>
            <w:shd w:val="clear" w:color="000000" w:fill="FFFFFF"/>
            <w:noWrap/>
            <w:vAlign w:val="bottom"/>
            <w:hideMark/>
          </w:tcPr>
          <w:p w:rsidR="00303614" w:rsidRPr="00A64401" w:rsidRDefault="00303614" w:rsidP="00303614">
            <w:pPr>
              <w:spacing w:after="0" w:line="240" w:lineRule="auto"/>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color w:val="000000"/>
                <w:sz w:val="24"/>
                <w:szCs w:val="24"/>
                <w:lang w:eastAsia="es-ES"/>
              </w:rPr>
              <w:t>Italia</w:t>
            </w:r>
          </w:p>
        </w:tc>
        <w:tc>
          <w:tcPr>
            <w:tcW w:w="1108" w:type="dxa"/>
            <w:tcBorders>
              <w:top w:val="nil"/>
              <w:left w:val="nil"/>
              <w:bottom w:val="nil"/>
              <w:right w:val="nil"/>
            </w:tcBorders>
            <w:shd w:val="clear" w:color="000000" w:fill="FFFFFF"/>
            <w:noWrap/>
            <w:vAlign w:val="bottom"/>
            <w:hideMark/>
          </w:tcPr>
          <w:p w:rsidR="00303614" w:rsidRPr="00A64401" w:rsidRDefault="00303614" w:rsidP="00303614">
            <w:pPr>
              <w:spacing w:after="0" w:line="240" w:lineRule="auto"/>
              <w:jc w:val="center"/>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color w:val="000000"/>
                <w:sz w:val="24"/>
                <w:szCs w:val="24"/>
                <w:lang w:eastAsia="es-ES"/>
              </w:rPr>
              <w:t>9,6</w:t>
            </w:r>
          </w:p>
        </w:tc>
        <w:tc>
          <w:tcPr>
            <w:tcW w:w="1239" w:type="dxa"/>
            <w:tcBorders>
              <w:top w:val="nil"/>
              <w:left w:val="nil"/>
              <w:bottom w:val="nil"/>
              <w:right w:val="nil"/>
            </w:tcBorders>
            <w:shd w:val="clear" w:color="000000" w:fill="FFFFFF"/>
            <w:noWrap/>
            <w:vAlign w:val="bottom"/>
            <w:hideMark/>
          </w:tcPr>
          <w:p w:rsidR="00303614" w:rsidRPr="00A64401" w:rsidRDefault="00303614" w:rsidP="00303614">
            <w:pPr>
              <w:spacing w:after="0" w:line="240" w:lineRule="auto"/>
              <w:jc w:val="center"/>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color w:val="000000"/>
                <w:sz w:val="24"/>
                <w:szCs w:val="24"/>
                <w:lang w:eastAsia="es-ES"/>
              </w:rPr>
              <w:t>18,9</w:t>
            </w:r>
          </w:p>
        </w:tc>
      </w:tr>
      <w:tr w:rsidR="00C84E56" w:rsidRPr="00A64401" w:rsidTr="00303614">
        <w:trPr>
          <w:trHeight w:val="239"/>
        </w:trPr>
        <w:tc>
          <w:tcPr>
            <w:tcW w:w="2401" w:type="dxa"/>
            <w:tcBorders>
              <w:top w:val="nil"/>
              <w:left w:val="nil"/>
              <w:bottom w:val="nil"/>
              <w:right w:val="nil"/>
            </w:tcBorders>
            <w:shd w:val="clear" w:color="000000" w:fill="FFFFFF"/>
            <w:noWrap/>
            <w:vAlign w:val="bottom"/>
            <w:hideMark/>
          </w:tcPr>
          <w:p w:rsidR="00C84E56" w:rsidRPr="00A64401" w:rsidRDefault="00C84E56" w:rsidP="00303614">
            <w:pPr>
              <w:spacing w:after="0" w:line="240" w:lineRule="auto"/>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lang w:eastAsia="es-ES"/>
              </w:rPr>
              <w:t>Grecia</w:t>
            </w:r>
          </w:p>
        </w:tc>
        <w:tc>
          <w:tcPr>
            <w:tcW w:w="1108" w:type="dxa"/>
            <w:tcBorders>
              <w:top w:val="nil"/>
              <w:left w:val="nil"/>
              <w:bottom w:val="nil"/>
              <w:right w:val="nil"/>
            </w:tcBorders>
            <w:shd w:val="clear" w:color="000000" w:fill="FFFFFF"/>
            <w:noWrap/>
            <w:vAlign w:val="bottom"/>
            <w:hideMark/>
          </w:tcPr>
          <w:p w:rsidR="00C84E56" w:rsidRPr="00A64401" w:rsidRDefault="001C279B" w:rsidP="00303614">
            <w:pPr>
              <w:spacing w:after="0" w:line="240" w:lineRule="auto"/>
              <w:jc w:val="center"/>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lang w:eastAsia="es-ES"/>
              </w:rPr>
              <w:t>60*</w:t>
            </w:r>
          </w:p>
        </w:tc>
        <w:tc>
          <w:tcPr>
            <w:tcW w:w="1239" w:type="dxa"/>
            <w:tcBorders>
              <w:top w:val="nil"/>
              <w:left w:val="nil"/>
              <w:bottom w:val="nil"/>
              <w:right w:val="nil"/>
            </w:tcBorders>
            <w:shd w:val="clear" w:color="000000" w:fill="FFFFFF"/>
            <w:noWrap/>
            <w:vAlign w:val="bottom"/>
            <w:hideMark/>
          </w:tcPr>
          <w:p w:rsidR="00C84E56" w:rsidRPr="00A64401" w:rsidRDefault="00C84E56" w:rsidP="00303614">
            <w:pPr>
              <w:spacing w:after="0" w:line="240" w:lineRule="auto"/>
              <w:jc w:val="center"/>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lang w:eastAsia="es-ES"/>
              </w:rPr>
              <w:t>94*</w:t>
            </w:r>
          </w:p>
        </w:tc>
      </w:tr>
      <w:tr w:rsidR="00303614" w:rsidRPr="00A64401" w:rsidTr="00303614">
        <w:trPr>
          <w:trHeight w:val="239"/>
        </w:trPr>
        <w:tc>
          <w:tcPr>
            <w:tcW w:w="2401" w:type="dxa"/>
            <w:tcBorders>
              <w:top w:val="nil"/>
              <w:left w:val="nil"/>
              <w:bottom w:val="nil"/>
              <w:right w:val="nil"/>
            </w:tcBorders>
            <w:shd w:val="clear" w:color="000000" w:fill="FFFFFF"/>
            <w:noWrap/>
            <w:vAlign w:val="bottom"/>
            <w:hideMark/>
          </w:tcPr>
          <w:p w:rsidR="00303614" w:rsidRPr="00A64401" w:rsidRDefault="00303614" w:rsidP="00303614">
            <w:pPr>
              <w:spacing w:after="0" w:line="240" w:lineRule="auto"/>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color w:val="000000"/>
                <w:sz w:val="24"/>
                <w:szCs w:val="24"/>
                <w:lang w:eastAsia="es-ES"/>
              </w:rPr>
              <w:t>Portugal</w:t>
            </w:r>
          </w:p>
        </w:tc>
        <w:tc>
          <w:tcPr>
            <w:tcW w:w="1108" w:type="dxa"/>
            <w:tcBorders>
              <w:top w:val="nil"/>
              <w:left w:val="nil"/>
              <w:bottom w:val="nil"/>
              <w:right w:val="nil"/>
            </w:tcBorders>
            <w:shd w:val="clear" w:color="000000" w:fill="FFFFFF"/>
            <w:noWrap/>
            <w:vAlign w:val="bottom"/>
            <w:hideMark/>
          </w:tcPr>
          <w:p w:rsidR="00303614" w:rsidRPr="00A64401" w:rsidRDefault="00303614" w:rsidP="00303614">
            <w:pPr>
              <w:spacing w:after="0" w:line="240" w:lineRule="auto"/>
              <w:jc w:val="center"/>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color w:val="000000"/>
                <w:sz w:val="24"/>
                <w:szCs w:val="24"/>
                <w:lang w:eastAsia="es-ES"/>
              </w:rPr>
              <w:t>28</w:t>
            </w:r>
          </w:p>
        </w:tc>
        <w:tc>
          <w:tcPr>
            <w:tcW w:w="1239" w:type="dxa"/>
            <w:tcBorders>
              <w:top w:val="nil"/>
              <w:left w:val="nil"/>
              <w:bottom w:val="nil"/>
              <w:right w:val="nil"/>
            </w:tcBorders>
            <w:shd w:val="clear" w:color="000000" w:fill="FFFFFF"/>
            <w:noWrap/>
            <w:vAlign w:val="bottom"/>
            <w:hideMark/>
          </w:tcPr>
          <w:p w:rsidR="00303614" w:rsidRPr="00A64401" w:rsidRDefault="00303614" w:rsidP="00303614">
            <w:pPr>
              <w:spacing w:after="0" w:line="240" w:lineRule="auto"/>
              <w:jc w:val="center"/>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color w:val="000000"/>
                <w:sz w:val="24"/>
                <w:szCs w:val="24"/>
                <w:lang w:eastAsia="es-ES"/>
              </w:rPr>
              <w:t>32*</w:t>
            </w:r>
          </w:p>
        </w:tc>
      </w:tr>
      <w:tr w:rsidR="00303614" w:rsidRPr="00A64401" w:rsidTr="00303614">
        <w:trPr>
          <w:trHeight w:val="251"/>
        </w:trPr>
        <w:tc>
          <w:tcPr>
            <w:tcW w:w="2401" w:type="dxa"/>
            <w:tcBorders>
              <w:top w:val="nil"/>
              <w:left w:val="nil"/>
              <w:bottom w:val="single" w:sz="8" w:space="0" w:color="auto"/>
              <w:right w:val="nil"/>
            </w:tcBorders>
            <w:shd w:val="clear" w:color="000000" w:fill="FFFFFF"/>
            <w:noWrap/>
            <w:vAlign w:val="bottom"/>
            <w:hideMark/>
          </w:tcPr>
          <w:p w:rsidR="00303614" w:rsidRPr="00A64401" w:rsidRDefault="00303614" w:rsidP="00303614">
            <w:pPr>
              <w:spacing w:after="0" w:line="240" w:lineRule="auto"/>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color w:val="000000"/>
                <w:sz w:val="24"/>
                <w:szCs w:val="24"/>
                <w:lang w:eastAsia="es-ES"/>
              </w:rPr>
              <w:t>*sig&lt; 0.05</w:t>
            </w:r>
          </w:p>
        </w:tc>
        <w:tc>
          <w:tcPr>
            <w:tcW w:w="1108" w:type="dxa"/>
            <w:tcBorders>
              <w:top w:val="nil"/>
              <w:left w:val="nil"/>
              <w:bottom w:val="single" w:sz="8" w:space="0" w:color="auto"/>
              <w:right w:val="nil"/>
            </w:tcBorders>
            <w:shd w:val="clear" w:color="000000" w:fill="FFFFFF"/>
            <w:noWrap/>
            <w:vAlign w:val="bottom"/>
            <w:hideMark/>
          </w:tcPr>
          <w:p w:rsidR="00303614" w:rsidRPr="00A64401" w:rsidRDefault="00303614" w:rsidP="00303614">
            <w:pPr>
              <w:spacing w:after="0" w:line="240" w:lineRule="auto"/>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color w:val="000000"/>
                <w:sz w:val="24"/>
                <w:szCs w:val="24"/>
                <w:lang w:eastAsia="es-ES"/>
              </w:rPr>
              <w:t> </w:t>
            </w:r>
          </w:p>
        </w:tc>
        <w:tc>
          <w:tcPr>
            <w:tcW w:w="1239" w:type="dxa"/>
            <w:tcBorders>
              <w:top w:val="nil"/>
              <w:left w:val="nil"/>
              <w:bottom w:val="single" w:sz="8" w:space="0" w:color="auto"/>
              <w:right w:val="nil"/>
            </w:tcBorders>
            <w:shd w:val="clear" w:color="000000" w:fill="FFFFFF"/>
            <w:noWrap/>
            <w:vAlign w:val="bottom"/>
            <w:hideMark/>
          </w:tcPr>
          <w:p w:rsidR="00303614" w:rsidRPr="00A64401" w:rsidRDefault="00303614" w:rsidP="00303614">
            <w:pPr>
              <w:spacing w:after="0" w:line="240" w:lineRule="auto"/>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color w:val="000000"/>
                <w:sz w:val="24"/>
                <w:szCs w:val="24"/>
                <w:lang w:eastAsia="es-ES"/>
              </w:rPr>
              <w:t> </w:t>
            </w:r>
          </w:p>
        </w:tc>
      </w:tr>
      <w:tr w:rsidR="00303614" w:rsidRPr="00A64401" w:rsidTr="00303614">
        <w:trPr>
          <w:trHeight w:val="239"/>
        </w:trPr>
        <w:tc>
          <w:tcPr>
            <w:tcW w:w="3509" w:type="dxa"/>
            <w:gridSpan w:val="2"/>
            <w:tcBorders>
              <w:top w:val="nil"/>
              <w:left w:val="nil"/>
              <w:bottom w:val="nil"/>
              <w:right w:val="nil"/>
            </w:tcBorders>
            <w:shd w:val="clear" w:color="000000" w:fill="FFFFFF"/>
            <w:noWrap/>
            <w:vAlign w:val="bottom"/>
            <w:hideMark/>
          </w:tcPr>
          <w:p w:rsidR="00303614" w:rsidRPr="00A64401" w:rsidRDefault="00303614" w:rsidP="00303614">
            <w:pPr>
              <w:spacing w:after="0" w:line="240" w:lineRule="auto"/>
              <w:rPr>
                <w:rFonts w:ascii="Times New Roman" w:eastAsia="Times New Roman" w:hAnsi="Times New Roman" w:cs="Times New Roman"/>
                <w:i/>
                <w:iCs/>
                <w:color w:val="000000"/>
                <w:lang w:eastAsia="es-ES"/>
              </w:rPr>
            </w:pPr>
            <w:r w:rsidRPr="00A64401">
              <w:rPr>
                <w:rFonts w:ascii="Times New Roman" w:eastAsia="Times New Roman" w:hAnsi="Times New Roman" w:cs="Times New Roman"/>
                <w:i/>
                <w:iCs/>
                <w:color w:val="000000"/>
                <w:lang w:eastAsia="es-ES"/>
              </w:rPr>
              <w:t>Fuente: ESS</w:t>
            </w:r>
            <w:r w:rsidR="00C84E56">
              <w:rPr>
                <w:rFonts w:ascii="Times New Roman" w:eastAsia="Times New Roman" w:hAnsi="Times New Roman" w:cs="Times New Roman"/>
                <w:i/>
                <w:iCs/>
                <w:color w:val="000000"/>
                <w:lang w:eastAsia="es-ES"/>
              </w:rPr>
              <w:t>. Grecia, 2010</w:t>
            </w:r>
          </w:p>
        </w:tc>
        <w:tc>
          <w:tcPr>
            <w:tcW w:w="1239" w:type="dxa"/>
            <w:tcBorders>
              <w:top w:val="nil"/>
              <w:left w:val="nil"/>
              <w:bottom w:val="nil"/>
              <w:right w:val="nil"/>
            </w:tcBorders>
            <w:shd w:val="clear" w:color="000000" w:fill="FFFFFF"/>
            <w:noWrap/>
            <w:vAlign w:val="bottom"/>
            <w:hideMark/>
          </w:tcPr>
          <w:p w:rsidR="00303614" w:rsidRPr="00A64401" w:rsidRDefault="00303614" w:rsidP="00303614">
            <w:pPr>
              <w:spacing w:after="0" w:line="240" w:lineRule="auto"/>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color w:val="000000"/>
                <w:sz w:val="24"/>
                <w:szCs w:val="24"/>
                <w:lang w:eastAsia="es-ES"/>
              </w:rPr>
              <w:t> </w:t>
            </w:r>
          </w:p>
        </w:tc>
      </w:tr>
    </w:tbl>
    <w:tbl>
      <w:tblPr>
        <w:tblpPr w:leftFromText="141" w:rightFromText="141" w:vertAnchor="text" w:horzAnchor="margin" w:tblpXSpec="right" w:tblpY="169"/>
        <w:tblW w:w="4245" w:type="dxa"/>
        <w:tblCellMar>
          <w:left w:w="70" w:type="dxa"/>
          <w:right w:w="70" w:type="dxa"/>
        </w:tblCellMar>
        <w:tblLook w:val="04A0" w:firstRow="1" w:lastRow="0" w:firstColumn="1" w:lastColumn="0" w:noHBand="0" w:noVBand="1"/>
      </w:tblPr>
      <w:tblGrid>
        <w:gridCol w:w="2146"/>
        <w:gridCol w:w="992"/>
        <w:gridCol w:w="1107"/>
      </w:tblGrid>
      <w:tr w:rsidR="00303614" w:rsidRPr="00A64401" w:rsidTr="00EE6091">
        <w:trPr>
          <w:trHeight w:val="265"/>
        </w:trPr>
        <w:tc>
          <w:tcPr>
            <w:tcW w:w="4245" w:type="dxa"/>
            <w:gridSpan w:val="3"/>
            <w:tcBorders>
              <w:top w:val="nil"/>
              <w:left w:val="nil"/>
              <w:bottom w:val="double" w:sz="6" w:space="0" w:color="auto"/>
              <w:right w:val="nil"/>
            </w:tcBorders>
            <w:shd w:val="clear" w:color="000000" w:fill="FFFFFF"/>
            <w:noWrap/>
            <w:vAlign w:val="bottom"/>
            <w:hideMark/>
          </w:tcPr>
          <w:p w:rsidR="00303614" w:rsidRPr="00A64401" w:rsidRDefault="00303614" w:rsidP="00303614">
            <w:pPr>
              <w:spacing w:after="0" w:line="240" w:lineRule="auto"/>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b/>
                <w:color w:val="000000"/>
                <w:sz w:val="24"/>
                <w:szCs w:val="24"/>
                <w:lang w:eastAsia="es-ES"/>
              </w:rPr>
              <w:t>Tabla 7</w:t>
            </w:r>
            <w:r w:rsidRPr="00A64401">
              <w:rPr>
                <w:rFonts w:ascii="Times New Roman" w:eastAsia="Times New Roman" w:hAnsi="Times New Roman" w:cs="Times New Roman"/>
                <w:color w:val="000000"/>
                <w:sz w:val="24"/>
                <w:szCs w:val="24"/>
                <w:lang w:eastAsia="es-ES"/>
              </w:rPr>
              <w:t>. Asistencia a manifestaciones entre los abstencionistas, en %</w:t>
            </w:r>
          </w:p>
        </w:tc>
      </w:tr>
      <w:tr w:rsidR="00303614" w:rsidRPr="00A64401" w:rsidTr="00EE6091">
        <w:trPr>
          <w:trHeight w:val="265"/>
        </w:trPr>
        <w:tc>
          <w:tcPr>
            <w:tcW w:w="2146" w:type="dxa"/>
            <w:tcBorders>
              <w:top w:val="nil"/>
              <w:left w:val="nil"/>
              <w:bottom w:val="nil"/>
              <w:right w:val="nil"/>
            </w:tcBorders>
            <w:shd w:val="clear" w:color="000000" w:fill="FFFFFF"/>
            <w:noWrap/>
            <w:vAlign w:val="bottom"/>
            <w:hideMark/>
          </w:tcPr>
          <w:p w:rsidR="00303614" w:rsidRPr="00A64401" w:rsidRDefault="00303614" w:rsidP="00303614">
            <w:pPr>
              <w:spacing w:after="0" w:line="240" w:lineRule="auto"/>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color w:val="000000"/>
                <w:sz w:val="24"/>
                <w:szCs w:val="24"/>
                <w:lang w:eastAsia="es-ES"/>
              </w:rPr>
              <w:t> </w:t>
            </w:r>
          </w:p>
        </w:tc>
        <w:tc>
          <w:tcPr>
            <w:tcW w:w="991" w:type="dxa"/>
            <w:tcBorders>
              <w:top w:val="nil"/>
              <w:left w:val="nil"/>
              <w:bottom w:val="single" w:sz="4" w:space="0" w:color="auto"/>
              <w:right w:val="nil"/>
            </w:tcBorders>
            <w:shd w:val="clear" w:color="000000" w:fill="FFFFFF"/>
            <w:noWrap/>
            <w:vAlign w:val="bottom"/>
            <w:hideMark/>
          </w:tcPr>
          <w:p w:rsidR="00303614" w:rsidRPr="00A64401" w:rsidRDefault="00303614" w:rsidP="00303614">
            <w:pPr>
              <w:spacing w:after="0" w:line="240" w:lineRule="auto"/>
              <w:jc w:val="center"/>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color w:val="000000"/>
                <w:sz w:val="24"/>
                <w:szCs w:val="24"/>
                <w:lang w:eastAsia="es-ES"/>
              </w:rPr>
              <w:t>2002</w:t>
            </w:r>
          </w:p>
        </w:tc>
        <w:tc>
          <w:tcPr>
            <w:tcW w:w="1107" w:type="dxa"/>
            <w:tcBorders>
              <w:top w:val="nil"/>
              <w:left w:val="nil"/>
              <w:bottom w:val="single" w:sz="4" w:space="0" w:color="auto"/>
              <w:right w:val="nil"/>
            </w:tcBorders>
            <w:shd w:val="clear" w:color="000000" w:fill="FFFFFF"/>
            <w:noWrap/>
            <w:vAlign w:val="bottom"/>
            <w:hideMark/>
          </w:tcPr>
          <w:p w:rsidR="00303614" w:rsidRPr="00A64401" w:rsidRDefault="00303614" w:rsidP="00303614">
            <w:pPr>
              <w:spacing w:after="0" w:line="240" w:lineRule="auto"/>
              <w:jc w:val="center"/>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color w:val="000000"/>
                <w:sz w:val="24"/>
                <w:szCs w:val="24"/>
                <w:lang w:eastAsia="es-ES"/>
              </w:rPr>
              <w:t>2012</w:t>
            </w:r>
          </w:p>
        </w:tc>
      </w:tr>
      <w:tr w:rsidR="00303614" w:rsidRPr="00A64401" w:rsidTr="00EE6091">
        <w:trPr>
          <w:trHeight w:val="254"/>
        </w:trPr>
        <w:tc>
          <w:tcPr>
            <w:tcW w:w="2146" w:type="dxa"/>
            <w:tcBorders>
              <w:top w:val="nil"/>
              <w:left w:val="nil"/>
              <w:bottom w:val="nil"/>
              <w:right w:val="nil"/>
            </w:tcBorders>
            <w:shd w:val="clear" w:color="000000" w:fill="FFFFFF"/>
            <w:noWrap/>
            <w:vAlign w:val="bottom"/>
            <w:hideMark/>
          </w:tcPr>
          <w:p w:rsidR="00303614" w:rsidRPr="00A64401" w:rsidRDefault="00303614" w:rsidP="00303614">
            <w:pPr>
              <w:spacing w:after="0" w:line="240" w:lineRule="auto"/>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color w:val="000000"/>
                <w:sz w:val="24"/>
                <w:szCs w:val="24"/>
                <w:lang w:eastAsia="es-ES"/>
              </w:rPr>
              <w:t>España</w:t>
            </w:r>
          </w:p>
        </w:tc>
        <w:tc>
          <w:tcPr>
            <w:tcW w:w="991" w:type="dxa"/>
            <w:tcBorders>
              <w:top w:val="nil"/>
              <w:left w:val="nil"/>
              <w:bottom w:val="nil"/>
              <w:right w:val="nil"/>
            </w:tcBorders>
            <w:shd w:val="clear" w:color="000000" w:fill="FFFFFF"/>
            <w:noWrap/>
            <w:vAlign w:val="bottom"/>
            <w:hideMark/>
          </w:tcPr>
          <w:p w:rsidR="00303614" w:rsidRPr="00A64401" w:rsidRDefault="00303614" w:rsidP="00303614">
            <w:pPr>
              <w:spacing w:after="0" w:line="240" w:lineRule="auto"/>
              <w:jc w:val="center"/>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color w:val="000000"/>
                <w:sz w:val="24"/>
                <w:szCs w:val="24"/>
                <w:lang w:eastAsia="es-ES"/>
              </w:rPr>
              <w:t>14,5</w:t>
            </w:r>
          </w:p>
        </w:tc>
        <w:tc>
          <w:tcPr>
            <w:tcW w:w="1107" w:type="dxa"/>
            <w:tcBorders>
              <w:top w:val="nil"/>
              <w:left w:val="nil"/>
              <w:bottom w:val="nil"/>
              <w:right w:val="nil"/>
            </w:tcBorders>
            <w:shd w:val="clear" w:color="000000" w:fill="FFFFFF"/>
            <w:noWrap/>
            <w:vAlign w:val="bottom"/>
            <w:hideMark/>
          </w:tcPr>
          <w:p w:rsidR="00303614" w:rsidRPr="00A64401" w:rsidRDefault="00303614" w:rsidP="00303614">
            <w:pPr>
              <w:spacing w:after="0" w:line="240" w:lineRule="auto"/>
              <w:jc w:val="center"/>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color w:val="000000"/>
                <w:sz w:val="24"/>
                <w:szCs w:val="24"/>
                <w:lang w:eastAsia="es-ES"/>
              </w:rPr>
              <w:t>19,7*</w:t>
            </w:r>
          </w:p>
        </w:tc>
      </w:tr>
      <w:tr w:rsidR="00303614" w:rsidRPr="00A64401" w:rsidTr="00EE6091">
        <w:trPr>
          <w:trHeight w:val="254"/>
        </w:trPr>
        <w:tc>
          <w:tcPr>
            <w:tcW w:w="2146" w:type="dxa"/>
            <w:tcBorders>
              <w:top w:val="nil"/>
              <w:left w:val="nil"/>
              <w:bottom w:val="nil"/>
              <w:right w:val="nil"/>
            </w:tcBorders>
            <w:shd w:val="clear" w:color="000000" w:fill="FFFFFF"/>
            <w:noWrap/>
            <w:vAlign w:val="bottom"/>
            <w:hideMark/>
          </w:tcPr>
          <w:p w:rsidR="00303614" w:rsidRPr="00A64401" w:rsidRDefault="00303614" w:rsidP="00303614">
            <w:pPr>
              <w:spacing w:after="0" w:line="240" w:lineRule="auto"/>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color w:val="000000"/>
                <w:sz w:val="24"/>
                <w:szCs w:val="24"/>
                <w:lang w:eastAsia="es-ES"/>
              </w:rPr>
              <w:t>Italia</w:t>
            </w:r>
          </w:p>
        </w:tc>
        <w:tc>
          <w:tcPr>
            <w:tcW w:w="991" w:type="dxa"/>
            <w:tcBorders>
              <w:top w:val="nil"/>
              <w:left w:val="nil"/>
              <w:bottom w:val="nil"/>
              <w:right w:val="nil"/>
            </w:tcBorders>
            <w:shd w:val="clear" w:color="000000" w:fill="FFFFFF"/>
            <w:noWrap/>
            <w:vAlign w:val="bottom"/>
            <w:hideMark/>
          </w:tcPr>
          <w:p w:rsidR="00303614" w:rsidRPr="00A64401" w:rsidRDefault="00303614" w:rsidP="00303614">
            <w:pPr>
              <w:spacing w:after="0" w:line="240" w:lineRule="auto"/>
              <w:jc w:val="center"/>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color w:val="000000"/>
                <w:sz w:val="24"/>
                <w:szCs w:val="24"/>
                <w:lang w:eastAsia="es-ES"/>
              </w:rPr>
              <w:t>5,9</w:t>
            </w:r>
          </w:p>
        </w:tc>
        <w:tc>
          <w:tcPr>
            <w:tcW w:w="1107" w:type="dxa"/>
            <w:tcBorders>
              <w:top w:val="nil"/>
              <w:left w:val="nil"/>
              <w:bottom w:val="nil"/>
              <w:right w:val="nil"/>
            </w:tcBorders>
            <w:shd w:val="clear" w:color="000000" w:fill="FFFFFF"/>
            <w:noWrap/>
            <w:vAlign w:val="bottom"/>
            <w:hideMark/>
          </w:tcPr>
          <w:p w:rsidR="00303614" w:rsidRPr="00A64401" w:rsidRDefault="00303614" w:rsidP="00303614">
            <w:pPr>
              <w:spacing w:after="0" w:line="240" w:lineRule="auto"/>
              <w:jc w:val="center"/>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color w:val="000000"/>
                <w:sz w:val="24"/>
                <w:szCs w:val="24"/>
                <w:lang w:eastAsia="es-ES"/>
              </w:rPr>
              <w:t>11,4</w:t>
            </w:r>
          </w:p>
        </w:tc>
      </w:tr>
      <w:tr w:rsidR="00C84E56" w:rsidRPr="00A64401" w:rsidTr="00EE6091">
        <w:trPr>
          <w:trHeight w:val="254"/>
        </w:trPr>
        <w:tc>
          <w:tcPr>
            <w:tcW w:w="2146" w:type="dxa"/>
            <w:tcBorders>
              <w:top w:val="nil"/>
              <w:left w:val="nil"/>
              <w:bottom w:val="nil"/>
              <w:right w:val="nil"/>
            </w:tcBorders>
            <w:shd w:val="clear" w:color="000000" w:fill="FFFFFF"/>
            <w:noWrap/>
            <w:vAlign w:val="bottom"/>
            <w:hideMark/>
          </w:tcPr>
          <w:p w:rsidR="00C84E56" w:rsidRPr="00A64401" w:rsidRDefault="00C84E56" w:rsidP="00303614">
            <w:pPr>
              <w:spacing w:after="0" w:line="240" w:lineRule="auto"/>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lang w:eastAsia="es-ES"/>
              </w:rPr>
              <w:t>Grecia</w:t>
            </w:r>
          </w:p>
        </w:tc>
        <w:tc>
          <w:tcPr>
            <w:tcW w:w="991" w:type="dxa"/>
            <w:tcBorders>
              <w:top w:val="nil"/>
              <w:left w:val="nil"/>
              <w:bottom w:val="nil"/>
              <w:right w:val="nil"/>
            </w:tcBorders>
            <w:shd w:val="clear" w:color="000000" w:fill="FFFFFF"/>
            <w:noWrap/>
            <w:vAlign w:val="bottom"/>
            <w:hideMark/>
          </w:tcPr>
          <w:p w:rsidR="00C84E56" w:rsidRPr="00A64401" w:rsidRDefault="001C279B" w:rsidP="00303614">
            <w:pPr>
              <w:spacing w:after="0" w:line="240" w:lineRule="auto"/>
              <w:jc w:val="center"/>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lang w:eastAsia="es-ES"/>
              </w:rPr>
              <w:t>5</w:t>
            </w:r>
          </w:p>
        </w:tc>
        <w:tc>
          <w:tcPr>
            <w:tcW w:w="1107" w:type="dxa"/>
            <w:tcBorders>
              <w:top w:val="nil"/>
              <w:left w:val="nil"/>
              <w:bottom w:val="nil"/>
              <w:right w:val="nil"/>
            </w:tcBorders>
            <w:shd w:val="clear" w:color="000000" w:fill="FFFFFF"/>
            <w:noWrap/>
            <w:vAlign w:val="bottom"/>
            <w:hideMark/>
          </w:tcPr>
          <w:p w:rsidR="00C84E56" w:rsidRPr="00A64401" w:rsidRDefault="001C279B" w:rsidP="00303614">
            <w:pPr>
              <w:spacing w:after="0" w:line="240" w:lineRule="auto"/>
              <w:jc w:val="center"/>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lang w:eastAsia="es-ES"/>
              </w:rPr>
              <w:t>8*</w:t>
            </w:r>
          </w:p>
        </w:tc>
      </w:tr>
      <w:tr w:rsidR="00303614" w:rsidRPr="00A64401" w:rsidTr="00EE6091">
        <w:trPr>
          <w:trHeight w:val="254"/>
        </w:trPr>
        <w:tc>
          <w:tcPr>
            <w:tcW w:w="2146" w:type="dxa"/>
            <w:tcBorders>
              <w:top w:val="nil"/>
              <w:left w:val="nil"/>
              <w:bottom w:val="nil"/>
              <w:right w:val="nil"/>
            </w:tcBorders>
            <w:shd w:val="clear" w:color="000000" w:fill="FFFFFF"/>
            <w:noWrap/>
            <w:vAlign w:val="bottom"/>
            <w:hideMark/>
          </w:tcPr>
          <w:p w:rsidR="00303614" w:rsidRPr="00A64401" w:rsidRDefault="00303614" w:rsidP="00303614">
            <w:pPr>
              <w:spacing w:after="0" w:line="240" w:lineRule="auto"/>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color w:val="000000"/>
                <w:sz w:val="24"/>
                <w:szCs w:val="24"/>
                <w:lang w:eastAsia="es-ES"/>
              </w:rPr>
              <w:t>Portugal</w:t>
            </w:r>
          </w:p>
        </w:tc>
        <w:tc>
          <w:tcPr>
            <w:tcW w:w="991" w:type="dxa"/>
            <w:tcBorders>
              <w:top w:val="nil"/>
              <w:left w:val="nil"/>
              <w:bottom w:val="nil"/>
              <w:right w:val="nil"/>
            </w:tcBorders>
            <w:shd w:val="clear" w:color="000000" w:fill="FFFFFF"/>
            <w:noWrap/>
            <w:vAlign w:val="bottom"/>
            <w:hideMark/>
          </w:tcPr>
          <w:p w:rsidR="00303614" w:rsidRPr="00A64401" w:rsidRDefault="00303614" w:rsidP="00303614">
            <w:pPr>
              <w:spacing w:after="0" w:line="240" w:lineRule="auto"/>
              <w:jc w:val="center"/>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color w:val="000000"/>
                <w:sz w:val="24"/>
                <w:szCs w:val="24"/>
                <w:lang w:eastAsia="es-ES"/>
              </w:rPr>
              <w:t>1,3</w:t>
            </w:r>
          </w:p>
        </w:tc>
        <w:tc>
          <w:tcPr>
            <w:tcW w:w="1107" w:type="dxa"/>
            <w:tcBorders>
              <w:top w:val="nil"/>
              <w:left w:val="nil"/>
              <w:bottom w:val="nil"/>
              <w:right w:val="nil"/>
            </w:tcBorders>
            <w:shd w:val="clear" w:color="000000" w:fill="FFFFFF"/>
            <w:noWrap/>
            <w:vAlign w:val="bottom"/>
            <w:hideMark/>
          </w:tcPr>
          <w:p w:rsidR="00303614" w:rsidRPr="00A64401" w:rsidRDefault="00303614" w:rsidP="00303614">
            <w:pPr>
              <w:spacing w:after="0" w:line="240" w:lineRule="auto"/>
              <w:jc w:val="center"/>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color w:val="000000"/>
                <w:sz w:val="24"/>
                <w:szCs w:val="24"/>
                <w:lang w:eastAsia="es-ES"/>
              </w:rPr>
              <w:t>5,2*</w:t>
            </w:r>
          </w:p>
        </w:tc>
      </w:tr>
      <w:tr w:rsidR="00303614" w:rsidRPr="00A64401" w:rsidTr="00EE6091">
        <w:trPr>
          <w:trHeight w:val="265"/>
        </w:trPr>
        <w:tc>
          <w:tcPr>
            <w:tcW w:w="2146" w:type="dxa"/>
            <w:tcBorders>
              <w:top w:val="nil"/>
              <w:left w:val="nil"/>
              <w:bottom w:val="single" w:sz="8" w:space="0" w:color="auto"/>
              <w:right w:val="nil"/>
            </w:tcBorders>
            <w:shd w:val="clear" w:color="000000" w:fill="FFFFFF"/>
            <w:noWrap/>
            <w:vAlign w:val="bottom"/>
            <w:hideMark/>
          </w:tcPr>
          <w:p w:rsidR="00303614" w:rsidRPr="00A64401" w:rsidRDefault="00303614" w:rsidP="00303614">
            <w:pPr>
              <w:spacing w:after="0" w:line="240" w:lineRule="auto"/>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color w:val="000000"/>
                <w:sz w:val="24"/>
                <w:szCs w:val="24"/>
                <w:lang w:eastAsia="es-ES"/>
              </w:rPr>
              <w:t>*sig&lt; 0.05</w:t>
            </w:r>
          </w:p>
        </w:tc>
        <w:tc>
          <w:tcPr>
            <w:tcW w:w="991" w:type="dxa"/>
            <w:tcBorders>
              <w:top w:val="nil"/>
              <w:left w:val="nil"/>
              <w:bottom w:val="single" w:sz="8" w:space="0" w:color="auto"/>
              <w:right w:val="nil"/>
            </w:tcBorders>
            <w:shd w:val="clear" w:color="000000" w:fill="FFFFFF"/>
            <w:noWrap/>
            <w:vAlign w:val="bottom"/>
            <w:hideMark/>
          </w:tcPr>
          <w:p w:rsidR="00303614" w:rsidRPr="00A64401" w:rsidRDefault="00303614" w:rsidP="00303614">
            <w:pPr>
              <w:spacing w:after="0" w:line="240" w:lineRule="auto"/>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color w:val="000000"/>
                <w:sz w:val="24"/>
                <w:szCs w:val="24"/>
                <w:lang w:eastAsia="es-ES"/>
              </w:rPr>
              <w:t> </w:t>
            </w:r>
          </w:p>
        </w:tc>
        <w:tc>
          <w:tcPr>
            <w:tcW w:w="1107" w:type="dxa"/>
            <w:tcBorders>
              <w:top w:val="nil"/>
              <w:left w:val="nil"/>
              <w:bottom w:val="single" w:sz="8" w:space="0" w:color="auto"/>
              <w:right w:val="nil"/>
            </w:tcBorders>
            <w:shd w:val="clear" w:color="000000" w:fill="FFFFFF"/>
            <w:noWrap/>
            <w:vAlign w:val="bottom"/>
            <w:hideMark/>
          </w:tcPr>
          <w:p w:rsidR="00303614" w:rsidRPr="00A64401" w:rsidRDefault="00303614" w:rsidP="00303614">
            <w:pPr>
              <w:spacing w:after="0" w:line="240" w:lineRule="auto"/>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color w:val="000000"/>
                <w:sz w:val="24"/>
                <w:szCs w:val="24"/>
                <w:lang w:eastAsia="es-ES"/>
              </w:rPr>
              <w:t> </w:t>
            </w:r>
          </w:p>
        </w:tc>
      </w:tr>
      <w:tr w:rsidR="00303614" w:rsidRPr="00A64401" w:rsidTr="00EE6091">
        <w:trPr>
          <w:trHeight w:val="254"/>
        </w:trPr>
        <w:tc>
          <w:tcPr>
            <w:tcW w:w="3138" w:type="dxa"/>
            <w:gridSpan w:val="2"/>
            <w:tcBorders>
              <w:top w:val="nil"/>
              <w:left w:val="nil"/>
              <w:bottom w:val="nil"/>
              <w:right w:val="nil"/>
            </w:tcBorders>
            <w:shd w:val="clear" w:color="000000" w:fill="FFFFFF"/>
            <w:noWrap/>
            <w:vAlign w:val="bottom"/>
            <w:hideMark/>
          </w:tcPr>
          <w:p w:rsidR="00303614" w:rsidRPr="00A64401" w:rsidRDefault="00303614" w:rsidP="00303614">
            <w:pPr>
              <w:spacing w:after="0" w:line="240" w:lineRule="auto"/>
              <w:rPr>
                <w:rFonts w:ascii="Times New Roman" w:eastAsia="Times New Roman" w:hAnsi="Times New Roman" w:cs="Times New Roman"/>
                <w:i/>
                <w:iCs/>
                <w:color w:val="000000"/>
                <w:lang w:eastAsia="es-ES"/>
              </w:rPr>
            </w:pPr>
            <w:r w:rsidRPr="00A64401">
              <w:rPr>
                <w:rFonts w:ascii="Times New Roman" w:eastAsia="Times New Roman" w:hAnsi="Times New Roman" w:cs="Times New Roman"/>
                <w:i/>
                <w:iCs/>
                <w:color w:val="000000"/>
                <w:lang w:eastAsia="es-ES"/>
              </w:rPr>
              <w:t>Fuente: ESS</w:t>
            </w:r>
            <w:r w:rsidR="00C84E56">
              <w:rPr>
                <w:rFonts w:ascii="Times New Roman" w:eastAsia="Times New Roman" w:hAnsi="Times New Roman" w:cs="Times New Roman"/>
                <w:i/>
                <w:iCs/>
                <w:color w:val="000000"/>
                <w:lang w:eastAsia="es-ES"/>
              </w:rPr>
              <w:t>. Para Grecia, 2010.</w:t>
            </w:r>
          </w:p>
        </w:tc>
        <w:tc>
          <w:tcPr>
            <w:tcW w:w="1107" w:type="dxa"/>
            <w:tcBorders>
              <w:top w:val="nil"/>
              <w:left w:val="nil"/>
              <w:bottom w:val="nil"/>
              <w:right w:val="nil"/>
            </w:tcBorders>
            <w:shd w:val="clear" w:color="000000" w:fill="FFFFFF"/>
            <w:noWrap/>
            <w:vAlign w:val="bottom"/>
            <w:hideMark/>
          </w:tcPr>
          <w:p w:rsidR="00303614" w:rsidRPr="00A64401" w:rsidRDefault="00303614" w:rsidP="00303614">
            <w:pPr>
              <w:spacing w:after="0" w:line="240" w:lineRule="auto"/>
              <w:rPr>
                <w:rFonts w:ascii="Times New Roman" w:eastAsia="Times New Roman" w:hAnsi="Times New Roman" w:cs="Times New Roman"/>
                <w:color w:val="000000"/>
                <w:sz w:val="24"/>
                <w:szCs w:val="24"/>
                <w:lang w:eastAsia="es-ES"/>
              </w:rPr>
            </w:pPr>
            <w:r w:rsidRPr="00A64401">
              <w:rPr>
                <w:rFonts w:ascii="Times New Roman" w:eastAsia="Times New Roman" w:hAnsi="Times New Roman" w:cs="Times New Roman"/>
                <w:color w:val="000000"/>
                <w:sz w:val="24"/>
                <w:szCs w:val="24"/>
                <w:lang w:eastAsia="es-ES"/>
              </w:rPr>
              <w:t> </w:t>
            </w:r>
          </w:p>
        </w:tc>
      </w:tr>
    </w:tbl>
    <w:p w:rsidR="00A64401" w:rsidRDefault="00A64401" w:rsidP="00C30686">
      <w:pPr>
        <w:spacing w:after="0" w:line="360" w:lineRule="auto"/>
        <w:jc w:val="both"/>
        <w:rPr>
          <w:rFonts w:ascii="Times New Roman" w:eastAsia="Times New Roman" w:hAnsi="Times New Roman" w:cs="Times New Roman"/>
          <w:sz w:val="24"/>
          <w:szCs w:val="23"/>
          <w:lang w:eastAsia="es-ES"/>
        </w:rPr>
      </w:pPr>
    </w:p>
    <w:p w:rsidR="00A64401" w:rsidRDefault="00A64401" w:rsidP="00C30686">
      <w:pPr>
        <w:spacing w:after="0" w:line="360" w:lineRule="auto"/>
        <w:jc w:val="both"/>
        <w:rPr>
          <w:rFonts w:ascii="Times New Roman" w:eastAsia="Times New Roman" w:hAnsi="Times New Roman" w:cs="Times New Roman"/>
          <w:sz w:val="24"/>
          <w:szCs w:val="23"/>
          <w:lang w:eastAsia="es-ES"/>
        </w:rPr>
      </w:pPr>
    </w:p>
    <w:p w:rsidR="0002274E" w:rsidRDefault="0002274E" w:rsidP="00A0787A">
      <w:pPr>
        <w:spacing w:after="0" w:line="360" w:lineRule="auto"/>
        <w:ind w:firstLine="708"/>
        <w:jc w:val="both"/>
        <w:rPr>
          <w:rFonts w:ascii="Times New Roman" w:hAnsi="Times New Roman" w:cs="Times New Roman"/>
          <w:sz w:val="24"/>
        </w:rPr>
      </w:pPr>
      <w:r>
        <w:rPr>
          <w:rFonts w:ascii="Times New Roman" w:hAnsi="Times New Roman" w:cs="Times New Roman"/>
          <w:sz w:val="24"/>
        </w:rPr>
        <w:t xml:space="preserve">Nótese que, en todos los casos, quienes se abstienen están insatisfechos con la marcha de la economía en sus países. Ciertamente es ésta la pauta general, y los abstencionistas no se apartan de ella. Si existe o no una relación de causalidad entre ambas variables, es algo que se verá con los modelos de regresión. </w:t>
      </w:r>
    </w:p>
    <w:p w:rsidR="00303614" w:rsidRDefault="00303614" w:rsidP="00303614">
      <w:pPr>
        <w:spacing w:after="0" w:line="360" w:lineRule="auto"/>
        <w:ind w:firstLine="708"/>
        <w:jc w:val="both"/>
        <w:rPr>
          <w:rFonts w:ascii="Times New Roman" w:hAnsi="Times New Roman" w:cs="Times New Roman"/>
          <w:sz w:val="24"/>
        </w:rPr>
      </w:pPr>
    </w:p>
    <w:p w:rsidR="00A64401" w:rsidRDefault="00A64401" w:rsidP="0002274E">
      <w:pPr>
        <w:spacing w:after="0" w:line="360" w:lineRule="auto"/>
        <w:ind w:firstLine="708"/>
        <w:jc w:val="both"/>
        <w:rPr>
          <w:rFonts w:ascii="Times New Roman" w:hAnsi="Times New Roman" w:cs="Times New Roman"/>
          <w:sz w:val="24"/>
        </w:rPr>
      </w:pPr>
      <w:r>
        <w:rPr>
          <w:rFonts w:ascii="Times New Roman" w:hAnsi="Times New Roman" w:cs="Times New Roman"/>
          <w:sz w:val="24"/>
        </w:rPr>
        <w:t>Con respecto al crecimiento de la asistencia a manifestaciones entre los abstencionistas, cabe destacar no sólo su aumento, sino la adquisición de significación estadística así como el valor del estadístico V-Cramer, que pasa de 0.09 a 0.084, la variación más llamativa de los casos estudiados (en Italia pasa de 0.047 a 0.068, explicando, por tanto, buena parte del fenómeno; en Portugal, decrece, del 0.088 en 2002, al 0.059 en 2012).</w:t>
      </w:r>
    </w:p>
    <w:p w:rsidR="00303614" w:rsidRDefault="00303614" w:rsidP="0002274E">
      <w:pPr>
        <w:spacing w:after="0" w:line="360" w:lineRule="auto"/>
        <w:ind w:firstLine="708"/>
        <w:jc w:val="both"/>
        <w:rPr>
          <w:rFonts w:ascii="Times New Roman" w:hAnsi="Times New Roman" w:cs="Times New Roman"/>
          <w:sz w:val="24"/>
        </w:rPr>
      </w:pPr>
    </w:p>
    <w:p w:rsidR="00303614" w:rsidRDefault="00303614" w:rsidP="0002274E">
      <w:pPr>
        <w:spacing w:after="0" w:line="360" w:lineRule="auto"/>
        <w:ind w:firstLine="708"/>
        <w:jc w:val="both"/>
        <w:rPr>
          <w:rFonts w:ascii="Times New Roman" w:hAnsi="Times New Roman" w:cs="Times New Roman"/>
          <w:sz w:val="24"/>
        </w:rPr>
      </w:pPr>
      <w:r>
        <w:rPr>
          <w:rFonts w:ascii="Times New Roman" w:hAnsi="Times New Roman" w:cs="Times New Roman"/>
          <w:sz w:val="24"/>
        </w:rPr>
        <w:t xml:space="preserve">Estos análisis aportan refuerzan, por un lado, la idea contenida en la hipótesis 1.A, según la cual, a medida que aumenta el descontento o la insatisfacción con el estado presente de la economía, aumentan las probabilidades de abstenerse. Por otra parte, la participación de los abstencionistas a través de otros modos de acción política como la protesta, que se mostró en su grado de asistencia a manifestaciones, subraya la importancia que para ellos puede tener no abandonar completamente la participación política, sino conducir su mensaje fuera de las urnas, lo cual daría forma a su discurso “crítico”.  </w:t>
      </w:r>
      <w:proofErr w:type="gramStart"/>
      <w:r>
        <w:rPr>
          <w:rFonts w:ascii="Times New Roman" w:hAnsi="Times New Roman" w:cs="Times New Roman"/>
          <w:sz w:val="24"/>
        </w:rPr>
        <w:t>Mas</w:t>
      </w:r>
      <w:proofErr w:type="gramEnd"/>
      <w:r>
        <w:rPr>
          <w:rFonts w:ascii="Times New Roman" w:hAnsi="Times New Roman" w:cs="Times New Roman"/>
          <w:sz w:val="24"/>
        </w:rPr>
        <w:t xml:space="preserve">, para comprobar la H.1.B, y por tanto, el carácter crítico o no que puede encontrarse en la abstención, se han desarrollado los perfiles, como vemos a continuación. </w:t>
      </w:r>
    </w:p>
    <w:p w:rsidR="00BB61C1" w:rsidRDefault="00BB61C1" w:rsidP="0002274E">
      <w:pPr>
        <w:spacing w:after="0" w:line="360" w:lineRule="auto"/>
        <w:ind w:firstLine="708"/>
        <w:jc w:val="both"/>
        <w:rPr>
          <w:rFonts w:ascii="Times New Roman" w:hAnsi="Times New Roman" w:cs="Times New Roman"/>
          <w:sz w:val="24"/>
        </w:rPr>
      </w:pPr>
    </w:p>
    <w:p w:rsidR="00303614" w:rsidRDefault="00303614" w:rsidP="00303614">
      <w:pPr>
        <w:spacing w:line="360" w:lineRule="auto"/>
        <w:ind w:firstLine="708"/>
        <w:jc w:val="both"/>
        <w:rPr>
          <w:rFonts w:ascii="Times New Roman" w:hAnsi="Times New Roman" w:cs="Times New Roman"/>
          <w:sz w:val="24"/>
        </w:rPr>
      </w:pPr>
      <w:r w:rsidRPr="00303614">
        <w:rPr>
          <w:rFonts w:ascii="Times New Roman" w:hAnsi="Times New Roman" w:cs="Times New Roman"/>
          <w:sz w:val="24"/>
        </w:rPr>
        <w:t>Los perfiles de ciudadano ela</w:t>
      </w:r>
      <w:r>
        <w:rPr>
          <w:rFonts w:ascii="Times New Roman" w:hAnsi="Times New Roman" w:cs="Times New Roman"/>
          <w:sz w:val="24"/>
        </w:rPr>
        <w:t xml:space="preserve">borados en la presente investigación son cuatro, basados en Montero, Sanz y Navarrete (2013) quienes los desarrollan para analizar la </w:t>
      </w:r>
      <w:r>
        <w:rPr>
          <w:rFonts w:ascii="Times New Roman" w:hAnsi="Times New Roman" w:cs="Times New Roman"/>
          <w:sz w:val="24"/>
        </w:rPr>
        <w:lastRenderedPageBreak/>
        <w:t xml:space="preserve">evolución general de tales sentimientos entre los españoles en el contexto de la crisis. </w:t>
      </w:r>
      <w:r w:rsidRPr="00303614">
        <w:rPr>
          <w:rFonts w:ascii="Times New Roman" w:hAnsi="Times New Roman" w:cs="Times New Roman"/>
          <w:sz w:val="24"/>
        </w:rPr>
        <w:t>Aquí se extienden en dos sentidos: por un lado, s</w:t>
      </w:r>
      <w:r>
        <w:rPr>
          <w:rFonts w:ascii="Times New Roman" w:hAnsi="Times New Roman" w:cs="Times New Roman"/>
          <w:sz w:val="24"/>
        </w:rPr>
        <w:t xml:space="preserve">e aplica dicha clasificación al resto de países del Sur de Europa, por otro, como ya hice anteriormente (Alarcón, 2014), se estudia específicamente su distribución entre los abstencionistas. </w:t>
      </w:r>
    </w:p>
    <w:p w:rsidR="00303614" w:rsidRDefault="00303614" w:rsidP="00303614">
      <w:pPr>
        <w:spacing w:line="360" w:lineRule="auto"/>
        <w:ind w:firstLine="708"/>
        <w:jc w:val="both"/>
        <w:rPr>
          <w:rFonts w:ascii="Times New Roman" w:hAnsi="Times New Roman" w:cs="Times New Roman"/>
          <w:sz w:val="24"/>
        </w:rPr>
      </w:pPr>
      <w:r w:rsidRPr="00303614">
        <w:rPr>
          <w:rFonts w:ascii="Times New Roman" w:hAnsi="Times New Roman" w:cs="Times New Roman"/>
          <w:sz w:val="24"/>
        </w:rPr>
        <w:t>Los perfiles devienen de la u</w:t>
      </w:r>
      <w:r>
        <w:rPr>
          <w:rFonts w:ascii="Times New Roman" w:hAnsi="Times New Roman" w:cs="Times New Roman"/>
          <w:sz w:val="24"/>
        </w:rPr>
        <w:t xml:space="preserve">nión de </w:t>
      </w:r>
      <w:r w:rsidR="00BB61C1">
        <w:rPr>
          <w:rFonts w:ascii="Times New Roman" w:hAnsi="Times New Roman" w:cs="Times New Roman"/>
          <w:sz w:val="24"/>
        </w:rPr>
        <w:t xml:space="preserve">las </w:t>
      </w:r>
      <w:r>
        <w:rPr>
          <w:rFonts w:ascii="Times New Roman" w:hAnsi="Times New Roman" w:cs="Times New Roman"/>
          <w:sz w:val="24"/>
        </w:rPr>
        <w:t>dos características</w:t>
      </w:r>
      <w:r w:rsidR="00BB61C1">
        <w:rPr>
          <w:rFonts w:ascii="Times New Roman" w:hAnsi="Times New Roman" w:cs="Times New Roman"/>
          <w:sz w:val="24"/>
        </w:rPr>
        <w:t xml:space="preserve"> ya comentadas previamente en el apartado metodológico</w:t>
      </w:r>
      <w:r>
        <w:rPr>
          <w:rFonts w:ascii="Times New Roman" w:hAnsi="Times New Roman" w:cs="Times New Roman"/>
          <w:sz w:val="24"/>
        </w:rPr>
        <w:t>: el interés o desinterés político d</w:t>
      </w:r>
      <w:r w:rsidR="003C2B42">
        <w:rPr>
          <w:rFonts w:ascii="Times New Roman" w:hAnsi="Times New Roman" w:cs="Times New Roman"/>
          <w:sz w:val="24"/>
        </w:rPr>
        <w:t>el ciudadano, y la confianza o no que le merezcan las instituciones nacionales, en este caso, el Parlamento</w:t>
      </w:r>
      <w:r w:rsidR="00A07E51">
        <w:rPr>
          <w:rStyle w:val="Refdenotaalpie"/>
          <w:rFonts w:ascii="Times New Roman" w:hAnsi="Times New Roman" w:cs="Times New Roman"/>
          <w:sz w:val="24"/>
        </w:rPr>
        <w:footnoteReference w:id="10"/>
      </w:r>
      <w:r w:rsidR="003C2B42">
        <w:rPr>
          <w:rFonts w:ascii="Times New Roman" w:hAnsi="Times New Roman" w:cs="Times New Roman"/>
          <w:sz w:val="24"/>
        </w:rPr>
        <w:t xml:space="preserve">. </w:t>
      </w:r>
    </w:p>
    <w:p w:rsidR="0051625B" w:rsidRDefault="0051625B" w:rsidP="00303614">
      <w:pPr>
        <w:spacing w:line="360" w:lineRule="auto"/>
        <w:ind w:firstLine="708"/>
        <w:jc w:val="both"/>
        <w:rPr>
          <w:rFonts w:ascii="Times New Roman" w:hAnsi="Times New Roman" w:cs="Times New Roman"/>
          <w:sz w:val="24"/>
        </w:rPr>
      </w:pPr>
      <w:r>
        <w:rPr>
          <w:rFonts w:ascii="Times New Roman" w:hAnsi="Times New Roman" w:cs="Times New Roman"/>
          <w:sz w:val="24"/>
        </w:rPr>
        <w:t>Antes de analizar su presencia en la abstención, se presenta su distribución entre el conjunto de la ciudadanía</w:t>
      </w:r>
      <w:r w:rsidR="002D590D">
        <w:rPr>
          <w:rFonts w:ascii="Times New Roman" w:hAnsi="Times New Roman" w:cs="Times New Roman"/>
          <w:sz w:val="24"/>
        </w:rPr>
        <w:t>, en las tablas 8 y 9</w:t>
      </w:r>
      <w:r>
        <w:rPr>
          <w:rFonts w:ascii="Times New Roman" w:hAnsi="Times New Roman" w:cs="Times New Roman"/>
          <w:sz w:val="24"/>
        </w:rPr>
        <w:t>.</w:t>
      </w:r>
    </w:p>
    <w:tbl>
      <w:tblPr>
        <w:tblW w:w="6541" w:type="dxa"/>
        <w:tblInd w:w="989" w:type="dxa"/>
        <w:tblCellMar>
          <w:left w:w="70" w:type="dxa"/>
          <w:right w:w="70" w:type="dxa"/>
        </w:tblCellMar>
        <w:tblLook w:val="04A0" w:firstRow="1" w:lastRow="0" w:firstColumn="1" w:lastColumn="0" w:noHBand="0" w:noVBand="1"/>
      </w:tblPr>
      <w:tblGrid>
        <w:gridCol w:w="1322"/>
        <w:gridCol w:w="1048"/>
        <w:gridCol w:w="1091"/>
        <w:gridCol w:w="1550"/>
        <w:gridCol w:w="1530"/>
      </w:tblGrid>
      <w:tr w:rsidR="002D590D" w:rsidRPr="002D590D" w:rsidTr="002D590D">
        <w:trPr>
          <w:trHeight w:val="320"/>
        </w:trPr>
        <w:tc>
          <w:tcPr>
            <w:tcW w:w="6541" w:type="dxa"/>
            <w:gridSpan w:val="5"/>
            <w:tcBorders>
              <w:top w:val="nil"/>
              <w:left w:val="nil"/>
              <w:bottom w:val="double" w:sz="6" w:space="0" w:color="auto"/>
              <w:right w:val="nil"/>
            </w:tcBorders>
            <w:shd w:val="clear" w:color="auto" w:fill="auto"/>
            <w:noWrap/>
            <w:vAlign w:val="bottom"/>
            <w:hideMark/>
          </w:tcPr>
          <w:p w:rsidR="002D590D" w:rsidRPr="002D590D" w:rsidRDefault="002D590D" w:rsidP="002D590D">
            <w:pPr>
              <w:spacing w:after="0" w:line="240" w:lineRule="auto"/>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b/>
                <w:bCs/>
                <w:color w:val="000000"/>
                <w:sz w:val="24"/>
                <w:szCs w:val="24"/>
                <w:lang w:eastAsia="es-ES"/>
              </w:rPr>
              <w:t>Tabla 8</w:t>
            </w:r>
            <w:r w:rsidRPr="002D590D">
              <w:rPr>
                <w:rFonts w:ascii="Times New Roman" w:eastAsia="Times New Roman" w:hAnsi="Times New Roman" w:cs="Times New Roman"/>
                <w:color w:val="000000"/>
                <w:sz w:val="24"/>
                <w:szCs w:val="24"/>
                <w:lang w:eastAsia="es-ES"/>
              </w:rPr>
              <w:t>.</w:t>
            </w:r>
            <w:r>
              <w:rPr>
                <w:rFonts w:ascii="Times New Roman" w:eastAsia="Times New Roman" w:hAnsi="Times New Roman" w:cs="Times New Roman"/>
                <w:color w:val="000000"/>
                <w:sz w:val="24"/>
                <w:szCs w:val="24"/>
                <w:lang w:eastAsia="es-ES"/>
              </w:rPr>
              <w:t xml:space="preserve"> </w:t>
            </w:r>
            <w:r w:rsidRPr="002D590D">
              <w:rPr>
                <w:rFonts w:ascii="Times New Roman" w:eastAsia="Times New Roman" w:hAnsi="Times New Roman" w:cs="Times New Roman"/>
                <w:color w:val="000000"/>
                <w:sz w:val="24"/>
                <w:szCs w:val="24"/>
                <w:lang w:eastAsia="es-ES"/>
              </w:rPr>
              <w:t>Distribución de los perfiles entre los ciudadanos en 2012, en %</w:t>
            </w:r>
          </w:p>
        </w:tc>
      </w:tr>
      <w:tr w:rsidR="002D590D" w:rsidRPr="002D590D" w:rsidTr="002D590D">
        <w:trPr>
          <w:trHeight w:val="335"/>
        </w:trPr>
        <w:tc>
          <w:tcPr>
            <w:tcW w:w="1322" w:type="dxa"/>
            <w:tcBorders>
              <w:top w:val="nil"/>
              <w:left w:val="nil"/>
              <w:bottom w:val="nil"/>
              <w:right w:val="nil"/>
            </w:tcBorders>
            <w:shd w:val="clear" w:color="auto" w:fill="auto"/>
            <w:noWrap/>
            <w:vAlign w:val="bottom"/>
            <w:hideMark/>
          </w:tcPr>
          <w:p w:rsidR="002D590D" w:rsidRPr="002D590D" w:rsidRDefault="002D590D" w:rsidP="002D590D">
            <w:pPr>
              <w:spacing w:after="0" w:line="240" w:lineRule="auto"/>
              <w:rPr>
                <w:rFonts w:ascii="Times New Roman" w:eastAsia="Times New Roman" w:hAnsi="Times New Roman" w:cs="Times New Roman"/>
                <w:color w:val="000000"/>
                <w:sz w:val="24"/>
                <w:szCs w:val="24"/>
                <w:lang w:eastAsia="es-ES"/>
              </w:rPr>
            </w:pPr>
          </w:p>
        </w:tc>
        <w:tc>
          <w:tcPr>
            <w:tcW w:w="1048" w:type="dxa"/>
            <w:tcBorders>
              <w:top w:val="nil"/>
              <w:left w:val="nil"/>
              <w:bottom w:val="double" w:sz="6" w:space="0" w:color="auto"/>
              <w:right w:val="nil"/>
            </w:tcBorders>
            <w:shd w:val="clear" w:color="auto" w:fill="auto"/>
            <w:noWrap/>
            <w:vAlign w:val="bottom"/>
            <w:hideMark/>
          </w:tcPr>
          <w:p w:rsidR="002D590D" w:rsidRPr="002D590D" w:rsidRDefault="002D590D" w:rsidP="002D590D">
            <w:pPr>
              <w:spacing w:after="0" w:line="240" w:lineRule="auto"/>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Cívico</w:t>
            </w:r>
          </w:p>
        </w:tc>
        <w:tc>
          <w:tcPr>
            <w:tcW w:w="1091" w:type="dxa"/>
            <w:tcBorders>
              <w:top w:val="nil"/>
              <w:left w:val="nil"/>
              <w:bottom w:val="double" w:sz="6" w:space="0" w:color="auto"/>
              <w:right w:val="nil"/>
            </w:tcBorders>
            <w:shd w:val="clear" w:color="auto" w:fill="auto"/>
            <w:noWrap/>
            <w:vAlign w:val="bottom"/>
            <w:hideMark/>
          </w:tcPr>
          <w:p w:rsidR="002D590D" w:rsidRPr="002D590D" w:rsidRDefault="002D590D" w:rsidP="002D590D">
            <w:pPr>
              <w:spacing w:after="0" w:line="240" w:lineRule="auto"/>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Crítico</w:t>
            </w:r>
          </w:p>
        </w:tc>
        <w:tc>
          <w:tcPr>
            <w:tcW w:w="1550" w:type="dxa"/>
            <w:tcBorders>
              <w:top w:val="nil"/>
              <w:left w:val="nil"/>
              <w:bottom w:val="double" w:sz="6" w:space="0" w:color="auto"/>
              <w:right w:val="nil"/>
            </w:tcBorders>
            <w:shd w:val="clear" w:color="auto" w:fill="auto"/>
            <w:noWrap/>
            <w:vAlign w:val="bottom"/>
            <w:hideMark/>
          </w:tcPr>
          <w:p w:rsidR="002D590D" w:rsidRPr="002D590D" w:rsidRDefault="002D590D" w:rsidP="002D590D">
            <w:pPr>
              <w:spacing w:after="0" w:line="240" w:lineRule="auto"/>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Desafecto</w:t>
            </w:r>
          </w:p>
        </w:tc>
        <w:tc>
          <w:tcPr>
            <w:tcW w:w="1530" w:type="dxa"/>
            <w:tcBorders>
              <w:top w:val="nil"/>
              <w:left w:val="nil"/>
              <w:bottom w:val="double" w:sz="6" w:space="0" w:color="auto"/>
              <w:right w:val="nil"/>
            </w:tcBorders>
            <w:shd w:val="clear" w:color="auto" w:fill="auto"/>
            <w:noWrap/>
            <w:vAlign w:val="bottom"/>
            <w:hideMark/>
          </w:tcPr>
          <w:p w:rsidR="002D590D" w:rsidRPr="002D590D" w:rsidRDefault="002D590D" w:rsidP="002D590D">
            <w:pPr>
              <w:spacing w:after="0" w:line="240" w:lineRule="auto"/>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Deferente</w:t>
            </w:r>
          </w:p>
        </w:tc>
      </w:tr>
      <w:tr w:rsidR="002D590D" w:rsidRPr="002D590D" w:rsidTr="002D590D">
        <w:trPr>
          <w:trHeight w:val="320"/>
        </w:trPr>
        <w:tc>
          <w:tcPr>
            <w:tcW w:w="1322" w:type="dxa"/>
            <w:tcBorders>
              <w:top w:val="nil"/>
              <w:left w:val="nil"/>
              <w:bottom w:val="nil"/>
              <w:right w:val="nil"/>
            </w:tcBorders>
            <w:shd w:val="clear" w:color="auto" w:fill="auto"/>
            <w:noWrap/>
            <w:vAlign w:val="bottom"/>
            <w:hideMark/>
          </w:tcPr>
          <w:p w:rsidR="002D590D" w:rsidRPr="002D590D" w:rsidRDefault="002D590D" w:rsidP="002D590D">
            <w:pPr>
              <w:spacing w:after="0" w:line="240" w:lineRule="auto"/>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Grecia</w:t>
            </w:r>
          </w:p>
        </w:tc>
        <w:tc>
          <w:tcPr>
            <w:tcW w:w="1048" w:type="dxa"/>
            <w:tcBorders>
              <w:top w:val="nil"/>
              <w:left w:val="nil"/>
              <w:bottom w:val="nil"/>
              <w:right w:val="nil"/>
            </w:tcBorders>
            <w:shd w:val="clear" w:color="auto" w:fill="auto"/>
            <w:noWrap/>
            <w:vAlign w:val="bottom"/>
            <w:hideMark/>
          </w:tcPr>
          <w:p w:rsidR="002D590D" w:rsidRPr="002D590D" w:rsidRDefault="002D590D" w:rsidP="002D590D">
            <w:pPr>
              <w:spacing w:after="0" w:line="240" w:lineRule="auto"/>
              <w:jc w:val="right"/>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8</w:t>
            </w:r>
          </w:p>
        </w:tc>
        <w:tc>
          <w:tcPr>
            <w:tcW w:w="1091" w:type="dxa"/>
            <w:tcBorders>
              <w:top w:val="nil"/>
              <w:left w:val="nil"/>
              <w:bottom w:val="nil"/>
              <w:right w:val="nil"/>
            </w:tcBorders>
            <w:shd w:val="clear" w:color="auto" w:fill="auto"/>
            <w:noWrap/>
            <w:vAlign w:val="bottom"/>
            <w:hideMark/>
          </w:tcPr>
          <w:p w:rsidR="002D590D" w:rsidRPr="002D590D" w:rsidRDefault="002D590D" w:rsidP="002D590D">
            <w:pPr>
              <w:spacing w:after="0" w:line="240" w:lineRule="auto"/>
              <w:jc w:val="right"/>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22</w:t>
            </w:r>
          </w:p>
        </w:tc>
        <w:tc>
          <w:tcPr>
            <w:tcW w:w="1550" w:type="dxa"/>
            <w:tcBorders>
              <w:top w:val="nil"/>
              <w:left w:val="nil"/>
              <w:bottom w:val="nil"/>
              <w:right w:val="nil"/>
            </w:tcBorders>
            <w:shd w:val="clear" w:color="auto" w:fill="auto"/>
            <w:noWrap/>
            <w:vAlign w:val="bottom"/>
            <w:hideMark/>
          </w:tcPr>
          <w:p w:rsidR="002D590D" w:rsidRPr="002D590D" w:rsidRDefault="002D590D" w:rsidP="002D590D">
            <w:pPr>
              <w:spacing w:after="0" w:line="240" w:lineRule="auto"/>
              <w:jc w:val="right"/>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59</w:t>
            </w:r>
          </w:p>
        </w:tc>
        <w:tc>
          <w:tcPr>
            <w:tcW w:w="1530" w:type="dxa"/>
            <w:tcBorders>
              <w:top w:val="nil"/>
              <w:left w:val="nil"/>
              <w:bottom w:val="nil"/>
              <w:right w:val="nil"/>
            </w:tcBorders>
            <w:shd w:val="clear" w:color="auto" w:fill="auto"/>
            <w:noWrap/>
            <w:vAlign w:val="bottom"/>
            <w:hideMark/>
          </w:tcPr>
          <w:p w:rsidR="002D590D" w:rsidRPr="002D590D" w:rsidRDefault="002D590D" w:rsidP="002D590D">
            <w:pPr>
              <w:spacing w:after="0" w:line="240" w:lineRule="auto"/>
              <w:jc w:val="right"/>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10</w:t>
            </w:r>
          </w:p>
        </w:tc>
      </w:tr>
      <w:tr w:rsidR="002D590D" w:rsidRPr="002D590D" w:rsidTr="002D590D">
        <w:trPr>
          <w:trHeight w:val="306"/>
        </w:trPr>
        <w:tc>
          <w:tcPr>
            <w:tcW w:w="1322" w:type="dxa"/>
            <w:tcBorders>
              <w:top w:val="nil"/>
              <w:left w:val="nil"/>
              <w:bottom w:val="nil"/>
              <w:right w:val="nil"/>
            </w:tcBorders>
            <w:shd w:val="clear" w:color="auto" w:fill="auto"/>
            <w:noWrap/>
            <w:vAlign w:val="bottom"/>
            <w:hideMark/>
          </w:tcPr>
          <w:p w:rsidR="002D590D" w:rsidRPr="002D590D" w:rsidRDefault="002D590D" w:rsidP="002D590D">
            <w:pPr>
              <w:spacing w:after="0" w:line="240" w:lineRule="auto"/>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 xml:space="preserve">Italia </w:t>
            </w:r>
          </w:p>
        </w:tc>
        <w:tc>
          <w:tcPr>
            <w:tcW w:w="1048" w:type="dxa"/>
            <w:tcBorders>
              <w:top w:val="nil"/>
              <w:left w:val="nil"/>
              <w:bottom w:val="nil"/>
              <w:right w:val="nil"/>
            </w:tcBorders>
            <w:shd w:val="clear" w:color="auto" w:fill="auto"/>
            <w:noWrap/>
            <w:vAlign w:val="bottom"/>
            <w:hideMark/>
          </w:tcPr>
          <w:p w:rsidR="002D590D" w:rsidRPr="002D590D" w:rsidRDefault="002D590D" w:rsidP="002D590D">
            <w:pPr>
              <w:spacing w:after="0" w:line="240" w:lineRule="auto"/>
              <w:jc w:val="right"/>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21</w:t>
            </w:r>
          </w:p>
        </w:tc>
        <w:tc>
          <w:tcPr>
            <w:tcW w:w="1091" w:type="dxa"/>
            <w:tcBorders>
              <w:top w:val="nil"/>
              <w:left w:val="nil"/>
              <w:bottom w:val="nil"/>
              <w:right w:val="nil"/>
            </w:tcBorders>
            <w:shd w:val="clear" w:color="auto" w:fill="auto"/>
            <w:noWrap/>
            <w:vAlign w:val="bottom"/>
            <w:hideMark/>
          </w:tcPr>
          <w:p w:rsidR="002D590D" w:rsidRPr="002D590D" w:rsidRDefault="002D590D" w:rsidP="002D590D">
            <w:pPr>
              <w:spacing w:after="0" w:line="240" w:lineRule="auto"/>
              <w:jc w:val="right"/>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29</w:t>
            </w:r>
          </w:p>
        </w:tc>
        <w:tc>
          <w:tcPr>
            <w:tcW w:w="1550" w:type="dxa"/>
            <w:tcBorders>
              <w:top w:val="nil"/>
              <w:left w:val="nil"/>
              <w:bottom w:val="nil"/>
              <w:right w:val="nil"/>
            </w:tcBorders>
            <w:shd w:val="clear" w:color="auto" w:fill="auto"/>
            <w:noWrap/>
            <w:vAlign w:val="bottom"/>
            <w:hideMark/>
          </w:tcPr>
          <w:p w:rsidR="002D590D" w:rsidRPr="002D590D" w:rsidRDefault="002D590D" w:rsidP="002D590D">
            <w:pPr>
              <w:spacing w:after="0" w:line="240" w:lineRule="auto"/>
              <w:jc w:val="right"/>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38</w:t>
            </w:r>
          </w:p>
        </w:tc>
        <w:tc>
          <w:tcPr>
            <w:tcW w:w="1530" w:type="dxa"/>
            <w:tcBorders>
              <w:top w:val="nil"/>
              <w:left w:val="nil"/>
              <w:bottom w:val="nil"/>
              <w:right w:val="nil"/>
            </w:tcBorders>
            <w:shd w:val="clear" w:color="auto" w:fill="auto"/>
            <w:noWrap/>
            <w:vAlign w:val="bottom"/>
            <w:hideMark/>
          </w:tcPr>
          <w:p w:rsidR="002D590D" w:rsidRPr="002D590D" w:rsidRDefault="002D590D" w:rsidP="002D590D">
            <w:pPr>
              <w:spacing w:after="0" w:line="240" w:lineRule="auto"/>
              <w:jc w:val="right"/>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12</w:t>
            </w:r>
          </w:p>
        </w:tc>
      </w:tr>
      <w:tr w:rsidR="002D590D" w:rsidRPr="002D590D" w:rsidTr="002D590D">
        <w:trPr>
          <w:trHeight w:val="306"/>
        </w:trPr>
        <w:tc>
          <w:tcPr>
            <w:tcW w:w="1322" w:type="dxa"/>
            <w:tcBorders>
              <w:top w:val="nil"/>
              <w:left w:val="nil"/>
              <w:bottom w:val="nil"/>
              <w:right w:val="nil"/>
            </w:tcBorders>
            <w:shd w:val="clear" w:color="auto" w:fill="auto"/>
            <w:noWrap/>
            <w:vAlign w:val="bottom"/>
            <w:hideMark/>
          </w:tcPr>
          <w:p w:rsidR="002D590D" w:rsidRPr="002D590D" w:rsidRDefault="002D590D" w:rsidP="002D590D">
            <w:pPr>
              <w:spacing w:after="0" w:line="240" w:lineRule="auto"/>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 xml:space="preserve">Portugal </w:t>
            </w:r>
          </w:p>
        </w:tc>
        <w:tc>
          <w:tcPr>
            <w:tcW w:w="1048" w:type="dxa"/>
            <w:tcBorders>
              <w:top w:val="nil"/>
              <w:left w:val="nil"/>
              <w:bottom w:val="nil"/>
              <w:right w:val="nil"/>
            </w:tcBorders>
            <w:shd w:val="clear" w:color="auto" w:fill="auto"/>
            <w:noWrap/>
            <w:vAlign w:val="bottom"/>
            <w:hideMark/>
          </w:tcPr>
          <w:p w:rsidR="002D590D" w:rsidRPr="002D590D" w:rsidRDefault="002D590D" w:rsidP="002D590D">
            <w:pPr>
              <w:spacing w:after="0" w:line="240" w:lineRule="auto"/>
              <w:jc w:val="right"/>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11</w:t>
            </w:r>
          </w:p>
        </w:tc>
        <w:tc>
          <w:tcPr>
            <w:tcW w:w="1091" w:type="dxa"/>
            <w:tcBorders>
              <w:top w:val="nil"/>
              <w:left w:val="nil"/>
              <w:bottom w:val="nil"/>
              <w:right w:val="nil"/>
            </w:tcBorders>
            <w:shd w:val="clear" w:color="auto" w:fill="auto"/>
            <w:noWrap/>
            <w:vAlign w:val="bottom"/>
            <w:hideMark/>
          </w:tcPr>
          <w:p w:rsidR="002D590D" w:rsidRPr="002D590D" w:rsidRDefault="002D590D" w:rsidP="002D590D">
            <w:pPr>
              <w:spacing w:after="0" w:line="240" w:lineRule="auto"/>
              <w:jc w:val="right"/>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19</w:t>
            </w:r>
          </w:p>
        </w:tc>
        <w:tc>
          <w:tcPr>
            <w:tcW w:w="1550" w:type="dxa"/>
            <w:tcBorders>
              <w:top w:val="nil"/>
              <w:left w:val="nil"/>
              <w:bottom w:val="nil"/>
              <w:right w:val="nil"/>
            </w:tcBorders>
            <w:shd w:val="clear" w:color="auto" w:fill="auto"/>
            <w:noWrap/>
            <w:vAlign w:val="bottom"/>
            <w:hideMark/>
          </w:tcPr>
          <w:p w:rsidR="002D590D" w:rsidRPr="002D590D" w:rsidRDefault="002D590D" w:rsidP="002D590D">
            <w:pPr>
              <w:spacing w:after="0" w:line="240" w:lineRule="auto"/>
              <w:jc w:val="right"/>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59</w:t>
            </w:r>
          </w:p>
        </w:tc>
        <w:tc>
          <w:tcPr>
            <w:tcW w:w="1530" w:type="dxa"/>
            <w:tcBorders>
              <w:top w:val="nil"/>
              <w:left w:val="nil"/>
              <w:bottom w:val="nil"/>
              <w:right w:val="nil"/>
            </w:tcBorders>
            <w:shd w:val="clear" w:color="auto" w:fill="auto"/>
            <w:noWrap/>
            <w:vAlign w:val="bottom"/>
            <w:hideMark/>
          </w:tcPr>
          <w:p w:rsidR="002D590D" w:rsidRPr="002D590D" w:rsidRDefault="002D590D" w:rsidP="002D590D">
            <w:pPr>
              <w:spacing w:after="0" w:line="240" w:lineRule="auto"/>
              <w:jc w:val="right"/>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12</w:t>
            </w:r>
          </w:p>
        </w:tc>
      </w:tr>
      <w:tr w:rsidR="002D590D" w:rsidRPr="002D590D" w:rsidTr="002D590D">
        <w:trPr>
          <w:trHeight w:val="320"/>
        </w:trPr>
        <w:tc>
          <w:tcPr>
            <w:tcW w:w="1322" w:type="dxa"/>
            <w:tcBorders>
              <w:top w:val="nil"/>
              <w:left w:val="nil"/>
              <w:bottom w:val="double" w:sz="6" w:space="0" w:color="auto"/>
              <w:right w:val="nil"/>
            </w:tcBorders>
            <w:shd w:val="clear" w:color="auto" w:fill="auto"/>
            <w:noWrap/>
            <w:vAlign w:val="bottom"/>
            <w:hideMark/>
          </w:tcPr>
          <w:p w:rsidR="002D590D" w:rsidRPr="002D590D" w:rsidRDefault="002D590D" w:rsidP="002D590D">
            <w:pPr>
              <w:spacing w:after="0" w:line="240" w:lineRule="auto"/>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España</w:t>
            </w:r>
          </w:p>
        </w:tc>
        <w:tc>
          <w:tcPr>
            <w:tcW w:w="1048" w:type="dxa"/>
            <w:tcBorders>
              <w:top w:val="nil"/>
              <w:left w:val="nil"/>
              <w:bottom w:val="double" w:sz="6" w:space="0" w:color="auto"/>
              <w:right w:val="nil"/>
            </w:tcBorders>
            <w:shd w:val="clear" w:color="auto" w:fill="auto"/>
            <w:noWrap/>
            <w:vAlign w:val="bottom"/>
            <w:hideMark/>
          </w:tcPr>
          <w:p w:rsidR="002D590D" w:rsidRPr="002D590D" w:rsidRDefault="002D590D" w:rsidP="002D590D">
            <w:pPr>
              <w:spacing w:after="0" w:line="240" w:lineRule="auto"/>
              <w:jc w:val="right"/>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14</w:t>
            </w:r>
          </w:p>
        </w:tc>
        <w:tc>
          <w:tcPr>
            <w:tcW w:w="1091" w:type="dxa"/>
            <w:tcBorders>
              <w:top w:val="nil"/>
              <w:left w:val="nil"/>
              <w:bottom w:val="double" w:sz="6" w:space="0" w:color="auto"/>
              <w:right w:val="nil"/>
            </w:tcBorders>
            <w:shd w:val="clear" w:color="auto" w:fill="auto"/>
            <w:noWrap/>
            <w:vAlign w:val="bottom"/>
            <w:hideMark/>
          </w:tcPr>
          <w:p w:rsidR="002D590D" w:rsidRPr="002D590D" w:rsidRDefault="002D590D" w:rsidP="002D590D">
            <w:pPr>
              <w:spacing w:after="0" w:line="240" w:lineRule="auto"/>
              <w:jc w:val="right"/>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23</w:t>
            </w:r>
          </w:p>
        </w:tc>
        <w:tc>
          <w:tcPr>
            <w:tcW w:w="1550" w:type="dxa"/>
            <w:tcBorders>
              <w:top w:val="nil"/>
              <w:left w:val="nil"/>
              <w:bottom w:val="double" w:sz="6" w:space="0" w:color="auto"/>
              <w:right w:val="nil"/>
            </w:tcBorders>
            <w:shd w:val="clear" w:color="auto" w:fill="auto"/>
            <w:noWrap/>
            <w:vAlign w:val="bottom"/>
            <w:hideMark/>
          </w:tcPr>
          <w:p w:rsidR="002D590D" w:rsidRPr="002D590D" w:rsidRDefault="002D590D" w:rsidP="002D590D">
            <w:pPr>
              <w:spacing w:after="0" w:line="240" w:lineRule="auto"/>
              <w:jc w:val="right"/>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40</w:t>
            </w:r>
          </w:p>
        </w:tc>
        <w:tc>
          <w:tcPr>
            <w:tcW w:w="1530" w:type="dxa"/>
            <w:tcBorders>
              <w:top w:val="nil"/>
              <w:left w:val="nil"/>
              <w:bottom w:val="double" w:sz="6" w:space="0" w:color="auto"/>
              <w:right w:val="nil"/>
            </w:tcBorders>
            <w:shd w:val="clear" w:color="auto" w:fill="auto"/>
            <w:noWrap/>
            <w:vAlign w:val="bottom"/>
            <w:hideMark/>
          </w:tcPr>
          <w:p w:rsidR="002D590D" w:rsidRPr="002D590D" w:rsidRDefault="002D590D" w:rsidP="002D590D">
            <w:pPr>
              <w:spacing w:after="0" w:line="240" w:lineRule="auto"/>
              <w:jc w:val="right"/>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23</w:t>
            </w:r>
          </w:p>
        </w:tc>
      </w:tr>
      <w:tr w:rsidR="002D590D" w:rsidRPr="002D590D" w:rsidTr="002D590D">
        <w:trPr>
          <w:trHeight w:val="306"/>
        </w:trPr>
        <w:tc>
          <w:tcPr>
            <w:tcW w:w="6541" w:type="dxa"/>
            <w:gridSpan w:val="5"/>
            <w:tcBorders>
              <w:top w:val="nil"/>
              <w:left w:val="nil"/>
              <w:bottom w:val="nil"/>
              <w:right w:val="nil"/>
            </w:tcBorders>
            <w:shd w:val="clear" w:color="auto" w:fill="auto"/>
            <w:noWrap/>
            <w:vAlign w:val="bottom"/>
            <w:hideMark/>
          </w:tcPr>
          <w:p w:rsidR="002D590D" w:rsidRPr="002D590D" w:rsidRDefault="002D590D" w:rsidP="002D590D">
            <w:pPr>
              <w:spacing w:after="0" w:line="240" w:lineRule="auto"/>
              <w:rPr>
                <w:rFonts w:ascii="Times New Roman" w:eastAsia="Times New Roman" w:hAnsi="Times New Roman" w:cs="Times New Roman"/>
                <w:i/>
                <w:iCs/>
                <w:color w:val="000000"/>
                <w:lang w:eastAsia="es-ES"/>
              </w:rPr>
            </w:pPr>
            <w:r w:rsidRPr="002D590D">
              <w:rPr>
                <w:rFonts w:ascii="Times New Roman" w:eastAsia="Times New Roman" w:hAnsi="Times New Roman" w:cs="Times New Roman"/>
                <w:i/>
                <w:iCs/>
                <w:color w:val="000000"/>
                <w:lang w:eastAsia="es-ES"/>
              </w:rPr>
              <w:t>Fuente: ESS, rondas 2002, 2010 para Grecia, y 2012</w:t>
            </w:r>
          </w:p>
        </w:tc>
      </w:tr>
    </w:tbl>
    <w:p w:rsidR="002D590D" w:rsidRDefault="002D590D" w:rsidP="002D590D">
      <w:pPr>
        <w:spacing w:line="360" w:lineRule="auto"/>
        <w:rPr>
          <w:rFonts w:ascii="Times New Roman" w:hAnsi="Times New Roman" w:cs="Times New Roman"/>
          <w:sz w:val="24"/>
        </w:rPr>
      </w:pPr>
    </w:p>
    <w:tbl>
      <w:tblPr>
        <w:tblW w:w="6375" w:type="dxa"/>
        <w:tblInd w:w="1259" w:type="dxa"/>
        <w:tblCellMar>
          <w:left w:w="70" w:type="dxa"/>
          <w:right w:w="70" w:type="dxa"/>
        </w:tblCellMar>
        <w:tblLook w:val="04A0" w:firstRow="1" w:lastRow="0" w:firstColumn="1" w:lastColumn="0" w:noHBand="0" w:noVBand="1"/>
      </w:tblPr>
      <w:tblGrid>
        <w:gridCol w:w="1288"/>
        <w:gridCol w:w="1021"/>
        <w:gridCol w:w="1063"/>
        <w:gridCol w:w="1510"/>
        <w:gridCol w:w="1493"/>
      </w:tblGrid>
      <w:tr w:rsidR="002D590D" w:rsidRPr="002D590D" w:rsidTr="002D590D">
        <w:trPr>
          <w:trHeight w:val="324"/>
        </w:trPr>
        <w:tc>
          <w:tcPr>
            <w:tcW w:w="6375" w:type="dxa"/>
            <w:gridSpan w:val="5"/>
            <w:tcBorders>
              <w:top w:val="nil"/>
              <w:left w:val="nil"/>
              <w:bottom w:val="double" w:sz="6" w:space="0" w:color="auto"/>
              <w:right w:val="nil"/>
            </w:tcBorders>
            <w:shd w:val="clear" w:color="auto" w:fill="auto"/>
            <w:noWrap/>
            <w:vAlign w:val="bottom"/>
            <w:hideMark/>
          </w:tcPr>
          <w:p w:rsidR="002D590D" w:rsidRPr="002D590D" w:rsidRDefault="002D590D" w:rsidP="002D590D">
            <w:pPr>
              <w:spacing w:after="0" w:line="240" w:lineRule="auto"/>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b/>
                <w:bCs/>
                <w:color w:val="000000"/>
                <w:sz w:val="24"/>
                <w:szCs w:val="24"/>
                <w:lang w:eastAsia="es-ES"/>
              </w:rPr>
              <w:t>Tabla 9</w:t>
            </w:r>
            <w:r w:rsidRPr="002D590D">
              <w:rPr>
                <w:rFonts w:ascii="Times New Roman" w:eastAsia="Times New Roman" w:hAnsi="Times New Roman" w:cs="Times New Roman"/>
                <w:color w:val="000000"/>
                <w:sz w:val="24"/>
                <w:szCs w:val="24"/>
                <w:lang w:eastAsia="es-ES"/>
              </w:rPr>
              <w:t>. Distribución de los perfiles entre los ciudadanos en 2002, en %</w:t>
            </w:r>
          </w:p>
        </w:tc>
      </w:tr>
      <w:tr w:rsidR="002D590D" w:rsidRPr="002D590D" w:rsidTr="002D590D">
        <w:trPr>
          <w:trHeight w:val="339"/>
        </w:trPr>
        <w:tc>
          <w:tcPr>
            <w:tcW w:w="1288" w:type="dxa"/>
            <w:tcBorders>
              <w:top w:val="nil"/>
              <w:left w:val="nil"/>
              <w:bottom w:val="nil"/>
              <w:right w:val="nil"/>
            </w:tcBorders>
            <w:shd w:val="clear" w:color="auto" w:fill="auto"/>
            <w:noWrap/>
            <w:vAlign w:val="bottom"/>
            <w:hideMark/>
          </w:tcPr>
          <w:p w:rsidR="002D590D" w:rsidRPr="002D590D" w:rsidRDefault="002D590D" w:rsidP="002D590D">
            <w:pPr>
              <w:spacing w:after="0" w:line="240" w:lineRule="auto"/>
              <w:rPr>
                <w:rFonts w:ascii="Times New Roman" w:eastAsia="Times New Roman" w:hAnsi="Times New Roman" w:cs="Times New Roman"/>
                <w:color w:val="000000"/>
                <w:sz w:val="24"/>
                <w:szCs w:val="24"/>
                <w:lang w:eastAsia="es-ES"/>
              </w:rPr>
            </w:pPr>
          </w:p>
        </w:tc>
        <w:tc>
          <w:tcPr>
            <w:tcW w:w="1021" w:type="dxa"/>
            <w:tcBorders>
              <w:top w:val="nil"/>
              <w:left w:val="nil"/>
              <w:bottom w:val="double" w:sz="6" w:space="0" w:color="auto"/>
              <w:right w:val="nil"/>
            </w:tcBorders>
            <w:shd w:val="clear" w:color="auto" w:fill="auto"/>
            <w:noWrap/>
            <w:vAlign w:val="bottom"/>
            <w:hideMark/>
          </w:tcPr>
          <w:p w:rsidR="002D590D" w:rsidRPr="002D590D" w:rsidRDefault="002D590D" w:rsidP="002D590D">
            <w:pPr>
              <w:spacing w:after="0" w:line="240" w:lineRule="auto"/>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Cívico</w:t>
            </w:r>
          </w:p>
        </w:tc>
        <w:tc>
          <w:tcPr>
            <w:tcW w:w="1063" w:type="dxa"/>
            <w:tcBorders>
              <w:top w:val="nil"/>
              <w:left w:val="nil"/>
              <w:bottom w:val="double" w:sz="6" w:space="0" w:color="auto"/>
              <w:right w:val="nil"/>
            </w:tcBorders>
            <w:shd w:val="clear" w:color="auto" w:fill="auto"/>
            <w:noWrap/>
            <w:vAlign w:val="bottom"/>
            <w:hideMark/>
          </w:tcPr>
          <w:p w:rsidR="002D590D" w:rsidRPr="002D590D" w:rsidRDefault="002D590D" w:rsidP="002D590D">
            <w:pPr>
              <w:spacing w:after="0" w:line="240" w:lineRule="auto"/>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Crítico</w:t>
            </w:r>
          </w:p>
        </w:tc>
        <w:tc>
          <w:tcPr>
            <w:tcW w:w="1510" w:type="dxa"/>
            <w:tcBorders>
              <w:top w:val="nil"/>
              <w:left w:val="nil"/>
              <w:bottom w:val="double" w:sz="6" w:space="0" w:color="auto"/>
              <w:right w:val="nil"/>
            </w:tcBorders>
            <w:shd w:val="clear" w:color="auto" w:fill="auto"/>
            <w:noWrap/>
            <w:vAlign w:val="bottom"/>
            <w:hideMark/>
          </w:tcPr>
          <w:p w:rsidR="002D590D" w:rsidRPr="002D590D" w:rsidRDefault="002D590D" w:rsidP="002D590D">
            <w:pPr>
              <w:spacing w:after="0" w:line="240" w:lineRule="auto"/>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Desafecto</w:t>
            </w:r>
          </w:p>
        </w:tc>
        <w:tc>
          <w:tcPr>
            <w:tcW w:w="1491" w:type="dxa"/>
            <w:tcBorders>
              <w:top w:val="nil"/>
              <w:left w:val="nil"/>
              <w:bottom w:val="double" w:sz="6" w:space="0" w:color="auto"/>
              <w:right w:val="nil"/>
            </w:tcBorders>
            <w:shd w:val="clear" w:color="auto" w:fill="auto"/>
            <w:noWrap/>
            <w:vAlign w:val="bottom"/>
            <w:hideMark/>
          </w:tcPr>
          <w:p w:rsidR="002D590D" w:rsidRPr="002D590D" w:rsidRDefault="002D590D" w:rsidP="002D590D">
            <w:pPr>
              <w:spacing w:after="0" w:line="240" w:lineRule="auto"/>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Deferente</w:t>
            </w:r>
          </w:p>
        </w:tc>
      </w:tr>
      <w:tr w:rsidR="002D590D" w:rsidRPr="002D590D" w:rsidTr="002D590D">
        <w:trPr>
          <w:trHeight w:val="324"/>
        </w:trPr>
        <w:tc>
          <w:tcPr>
            <w:tcW w:w="1288" w:type="dxa"/>
            <w:tcBorders>
              <w:top w:val="nil"/>
              <w:left w:val="nil"/>
              <w:bottom w:val="nil"/>
              <w:right w:val="nil"/>
            </w:tcBorders>
            <w:shd w:val="clear" w:color="auto" w:fill="auto"/>
            <w:noWrap/>
            <w:vAlign w:val="bottom"/>
            <w:hideMark/>
          </w:tcPr>
          <w:p w:rsidR="002D590D" w:rsidRPr="002D590D" w:rsidRDefault="002D590D" w:rsidP="002D590D">
            <w:pPr>
              <w:spacing w:after="0" w:line="240" w:lineRule="auto"/>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Grecia</w:t>
            </w:r>
          </w:p>
        </w:tc>
        <w:tc>
          <w:tcPr>
            <w:tcW w:w="1021" w:type="dxa"/>
            <w:tcBorders>
              <w:top w:val="nil"/>
              <w:left w:val="nil"/>
              <w:bottom w:val="nil"/>
              <w:right w:val="nil"/>
            </w:tcBorders>
            <w:shd w:val="clear" w:color="auto" w:fill="auto"/>
            <w:noWrap/>
            <w:vAlign w:val="bottom"/>
            <w:hideMark/>
          </w:tcPr>
          <w:p w:rsidR="002D590D" w:rsidRPr="002D590D" w:rsidRDefault="002D590D" w:rsidP="002D590D">
            <w:pPr>
              <w:spacing w:after="0" w:line="240" w:lineRule="auto"/>
              <w:jc w:val="right"/>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20</w:t>
            </w:r>
          </w:p>
        </w:tc>
        <w:tc>
          <w:tcPr>
            <w:tcW w:w="1063" w:type="dxa"/>
            <w:tcBorders>
              <w:top w:val="nil"/>
              <w:left w:val="nil"/>
              <w:bottom w:val="nil"/>
              <w:right w:val="nil"/>
            </w:tcBorders>
            <w:shd w:val="clear" w:color="auto" w:fill="auto"/>
            <w:noWrap/>
            <w:vAlign w:val="bottom"/>
            <w:hideMark/>
          </w:tcPr>
          <w:p w:rsidR="002D590D" w:rsidRPr="002D590D" w:rsidRDefault="002D590D" w:rsidP="002D590D">
            <w:pPr>
              <w:spacing w:after="0" w:line="240" w:lineRule="auto"/>
              <w:jc w:val="right"/>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12</w:t>
            </w:r>
          </w:p>
        </w:tc>
        <w:tc>
          <w:tcPr>
            <w:tcW w:w="1510" w:type="dxa"/>
            <w:tcBorders>
              <w:top w:val="nil"/>
              <w:left w:val="nil"/>
              <w:bottom w:val="nil"/>
              <w:right w:val="nil"/>
            </w:tcBorders>
            <w:shd w:val="clear" w:color="auto" w:fill="auto"/>
            <w:noWrap/>
            <w:vAlign w:val="bottom"/>
            <w:hideMark/>
          </w:tcPr>
          <w:p w:rsidR="002D590D" w:rsidRPr="002D590D" w:rsidRDefault="002D590D" w:rsidP="002D590D">
            <w:pPr>
              <w:spacing w:after="0" w:line="240" w:lineRule="auto"/>
              <w:jc w:val="right"/>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29</w:t>
            </w:r>
          </w:p>
        </w:tc>
        <w:tc>
          <w:tcPr>
            <w:tcW w:w="1491" w:type="dxa"/>
            <w:tcBorders>
              <w:top w:val="nil"/>
              <w:left w:val="nil"/>
              <w:bottom w:val="nil"/>
              <w:right w:val="nil"/>
            </w:tcBorders>
            <w:shd w:val="clear" w:color="auto" w:fill="auto"/>
            <w:noWrap/>
            <w:vAlign w:val="bottom"/>
            <w:hideMark/>
          </w:tcPr>
          <w:p w:rsidR="002D590D" w:rsidRPr="002D590D" w:rsidRDefault="002D590D" w:rsidP="002D590D">
            <w:pPr>
              <w:spacing w:after="0" w:line="240" w:lineRule="auto"/>
              <w:jc w:val="right"/>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39</w:t>
            </w:r>
          </w:p>
        </w:tc>
      </w:tr>
      <w:tr w:rsidR="002D590D" w:rsidRPr="002D590D" w:rsidTr="002D590D">
        <w:trPr>
          <w:trHeight w:val="309"/>
        </w:trPr>
        <w:tc>
          <w:tcPr>
            <w:tcW w:w="1288" w:type="dxa"/>
            <w:tcBorders>
              <w:top w:val="nil"/>
              <w:left w:val="nil"/>
              <w:bottom w:val="nil"/>
              <w:right w:val="nil"/>
            </w:tcBorders>
            <w:shd w:val="clear" w:color="auto" w:fill="auto"/>
            <w:noWrap/>
            <w:vAlign w:val="bottom"/>
            <w:hideMark/>
          </w:tcPr>
          <w:p w:rsidR="002D590D" w:rsidRPr="002D590D" w:rsidRDefault="002D590D" w:rsidP="002D590D">
            <w:pPr>
              <w:spacing w:after="0" w:line="240" w:lineRule="auto"/>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 xml:space="preserve">Italia </w:t>
            </w:r>
          </w:p>
        </w:tc>
        <w:tc>
          <w:tcPr>
            <w:tcW w:w="1021" w:type="dxa"/>
            <w:tcBorders>
              <w:top w:val="nil"/>
              <w:left w:val="nil"/>
              <w:bottom w:val="nil"/>
              <w:right w:val="nil"/>
            </w:tcBorders>
            <w:shd w:val="clear" w:color="auto" w:fill="auto"/>
            <w:noWrap/>
            <w:vAlign w:val="bottom"/>
            <w:hideMark/>
          </w:tcPr>
          <w:p w:rsidR="002D590D" w:rsidRPr="002D590D" w:rsidRDefault="002D590D" w:rsidP="002D590D">
            <w:pPr>
              <w:spacing w:after="0" w:line="240" w:lineRule="auto"/>
              <w:jc w:val="right"/>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25</w:t>
            </w:r>
          </w:p>
        </w:tc>
        <w:tc>
          <w:tcPr>
            <w:tcW w:w="1063" w:type="dxa"/>
            <w:tcBorders>
              <w:top w:val="nil"/>
              <w:left w:val="nil"/>
              <w:bottom w:val="nil"/>
              <w:right w:val="nil"/>
            </w:tcBorders>
            <w:shd w:val="clear" w:color="auto" w:fill="auto"/>
            <w:noWrap/>
            <w:vAlign w:val="bottom"/>
            <w:hideMark/>
          </w:tcPr>
          <w:p w:rsidR="002D590D" w:rsidRPr="002D590D" w:rsidRDefault="002D590D" w:rsidP="002D590D">
            <w:pPr>
              <w:spacing w:after="0" w:line="240" w:lineRule="auto"/>
              <w:jc w:val="right"/>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11</w:t>
            </w:r>
          </w:p>
        </w:tc>
        <w:tc>
          <w:tcPr>
            <w:tcW w:w="1510" w:type="dxa"/>
            <w:tcBorders>
              <w:top w:val="nil"/>
              <w:left w:val="nil"/>
              <w:bottom w:val="nil"/>
              <w:right w:val="nil"/>
            </w:tcBorders>
            <w:shd w:val="clear" w:color="auto" w:fill="auto"/>
            <w:noWrap/>
            <w:vAlign w:val="bottom"/>
            <w:hideMark/>
          </w:tcPr>
          <w:p w:rsidR="002D590D" w:rsidRPr="002D590D" w:rsidRDefault="002D590D" w:rsidP="002D590D">
            <w:pPr>
              <w:spacing w:after="0" w:line="240" w:lineRule="auto"/>
              <w:jc w:val="right"/>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26</w:t>
            </w:r>
          </w:p>
        </w:tc>
        <w:tc>
          <w:tcPr>
            <w:tcW w:w="1491" w:type="dxa"/>
            <w:tcBorders>
              <w:top w:val="nil"/>
              <w:left w:val="nil"/>
              <w:bottom w:val="nil"/>
              <w:right w:val="nil"/>
            </w:tcBorders>
            <w:shd w:val="clear" w:color="auto" w:fill="auto"/>
            <w:noWrap/>
            <w:vAlign w:val="bottom"/>
            <w:hideMark/>
          </w:tcPr>
          <w:p w:rsidR="002D590D" w:rsidRPr="002D590D" w:rsidRDefault="002D590D" w:rsidP="002D590D">
            <w:pPr>
              <w:spacing w:after="0" w:line="240" w:lineRule="auto"/>
              <w:jc w:val="right"/>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38</w:t>
            </w:r>
          </w:p>
        </w:tc>
      </w:tr>
      <w:tr w:rsidR="002D590D" w:rsidRPr="002D590D" w:rsidTr="002D590D">
        <w:trPr>
          <w:trHeight w:val="309"/>
        </w:trPr>
        <w:tc>
          <w:tcPr>
            <w:tcW w:w="1288" w:type="dxa"/>
            <w:tcBorders>
              <w:top w:val="nil"/>
              <w:left w:val="nil"/>
              <w:bottom w:val="nil"/>
              <w:right w:val="nil"/>
            </w:tcBorders>
            <w:shd w:val="clear" w:color="auto" w:fill="auto"/>
            <w:noWrap/>
            <w:vAlign w:val="bottom"/>
            <w:hideMark/>
          </w:tcPr>
          <w:p w:rsidR="002D590D" w:rsidRPr="002D590D" w:rsidRDefault="002D590D" w:rsidP="002D590D">
            <w:pPr>
              <w:spacing w:after="0" w:line="240" w:lineRule="auto"/>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 xml:space="preserve">Portugal </w:t>
            </w:r>
          </w:p>
        </w:tc>
        <w:tc>
          <w:tcPr>
            <w:tcW w:w="1021" w:type="dxa"/>
            <w:tcBorders>
              <w:top w:val="nil"/>
              <w:left w:val="nil"/>
              <w:bottom w:val="nil"/>
              <w:right w:val="nil"/>
            </w:tcBorders>
            <w:shd w:val="clear" w:color="auto" w:fill="auto"/>
            <w:noWrap/>
            <w:vAlign w:val="bottom"/>
            <w:hideMark/>
          </w:tcPr>
          <w:p w:rsidR="002D590D" w:rsidRPr="002D590D" w:rsidRDefault="002D590D" w:rsidP="002D590D">
            <w:pPr>
              <w:spacing w:after="0" w:line="240" w:lineRule="auto"/>
              <w:jc w:val="right"/>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22</w:t>
            </w:r>
          </w:p>
        </w:tc>
        <w:tc>
          <w:tcPr>
            <w:tcW w:w="1063" w:type="dxa"/>
            <w:tcBorders>
              <w:top w:val="nil"/>
              <w:left w:val="nil"/>
              <w:bottom w:val="nil"/>
              <w:right w:val="nil"/>
            </w:tcBorders>
            <w:shd w:val="clear" w:color="auto" w:fill="auto"/>
            <w:noWrap/>
            <w:vAlign w:val="bottom"/>
            <w:hideMark/>
          </w:tcPr>
          <w:p w:rsidR="002D590D" w:rsidRPr="002D590D" w:rsidRDefault="002D590D" w:rsidP="002D590D">
            <w:pPr>
              <w:spacing w:after="0" w:line="240" w:lineRule="auto"/>
              <w:jc w:val="right"/>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15</w:t>
            </w:r>
          </w:p>
        </w:tc>
        <w:tc>
          <w:tcPr>
            <w:tcW w:w="1510" w:type="dxa"/>
            <w:tcBorders>
              <w:top w:val="nil"/>
              <w:left w:val="nil"/>
              <w:bottom w:val="nil"/>
              <w:right w:val="nil"/>
            </w:tcBorders>
            <w:shd w:val="clear" w:color="auto" w:fill="auto"/>
            <w:noWrap/>
            <w:vAlign w:val="bottom"/>
            <w:hideMark/>
          </w:tcPr>
          <w:p w:rsidR="002D590D" w:rsidRPr="002D590D" w:rsidRDefault="002D590D" w:rsidP="002D590D">
            <w:pPr>
              <w:spacing w:after="0" w:line="240" w:lineRule="auto"/>
              <w:jc w:val="right"/>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29</w:t>
            </w:r>
          </w:p>
        </w:tc>
        <w:tc>
          <w:tcPr>
            <w:tcW w:w="1491" w:type="dxa"/>
            <w:tcBorders>
              <w:top w:val="nil"/>
              <w:left w:val="nil"/>
              <w:bottom w:val="nil"/>
              <w:right w:val="nil"/>
            </w:tcBorders>
            <w:shd w:val="clear" w:color="auto" w:fill="auto"/>
            <w:noWrap/>
            <w:vAlign w:val="bottom"/>
            <w:hideMark/>
          </w:tcPr>
          <w:p w:rsidR="002D590D" w:rsidRPr="002D590D" w:rsidRDefault="002D590D" w:rsidP="002D590D">
            <w:pPr>
              <w:spacing w:after="0" w:line="240" w:lineRule="auto"/>
              <w:jc w:val="right"/>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27</w:t>
            </w:r>
          </w:p>
        </w:tc>
      </w:tr>
      <w:tr w:rsidR="002D590D" w:rsidRPr="002D590D" w:rsidTr="002D590D">
        <w:trPr>
          <w:trHeight w:val="324"/>
        </w:trPr>
        <w:tc>
          <w:tcPr>
            <w:tcW w:w="1288" w:type="dxa"/>
            <w:tcBorders>
              <w:top w:val="nil"/>
              <w:left w:val="nil"/>
              <w:bottom w:val="double" w:sz="6" w:space="0" w:color="auto"/>
              <w:right w:val="nil"/>
            </w:tcBorders>
            <w:shd w:val="clear" w:color="auto" w:fill="auto"/>
            <w:noWrap/>
            <w:vAlign w:val="bottom"/>
            <w:hideMark/>
          </w:tcPr>
          <w:p w:rsidR="002D590D" w:rsidRPr="002D590D" w:rsidRDefault="002D590D" w:rsidP="002D590D">
            <w:pPr>
              <w:spacing w:after="0" w:line="240" w:lineRule="auto"/>
              <w:rPr>
                <w:rFonts w:ascii="Times New Roman" w:eastAsia="Times New Roman" w:hAnsi="Times New Roman" w:cs="Times New Roman"/>
                <w:color w:val="000000"/>
                <w:sz w:val="24"/>
                <w:szCs w:val="24"/>
                <w:lang w:eastAsia="es-ES"/>
              </w:rPr>
            </w:pPr>
            <w:r w:rsidRPr="002D590D">
              <w:rPr>
                <w:rFonts w:ascii="Times New Roman" w:eastAsia="Times New Roman" w:hAnsi="Times New Roman" w:cs="Times New Roman"/>
                <w:color w:val="000000"/>
                <w:sz w:val="24"/>
                <w:szCs w:val="24"/>
                <w:lang w:eastAsia="es-ES"/>
              </w:rPr>
              <w:t>España</w:t>
            </w:r>
          </w:p>
        </w:tc>
        <w:tc>
          <w:tcPr>
            <w:tcW w:w="1021" w:type="dxa"/>
            <w:tcBorders>
              <w:top w:val="nil"/>
              <w:left w:val="nil"/>
              <w:bottom w:val="double" w:sz="6" w:space="0" w:color="auto"/>
              <w:right w:val="nil"/>
            </w:tcBorders>
            <w:shd w:val="clear" w:color="auto" w:fill="auto"/>
            <w:noWrap/>
            <w:vAlign w:val="bottom"/>
            <w:hideMark/>
          </w:tcPr>
          <w:p w:rsidR="002D590D" w:rsidRPr="002D590D" w:rsidRDefault="002D590D" w:rsidP="002D590D">
            <w:pPr>
              <w:spacing w:after="0" w:line="240" w:lineRule="auto"/>
              <w:jc w:val="right"/>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lang w:eastAsia="es-ES"/>
              </w:rPr>
              <w:t>16</w:t>
            </w:r>
          </w:p>
        </w:tc>
        <w:tc>
          <w:tcPr>
            <w:tcW w:w="1063" w:type="dxa"/>
            <w:tcBorders>
              <w:top w:val="nil"/>
              <w:left w:val="nil"/>
              <w:bottom w:val="double" w:sz="6" w:space="0" w:color="auto"/>
              <w:right w:val="nil"/>
            </w:tcBorders>
            <w:shd w:val="clear" w:color="auto" w:fill="auto"/>
            <w:noWrap/>
            <w:vAlign w:val="bottom"/>
            <w:hideMark/>
          </w:tcPr>
          <w:p w:rsidR="002D590D" w:rsidRPr="002D590D" w:rsidRDefault="002D590D" w:rsidP="002D590D">
            <w:pPr>
              <w:spacing w:after="0" w:line="240" w:lineRule="auto"/>
              <w:jc w:val="right"/>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lang w:eastAsia="es-ES"/>
              </w:rPr>
              <w:t>7</w:t>
            </w:r>
          </w:p>
        </w:tc>
        <w:tc>
          <w:tcPr>
            <w:tcW w:w="1510" w:type="dxa"/>
            <w:tcBorders>
              <w:top w:val="nil"/>
              <w:left w:val="nil"/>
              <w:bottom w:val="double" w:sz="6" w:space="0" w:color="auto"/>
              <w:right w:val="nil"/>
            </w:tcBorders>
            <w:shd w:val="clear" w:color="auto" w:fill="auto"/>
            <w:noWrap/>
            <w:vAlign w:val="bottom"/>
            <w:hideMark/>
          </w:tcPr>
          <w:p w:rsidR="002D590D" w:rsidRPr="002D590D" w:rsidRDefault="002D590D" w:rsidP="002D590D">
            <w:pPr>
              <w:spacing w:after="0" w:line="240" w:lineRule="auto"/>
              <w:jc w:val="right"/>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lang w:eastAsia="es-ES"/>
              </w:rPr>
              <w:t>30</w:t>
            </w:r>
          </w:p>
        </w:tc>
        <w:tc>
          <w:tcPr>
            <w:tcW w:w="1491" w:type="dxa"/>
            <w:tcBorders>
              <w:top w:val="nil"/>
              <w:left w:val="nil"/>
              <w:bottom w:val="double" w:sz="6" w:space="0" w:color="auto"/>
              <w:right w:val="nil"/>
            </w:tcBorders>
            <w:shd w:val="clear" w:color="auto" w:fill="auto"/>
            <w:noWrap/>
            <w:vAlign w:val="bottom"/>
            <w:hideMark/>
          </w:tcPr>
          <w:p w:rsidR="002D590D" w:rsidRPr="002D590D" w:rsidRDefault="002D590D" w:rsidP="002D590D">
            <w:pPr>
              <w:spacing w:after="0" w:line="240" w:lineRule="auto"/>
              <w:jc w:val="right"/>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lang w:eastAsia="es-ES"/>
              </w:rPr>
              <w:t>47</w:t>
            </w:r>
          </w:p>
        </w:tc>
      </w:tr>
      <w:tr w:rsidR="002D590D" w:rsidRPr="002D590D" w:rsidTr="002D590D">
        <w:trPr>
          <w:trHeight w:val="309"/>
        </w:trPr>
        <w:tc>
          <w:tcPr>
            <w:tcW w:w="6375" w:type="dxa"/>
            <w:gridSpan w:val="5"/>
            <w:tcBorders>
              <w:top w:val="nil"/>
              <w:left w:val="nil"/>
              <w:bottom w:val="nil"/>
              <w:right w:val="nil"/>
            </w:tcBorders>
            <w:shd w:val="clear" w:color="auto" w:fill="auto"/>
            <w:noWrap/>
            <w:vAlign w:val="bottom"/>
            <w:hideMark/>
          </w:tcPr>
          <w:p w:rsidR="002D590D" w:rsidRPr="002D590D" w:rsidRDefault="002D590D" w:rsidP="002D590D">
            <w:pPr>
              <w:spacing w:after="0" w:line="240" w:lineRule="auto"/>
              <w:rPr>
                <w:rFonts w:ascii="Times New Roman" w:eastAsia="Times New Roman" w:hAnsi="Times New Roman" w:cs="Times New Roman"/>
                <w:i/>
                <w:iCs/>
                <w:color w:val="000000"/>
                <w:lang w:eastAsia="es-ES"/>
              </w:rPr>
            </w:pPr>
            <w:r w:rsidRPr="002D590D">
              <w:rPr>
                <w:rFonts w:ascii="Times New Roman" w:eastAsia="Times New Roman" w:hAnsi="Times New Roman" w:cs="Times New Roman"/>
                <w:i/>
                <w:iCs/>
                <w:color w:val="000000"/>
                <w:lang w:eastAsia="es-ES"/>
              </w:rPr>
              <w:t>Fuente: ESS, rondas 2002, 2010 para Grecia, y 2012</w:t>
            </w:r>
          </w:p>
        </w:tc>
      </w:tr>
    </w:tbl>
    <w:p w:rsidR="002D590D" w:rsidRDefault="002D590D" w:rsidP="002D590D">
      <w:pPr>
        <w:spacing w:line="360" w:lineRule="auto"/>
        <w:rPr>
          <w:rFonts w:ascii="Times New Roman" w:hAnsi="Times New Roman" w:cs="Times New Roman"/>
          <w:sz w:val="24"/>
        </w:rPr>
      </w:pPr>
    </w:p>
    <w:p w:rsidR="002D590D" w:rsidRDefault="002D590D" w:rsidP="002D590D">
      <w:pPr>
        <w:spacing w:line="360" w:lineRule="auto"/>
        <w:jc w:val="both"/>
        <w:rPr>
          <w:rFonts w:ascii="Times New Roman" w:hAnsi="Times New Roman" w:cs="Times New Roman"/>
          <w:sz w:val="24"/>
        </w:rPr>
      </w:pPr>
      <w:r>
        <w:rPr>
          <w:rFonts w:ascii="Times New Roman" w:hAnsi="Times New Roman" w:cs="Times New Roman"/>
          <w:sz w:val="24"/>
        </w:rPr>
        <w:t xml:space="preserve">Las tablas 8 y 9 demuestran el crecimiento de actitudes críticas y, especialmente, desafectas, entre los ciudadanos del Sur de Europa. El perfil crítico crece especialmente en España, pasando del 7 al 23% los ciudadanos que sostienen dicha actitud, así como </w:t>
      </w:r>
      <w:r>
        <w:rPr>
          <w:rFonts w:ascii="Times New Roman" w:hAnsi="Times New Roman" w:cs="Times New Roman"/>
          <w:sz w:val="24"/>
        </w:rPr>
        <w:lastRenderedPageBreak/>
        <w:t xml:space="preserve">en Italia, donde pasa del 11% en 2002, a un 29% en 2012. En Grecia, críticos y desafectos se duplican, siendo algo menor su incremento en Portugal. </w:t>
      </w:r>
    </w:p>
    <w:p w:rsidR="00A07E51" w:rsidRPr="00A07E51" w:rsidRDefault="002D590D" w:rsidP="002D590D">
      <w:pPr>
        <w:spacing w:line="360" w:lineRule="auto"/>
        <w:ind w:firstLine="708"/>
        <w:jc w:val="both"/>
        <w:rPr>
          <w:rFonts w:ascii="Times New Roman" w:hAnsi="Times New Roman" w:cs="Times New Roman"/>
          <w:sz w:val="24"/>
        </w:rPr>
      </w:pPr>
      <w:r>
        <w:rPr>
          <w:rFonts w:ascii="Times New Roman" w:hAnsi="Times New Roman" w:cs="Times New Roman"/>
          <w:sz w:val="24"/>
        </w:rPr>
        <w:t xml:space="preserve">El primero de los perfiles presentados, </w:t>
      </w:r>
      <w:r w:rsidR="00A07E51">
        <w:rPr>
          <w:rFonts w:ascii="Times New Roman" w:hAnsi="Times New Roman" w:cs="Times New Roman"/>
          <w:sz w:val="24"/>
        </w:rPr>
        <w:t xml:space="preserve">el llamado cívico, </w:t>
      </w:r>
      <w:r>
        <w:rPr>
          <w:rFonts w:ascii="Times New Roman" w:hAnsi="Times New Roman" w:cs="Times New Roman"/>
          <w:sz w:val="24"/>
        </w:rPr>
        <w:t xml:space="preserve">se refiere a </w:t>
      </w:r>
      <w:r w:rsidR="00A07E51">
        <w:rPr>
          <w:rFonts w:ascii="Times New Roman" w:hAnsi="Times New Roman" w:cs="Times New Roman"/>
          <w:sz w:val="24"/>
        </w:rPr>
        <w:t xml:space="preserve">aquel que, pese a abstenerse, muestra tanto interés como confianza política. </w:t>
      </w:r>
      <w:r w:rsidR="00A07E51" w:rsidRPr="00A07E51">
        <w:rPr>
          <w:rFonts w:ascii="Times New Roman" w:hAnsi="Times New Roman" w:cs="Times New Roman"/>
          <w:sz w:val="24"/>
        </w:rPr>
        <w:t xml:space="preserve">Se espera que, en 2012, sus niveles sean </w:t>
      </w:r>
      <w:r w:rsidR="00A07E51">
        <w:rPr>
          <w:rFonts w:ascii="Times New Roman" w:hAnsi="Times New Roman" w:cs="Times New Roman"/>
          <w:sz w:val="24"/>
        </w:rPr>
        <w:t xml:space="preserve">notablemente </w:t>
      </w:r>
      <w:r w:rsidR="00A07E51" w:rsidRPr="00A07E51">
        <w:rPr>
          <w:rFonts w:ascii="Times New Roman" w:hAnsi="Times New Roman" w:cs="Times New Roman"/>
          <w:sz w:val="24"/>
        </w:rPr>
        <w:t xml:space="preserve">inferiores a 2002. </w:t>
      </w:r>
      <w:r w:rsidR="00A07E51">
        <w:rPr>
          <w:rFonts w:ascii="Times New Roman" w:hAnsi="Times New Roman" w:cs="Times New Roman"/>
          <w:sz w:val="24"/>
        </w:rPr>
        <w:t xml:space="preserve"> </w:t>
      </w:r>
      <w:r w:rsidR="00A07E51" w:rsidRPr="00A07E51">
        <w:rPr>
          <w:rFonts w:ascii="Times New Roman" w:hAnsi="Times New Roman" w:cs="Times New Roman"/>
          <w:sz w:val="24"/>
        </w:rPr>
        <w:t>El Segundo perfil son los críticos, aquéllos ciudadanos que,</w:t>
      </w:r>
      <w:r w:rsidR="00A07E51">
        <w:rPr>
          <w:rFonts w:ascii="Times New Roman" w:hAnsi="Times New Roman" w:cs="Times New Roman"/>
          <w:sz w:val="24"/>
        </w:rPr>
        <w:t xml:space="preserve"> pese a estar interesados en la cosa pública, se muestran institucionalmente desconfiados. Este es el perfil que más nos interesa, y cuyo cambio se espera que sea más notable, junto con el aumento de los desafectos. Los desafectos son, además, el tercer perfil creado aquí, quienes no muestran ni interés ni confianza, y por tanto, parecen desentenderse de los asuntos públicos. </w:t>
      </w:r>
      <w:r w:rsidR="00A07E51" w:rsidRPr="00A07E51">
        <w:rPr>
          <w:rFonts w:ascii="Times New Roman" w:hAnsi="Times New Roman" w:cs="Times New Roman"/>
          <w:sz w:val="24"/>
        </w:rPr>
        <w:t>Ellos habrían crecido exponencialmente durante la Gran Rece</w:t>
      </w:r>
      <w:r w:rsidR="00A07E51">
        <w:rPr>
          <w:rFonts w:ascii="Times New Roman" w:hAnsi="Times New Roman" w:cs="Times New Roman"/>
          <w:sz w:val="24"/>
        </w:rPr>
        <w:t xml:space="preserve">sión. </w:t>
      </w:r>
      <w:r w:rsidR="00A07E51" w:rsidRPr="00A07E51">
        <w:rPr>
          <w:rFonts w:ascii="Times New Roman" w:hAnsi="Times New Roman" w:cs="Times New Roman"/>
          <w:sz w:val="24"/>
        </w:rPr>
        <w:t xml:space="preserve">Por </w:t>
      </w:r>
      <w:r w:rsidR="00A07E51">
        <w:rPr>
          <w:rFonts w:ascii="Times New Roman" w:hAnsi="Times New Roman" w:cs="Times New Roman"/>
          <w:sz w:val="24"/>
        </w:rPr>
        <w:t>ú</w:t>
      </w:r>
      <w:r w:rsidR="00A07E51" w:rsidRPr="00A07E51">
        <w:rPr>
          <w:rFonts w:ascii="Times New Roman" w:hAnsi="Times New Roman" w:cs="Times New Roman"/>
          <w:sz w:val="24"/>
        </w:rPr>
        <w:t>ltimo, encontramos a los deferentes, aquellos que confían c</w:t>
      </w:r>
      <w:r w:rsidR="00A07E51">
        <w:rPr>
          <w:rFonts w:ascii="Times New Roman" w:hAnsi="Times New Roman" w:cs="Times New Roman"/>
          <w:sz w:val="24"/>
        </w:rPr>
        <w:t xml:space="preserve">iegamente en el Parlamento, sin mostrar interés político. </w:t>
      </w:r>
    </w:p>
    <w:p w:rsidR="00303614" w:rsidRPr="00C635F1" w:rsidRDefault="00303614" w:rsidP="00A07E51">
      <w:pPr>
        <w:spacing w:after="0" w:line="360" w:lineRule="auto"/>
        <w:jc w:val="both"/>
        <w:rPr>
          <w:rFonts w:ascii="Times New Roman" w:hAnsi="Times New Roman" w:cs="Times New Roman"/>
          <w:sz w:val="24"/>
        </w:rPr>
      </w:pPr>
    </w:p>
    <w:p w:rsidR="00A07E51" w:rsidRPr="00303614" w:rsidRDefault="00A07E51" w:rsidP="00A07E51">
      <w:pPr>
        <w:spacing w:after="0" w:line="360" w:lineRule="auto"/>
        <w:ind w:firstLine="142"/>
        <w:jc w:val="center"/>
        <w:rPr>
          <w:rFonts w:ascii="Times New Roman" w:eastAsia="Times New Roman" w:hAnsi="Times New Roman" w:cs="Times New Roman"/>
          <w:sz w:val="24"/>
          <w:szCs w:val="23"/>
          <w:lang w:val="en-US" w:eastAsia="es-ES"/>
        </w:rPr>
      </w:pPr>
      <w:r w:rsidRPr="00A07E51">
        <w:rPr>
          <w:rFonts w:ascii="Times New Roman" w:eastAsia="Times New Roman" w:hAnsi="Times New Roman" w:cs="Times New Roman"/>
          <w:noProof/>
          <w:sz w:val="24"/>
          <w:szCs w:val="23"/>
          <w:lang w:eastAsia="es-ES"/>
        </w:rPr>
        <w:drawing>
          <wp:inline distT="0" distB="0" distL="0" distR="0">
            <wp:extent cx="5495925" cy="2733675"/>
            <wp:effectExtent l="0" t="0" r="0" b="0"/>
            <wp:docPr id="4"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7473A" w:rsidRDefault="00A07E51" w:rsidP="00C30686">
      <w:pPr>
        <w:spacing w:after="0" w:line="360" w:lineRule="auto"/>
        <w:jc w:val="both"/>
        <w:rPr>
          <w:rFonts w:ascii="Times New Roman" w:eastAsia="Times New Roman" w:hAnsi="Times New Roman" w:cs="Times New Roman"/>
          <w:i/>
          <w:szCs w:val="23"/>
          <w:lang w:eastAsia="es-ES"/>
        </w:rPr>
      </w:pPr>
      <w:r w:rsidRPr="00EE6091">
        <w:rPr>
          <w:rFonts w:ascii="Times New Roman" w:eastAsia="Times New Roman" w:hAnsi="Times New Roman" w:cs="Times New Roman"/>
          <w:i/>
          <w:szCs w:val="23"/>
          <w:lang w:eastAsia="es-ES"/>
        </w:rPr>
        <w:t xml:space="preserve"> Fuente: ESS, 2002.</w:t>
      </w:r>
      <w:r w:rsidR="00EE6091" w:rsidRPr="00EE6091">
        <w:rPr>
          <w:rFonts w:ascii="Times New Roman" w:eastAsia="Times New Roman" w:hAnsi="Times New Roman" w:cs="Times New Roman"/>
          <w:i/>
          <w:szCs w:val="23"/>
          <w:lang w:eastAsia="es-ES"/>
        </w:rPr>
        <w:t xml:space="preserve"> Todos los c</w:t>
      </w:r>
      <w:r w:rsidR="00EE6091">
        <w:rPr>
          <w:rFonts w:ascii="Times New Roman" w:eastAsia="Times New Roman" w:hAnsi="Times New Roman" w:cs="Times New Roman"/>
          <w:i/>
          <w:szCs w:val="23"/>
          <w:lang w:eastAsia="es-ES"/>
        </w:rPr>
        <w:t>asos, sig .000</w:t>
      </w:r>
    </w:p>
    <w:p w:rsidR="001C279B" w:rsidRPr="00EE6091" w:rsidRDefault="001C279B" w:rsidP="00C30686">
      <w:pPr>
        <w:spacing w:after="0" w:line="360" w:lineRule="auto"/>
        <w:jc w:val="both"/>
        <w:rPr>
          <w:rFonts w:ascii="Times New Roman" w:eastAsia="Times New Roman" w:hAnsi="Times New Roman" w:cs="Times New Roman"/>
          <w:i/>
          <w:sz w:val="24"/>
          <w:szCs w:val="23"/>
          <w:lang w:eastAsia="es-ES"/>
        </w:rPr>
      </w:pPr>
    </w:p>
    <w:p w:rsidR="00A07E51" w:rsidRDefault="00A07E51" w:rsidP="00A07E51">
      <w:pPr>
        <w:spacing w:after="0" w:line="360" w:lineRule="auto"/>
        <w:jc w:val="center"/>
        <w:rPr>
          <w:rFonts w:ascii="Times New Roman" w:eastAsia="Times New Roman" w:hAnsi="Times New Roman" w:cs="Times New Roman"/>
          <w:i/>
          <w:sz w:val="24"/>
          <w:szCs w:val="23"/>
          <w:lang w:eastAsia="es-ES"/>
        </w:rPr>
      </w:pPr>
      <w:r w:rsidRPr="00A07E51">
        <w:rPr>
          <w:rFonts w:ascii="Times New Roman" w:eastAsia="Times New Roman" w:hAnsi="Times New Roman" w:cs="Times New Roman"/>
          <w:i/>
          <w:noProof/>
          <w:sz w:val="24"/>
          <w:szCs w:val="23"/>
          <w:lang w:eastAsia="es-ES"/>
        </w:rPr>
        <w:lastRenderedPageBreak/>
        <w:drawing>
          <wp:inline distT="0" distB="0" distL="0" distR="0">
            <wp:extent cx="5438775" cy="2762250"/>
            <wp:effectExtent l="0" t="0" r="0" b="0"/>
            <wp:docPr id="5"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A07E51" w:rsidRDefault="00A07E51" w:rsidP="00A07E51">
      <w:pPr>
        <w:spacing w:after="0" w:line="360" w:lineRule="auto"/>
        <w:rPr>
          <w:rFonts w:ascii="Times New Roman" w:eastAsia="Times New Roman" w:hAnsi="Times New Roman" w:cs="Times New Roman"/>
          <w:i/>
          <w:szCs w:val="23"/>
          <w:lang w:eastAsia="es-ES"/>
        </w:rPr>
      </w:pPr>
      <w:r w:rsidRPr="00A07E51">
        <w:rPr>
          <w:rFonts w:ascii="Times New Roman" w:eastAsia="Times New Roman" w:hAnsi="Times New Roman" w:cs="Times New Roman"/>
          <w:i/>
          <w:szCs w:val="23"/>
          <w:lang w:eastAsia="es-ES"/>
        </w:rPr>
        <w:t xml:space="preserve">Fuente: ESS, 2012. Para Grecia, 2010. </w:t>
      </w:r>
      <w:r w:rsidR="00EE6091" w:rsidRPr="00EE6091">
        <w:rPr>
          <w:rFonts w:ascii="Times New Roman" w:eastAsia="Times New Roman" w:hAnsi="Times New Roman" w:cs="Times New Roman"/>
          <w:i/>
          <w:szCs w:val="23"/>
          <w:lang w:eastAsia="es-ES"/>
        </w:rPr>
        <w:t>Todos los c</w:t>
      </w:r>
      <w:r w:rsidR="00EE6091">
        <w:rPr>
          <w:rFonts w:ascii="Times New Roman" w:eastAsia="Times New Roman" w:hAnsi="Times New Roman" w:cs="Times New Roman"/>
          <w:i/>
          <w:szCs w:val="23"/>
          <w:lang w:eastAsia="es-ES"/>
        </w:rPr>
        <w:t>asos, sig .000</w:t>
      </w:r>
    </w:p>
    <w:p w:rsidR="00A07E51" w:rsidRDefault="00A07E51" w:rsidP="00A07E51">
      <w:pPr>
        <w:spacing w:after="0" w:line="360" w:lineRule="auto"/>
        <w:rPr>
          <w:rFonts w:ascii="Times New Roman" w:eastAsia="Times New Roman" w:hAnsi="Times New Roman" w:cs="Times New Roman"/>
          <w:i/>
          <w:szCs w:val="23"/>
          <w:lang w:eastAsia="es-ES"/>
        </w:rPr>
      </w:pPr>
    </w:p>
    <w:p w:rsidR="00807063" w:rsidRDefault="00A07E51" w:rsidP="00E24482">
      <w:pPr>
        <w:spacing w:after="0" w:line="360" w:lineRule="auto"/>
        <w:ind w:firstLine="708"/>
        <w:jc w:val="both"/>
        <w:rPr>
          <w:rFonts w:ascii="Times New Roman" w:eastAsia="Times New Roman" w:hAnsi="Times New Roman" w:cs="Times New Roman"/>
          <w:sz w:val="24"/>
          <w:szCs w:val="23"/>
          <w:lang w:eastAsia="es-ES"/>
        </w:rPr>
      </w:pPr>
      <w:r w:rsidRPr="00A07E51">
        <w:rPr>
          <w:rFonts w:ascii="Times New Roman" w:eastAsia="Times New Roman" w:hAnsi="Times New Roman" w:cs="Times New Roman"/>
          <w:sz w:val="24"/>
          <w:szCs w:val="23"/>
          <w:lang w:eastAsia="es-ES"/>
        </w:rPr>
        <w:t xml:space="preserve">Como puede verse, </w:t>
      </w:r>
      <w:r>
        <w:rPr>
          <w:rFonts w:ascii="Times New Roman" w:eastAsia="Times New Roman" w:hAnsi="Times New Roman" w:cs="Times New Roman"/>
          <w:sz w:val="24"/>
          <w:szCs w:val="23"/>
          <w:lang w:eastAsia="es-ES"/>
        </w:rPr>
        <w:t xml:space="preserve">el porcentaje de ciudadanos críticos entre los abstencionistas, aumenta, alcanzando en Italia, Grecia, España y Portugal, niveles por encima del </w:t>
      </w:r>
      <w:r w:rsidR="008E0855">
        <w:rPr>
          <w:rFonts w:ascii="Times New Roman" w:eastAsia="Times New Roman" w:hAnsi="Times New Roman" w:cs="Times New Roman"/>
          <w:sz w:val="24"/>
          <w:szCs w:val="23"/>
          <w:lang w:eastAsia="es-ES"/>
        </w:rPr>
        <w:t>13 por ciento en los</w:t>
      </w:r>
      <w:r w:rsidR="00807063">
        <w:rPr>
          <w:rFonts w:ascii="Times New Roman" w:eastAsia="Times New Roman" w:hAnsi="Times New Roman" w:cs="Times New Roman"/>
          <w:sz w:val="24"/>
          <w:szCs w:val="23"/>
          <w:lang w:eastAsia="es-ES"/>
        </w:rPr>
        <w:t xml:space="preserve"> cuatro países, mientras, en 2002 </w:t>
      </w:r>
      <w:r w:rsidR="008E0855">
        <w:rPr>
          <w:rFonts w:ascii="Times New Roman" w:eastAsia="Times New Roman" w:hAnsi="Times New Roman" w:cs="Times New Roman"/>
          <w:sz w:val="24"/>
          <w:szCs w:val="23"/>
          <w:lang w:eastAsia="es-ES"/>
        </w:rPr>
        <w:t xml:space="preserve">tan sólo </w:t>
      </w:r>
      <w:r w:rsidR="00807063">
        <w:rPr>
          <w:rFonts w:ascii="Times New Roman" w:eastAsia="Times New Roman" w:hAnsi="Times New Roman" w:cs="Times New Roman"/>
          <w:sz w:val="24"/>
          <w:szCs w:val="23"/>
          <w:lang w:eastAsia="es-ES"/>
        </w:rPr>
        <w:t>alcanzaba el 10% levemente en Grecia y Portugal</w:t>
      </w:r>
      <w:r w:rsidR="008E0855">
        <w:rPr>
          <w:rFonts w:ascii="Times New Roman" w:eastAsia="Times New Roman" w:hAnsi="Times New Roman" w:cs="Times New Roman"/>
          <w:sz w:val="24"/>
          <w:szCs w:val="23"/>
          <w:lang w:eastAsia="es-ES"/>
        </w:rPr>
        <w:t xml:space="preserve">. </w:t>
      </w:r>
      <w:r w:rsidR="00807063">
        <w:rPr>
          <w:rFonts w:ascii="Times New Roman" w:eastAsia="Times New Roman" w:hAnsi="Times New Roman" w:cs="Times New Roman"/>
          <w:sz w:val="24"/>
          <w:szCs w:val="23"/>
          <w:lang w:eastAsia="es-ES"/>
        </w:rPr>
        <w:t xml:space="preserve">Sobre los desafectos, los datos se disparan desde el estallido de la crisis. En Crecia y Portugal aumentan más del 50 y 20 por cien, respectivamente, mientras en Italia y España este crecimiento es más moderado, pero también significativo, siendo esta la actitud más sostenida por los abstencionistas de los cuatro países, siempre por encima de la mitad de quienes renuncian a votar. </w:t>
      </w:r>
    </w:p>
    <w:p w:rsidR="0082014D" w:rsidRDefault="0082014D" w:rsidP="008E0855">
      <w:pPr>
        <w:spacing w:after="0" w:line="360" w:lineRule="auto"/>
        <w:jc w:val="both"/>
        <w:rPr>
          <w:rFonts w:ascii="Times New Roman" w:eastAsia="Times New Roman" w:hAnsi="Times New Roman" w:cs="Times New Roman"/>
          <w:sz w:val="24"/>
          <w:szCs w:val="23"/>
          <w:lang w:eastAsia="es-ES"/>
        </w:rPr>
      </w:pPr>
    </w:p>
    <w:p w:rsidR="0082014D" w:rsidRDefault="0082014D" w:rsidP="00E24482">
      <w:pPr>
        <w:spacing w:after="0" w:line="360" w:lineRule="auto"/>
        <w:ind w:firstLine="708"/>
        <w:jc w:val="both"/>
        <w:rPr>
          <w:rFonts w:ascii="Times New Roman" w:eastAsia="Times New Roman" w:hAnsi="Times New Roman" w:cs="Times New Roman"/>
          <w:sz w:val="24"/>
          <w:szCs w:val="23"/>
          <w:lang w:eastAsia="es-ES"/>
        </w:rPr>
      </w:pPr>
      <w:r>
        <w:rPr>
          <w:rFonts w:ascii="Times New Roman" w:eastAsia="Times New Roman" w:hAnsi="Times New Roman" w:cs="Times New Roman"/>
          <w:sz w:val="24"/>
          <w:szCs w:val="23"/>
          <w:lang w:eastAsia="es-ES"/>
        </w:rPr>
        <w:t xml:space="preserve">A la inversa, también entre aquéllos ciudadanos que sostienen actitudes críticas ha aumentado el porcentaje de quienes se decantan por la abstención, siendo tales incrementos especialmente llamativos en Grecia e Italia. España muestra los mismos valores para antes y después de la crisis, y Portugal desciende levemente. En ambos casos, no obstante, quienes más se abstienen son los desafectos. Aunque, en cualquier caso, se observa un cambio desde 2002. Por otra parte, el hecho de que Grecia e Italia presenten una pauta diferenciada, como recoge la tabla 10, puede deberse a la especial incidencia de la Unión Europea en estos países, donde la intervención se ha materializado incluso en cambios de gobierno auspiciados desde Bruselas. </w:t>
      </w:r>
    </w:p>
    <w:p w:rsidR="00C24469" w:rsidRDefault="00C24469" w:rsidP="00E24482">
      <w:pPr>
        <w:spacing w:after="0" w:line="360" w:lineRule="auto"/>
        <w:ind w:firstLine="708"/>
        <w:jc w:val="both"/>
        <w:rPr>
          <w:rFonts w:ascii="Times New Roman" w:eastAsia="Times New Roman" w:hAnsi="Times New Roman" w:cs="Times New Roman"/>
          <w:sz w:val="24"/>
          <w:szCs w:val="23"/>
          <w:lang w:eastAsia="es-ES"/>
        </w:rPr>
      </w:pPr>
    </w:p>
    <w:p w:rsidR="00C24469" w:rsidRDefault="00C24469" w:rsidP="00E24482">
      <w:pPr>
        <w:spacing w:after="0" w:line="360" w:lineRule="auto"/>
        <w:ind w:firstLine="708"/>
        <w:jc w:val="both"/>
        <w:rPr>
          <w:rFonts w:ascii="Times New Roman" w:eastAsia="Times New Roman" w:hAnsi="Times New Roman" w:cs="Times New Roman"/>
          <w:sz w:val="24"/>
          <w:szCs w:val="23"/>
          <w:lang w:eastAsia="es-ES"/>
        </w:rPr>
      </w:pPr>
    </w:p>
    <w:p w:rsidR="00C24469" w:rsidRDefault="00C24469" w:rsidP="00E24482">
      <w:pPr>
        <w:spacing w:after="0" w:line="360" w:lineRule="auto"/>
        <w:ind w:firstLine="708"/>
        <w:jc w:val="both"/>
        <w:rPr>
          <w:rFonts w:ascii="Times New Roman" w:eastAsia="Times New Roman" w:hAnsi="Times New Roman" w:cs="Times New Roman"/>
          <w:sz w:val="24"/>
          <w:szCs w:val="23"/>
          <w:lang w:eastAsia="es-ES"/>
        </w:rPr>
      </w:pPr>
    </w:p>
    <w:tbl>
      <w:tblPr>
        <w:tblW w:w="5643" w:type="dxa"/>
        <w:tblInd w:w="1507" w:type="dxa"/>
        <w:tblCellMar>
          <w:left w:w="70" w:type="dxa"/>
          <w:right w:w="70" w:type="dxa"/>
        </w:tblCellMar>
        <w:tblLook w:val="04A0" w:firstRow="1" w:lastRow="0" w:firstColumn="1" w:lastColumn="0" w:noHBand="0" w:noVBand="1"/>
      </w:tblPr>
      <w:tblGrid>
        <w:gridCol w:w="2166"/>
        <w:gridCol w:w="1619"/>
        <w:gridCol w:w="1619"/>
        <w:gridCol w:w="239"/>
      </w:tblGrid>
      <w:tr w:rsidR="00C24469" w:rsidRPr="0082014D" w:rsidTr="00913CAF">
        <w:trPr>
          <w:trHeight w:val="316"/>
        </w:trPr>
        <w:tc>
          <w:tcPr>
            <w:tcW w:w="5643" w:type="dxa"/>
            <w:gridSpan w:val="4"/>
            <w:tcBorders>
              <w:top w:val="nil"/>
              <w:left w:val="nil"/>
              <w:bottom w:val="double" w:sz="6" w:space="0" w:color="auto"/>
              <w:right w:val="nil"/>
            </w:tcBorders>
            <w:shd w:val="clear" w:color="000000" w:fill="FFFFFF"/>
            <w:noWrap/>
            <w:vAlign w:val="bottom"/>
            <w:hideMark/>
          </w:tcPr>
          <w:p w:rsidR="00C24469" w:rsidRPr="0082014D" w:rsidRDefault="00C24469" w:rsidP="00913CAF">
            <w:pPr>
              <w:spacing w:after="0" w:line="240" w:lineRule="auto"/>
              <w:rPr>
                <w:rFonts w:ascii="Times New Roman" w:eastAsia="Times New Roman" w:hAnsi="Times New Roman" w:cs="Times New Roman"/>
                <w:color w:val="000000"/>
                <w:lang w:eastAsia="es-ES"/>
              </w:rPr>
            </w:pPr>
            <w:r w:rsidRPr="0082014D">
              <w:rPr>
                <w:rFonts w:ascii="Times New Roman" w:eastAsia="Times New Roman" w:hAnsi="Times New Roman" w:cs="Times New Roman"/>
                <w:b/>
                <w:color w:val="000000"/>
                <w:lang w:eastAsia="es-ES"/>
              </w:rPr>
              <w:lastRenderedPageBreak/>
              <w:t>Tabla 10.</w:t>
            </w:r>
            <w:r>
              <w:rPr>
                <w:rFonts w:ascii="Times New Roman" w:eastAsia="Times New Roman" w:hAnsi="Times New Roman" w:cs="Times New Roman"/>
                <w:color w:val="000000"/>
                <w:lang w:eastAsia="es-ES"/>
              </w:rPr>
              <w:t xml:space="preserve"> </w:t>
            </w:r>
            <w:r w:rsidRPr="0082014D">
              <w:rPr>
                <w:rFonts w:ascii="Times New Roman" w:eastAsia="Times New Roman" w:hAnsi="Times New Roman" w:cs="Times New Roman"/>
                <w:color w:val="000000"/>
                <w:lang w:eastAsia="es-ES"/>
              </w:rPr>
              <w:t>De entre los críticos, quienes se abstienen, en %</w:t>
            </w:r>
          </w:p>
        </w:tc>
      </w:tr>
      <w:tr w:rsidR="00C24469" w:rsidRPr="0082014D" w:rsidTr="00913CAF">
        <w:trPr>
          <w:trHeight w:val="331"/>
        </w:trPr>
        <w:tc>
          <w:tcPr>
            <w:tcW w:w="2166" w:type="dxa"/>
            <w:tcBorders>
              <w:top w:val="nil"/>
              <w:left w:val="nil"/>
              <w:bottom w:val="nil"/>
              <w:right w:val="nil"/>
            </w:tcBorders>
            <w:shd w:val="clear" w:color="000000" w:fill="FFFFFF"/>
            <w:noWrap/>
            <w:vAlign w:val="bottom"/>
            <w:hideMark/>
          </w:tcPr>
          <w:p w:rsidR="00C24469" w:rsidRPr="0082014D" w:rsidRDefault="00C24469" w:rsidP="00913CAF">
            <w:pPr>
              <w:spacing w:after="0" w:line="240" w:lineRule="auto"/>
              <w:rPr>
                <w:rFonts w:ascii="Times New Roman" w:eastAsia="Times New Roman" w:hAnsi="Times New Roman" w:cs="Times New Roman"/>
                <w:color w:val="000000"/>
                <w:lang w:eastAsia="es-ES"/>
              </w:rPr>
            </w:pPr>
            <w:r w:rsidRPr="0082014D">
              <w:rPr>
                <w:rFonts w:ascii="Times New Roman" w:eastAsia="Times New Roman" w:hAnsi="Times New Roman" w:cs="Times New Roman"/>
                <w:color w:val="000000"/>
                <w:lang w:eastAsia="es-ES"/>
              </w:rPr>
              <w:t> </w:t>
            </w:r>
          </w:p>
        </w:tc>
        <w:tc>
          <w:tcPr>
            <w:tcW w:w="1619" w:type="dxa"/>
            <w:tcBorders>
              <w:top w:val="nil"/>
              <w:left w:val="nil"/>
              <w:bottom w:val="double" w:sz="6" w:space="0" w:color="auto"/>
              <w:right w:val="nil"/>
            </w:tcBorders>
            <w:shd w:val="clear" w:color="000000" w:fill="FFFFFF"/>
            <w:noWrap/>
            <w:vAlign w:val="bottom"/>
            <w:hideMark/>
          </w:tcPr>
          <w:p w:rsidR="00C24469" w:rsidRPr="0082014D" w:rsidRDefault="00C24469" w:rsidP="00913CAF">
            <w:pPr>
              <w:spacing w:after="0" w:line="240" w:lineRule="auto"/>
              <w:jc w:val="right"/>
              <w:rPr>
                <w:rFonts w:ascii="Times New Roman" w:eastAsia="Times New Roman" w:hAnsi="Times New Roman" w:cs="Times New Roman"/>
                <w:color w:val="000000"/>
                <w:lang w:eastAsia="es-ES"/>
              </w:rPr>
            </w:pPr>
            <w:r w:rsidRPr="0082014D">
              <w:rPr>
                <w:rFonts w:ascii="Times New Roman" w:eastAsia="Times New Roman" w:hAnsi="Times New Roman" w:cs="Times New Roman"/>
                <w:color w:val="000000"/>
                <w:lang w:eastAsia="es-ES"/>
              </w:rPr>
              <w:t>2002</w:t>
            </w:r>
          </w:p>
        </w:tc>
        <w:tc>
          <w:tcPr>
            <w:tcW w:w="1619" w:type="dxa"/>
            <w:tcBorders>
              <w:top w:val="nil"/>
              <w:left w:val="nil"/>
              <w:bottom w:val="double" w:sz="6" w:space="0" w:color="auto"/>
              <w:right w:val="nil"/>
            </w:tcBorders>
            <w:shd w:val="clear" w:color="000000" w:fill="FFFFFF"/>
            <w:noWrap/>
            <w:vAlign w:val="bottom"/>
            <w:hideMark/>
          </w:tcPr>
          <w:p w:rsidR="00C24469" w:rsidRPr="0082014D" w:rsidRDefault="00C24469" w:rsidP="00913CAF">
            <w:pPr>
              <w:spacing w:after="0" w:line="240" w:lineRule="auto"/>
              <w:jc w:val="right"/>
              <w:rPr>
                <w:rFonts w:ascii="Times New Roman" w:eastAsia="Times New Roman" w:hAnsi="Times New Roman" w:cs="Times New Roman"/>
                <w:color w:val="000000"/>
                <w:lang w:eastAsia="es-ES"/>
              </w:rPr>
            </w:pPr>
            <w:r w:rsidRPr="0082014D">
              <w:rPr>
                <w:rFonts w:ascii="Times New Roman" w:eastAsia="Times New Roman" w:hAnsi="Times New Roman" w:cs="Times New Roman"/>
                <w:color w:val="000000"/>
                <w:lang w:eastAsia="es-ES"/>
              </w:rPr>
              <w:t>2012</w:t>
            </w:r>
          </w:p>
        </w:tc>
        <w:tc>
          <w:tcPr>
            <w:tcW w:w="239" w:type="dxa"/>
            <w:tcBorders>
              <w:top w:val="nil"/>
              <w:left w:val="nil"/>
              <w:bottom w:val="double" w:sz="6" w:space="0" w:color="auto"/>
              <w:right w:val="nil"/>
            </w:tcBorders>
            <w:shd w:val="clear" w:color="000000" w:fill="FFFFFF"/>
            <w:noWrap/>
            <w:vAlign w:val="bottom"/>
            <w:hideMark/>
          </w:tcPr>
          <w:p w:rsidR="00C24469" w:rsidRPr="0082014D" w:rsidRDefault="00C24469" w:rsidP="00913CAF">
            <w:pPr>
              <w:spacing w:after="0" w:line="240" w:lineRule="auto"/>
              <w:rPr>
                <w:rFonts w:ascii="Times New Roman" w:eastAsia="Times New Roman" w:hAnsi="Times New Roman" w:cs="Times New Roman"/>
                <w:color w:val="000000"/>
                <w:lang w:eastAsia="es-ES"/>
              </w:rPr>
            </w:pPr>
            <w:r w:rsidRPr="0082014D">
              <w:rPr>
                <w:rFonts w:ascii="Times New Roman" w:eastAsia="Times New Roman" w:hAnsi="Times New Roman" w:cs="Times New Roman"/>
                <w:color w:val="000000"/>
                <w:lang w:eastAsia="es-ES"/>
              </w:rPr>
              <w:t> </w:t>
            </w:r>
          </w:p>
        </w:tc>
      </w:tr>
      <w:tr w:rsidR="00C24469" w:rsidRPr="0082014D" w:rsidTr="00913CAF">
        <w:trPr>
          <w:trHeight w:val="316"/>
        </w:trPr>
        <w:tc>
          <w:tcPr>
            <w:tcW w:w="2166" w:type="dxa"/>
            <w:tcBorders>
              <w:top w:val="nil"/>
              <w:left w:val="nil"/>
              <w:bottom w:val="nil"/>
              <w:right w:val="nil"/>
            </w:tcBorders>
            <w:shd w:val="clear" w:color="000000" w:fill="FFFFFF"/>
            <w:noWrap/>
            <w:vAlign w:val="bottom"/>
            <w:hideMark/>
          </w:tcPr>
          <w:p w:rsidR="00C24469" w:rsidRPr="0082014D" w:rsidRDefault="00C24469" w:rsidP="00913CAF">
            <w:pPr>
              <w:spacing w:after="0" w:line="240" w:lineRule="auto"/>
              <w:rPr>
                <w:rFonts w:ascii="Times New Roman" w:eastAsia="Times New Roman" w:hAnsi="Times New Roman" w:cs="Times New Roman"/>
                <w:color w:val="000000"/>
                <w:lang w:eastAsia="es-ES"/>
              </w:rPr>
            </w:pPr>
            <w:r w:rsidRPr="0082014D">
              <w:rPr>
                <w:rFonts w:ascii="Times New Roman" w:eastAsia="Times New Roman" w:hAnsi="Times New Roman" w:cs="Times New Roman"/>
                <w:color w:val="000000"/>
                <w:lang w:eastAsia="es-ES"/>
              </w:rPr>
              <w:t>Grecia</w:t>
            </w:r>
          </w:p>
        </w:tc>
        <w:tc>
          <w:tcPr>
            <w:tcW w:w="1619" w:type="dxa"/>
            <w:tcBorders>
              <w:top w:val="nil"/>
              <w:left w:val="nil"/>
              <w:bottom w:val="nil"/>
              <w:right w:val="nil"/>
            </w:tcBorders>
            <w:shd w:val="clear" w:color="000000" w:fill="FFFFFF"/>
            <w:noWrap/>
            <w:vAlign w:val="bottom"/>
            <w:hideMark/>
          </w:tcPr>
          <w:p w:rsidR="00C24469" w:rsidRPr="0082014D" w:rsidRDefault="00C24469" w:rsidP="00913CAF">
            <w:pPr>
              <w:spacing w:after="0" w:line="240" w:lineRule="auto"/>
              <w:rPr>
                <w:rFonts w:ascii="Times New Roman" w:eastAsia="Times New Roman" w:hAnsi="Times New Roman" w:cs="Times New Roman"/>
                <w:color w:val="000000"/>
                <w:lang w:eastAsia="es-ES"/>
              </w:rPr>
            </w:pPr>
            <w:r w:rsidRPr="0082014D">
              <w:rPr>
                <w:rFonts w:ascii="Times New Roman" w:eastAsia="Times New Roman" w:hAnsi="Times New Roman" w:cs="Times New Roman"/>
                <w:color w:val="000000"/>
                <w:lang w:eastAsia="es-ES"/>
              </w:rPr>
              <w:t>7***</w:t>
            </w:r>
          </w:p>
        </w:tc>
        <w:tc>
          <w:tcPr>
            <w:tcW w:w="1619" w:type="dxa"/>
            <w:tcBorders>
              <w:top w:val="nil"/>
              <w:left w:val="nil"/>
              <w:bottom w:val="nil"/>
              <w:right w:val="nil"/>
            </w:tcBorders>
            <w:shd w:val="clear" w:color="000000" w:fill="FFFFFF"/>
            <w:noWrap/>
            <w:vAlign w:val="bottom"/>
            <w:hideMark/>
          </w:tcPr>
          <w:p w:rsidR="00C24469" w:rsidRPr="0082014D" w:rsidRDefault="00C24469" w:rsidP="00913CAF">
            <w:pPr>
              <w:spacing w:after="0" w:line="240" w:lineRule="auto"/>
              <w:jc w:val="right"/>
              <w:rPr>
                <w:rFonts w:ascii="Times New Roman" w:eastAsia="Times New Roman" w:hAnsi="Times New Roman" w:cs="Times New Roman"/>
                <w:color w:val="000000"/>
                <w:lang w:eastAsia="es-ES"/>
              </w:rPr>
            </w:pPr>
            <w:r w:rsidRPr="0082014D">
              <w:rPr>
                <w:rFonts w:ascii="Times New Roman" w:eastAsia="Times New Roman" w:hAnsi="Times New Roman" w:cs="Times New Roman"/>
                <w:color w:val="000000"/>
                <w:lang w:eastAsia="es-ES"/>
              </w:rPr>
              <w:t>14***</w:t>
            </w:r>
          </w:p>
        </w:tc>
        <w:tc>
          <w:tcPr>
            <w:tcW w:w="239" w:type="dxa"/>
            <w:tcBorders>
              <w:top w:val="nil"/>
              <w:left w:val="nil"/>
              <w:bottom w:val="nil"/>
              <w:right w:val="nil"/>
            </w:tcBorders>
            <w:shd w:val="clear" w:color="000000" w:fill="FFFFFF"/>
            <w:noWrap/>
            <w:vAlign w:val="bottom"/>
            <w:hideMark/>
          </w:tcPr>
          <w:p w:rsidR="00C24469" w:rsidRPr="0082014D" w:rsidRDefault="00C24469" w:rsidP="00913CAF">
            <w:pPr>
              <w:spacing w:after="0" w:line="240" w:lineRule="auto"/>
              <w:rPr>
                <w:rFonts w:ascii="Times New Roman" w:eastAsia="Times New Roman" w:hAnsi="Times New Roman" w:cs="Times New Roman"/>
                <w:color w:val="000000"/>
                <w:lang w:eastAsia="es-ES"/>
              </w:rPr>
            </w:pPr>
            <w:r w:rsidRPr="0082014D">
              <w:rPr>
                <w:rFonts w:ascii="Times New Roman" w:eastAsia="Times New Roman" w:hAnsi="Times New Roman" w:cs="Times New Roman"/>
                <w:color w:val="000000"/>
                <w:lang w:eastAsia="es-ES"/>
              </w:rPr>
              <w:t> </w:t>
            </w:r>
          </w:p>
        </w:tc>
      </w:tr>
      <w:tr w:rsidR="00C24469" w:rsidRPr="0082014D" w:rsidTr="00913CAF">
        <w:trPr>
          <w:trHeight w:val="316"/>
        </w:trPr>
        <w:tc>
          <w:tcPr>
            <w:tcW w:w="2166" w:type="dxa"/>
            <w:tcBorders>
              <w:top w:val="nil"/>
              <w:left w:val="nil"/>
              <w:bottom w:val="nil"/>
              <w:right w:val="nil"/>
            </w:tcBorders>
            <w:shd w:val="clear" w:color="000000" w:fill="FFFFFF"/>
            <w:noWrap/>
            <w:vAlign w:val="bottom"/>
            <w:hideMark/>
          </w:tcPr>
          <w:p w:rsidR="00C24469" w:rsidRPr="0082014D" w:rsidRDefault="00C24469" w:rsidP="00913CAF">
            <w:pPr>
              <w:spacing w:after="0" w:line="240" w:lineRule="auto"/>
              <w:rPr>
                <w:rFonts w:ascii="Times New Roman" w:eastAsia="Times New Roman" w:hAnsi="Times New Roman" w:cs="Times New Roman"/>
                <w:color w:val="000000"/>
                <w:lang w:eastAsia="es-ES"/>
              </w:rPr>
            </w:pPr>
            <w:r w:rsidRPr="0082014D">
              <w:rPr>
                <w:rFonts w:ascii="Times New Roman" w:eastAsia="Times New Roman" w:hAnsi="Times New Roman" w:cs="Times New Roman"/>
                <w:color w:val="000000"/>
                <w:lang w:eastAsia="es-ES"/>
              </w:rPr>
              <w:t xml:space="preserve">Italia </w:t>
            </w:r>
          </w:p>
        </w:tc>
        <w:tc>
          <w:tcPr>
            <w:tcW w:w="1619" w:type="dxa"/>
            <w:tcBorders>
              <w:top w:val="nil"/>
              <w:left w:val="nil"/>
              <w:bottom w:val="nil"/>
              <w:right w:val="nil"/>
            </w:tcBorders>
            <w:shd w:val="clear" w:color="000000" w:fill="FFFFFF"/>
            <w:noWrap/>
            <w:vAlign w:val="bottom"/>
            <w:hideMark/>
          </w:tcPr>
          <w:p w:rsidR="00C24469" w:rsidRPr="0082014D" w:rsidRDefault="00C24469" w:rsidP="00913CAF">
            <w:pPr>
              <w:spacing w:after="0" w:line="240" w:lineRule="auto"/>
              <w:rPr>
                <w:rFonts w:ascii="Times New Roman" w:eastAsia="Times New Roman" w:hAnsi="Times New Roman" w:cs="Times New Roman"/>
                <w:color w:val="000000"/>
                <w:lang w:eastAsia="es-ES"/>
              </w:rPr>
            </w:pPr>
            <w:r w:rsidRPr="0082014D">
              <w:rPr>
                <w:rFonts w:ascii="Times New Roman" w:eastAsia="Times New Roman" w:hAnsi="Times New Roman" w:cs="Times New Roman"/>
                <w:color w:val="000000"/>
                <w:lang w:eastAsia="es-ES"/>
              </w:rPr>
              <w:t>6***</w:t>
            </w:r>
          </w:p>
        </w:tc>
        <w:tc>
          <w:tcPr>
            <w:tcW w:w="1619" w:type="dxa"/>
            <w:tcBorders>
              <w:top w:val="nil"/>
              <w:left w:val="nil"/>
              <w:bottom w:val="nil"/>
              <w:right w:val="nil"/>
            </w:tcBorders>
            <w:shd w:val="clear" w:color="000000" w:fill="FFFFFF"/>
            <w:noWrap/>
            <w:vAlign w:val="bottom"/>
            <w:hideMark/>
          </w:tcPr>
          <w:p w:rsidR="00C24469" w:rsidRPr="0082014D" w:rsidRDefault="00C24469" w:rsidP="00913CAF">
            <w:pPr>
              <w:spacing w:after="0" w:line="240" w:lineRule="auto"/>
              <w:jc w:val="right"/>
              <w:rPr>
                <w:rFonts w:ascii="Times New Roman" w:eastAsia="Times New Roman" w:hAnsi="Times New Roman" w:cs="Times New Roman"/>
                <w:color w:val="000000"/>
                <w:lang w:eastAsia="es-ES"/>
              </w:rPr>
            </w:pPr>
            <w:r w:rsidRPr="0082014D">
              <w:rPr>
                <w:rFonts w:ascii="Times New Roman" w:eastAsia="Times New Roman" w:hAnsi="Times New Roman" w:cs="Times New Roman"/>
                <w:color w:val="000000"/>
                <w:lang w:eastAsia="es-ES"/>
              </w:rPr>
              <w:t>9***</w:t>
            </w:r>
          </w:p>
        </w:tc>
        <w:tc>
          <w:tcPr>
            <w:tcW w:w="239" w:type="dxa"/>
            <w:tcBorders>
              <w:top w:val="nil"/>
              <w:left w:val="nil"/>
              <w:bottom w:val="nil"/>
              <w:right w:val="nil"/>
            </w:tcBorders>
            <w:shd w:val="clear" w:color="000000" w:fill="FFFFFF"/>
            <w:noWrap/>
            <w:vAlign w:val="bottom"/>
            <w:hideMark/>
          </w:tcPr>
          <w:p w:rsidR="00C24469" w:rsidRPr="0082014D" w:rsidRDefault="00C24469" w:rsidP="00913CAF">
            <w:pPr>
              <w:spacing w:after="0" w:line="240" w:lineRule="auto"/>
              <w:rPr>
                <w:rFonts w:ascii="Times New Roman" w:eastAsia="Times New Roman" w:hAnsi="Times New Roman" w:cs="Times New Roman"/>
                <w:color w:val="000000"/>
                <w:lang w:eastAsia="es-ES"/>
              </w:rPr>
            </w:pPr>
            <w:r w:rsidRPr="0082014D">
              <w:rPr>
                <w:rFonts w:ascii="Times New Roman" w:eastAsia="Times New Roman" w:hAnsi="Times New Roman" w:cs="Times New Roman"/>
                <w:color w:val="000000"/>
                <w:lang w:eastAsia="es-ES"/>
              </w:rPr>
              <w:t> </w:t>
            </w:r>
          </w:p>
        </w:tc>
      </w:tr>
      <w:tr w:rsidR="00C24469" w:rsidRPr="0082014D" w:rsidTr="00913CAF">
        <w:trPr>
          <w:trHeight w:val="316"/>
        </w:trPr>
        <w:tc>
          <w:tcPr>
            <w:tcW w:w="2166" w:type="dxa"/>
            <w:tcBorders>
              <w:top w:val="nil"/>
              <w:left w:val="nil"/>
              <w:bottom w:val="nil"/>
              <w:right w:val="nil"/>
            </w:tcBorders>
            <w:shd w:val="clear" w:color="000000" w:fill="FFFFFF"/>
            <w:noWrap/>
            <w:vAlign w:val="bottom"/>
            <w:hideMark/>
          </w:tcPr>
          <w:p w:rsidR="00C24469" w:rsidRPr="0082014D" w:rsidRDefault="00C24469" w:rsidP="00913CAF">
            <w:pPr>
              <w:spacing w:after="0" w:line="240" w:lineRule="auto"/>
              <w:rPr>
                <w:rFonts w:ascii="Times New Roman" w:eastAsia="Times New Roman" w:hAnsi="Times New Roman" w:cs="Times New Roman"/>
                <w:color w:val="000000"/>
                <w:lang w:eastAsia="es-ES"/>
              </w:rPr>
            </w:pPr>
            <w:r w:rsidRPr="0082014D">
              <w:rPr>
                <w:rFonts w:ascii="Times New Roman" w:eastAsia="Times New Roman" w:hAnsi="Times New Roman" w:cs="Times New Roman"/>
                <w:color w:val="000000"/>
                <w:lang w:eastAsia="es-ES"/>
              </w:rPr>
              <w:t xml:space="preserve">Portugal </w:t>
            </w:r>
          </w:p>
        </w:tc>
        <w:tc>
          <w:tcPr>
            <w:tcW w:w="1619" w:type="dxa"/>
            <w:tcBorders>
              <w:top w:val="nil"/>
              <w:left w:val="nil"/>
              <w:bottom w:val="nil"/>
              <w:right w:val="nil"/>
            </w:tcBorders>
            <w:shd w:val="clear" w:color="000000" w:fill="FFFFFF"/>
            <w:noWrap/>
            <w:vAlign w:val="bottom"/>
            <w:hideMark/>
          </w:tcPr>
          <w:p w:rsidR="00C24469" w:rsidRPr="0082014D" w:rsidRDefault="00C24469" w:rsidP="00913CAF">
            <w:pPr>
              <w:spacing w:after="0" w:line="240" w:lineRule="auto"/>
              <w:rPr>
                <w:rFonts w:ascii="Times New Roman" w:eastAsia="Times New Roman" w:hAnsi="Times New Roman" w:cs="Times New Roman"/>
                <w:color w:val="000000"/>
                <w:lang w:eastAsia="es-ES"/>
              </w:rPr>
            </w:pPr>
            <w:r w:rsidRPr="0082014D">
              <w:rPr>
                <w:rFonts w:ascii="Times New Roman" w:eastAsia="Times New Roman" w:hAnsi="Times New Roman" w:cs="Times New Roman"/>
                <w:color w:val="000000"/>
                <w:lang w:eastAsia="es-ES"/>
              </w:rPr>
              <w:t>21***</w:t>
            </w:r>
          </w:p>
        </w:tc>
        <w:tc>
          <w:tcPr>
            <w:tcW w:w="1619" w:type="dxa"/>
            <w:tcBorders>
              <w:top w:val="nil"/>
              <w:left w:val="nil"/>
              <w:bottom w:val="nil"/>
              <w:right w:val="nil"/>
            </w:tcBorders>
            <w:shd w:val="clear" w:color="000000" w:fill="FFFFFF"/>
            <w:noWrap/>
            <w:vAlign w:val="bottom"/>
            <w:hideMark/>
          </w:tcPr>
          <w:p w:rsidR="00C24469" w:rsidRPr="0082014D" w:rsidRDefault="00C24469" w:rsidP="00913CAF">
            <w:pPr>
              <w:spacing w:after="0" w:line="240" w:lineRule="auto"/>
              <w:jc w:val="right"/>
              <w:rPr>
                <w:rFonts w:ascii="Times New Roman" w:eastAsia="Times New Roman" w:hAnsi="Times New Roman" w:cs="Times New Roman"/>
                <w:color w:val="000000"/>
                <w:lang w:eastAsia="es-ES"/>
              </w:rPr>
            </w:pPr>
            <w:r w:rsidRPr="0082014D">
              <w:rPr>
                <w:rFonts w:ascii="Times New Roman" w:eastAsia="Times New Roman" w:hAnsi="Times New Roman" w:cs="Times New Roman"/>
                <w:color w:val="000000"/>
                <w:lang w:eastAsia="es-ES"/>
              </w:rPr>
              <w:t>19***</w:t>
            </w:r>
          </w:p>
        </w:tc>
        <w:tc>
          <w:tcPr>
            <w:tcW w:w="239" w:type="dxa"/>
            <w:tcBorders>
              <w:top w:val="nil"/>
              <w:left w:val="nil"/>
              <w:bottom w:val="nil"/>
              <w:right w:val="nil"/>
            </w:tcBorders>
            <w:shd w:val="clear" w:color="000000" w:fill="FFFFFF"/>
            <w:noWrap/>
            <w:vAlign w:val="bottom"/>
            <w:hideMark/>
          </w:tcPr>
          <w:p w:rsidR="00C24469" w:rsidRPr="0082014D" w:rsidRDefault="00C24469" w:rsidP="00913CAF">
            <w:pPr>
              <w:spacing w:after="0" w:line="240" w:lineRule="auto"/>
              <w:rPr>
                <w:rFonts w:ascii="Times New Roman" w:eastAsia="Times New Roman" w:hAnsi="Times New Roman" w:cs="Times New Roman"/>
                <w:color w:val="000000"/>
                <w:lang w:eastAsia="es-ES"/>
              </w:rPr>
            </w:pPr>
            <w:r w:rsidRPr="0082014D">
              <w:rPr>
                <w:rFonts w:ascii="Times New Roman" w:eastAsia="Times New Roman" w:hAnsi="Times New Roman" w:cs="Times New Roman"/>
                <w:color w:val="000000"/>
                <w:lang w:eastAsia="es-ES"/>
              </w:rPr>
              <w:t> </w:t>
            </w:r>
          </w:p>
        </w:tc>
      </w:tr>
      <w:tr w:rsidR="00C24469" w:rsidRPr="0082014D" w:rsidTr="00913CAF">
        <w:trPr>
          <w:trHeight w:val="316"/>
        </w:trPr>
        <w:tc>
          <w:tcPr>
            <w:tcW w:w="2166" w:type="dxa"/>
            <w:tcBorders>
              <w:top w:val="nil"/>
              <w:left w:val="nil"/>
              <w:bottom w:val="double" w:sz="6" w:space="0" w:color="auto"/>
              <w:right w:val="nil"/>
            </w:tcBorders>
            <w:shd w:val="clear" w:color="000000" w:fill="FFFFFF"/>
            <w:noWrap/>
            <w:vAlign w:val="bottom"/>
            <w:hideMark/>
          </w:tcPr>
          <w:p w:rsidR="00C24469" w:rsidRPr="0082014D" w:rsidRDefault="00C24469" w:rsidP="00913CAF">
            <w:pPr>
              <w:spacing w:after="0" w:line="240" w:lineRule="auto"/>
              <w:rPr>
                <w:rFonts w:ascii="Times New Roman" w:eastAsia="Times New Roman" w:hAnsi="Times New Roman" w:cs="Times New Roman"/>
                <w:color w:val="000000"/>
                <w:lang w:eastAsia="es-ES"/>
              </w:rPr>
            </w:pPr>
            <w:r w:rsidRPr="0082014D">
              <w:rPr>
                <w:rFonts w:ascii="Times New Roman" w:eastAsia="Times New Roman" w:hAnsi="Times New Roman" w:cs="Times New Roman"/>
                <w:color w:val="000000"/>
                <w:lang w:eastAsia="es-ES"/>
              </w:rPr>
              <w:t>España</w:t>
            </w:r>
          </w:p>
        </w:tc>
        <w:tc>
          <w:tcPr>
            <w:tcW w:w="1619" w:type="dxa"/>
            <w:tcBorders>
              <w:top w:val="nil"/>
              <w:left w:val="nil"/>
              <w:bottom w:val="double" w:sz="6" w:space="0" w:color="auto"/>
              <w:right w:val="nil"/>
            </w:tcBorders>
            <w:shd w:val="clear" w:color="000000" w:fill="FFFFFF"/>
            <w:noWrap/>
            <w:vAlign w:val="bottom"/>
            <w:hideMark/>
          </w:tcPr>
          <w:p w:rsidR="00C24469" w:rsidRPr="0082014D" w:rsidRDefault="00C24469" w:rsidP="00913CAF">
            <w:pPr>
              <w:spacing w:after="0" w:line="240" w:lineRule="auto"/>
              <w:rPr>
                <w:rFonts w:ascii="Times New Roman" w:eastAsia="Times New Roman" w:hAnsi="Times New Roman" w:cs="Times New Roman"/>
                <w:color w:val="000000"/>
                <w:lang w:eastAsia="es-ES"/>
              </w:rPr>
            </w:pPr>
            <w:r w:rsidRPr="0082014D">
              <w:rPr>
                <w:rFonts w:ascii="Times New Roman" w:eastAsia="Times New Roman" w:hAnsi="Times New Roman" w:cs="Times New Roman"/>
                <w:color w:val="000000"/>
                <w:lang w:eastAsia="es-ES"/>
              </w:rPr>
              <w:t>14***</w:t>
            </w:r>
          </w:p>
        </w:tc>
        <w:tc>
          <w:tcPr>
            <w:tcW w:w="1619" w:type="dxa"/>
            <w:tcBorders>
              <w:top w:val="nil"/>
              <w:left w:val="nil"/>
              <w:bottom w:val="double" w:sz="6" w:space="0" w:color="auto"/>
              <w:right w:val="nil"/>
            </w:tcBorders>
            <w:shd w:val="clear" w:color="000000" w:fill="FFFFFF"/>
            <w:noWrap/>
            <w:vAlign w:val="bottom"/>
            <w:hideMark/>
          </w:tcPr>
          <w:p w:rsidR="00C24469" w:rsidRPr="0082014D" w:rsidRDefault="00C24469" w:rsidP="00913CAF">
            <w:pPr>
              <w:spacing w:after="0" w:line="240" w:lineRule="auto"/>
              <w:jc w:val="right"/>
              <w:rPr>
                <w:rFonts w:ascii="Times New Roman" w:eastAsia="Times New Roman" w:hAnsi="Times New Roman" w:cs="Times New Roman"/>
                <w:color w:val="000000"/>
                <w:lang w:eastAsia="es-ES"/>
              </w:rPr>
            </w:pPr>
            <w:r w:rsidRPr="0082014D">
              <w:rPr>
                <w:rFonts w:ascii="Times New Roman" w:eastAsia="Times New Roman" w:hAnsi="Times New Roman" w:cs="Times New Roman"/>
                <w:color w:val="000000"/>
                <w:lang w:eastAsia="es-ES"/>
              </w:rPr>
              <w:t>14***</w:t>
            </w:r>
          </w:p>
        </w:tc>
        <w:tc>
          <w:tcPr>
            <w:tcW w:w="239" w:type="dxa"/>
            <w:tcBorders>
              <w:top w:val="nil"/>
              <w:left w:val="nil"/>
              <w:bottom w:val="double" w:sz="6" w:space="0" w:color="auto"/>
              <w:right w:val="nil"/>
            </w:tcBorders>
            <w:shd w:val="clear" w:color="000000" w:fill="FFFFFF"/>
            <w:noWrap/>
            <w:vAlign w:val="bottom"/>
            <w:hideMark/>
          </w:tcPr>
          <w:p w:rsidR="00C24469" w:rsidRPr="0082014D" w:rsidRDefault="00C24469" w:rsidP="00913CAF">
            <w:pPr>
              <w:spacing w:after="0" w:line="240" w:lineRule="auto"/>
              <w:rPr>
                <w:rFonts w:ascii="Times New Roman" w:eastAsia="Times New Roman" w:hAnsi="Times New Roman" w:cs="Times New Roman"/>
                <w:color w:val="000000"/>
                <w:lang w:eastAsia="es-ES"/>
              </w:rPr>
            </w:pPr>
            <w:r w:rsidRPr="0082014D">
              <w:rPr>
                <w:rFonts w:ascii="Times New Roman" w:eastAsia="Times New Roman" w:hAnsi="Times New Roman" w:cs="Times New Roman"/>
                <w:color w:val="000000"/>
                <w:lang w:eastAsia="es-ES"/>
              </w:rPr>
              <w:t> </w:t>
            </w:r>
          </w:p>
        </w:tc>
      </w:tr>
      <w:tr w:rsidR="00C24469" w:rsidRPr="0082014D" w:rsidTr="00913CAF">
        <w:trPr>
          <w:trHeight w:val="316"/>
        </w:trPr>
        <w:tc>
          <w:tcPr>
            <w:tcW w:w="5643" w:type="dxa"/>
            <w:gridSpan w:val="4"/>
            <w:tcBorders>
              <w:top w:val="nil"/>
              <w:left w:val="nil"/>
              <w:bottom w:val="nil"/>
              <w:right w:val="nil"/>
            </w:tcBorders>
            <w:shd w:val="clear" w:color="000000" w:fill="FFFFFF"/>
            <w:noWrap/>
            <w:vAlign w:val="bottom"/>
            <w:hideMark/>
          </w:tcPr>
          <w:p w:rsidR="00C24469" w:rsidRPr="0082014D" w:rsidRDefault="00C24469" w:rsidP="00913CAF">
            <w:pPr>
              <w:spacing w:after="0" w:line="240" w:lineRule="auto"/>
              <w:rPr>
                <w:rFonts w:ascii="Times New Roman" w:eastAsia="Times New Roman" w:hAnsi="Times New Roman" w:cs="Times New Roman"/>
                <w:i/>
                <w:iCs/>
                <w:color w:val="000000"/>
                <w:lang w:eastAsia="es-ES"/>
              </w:rPr>
            </w:pPr>
            <w:r w:rsidRPr="0082014D">
              <w:rPr>
                <w:rFonts w:ascii="Times New Roman" w:eastAsia="Times New Roman" w:hAnsi="Times New Roman" w:cs="Times New Roman"/>
                <w:i/>
                <w:iCs/>
                <w:color w:val="000000"/>
                <w:lang w:eastAsia="es-ES"/>
              </w:rPr>
              <w:t>Fuente: ESS, rondas 2002, 2010 para Grecia, y 2012</w:t>
            </w:r>
          </w:p>
        </w:tc>
      </w:tr>
    </w:tbl>
    <w:p w:rsidR="00C24469" w:rsidRDefault="00C24469" w:rsidP="00E24482">
      <w:pPr>
        <w:spacing w:after="0" w:line="360" w:lineRule="auto"/>
        <w:ind w:firstLine="708"/>
        <w:jc w:val="both"/>
        <w:rPr>
          <w:rFonts w:ascii="Times New Roman" w:eastAsia="Times New Roman" w:hAnsi="Times New Roman" w:cs="Times New Roman"/>
          <w:sz w:val="24"/>
          <w:szCs w:val="23"/>
          <w:lang w:eastAsia="es-ES"/>
        </w:rPr>
      </w:pPr>
    </w:p>
    <w:p w:rsidR="00E24482" w:rsidRDefault="00E24482" w:rsidP="00E24482">
      <w:pPr>
        <w:spacing w:after="0" w:line="360" w:lineRule="auto"/>
        <w:ind w:firstLine="708"/>
        <w:jc w:val="both"/>
        <w:rPr>
          <w:rFonts w:ascii="Times New Roman" w:eastAsia="Times New Roman" w:hAnsi="Times New Roman" w:cs="Times New Roman"/>
          <w:sz w:val="24"/>
          <w:szCs w:val="23"/>
          <w:lang w:eastAsia="es-ES"/>
        </w:rPr>
      </w:pPr>
    </w:p>
    <w:p w:rsidR="00E24482" w:rsidRDefault="00E24482" w:rsidP="00E24482">
      <w:pPr>
        <w:spacing w:after="0" w:line="360" w:lineRule="auto"/>
        <w:ind w:firstLine="708"/>
        <w:jc w:val="both"/>
        <w:rPr>
          <w:rFonts w:ascii="Times New Roman" w:eastAsia="Times New Roman" w:hAnsi="Times New Roman" w:cs="Times New Roman"/>
          <w:sz w:val="24"/>
          <w:szCs w:val="23"/>
          <w:lang w:eastAsia="es-ES"/>
        </w:rPr>
      </w:pPr>
      <w:r>
        <w:rPr>
          <w:rFonts w:ascii="Times New Roman" w:eastAsia="Times New Roman" w:hAnsi="Times New Roman" w:cs="Times New Roman"/>
          <w:sz w:val="24"/>
          <w:szCs w:val="23"/>
          <w:lang w:eastAsia="es-ES"/>
        </w:rPr>
        <w:t xml:space="preserve">Finalmente, y de acuerdo con lo expuesto en el gráfico 9, tras crear una variable que aúne las características crítico y abstencionista, se ha estudiado su asistencia a manifestaciones. Así, además de replicar lo adelantado en la tabla 7, se profundiza en el comportamiento del perfil crítico de entre aquéllos que no votaron. Los resultados concuerdan con la tabla 7, en tanto que la asistencia a manifestaciones entre los abstencionistas aumenta desde el estallido de la crisis, disparándose especialmente en Grecia y Portugal. Grecia se perfila así, definitivamente, como el país del Sur de Europa que más cambios experimenta en el comportamiento de sus abstencionistas y en la lectura que podemos hacer de dicha abstención, abriendo así debates y análisis posteriores más específicos sobre las particularidades del caso heleno. </w:t>
      </w:r>
    </w:p>
    <w:p w:rsidR="00E24482" w:rsidRDefault="00E24482" w:rsidP="00E24482">
      <w:pPr>
        <w:spacing w:after="0" w:line="360" w:lineRule="auto"/>
        <w:ind w:firstLine="708"/>
        <w:jc w:val="both"/>
        <w:rPr>
          <w:rFonts w:ascii="Times New Roman" w:eastAsia="Times New Roman" w:hAnsi="Times New Roman" w:cs="Times New Roman"/>
          <w:sz w:val="24"/>
          <w:szCs w:val="23"/>
          <w:lang w:eastAsia="es-ES"/>
        </w:rPr>
      </w:pPr>
    </w:p>
    <w:p w:rsidR="00E24482" w:rsidRDefault="00E24482" w:rsidP="00E24482">
      <w:pPr>
        <w:spacing w:after="0" w:line="360" w:lineRule="auto"/>
        <w:ind w:firstLine="708"/>
        <w:jc w:val="center"/>
        <w:rPr>
          <w:rFonts w:ascii="Times New Roman" w:eastAsia="Times New Roman" w:hAnsi="Times New Roman" w:cs="Times New Roman"/>
          <w:sz w:val="24"/>
          <w:szCs w:val="23"/>
          <w:lang w:eastAsia="es-ES"/>
        </w:rPr>
      </w:pPr>
      <w:r>
        <w:rPr>
          <w:noProof/>
          <w:lang w:eastAsia="es-ES"/>
        </w:rPr>
        <w:drawing>
          <wp:inline distT="0" distB="0" distL="0" distR="0" wp14:anchorId="6640EDFC" wp14:editId="0F9F4D83">
            <wp:extent cx="5010150" cy="2838450"/>
            <wp:effectExtent l="0" t="0" r="0" b="0"/>
            <wp:docPr id="7" name="Gráfico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24482" w:rsidRDefault="00E24482" w:rsidP="008E0855">
      <w:pPr>
        <w:spacing w:after="0" w:line="360" w:lineRule="auto"/>
        <w:jc w:val="both"/>
        <w:rPr>
          <w:rFonts w:ascii="Times New Roman" w:eastAsia="Times New Roman" w:hAnsi="Times New Roman" w:cs="Times New Roman"/>
          <w:sz w:val="24"/>
          <w:szCs w:val="23"/>
          <w:lang w:eastAsia="es-ES"/>
        </w:rPr>
      </w:pPr>
      <w:r>
        <w:rPr>
          <w:rFonts w:ascii="Times New Roman" w:eastAsia="Times New Roman" w:hAnsi="Times New Roman" w:cs="Times New Roman"/>
          <w:sz w:val="24"/>
          <w:szCs w:val="23"/>
          <w:lang w:eastAsia="es-ES"/>
        </w:rPr>
        <w:tab/>
      </w:r>
    </w:p>
    <w:p w:rsidR="0082014D" w:rsidRDefault="0082014D" w:rsidP="008E0855">
      <w:pPr>
        <w:spacing w:after="0" w:line="360" w:lineRule="auto"/>
        <w:jc w:val="both"/>
        <w:rPr>
          <w:rFonts w:ascii="Times New Roman" w:eastAsia="Times New Roman" w:hAnsi="Times New Roman" w:cs="Times New Roman"/>
          <w:sz w:val="24"/>
          <w:szCs w:val="23"/>
          <w:lang w:eastAsia="es-ES"/>
        </w:rPr>
      </w:pPr>
    </w:p>
    <w:p w:rsidR="0082014D" w:rsidRDefault="0082014D" w:rsidP="008E0855">
      <w:pPr>
        <w:spacing w:after="0" w:line="360" w:lineRule="auto"/>
        <w:jc w:val="both"/>
        <w:rPr>
          <w:rFonts w:ascii="Times New Roman" w:eastAsia="Times New Roman" w:hAnsi="Times New Roman" w:cs="Times New Roman"/>
          <w:sz w:val="24"/>
          <w:szCs w:val="23"/>
          <w:lang w:eastAsia="es-ES"/>
        </w:rPr>
      </w:pPr>
    </w:p>
    <w:p w:rsidR="00A07E51" w:rsidRDefault="008E0855" w:rsidP="00807063">
      <w:pPr>
        <w:spacing w:after="0" w:line="360" w:lineRule="auto"/>
        <w:ind w:firstLine="708"/>
        <w:jc w:val="both"/>
        <w:rPr>
          <w:rFonts w:ascii="Times New Roman" w:eastAsia="Times New Roman" w:hAnsi="Times New Roman" w:cs="Times New Roman"/>
          <w:sz w:val="24"/>
          <w:szCs w:val="23"/>
          <w:lang w:eastAsia="es-ES"/>
        </w:rPr>
      </w:pPr>
      <w:r>
        <w:rPr>
          <w:rFonts w:ascii="Times New Roman" w:eastAsia="Times New Roman" w:hAnsi="Times New Roman" w:cs="Times New Roman"/>
          <w:sz w:val="24"/>
          <w:szCs w:val="23"/>
          <w:lang w:eastAsia="es-ES"/>
        </w:rPr>
        <w:lastRenderedPageBreak/>
        <w:t xml:space="preserve">Esto, por un lado, prueba la validez de la idea de que, entre los abstencionistas, se está haciendo fuerte un perfil crítico, que desarrolla, como hemos visto en las tablas anteriores, otros tipos de participación política. </w:t>
      </w:r>
      <w:r w:rsidR="00EE6091">
        <w:rPr>
          <w:rFonts w:ascii="Times New Roman" w:eastAsia="Times New Roman" w:hAnsi="Times New Roman" w:cs="Times New Roman"/>
          <w:sz w:val="24"/>
          <w:szCs w:val="23"/>
          <w:lang w:eastAsia="es-ES"/>
        </w:rPr>
        <w:t>Es por ello que, pese a considerar probadas</w:t>
      </w:r>
      <w:r>
        <w:rPr>
          <w:rFonts w:ascii="Times New Roman" w:eastAsia="Times New Roman" w:hAnsi="Times New Roman" w:cs="Times New Roman"/>
          <w:sz w:val="24"/>
          <w:szCs w:val="23"/>
          <w:lang w:eastAsia="es-ES"/>
        </w:rPr>
        <w:t xml:space="preserve"> </w:t>
      </w:r>
      <w:r w:rsidR="00EE6091">
        <w:rPr>
          <w:rFonts w:ascii="Times New Roman" w:eastAsia="Times New Roman" w:hAnsi="Times New Roman" w:cs="Times New Roman"/>
          <w:sz w:val="24"/>
          <w:szCs w:val="23"/>
          <w:lang w:eastAsia="es-ES"/>
        </w:rPr>
        <w:t xml:space="preserve">las hipótesis </w:t>
      </w:r>
      <w:r>
        <w:rPr>
          <w:rFonts w:ascii="Times New Roman" w:eastAsia="Times New Roman" w:hAnsi="Times New Roman" w:cs="Times New Roman"/>
          <w:sz w:val="24"/>
          <w:szCs w:val="23"/>
          <w:lang w:eastAsia="es-ES"/>
        </w:rPr>
        <w:t>H1.A</w:t>
      </w:r>
      <w:r w:rsidR="00EE6091">
        <w:rPr>
          <w:rFonts w:ascii="Times New Roman" w:eastAsia="Times New Roman" w:hAnsi="Times New Roman" w:cs="Times New Roman"/>
          <w:sz w:val="24"/>
          <w:szCs w:val="23"/>
          <w:lang w:eastAsia="es-ES"/>
        </w:rPr>
        <w:t xml:space="preserve"> acerca de una mayor presencia de críticos y desafectos entre los abstencionistas, </w:t>
      </w:r>
      <w:r>
        <w:rPr>
          <w:rFonts w:ascii="Times New Roman" w:eastAsia="Times New Roman" w:hAnsi="Times New Roman" w:cs="Times New Roman"/>
          <w:sz w:val="24"/>
          <w:szCs w:val="23"/>
          <w:lang w:eastAsia="es-ES"/>
        </w:rPr>
        <w:t xml:space="preserve"> y H.1.B</w:t>
      </w:r>
      <w:r w:rsidR="00EE6091">
        <w:rPr>
          <w:rFonts w:ascii="Times New Roman" w:eastAsia="Times New Roman" w:hAnsi="Times New Roman" w:cs="Times New Roman"/>
          <w:sz w:val="24"/>
          <w:szCs w:val="23"/>
          <w:lang w:eastAsia="es-ES"/>
        </w:rPr>
        <w:t xml:space="preserve">, o de </w:t>
      </w:r>
      <w:r w:rsidR="00F547B0">
        <w:rPr>
          <w:rFonts w:ascii="Times New Roman" w:eastAsia="Times New Roman" w:hAnsi="Times New Roman" w:cs="Times New Roman"/>
          <w:sz w:val="24"/>
          <w:szCs w:val="23"/>
          <w:lang w:eastAsia="es-ES"/>
        </w:rPr>
        <w:t>participación de los abstencionistas mediante otras vías como la protesta, hemos de ser cautos, especialmente en lo referente a esta última, ya que no todos los casos presentan (aunque cuando no se aprecia, los niveles están próximos a tenerla) significación estadística.  Por otra parte, en cuanto al perfil dominante entre los abstencionistas recogido en la H.1.A, si bien es cierto que los críticos han aumentado,</w:t>
      </w:r>
      <w:r>
        <w:rPr>
          <w:rFonts w:ascii="Times New Roman" w:eastAsia="Times New Roman" w:hAnsi="Times New Roman" w:cs="Times New Roman"/>
          <w:sz w:val="24"/>
          <w:szCs w:val="23"/>
          <w:lang w:eastAsia="es-ES"/>
        </w:rPr>
        <w:t xml:space="preserve"> el perfil más destacado es, en todos los casos, el de los desafectos, quienes suponen en todos los casos (salvo en España, con el 50%) más de la mitad del conjunto de la abstención. </w:t>
      </w:r>
      <w:r w:rsidR="0051625B">
        <w:rPr>
          <w:rFonts w:ascii="Times New Roman" w:eastAsia="Times New Roman" w:hAnsi="Times New Roman" w:cs="Times New Roman"/>
          <w:sz w:val="24"/>
          <w:szCs w:val="23"/>
          <w:lang w:eastAsia="es-ES"/>
        </w:rPr>
        <w:t xml:space="preserve">Es por ello que, de cara a futuras investigaciones, pudiera resultar interesante focalizarse en este perfil y su presencia no sólo en la abstención, donde puede resultar menos sorprendente, sino entre el conjunto de la ciudadanía, especialmente habiendo visto cuáles son las opiniones mayoritarias entre la ciudadanía desde que arrancara la Gran Recesión, </w:t>
      </w:r>
      <w:r w:rsidR="0051625B" w:rsidRPr="0010654E">
        <w:rPr>
          <w:rFonts w:ascii="Times New Roman" w:eastAsia="Times New Roman" w:hAnsi="Times New Roman" w:cs="Times New Roman"/>
          <w:sz w:val="24"/>
          <w:szCs w:val="23"/>
          <w:lang w:eastAsia="es-ES"/>
        </w:rPr>
        <w:t xml:space="preserve">presentadas en el </w:t>
      </w:r>
      <w:r w:rsidR="0010654E" w:rsidRPr="0010654E">
        <w:rPr>
          <w:rFonts w:ascii="Times New Roman" w:eastAsia="Times New Roman" w:hAnsi="Times New Roman" w:cs="Times New Roman"/>
          <w:sz w:val="24"/>
          <w:szCs w:val="23"/>
          <w:lang w:eastAsia="es-ES"/>
        </w:rPr>
        <w:t>las tablas 8 y 9.</w:t>
      </w:r>
    </w:p>
    <w:p w:rsidR="00C24469" w:rsidRDefault="00C24469" w:rsidP="00807063">
      <w:pPr>
        <w:spacing w:after="0" w:line="360" w:lineRule="auto"/>
        <w:ind w:firstLine="708"/>
        <w:jc w:val="both"/>
        <w:rPr>
          <w:rFonts w:ascii="Times New Roman" w:eastAsia="Times New Roman" w:hAnsi="Times New Roman" w:cs="Times New Roman"/>
          <w:sz w:val="24"/>
          <w:szCs w:val="23"/>
          <w:lang w:eastAsia="es-ES"/>
        </w:rPr>
      </w:pPr>
      <w:r>
        <w:rPr>
          <w:rFonts w:ascii="Times New Roman" w:eastAsia="Times New Roman" w:hAnsi="Times New Roman" w:cs="Times New Roman"/>
          <w:sz w:val="24"/>
          <w:szCs w:val="23"/>
          <w:lang w:eastAsia="es-ES"/>
        </w:rPr>
        <w:t xml:space="preserve">En todo momento, el caso que mejor funciona para las hipótesis planteadas es Grecia, cuyos niveles de desempleo y pérdidas en el PIB, es decir, los efectos directos y más visibles de la crisis, han sido más dramáticos que en Italia, Portugal y España. La debilidad de las hipótesis, por otro lado, para el caso español, lleva a pensar en una leve reformulación de las mismas, incluso a plantear una investigación comparada entre estos dos casos únicamente, para establecer las causas de tales variaciones. </w:t>
      </w:r>
    </w:p>
    <w:p w:rsidR="008E0855" w:rsidRDefault="008E0855" w:rsidP="008E0855">
      <w:pPr>
        <w:spacing w:after="0" w:line="360" w:lineRule="auto"/>
        <w:ind w:firstLine="708"/>
        <w:jc w:val="both"/>
        <w:rPr>
          <w:rFonts w:ascii="Times New Roman" w:eastAsia="Times New Roman" w:hAnsi="Times New Roman" w:cs="Times New Roman"/>
          <w:sz w:val="24"/>
          <w:szCs w:val="23"/>
          <w:lang w:eastAsia="es-ES"/>
        </w:rPr>
      </w:pPr>
    </w:p>
    <w:p w:rsidR="008E0855" w:rsidRPr="00A07E51" w:rsidRDefault="008E0855" w:rsidP="008E0855">
      <w:pPr>
        <w:spacing w:after="0" w:line="360" w:lineRule="auto"/>
        <w:ind w:firstLine="708"/>
        <w:jc w:val="both"/>
        <w:rPr>
          <w:rFonts w:ascii="Times New Roman" w:eastAsia="Times New Roman" w:hAnsi="Times New Roman" w:cs="Times New Roman"/>
          <w:sz w:val="24"/>
          <w:szCs w:val="23"/>
          <w:lang w:eastAsia="es-ES"/>
        </w:rPr>
      </w:pPr>
      <w:r>
        <w:rPr>
          <w:rFonts w:ascii="Times New Roman" w:eastAsia="Times New Roman" w:hAnsi="Times New Roman" w:cs="Times New Roman"/>
          <w:sz w:val="24"/>
          <w:szCs w:val="23"/>
          <w:lang w:eastAsia="es-ES"/>
        </w:rPr>
        <w:t xml:space="preserve">Pese a ello, y a la cautela que se ha mostrado a lo largo de todo el trabajo a la hora de asociar abstención con crítica, lo cierto es que este discurso está presente, también, entre quienes no acudieron a las urnas, pretendiendo de este modo demostrar un mensaje que se refuerza, también, a través de otros escenarios. </w:t>
      </w:r>
    </w:p>
    <w:p w:rsidR="00A07E51" w:rsidRDefault="00A07E51" w:rsidP="00C30686">
      <w:pPr>
        <w:spacing w:after="0" w:line="360" w:lineRule="auto"/>
        <w:jc w:val="both"/>
        <w:rPr>
          <w:rFonts w:ascii="Times New Roman" w:eastAsia="Times New Roman" w:hAnsi="Times New Roman" w:cs="Times New Roman"/>
          <w:i/>
          <w:sz w:val="24"/>
          <w:szCs w:val="23"/>
          <w:lang w:eastAsia="es-ES"/>
        </w:rPr>
      </w:pPr>
    </w:p>
    <w:p w:rsidR="009A4FA4" w:rsidRDefault="009A4FA4" w:rsidP="00C30686">
      <w:pPr>
        <w:spacing w:after="0" w:line="360" w:lineRule="auto"/>
        <w:jc w:val="both"/>
        <w:rPr>
          <w:rFonts w:ascii="Times New Roman" w:eastAsia="Times New Roman" w:hAnsi="Times New Roman" w:cs="Times New Roman"/>
          <w:i/>
          <w:sz w:val="24"/>
          <w:szCs w:val="23"/>
          <w:lang w:eastAsia="es-ES"/>
        </w:rPr>
      </w:pPr>
    </w:p>
    <w:p w:rsidR="0051625B" w:rsidRDefault="0051625B" w:rsidP="00C30686">
      <w:pPr>
        <w:spacing w:after="0" w:line="360" w:lineRule="auto"/>
        <w:jc w:val="both"/>
        <w:rPr>
          <w:rFonts w:ascii="Times New Roman" w:eastAsia="Times New Roman" w:hAnsi="Times New Roman" w:cs="Times New Roman"/>
          <w:i/>
          <w:sz w:val="24"/>
          <w:szCs w:val="23"/>
          <w:lang w:eastAsia="es-ES"/>
        </w:rPr>
      </w:pPr>
    </w:p>
    <w:p w:rsidR="0010654E" w:rsidRDefault="0010654E" w:rsidP="00C30686">
      <w:pPr>
        <w:spacing w:after="0" w:line="360" w:lineRule="auto"/>
        <w:jc w:val="both"/>
        <w:rPr>
          <w:rFonts w:ascii="Times New Roman" w:eastAsia="Times New Roman" w:hAnsi="Times New Roman" w:cs="Times New Roman"/>
          <w:i/>
          <w:sz w:val="24"/>
          <w:szCs w:val="23"/>
          <w:lang w:eastAsia="es-ES"/>
        </w:rPr>
      </w:pPr>
    </w:p>
    <w:p w:rsidR="0010654E" w:rsidRDefault="0010654E" w:rsidP="00C30686">
      <w:pPr>
        <w:spacing w:after="0" w:line="360" w:lineRule="auto"/>
        <w:jc w:val="both"/>
        <w:rPr>
          <w:rFonts w:ascii="Times New Roman" w:eastAsia="Times New Roman" w:hAnsi="Times New Roman" w:cs="Times New Roman"/>
          <w:i/>
          <w:sz w:val="24"/>
          <w:szCs w:val="23"/>
          <w:lang w:eastAsia="es-ES"/>
        </w:rPr>
      </w:pPr>
    </w:p>
    <w:p w:rsidR="0010654E" w:rsidRDefault="0010654E" w:rsidP="00C30686">
      <w:pPr>
        <w:spacing w:after="0" w:line="360" w:lineRule="auto"/>
        <w:jc w:val="both"/>
        <w:rPr>
          <w:rFonts w:ascii="Times New Roman" w:eastAsia="Times New Roman" w:hAnsi="Times New Roman" w:cs="Times New Roman"/>
          <w:i/>
          <w:sz w:val="24"/>
          <w:szCs w:val="23"/>
          <w:lang w:eastAsia="es-ES"/>
        </w:rPr>
      </w:pPr>
    </w:p>
    <w:p w:rsidR="00C24469" w:rsidRDefault="00C24469" w:rsidP="00C30686">
      <w:pPr>
        <w:spacing w:after="0" w:line="360" w:lineRule="auto"/>
        <w:jc w:val="both"/>
        <w:rPr>
          <w:rFonts w:ascii="Times New Roman" w:eastAsia="Times New Roman" w:hAnsi="Times New Roman" w:cs="Times New Roman"/>
          <w:i/>
          <w:sz w:val="24"/>
          <w:szCs w:val="23"/>
          <w:lang w:eastAsia="es-ES"/>
        </w:rPr>
      </w:pPr>
    </w:p>
    <w:p w:rsidR="00C30686" w:rsidRPr="00A11BC4" w:rsidRDefault="00C30686" w:rsidP="00C30686">
      <w:pPr>
        <w:spacing w:after="0" w:line="360" w:lineRule="auto"/>
        <w:jc w:val="both"/>
        <w:rPr>
          <w:rFonts w:ascii="Times New Roman" w:eastAsia="Times New Roman" w:hAnsi="Times New Roman" w:cs="Times New Roman"/>
          <w:i/>
          <w:sz w:val="24"/>
          <w:szCs w:val="23"/>
          <w:lang w:eastAsia="es-ES"/>
        </w:rPr>
      </w:pPr>
      <w:r w:rsidRPr="00A11BC4">
        <w:rPr>
          <w:rFonts w:ascii="Times New Roman" w:eastAsia="Times New Roman" w:hAnsi="Times New Roman" w:cs="Times New Roman"/>
          <w:i/>
          <w:sz w:val="24"/>
          <w:szCs w:val="23"/>
          <w:lang w:eastAsia="es-ES"/>
        </w:rPr>
        <w:lastRenderedPageBreak/>
        <w:t>Conclusiones</w:t>
      </w:r>
    </w:p>
    <w:p w:rsidR="00BB61C1" w:rsidRDefault="00BB61C1" w:rsidP="00C30686">
      <w:pPr>
        <w:spacing w:after="0" w:line="360" w:lineRule="auto"/>
        <w:jc w:val="both"/>
        <w:rPr>
          <w:rFonts w:ascii="Times New Roman" w:eastAsia="Times New Roman" w:hAnsi="Times New Roman" w:cs="Times New Roman"/>
          <w:sz w:val="24"/>
          <w:szCs w:val="23"/>
          <w:lang w:eastAsia="es-ES"/>
        </w:rPr>
      </w:pPr>
    </w:p>
    <w:p w:rsidR="00C30686" w:rsidRDefault="00C30686" w:rsidP="00C30686">
      <w:pPr>
        <w:spacing w:after="0" w:line="360" w:lineRule="auto"/>
        <w:jc w:val="both"/>
        <w:rPr>
          <w:rFonts w:ascii="Times New Roman" w:eastAsia="Times New Roman" w:hAnsi="Times New Roman" w:cs="Times New Roman"/>
          <w:sz w:val="24"/>
          <w:szCs w:val="23"/>
          <w:lang w:eastAsia="es-ES"/>
        </w:rPr>
      </w:pPr>
      <w:r>
        <w:rPr>
          <w:rFonts w:ascii="Times New Roman" w:eastAsia="Times New Roman" w:hAnsi="Times New Roman" w:cs="Times New Roman"/>
          <w:sz w:val="24"/>
          <w:szCs w:val="23"/>
          <w:lang w:eastAsia="es-ES"/>
        </w:rPr>
        <w:t xml:space="preserve">Como </w:t>
      </w:r>
      <w:r w:rsidR="001C279B">
        <w:rPr>
          <w:rFonts w:ascii="Times New Roman" w:eastAsia="Times New Roman" w:hAnsi="Times New Roman" w:cs="Times New Roman"/>
          <w:sz w:val="24"/>
          <w:szCs w:val="23"/>
          <w:lang w:eastAsia="es-ES"/>
        </w:rPr>
        <w:t>se ha visto a</w:t>
      </w:r>
      <w:r>
        <w:rPr>
          <w:rFonts w:ascii="Times New Roman" w:eastAsia="Times New Roman" w:hAnsi="Times New Roman" w:cs="Times New Roman"/>
          <w:sz w:val="24"/>
          <w:szCs w:val="23"/>
          <w:lang w:eastAsia="es-ES"/>
        </w:rPr>
        <w:t xml:space="preserve"> lo largo de la</w:t>
      </w:r>
      <w:r w:rsidR="001C279B">
        <w:rPr>
          <w:rFonts w:ascii="Times New Roman" w:eastAsia="Times New Roman" w:hAnsi="Times New Roman" w:cs="Times New Roman"/>
          <w:sz w:val="24"/>
          <w:szCs w:val="23"/>
          <w:lang w:eastAsia="es-ES"/>
        </w:rPr>
        <w:t xml:space="preserve"> </w:t>
      </w:r>
      <w:r>
        <w:rPr>
          <w:rFonts w:ascii="Times New Roman" w:eastAsia="Times New Roman" w:hAnsi="Times New Roman" w:cs="Times New Roman"/>
          <w:sz w:val="24"/>
          <w:szCs w:val="23"/>
          <w:lang w:eastAsia="es-ES"/>
        </w:rPr>
        <w:t xml:space="preserve">investigación, la abstención es un fenómeno creciente en los últimos años, especialmente en los países del Sur de Europa. Su aumento durante la crisis llevó a pensar en una posible relación entre ambos sucesos, que es lo que aquí se ha intentado probar. En España, Grecia, Italia y Portugal, las actitudes negativas para con el funcionamiento de la democracia y el trabajo de sus principales actores (partidos e instituciones) ha crecido de forma dramática, probando el impacto político de una crisis que comenzó siendo económica. Esto ha influido en el comportamiento político de los ciudadanos, que cada vez se abstienen más, y se decantan por otros modos de participación política, especialmente por la protesta. Este trabajo pone pues de manifiesto cómo la insatisfacción y el descontento político conllevan una preferencia por la salida (en este caso electoral). </w:t>
      </w:r>
    </w:p>
    <w:p w:rsidR="00807063" w:rsidRDefault="00807063" w:rsidP="00C30686">
      <w:pPr>
        <w:spacing w:after="0" w:line="360" w:lineRule="auto"/>
        <w:jc w:val="both"/>
        <w:rPr>
          <w:rFonts w:ascii="Times New Roman" w:eastAsia="Times New Roman" w:hAnsi="Times New Roman" w:cs="Times New Roman"/>
          <w:color w:val="FF0000"/>
          <w:sz w:val="24"/>
          <w:szCs w:val="23"/>
          <w:lang w:eastAsia="es-ES"/>
        </w:rPr>
      </w:pPr>
      <w:r>
        <w:rPr>
          <w:rFonts w:ascii="Times New Roman" w:eastAsia="Times New Roman" w:hAnsi="Times New Roman" w:cs="Times New Roman"/>
          <w:sz w:val="24"/>
          <w:szCs w:val="23"/>
          <w:lang w:eastAsia="es-ES"/>
        </w:rPr>
        <w:tab/>
        <w:t xml:space="preserve">La evolución de los perfiles demuestra que durante la crisis, la abstención no sólo ha aumentado, sino que su mensaje es particularmente negativo. Si bien es cierto que la desafección es la tendencia dominante entre quienes no votan, la crítica se aproxima al 20 por cien en Grecia, país que, junto con España (donde prácticamente se duplica), registra las mayores subidas de esta actitud. </w:t>
      </w:r>
      <w:r w:rsidR="00C24469" w:rsidRPr="00C24469">
        <w:rPr>
          <w:rFonts w:ascii="Times New Roman" w:eastAsia="Times New Roman" w:hAnsi="Times New Roman" w:cs="Times New Roman"/>
          <w:sz w:val="24"/>
          <w:szCs w:val="23"/>
          <w:lang w:eastAsia="es-ES"/>
        </w:rPr>
        <w:t xml:space="preserve">Esto es coherente </w:t>
      </w:r>
      <w:r w:rsidR="0051625B" w:rsidRPr="00C24469">
        <w:rPr>
          <w:rFonts w:ascii="Times New Roman" w:eastAsia="Times New Roman" w:hAnsi="Times New Roman" w:cs="Times New Roman"/>
          <w:sz w:val="24"/>
          <w:szCs w:val="23"/>
          <w:lang w:eastAsia="es-ES"/>
        </w:rPr>
        <w:t>con la distribución general de actitudes entre griegos, italianos, portugueses y españoles, quienes, en los últimos años, no han dejado pasar la oportunidad de mostrar su descontento.</w:t>
      </w:r>
    </w:p>
    <w:p w:rsidR="00307DE5" w:rsidRDefault="00307DE5" w:rsidP="00396C84">
      <w:pPr>
        <w:spacing w:after="0" w:line="360" w:lineRule="auto"/>
        <w:ind w:firstLine="708"/>
        <w:jc w:val="both"/>
        <w:rPr>
          <w:rFonts w:ascii="Times New Roman" w:eastAsia="Times New Roman" w:hAnsi="Times New Roman" w:cs="Times New Roman"/>
          <w:sz w:val="24"/>
          <w:szCs w:val="23"/>
          <w:lang w:eastAsia="es-ES"/>
        </w:rPr>
      </w:pPr>
      <w:r>
        <w:rPr>
          <w:rFonts w:ascii="Times New Roman" w:eastAsia="Times New Roman" w:hAnsi="Times New Roman" w:cs="Times New Roman"/>
          <w:sz w:val="24"/>
          <w:szCs w:val="23"/>
          <w:lang w:eastAsia="es-ES"/>
        </w:rPr>
        <w:t>Pese a que la abstención continúa siendo, mayoritariamente, un comportamiento que muestra desafección,</w:t>
      </w:r>
      <w:r w:rsidR="00396C84">
        <w:rPr>
          <w:rFonts w:ascii="Times New Roman" w:eastAsia="Times New Roman" w:hAnsi="Times New Roman" w:cs="Times New Roman"/>
          <w:sz w:val="24"/>
          <w:szCs w:val="23"/>
          <w:lang w:eastAsia="es-ES"/>
        </w:rPr>
        <w:t xml:space="preserve"> </w:t>
      </w:r>
      <w:r w:rsidR="00396C84" w:rsidRPr="00590DF6">
        <w:rPr>
          <w:rFonts w:ascii="Times New Roman" w:eastAsia="Times New Roman" w:hAnsi="Times New Roman" w:cs="Times New Roman"/>
          <w:sz w:val="24"/>
          <w:szCs w:val="23"/>
          <w:lang w:eastAsia="es-ES"/>
        </w:rPr>
        <w:t>contiene ahora un mensaje de descontento</w:t>
      </w:r>
      <w:r>
        <w:rPr>
          <w:rFonts w:ascii="Times New Roman" w:eastAsia="Times New Roman" w:hAnsi="Times New Roman" w:cs="Times New Roman"/>
          <w:sz w:val="24"/>
          <w:szCs w:val="23"/>
          <w:lang w:eastAsia="es-ES"/>
        </w:rPr>
        <w:t xml:space="preserve"> de carácter crítico </w:t>
      </w:r>
      <w:r w:rsidR="00396C84" w:rsidRPr="00590DF6">
        <w:rPr>
          <w:rFonts w:ascii="Times New Roman" w:eastAsia="Times New Roman" w:hAnsi="Times New Roman" w:cs="Times New Roman"/>
          <w:sz w:val="24"/>
          <w:szCs w:val="23"/>
          <w:lang w:eastAsia="es-ES"/>
        </w:rPr>
        <w:t>, lo que nos lleva a entenderla como una salida crítica, como planteaba la hipótesis pr</w:t>
      </w:r>
      <w:r w:rsidR="00C24469">
        <w:rPr>
          <w:rFonts w:ascii="Times New Roman" w:eastAsia="Times New Roman" w:hAnsi="Times New Roman" w:cs="Times New Roman"/>
          <w:sz w:val="24"/>
          <w:szCs w:val="23"/>
          <w:lang w:eastAsia="es-ES"/>
        </w:rPr>
        <w:t xml:space="preserve">incipal de esta investigación, </w:t>
      </w:r>
      <w:r w:rsidR="00396C84" w:rsidRPr="00590DF6">
        <w:rPr>
          <w:rFonts w:ascii="Times New Roman" w:eastAsia="Times New Roman" w:hAnsi="Times New Roman" w:cs="Times New Roman"/>
          <w:sz w:val="24"/>
          <w:szCs w:val="23"/>
          <w:lang w:eastAsia="es-ES"/>
        </w:rPr>
        <w:t>en lugar de implicar mero desentendimiento (Blais</w:t>
      </w:r>
      <w:r w:rsidR="00396C84">
        <w:rPr>
          <w:rFonts w:ascii="Times New Roman" w:eastAsia="Times New Roman" w:hAnsi="Times New Roman" w:cs="Times New Roman"/>
          <w:sz w:val="24"/>
          <w:szCs w:val="23"/>
          <w:lang w:eastAsia="es-ES"/>
        </w:rPr>
        <w:t>, 2000</w:t>
      </w:r>
      <w:r w:rsidR="00396C84" w:rsidRPr="00590DF6">
        <w:rPr>
          <w:rFonts w:ascii="Times New Roman" w:eastAsia="Times New Roman" w:hAnsi="Times New Roman" w:cs="Times New Roman"/>
          <w:sz w:val="24"/>
          <w:szCs w:val="23"/>
          <w:lang w:eastAsia="es-ES"/>
        </w:rPr>
        <w:t xml:space="preserve">). </w:t>
      </w:r>
      <w:r>
        <w:rPr>
          <w:rFonts w:ascii="Times New Roman" w:eastAsia="Times New Roman" w:hAnsi="Times New Roman" w:cs="Times New Roman"/>
          <w:sz w:val="24"/>
          <w:szCs w:val="23"/>
          <w:lang w:eastAsia="es-ES"/>
        </w:rPr>
        <w:t>Por lo tanto, aunque se encuentre mayor grado de continuidad que de cambio en el contenido del mensaje que la abstención pueda transmitir, el carácter crítico ahora presente en la misma indica una novedad excepcional en dicho mensaje. Si bien este mensaje puede ser tan excepcional como las circunstancias en que se da, no cabe duda de que supone un cambio en el comportamiento electoral de los ciudadanos que puede devenir en otros, como el auge de la protesta, o el éxito de los nuevos partidos.</w:t>
      </w:r>
      <w:bookmarkStart w:id="0" w:name="_GoBack"/>
      <w:bookmarkEnd w:id="0"/>
    </w:p>
    <w:p w:rsidR="0051625B" w:rsidRDefault="00396C84" w:rsidP="00396C84">
      <w:pPr>
        <w:spacing w:after="0" w:line="360" w:lineRule="auto"/>
        <w:ind w:firstLine="708"/>
        <w:jc w:val="both"/>
        <w:rPr>
          <w:rFonts w:ascii="Times New Roman" w:eastAsia="Times New Roman" w:hAnsi="Times New Roman" w:cs="Times New Roman"/>
          <w:sz w:val="24"/>
          <w:szCs w:val="23"/>
          <w:lang w:eastAsia="es-ES"/>
        </w:rPr>
      </w:pPr>
      <w:r w:rsidRPr="00590DF6">
        <w:rPr>
          <w:rFonts w:ascii="Times New Roman" w:hAnsi="Times New Roman" w:cs="Times New Roman"/>
          <w:sz w:val="24"/>
        </w:rPr>
        <w:t xml:space="preserve">Como señalaba Font (1993), los abstencionistas no son siempre los mismos por lo que la intención con que se abstienen y el mensaje que de </w:t>
      </w:r>
      <w:r>
        <w:rPr>
          <w:rFonts w:ascii="Times New Roman" w:hAnsi="Times New Roman" w:cs="Times New Roman"/>
          <w:sz w:val="24"/>
        </w:rPr>
        <w:t xml:space="preserve">ello se derive tampoco lo será, por lo que </w:t>
      </w:r>
      <w:r w:rsidRPr="00590DF6">
        <w:rPr>
          <w:rFonts w:ascii="Times New Roman" w:hAnsi="Times New Roman" w:cs="Times New Roman"/>
          <w:sz w:val="24"/>
        </w:rPr>
        <w:t xml:space="preserve">posible apuntar la presencia de un sector crítico entre los ciudadanos </w:t>
      </w:r>
      <w:proofErr w:type="gramStart"/>
      <w:r w:rsidRPr="00590DF6">
        <w:rPr>
          <w:rFonts w:ascii="Times New Roman" w:hAnsi="Times New Roman" w:cs="Times New Roman"/>
          <w:sz w:val="24"/>
        </w:rPr>
        <w:lastRenderedPageBreak/>
        <w:t>que</w:t>
      </w:r>
      <w:proofErr w:type="gramEnd"/>
      <w:r w:rsidRPr="00590DF6">
        <w:rPr>
          <w:rFonts w:ascii="Times New Roman" w:hAnsi="Times New Roman" w:cs="Times New Roman"/>
          <w:sz w:val="24"/>
        </w:rPr>
        <w:t xml:space="preserve"> se adscriben a tal comportam</w:t>
      </w:r>
      <w:r>
        <w:rPr>
          <w:rFonts w:ascii="Times New Roman" w:hAnsi="Times New Roman" w:cs="Times New Roman"/>
          <w:sz w:val="24"/>
        </w:rPr>
        <w:t>iento en las últimas elecciones.</w:t>
      </w:r>
      <w:r w:rsidR="008C7FF3">
        <w:rPr>
          <w:rFonts w:ascii="Times New Roman" w:hAnsi="Times New Roman" w:cs="Times New Roman"/>
          <w:sz w:val="24"/>
        </w:rPr>
        <w:t xml:space="preserve"> El nuevo mensaje, pues, parece consistir en la transmisión del rechazo y la desconfianza hacia instituciones y representantes (parlamentos, políticos, y partidos políticos aquí) tanto a través de la desafección como de la crítica, y en la consolidación de un comportamiento más coherente entre los abstencionistas que no quieren renunciar por completo a participar políticamente. </w:t>
      </w:r>
    </w:p>
    <w:p w:rsidR="000D796A" w:rsidRDefault="00196C5D" w:rsidP="00396C84">
      <w:pPr>
        <w:spacing w:after="0" w:line="360" w:lineRule="auto"/>
        <w:jc w:val="both"/>
        <w:rPr>
          <w:rFonts w:ascii="Times New Roman" w:eastAsia="Times New Roman" w:hAnsi="Times New Roman" w:cs="Times New Roman"/>
          <w:sz w:val="24"/>
          <w:szCs w:val="23"/>
          <w:lang w:eastAsia="es-ES"/>
        </w:rPr>
      </w:pPr>
      <w:r>
        <w:rPr>
          <w:rFonts w:ascii="Times New Roman" w:eastAsia="Times New Roman" w:hAnsi="Times New Roman" w:cs="Times New Roman"/>
          <w:sz w:val="24"/>
          <w:szCs w:val="23"/>
          <w:lang w:eastAsia="es-ES"/>
        </w:rPr>
        <w:tab/>
        <w:t xml:space="preserve">Esta salida (una tendencia ya consolidada en las democracias modernas, por otra parte, como también se ha discutido), </w:t>
      </w:r>
      <w:r w:rsidR="000D796A">
        <w:rPr>
          <w:rFonts w:ascii="Times New Roman" w:eastAsia="Times New Roman" w:hAnsi="Times New Roman" w:cs="Times New Roman"/>
          <w:sz w:val="24"/>
          <w:szCs w:val="23"/>
          <w:lang w:eastAsia="es-ES"/>
        </w:rPr>
        <w:t>puede ser considerada, por ello, como un correlato de la protesta en la vía electoral.</w:t>
      </w:r>
      <w:r w:rsidR="00396C84">
        <w:rPr>
          <w:rFonts w:ascii="Times New Roman" w:eastAsia="Times New Roman" w:hAnsi="Times New Roman" w:cs="Times New Roman"/>
          <w:sz w:val="24"/>
          <w:szCs w:val="23"/>
          <w:lang w:eastAsia="es-ES"/>
        </w:rPr>
        <w:t xml:space="preserve"> </w:t>
      </w:r>
      <w:r w:rsidR="000D796A">
        <w:rPr>
          <w:rFonts w:ascii="Times New Roman" w:eastAsia="Times New Roman" w:hAnsi="Times New Roman" w:cs="Times New Roman"/>
          <w:sz w:val="24"/>
          <w:szCs w:val="23"/>
          <w:lang w:eastAsia="es-ES"/>
        </w:rPr>
        <w:t xml:space="preserve">De esta forma, la abstención, parece tener un componente crítico y que puede, así, ser concebido como protesta, sumándose a acciones </w:t>
      </w:r>
      <w:r>
        <w:rPr>
          <w:rFonts w:ascii="Times New Roman" w:eastAsia="Times New Roman" w:hAnsi="Times New Roman" w:cs="Times New Roman"/>
          <w:sz w:val="24"/>
          <w:szCs w:val="23"/>
          <w:lang w:eastAsia="es-ES"/>
        </w:rPr>
        <w:t>convencionales o consolidadas en el repertorio de la protesta, como la asistencia a manifestaciones</w:t>
      </w:r>
      <w:r w:rsidRPr="00196C5D">
        <w:rPr>
          <w:rFonts w:ascii="Times New Roman" w:eastAsia="Times New Roman" w:hAnsi="Times New Roman" w:cs="Times New Roman"/>
          <w:sz w:val="24"/>
          <w:szCs w:val="23"/>
          <w:lang w:eastAsia="es-ES"/>
        </w:rPr>
        <w:t xml:space="preserve"> (aquí se recogen las concentraciones autorizadas, seg</w:t>
      </w:r>
      <w:r w:rsidR="007E3B7F">
        <w:rPr>
          <w:rFonts w:ascii="Times New Roman" w:eastAsia="Times New Roman" w:hAnsi="Times New Roman" w:cs="Times New Roman"/>
          <w:sz w:val="24"/>
          <w:szCs w:val="23"/>
          <w:lang w:eastAsia="es-ES"/>
        </w:rPr>
        <w:t xml:space="preserve">ún datos oficiales. Sin embargo, teniendo en cuenta machas, protestas, concentraciones, escraches etc, en España, en 2012, se convocaban una media de 16 manifestaciones al día, según </w:t>
      </w:r>
      <w:r w:rsidR="007E3B7F" w:rsidRPr="00271428">
        <w:rPr>
          <w:rFonts w:ascii="Times New Roman" w:eastAsia="Times New Roman" w:hAnsi="Times New Roman" w:cs="Times New Roman"/>
          <w:sz w:val="24"/>
          <w:szCs w:val="23"/>
          <w:lang w:eastAsia="es-ES"/>
        </w:rPr>
        <w:t>la prensa.).</w:t>
      </w:r>
      <w:r w:rsidR="007E3B7F">
        <w:rPr>
          <w:rFonts w:ascii="Times New Roman" w:eastAsia="Times New Roman" w:hAnsi="Times New Roman" w:cs="Times New Roman"/>
          <w:sz w:val="24"/>
          <w:szCs w:val="23"/>
          <w:lang w:eastAsia="es-ES"/>
        </w:rPr>
        <w:t xml:space="preserve"> </w:t>
      </w:r>
    </w:p>
    <w:p w:rsidR="00196C5D" w:rsidRDefault="00396C84" w:rsidP="00196C5D">
      <w:pPr>
        <w:spacing w:after="0" w:line="360" w:lineRule="auto"/>
        <w:ind w:firstLine="708"/>
        <w:jc w:val="both"/>
        <w:rPr>
          <w:rFonts w:ascii="Times New Roman" w:eastAsia="Times New Roman" w:hAnsi="Times New Roman" w:cs="Times New Roman"/>
          <w:sz w:val="24"/>
          <w:szCs w:val="23"/>
          <w:lang w:eastAsia="es-ES"/>
        </w:rPr>
      </w:pPr>
      <w:r>
        <w:rPr>
          <w:rFonts w:ascii="Times New Roman" w:eastAsia="Times New Roman" w:hAnsi="Times New Roman" w:cs="Times New Roman"/>
          <w:sz w:val="24"/>
          <w:szCs w:val="23"/>
          <w:lang w:eastAsia="es-ES"/>
        </w:rPr>
        <w:t>Se ha de contar aquí también con la</w:t>
      </w:r>
      <w:r w:rsidR="007E3B7F">
        <w:rPr>
          <w:rFonts w:ascii="Times New Roman" w:eastAsia="Times New Roman" w:hAnsi="Times New Roman" w:cs="Times New Roman"/>
          <w:sz w:val="24"/>
          <w:szCs w:val="23"/>
          <w:lang w:eastAsia="es-ES"/>
        </w:rPr>
        <w:t xml:space="preserve"> aparición de nuevos actores, </w:t>
      </w:r>
      <w:r w:rsidR="00196C5D" w:rsidRPr="00196C5D">
        <w:rPr>
          <w:rFonts w:ascii="Times New Roman" w:eastAsia="Times New Roman" w:hAnsi="Times New Roman" w:cs="Times New Roman"/>
          <w:sz w:val="24"/>
          <w:szCs w:val="23"/>
          <w:lang w:eastAsia="es-ES"/>
        </w:rPr>
        <w:t>plataformas y movimientos sociales</w:t>
      </w:r>
      <w:r w:rsidR="007E3B7F">
        <w:rPr>
          <w:rFonts w:ascii="Times New Roman" w:eastAsia="Times New Roman" w:hAnsi="Times New Roman" w:cs="Times New Roman"/>
          <w:sz w:val="24"/>
          <w:szCs w:val="23"/>
          <w:lang w:eastAsia="es-ES"/>
        </w:rPr>
        <w:t xml:space="preserve">, </w:t>
      </w:r>
      <w:r w:rsidR="00196C5D" w:rsidRPr="00196C5D">
        <w:rPr>
          <w:rFonts w:ascii="Times New Roman" w:eastAsia="Times New Roman" w:hAnsi="Times New Roman" w:cs="Times New Roman"/>
          <w:sz w:val="24"/>
          <w:szCs w:val="23"/>
          <w:lang w:eastAsia="es-ES"/>
        </w:rPr>
        <w:t xml:space="preserve"> como las Mareas, Marchas de la Dignidad españolas,</w:t>
      </w:r>
      <w:r w:rsidR="00196C5D">
        <w:rPr>
          <w:rFonts w:ascii="Times New Roman" w:eastAsia="Times New Roman" w:hAnsi="Times New Roman" w:cs="Times New Roman"/>
          <w:sz w:val="24"/>
          <w:szCs w:val="23"/>
          <w:lang w:eastAsia="es-ES"/>
        </w:rPr>
        <w:t xml:space="preserve"> los</w:t>
      </w:r>
      <w:r w:rsidR="00196C5D" w:rsidRPr="00196C5D">
        <w:rPr>
          <w:rFonts w:ascii="Times New Roman" w:eastAsia="Times New Roman" w:hAnsi="Times New Roman" w:cs="Times New Roman"/>
          <w:sz w:val="24"/>
          <w:szCs w:val="23"/>
          <w:lang w:eastAsia="es-ES"/>
        </w:rPr>
        <w:t xml:space="preserve"> </w:t>
      </w:r>
      <w:r w:rsidR="00196C5D" w:rsidRPr="00196C5D">
        <w:rPr>
          <w:rFonts w:ascii="Times New Roman" w:eastAsia="Times New Roman" w:hAnsi="Times New Roman" w:cs="Times New Roman"/>
          <w:i/>
          <w:sz w:val="24"/>
          <w:szCs w:val="23"/>
          <w:lang w:eastAsia="es-ES"/>
        </w:rPr>
        <w:t>Indignados</w:t>
      </w:r>
      <w:r w:rsidR="00C24469">
        <w:rPr>
          <w:rFonts w:ascii="Times New Roman" w:eastAsia="Times New Roman" w:hAnsi="Times New Roman" w:cs="Times New Roman"/>
          <w:sz w:val="24"/>
          <w:szCs w:val="23"/>
          <w:lang w:eastAsia="es-ES"/>
        </w:rPr>
        <w:t xml:space="preserve">, especialmente activos y relevantes en España y Grecia, </w:t>
      </w:r>
      <w:r w:rsidR="00196C5D" w:rsidRPr="00196C5D">
        <w:rPr>
          <w:rFonts w:ascii="Times New Roman" w:eastAsia="Times New Roman" w:hAnsi="Times New Roman" w:cs="Times New Roman"/>
          <w:sz w:val="24"/>
          <w:szCs w:val="23"/>
          <w:lang w:eastAsia="es-ES"/>
        </w:rPr>
        <w:t>Geraç</w:t>
      </w:r>
      <w:r w:rsidR="007E3B7F">
        <w:rPr>
          <w:rFonts w:ascii="Times New Roman" w:eastAsia="Times New Roman" w:hAnsi="Times New Roman" w:cs="Times New Roman"/>
          <w:sz w:val="24"/>
          <w:szCs w:val="23"/>
          <w:lang w:eastAsia="es-ES"/>
        </w:rPr>
        <w:t>ao a Rasca en Portugal, etc;</w:t>
      </w:r>
      <w:r w:rsidR="00196C5D" w:rsidRPr="00196C5D">
        <w:rPr>
          <w:rFonts w:ascii="Times New Roman" w:eastAsia="Times New Roman" w:hAnsi="Times New Roman" w:cs="Times New Roman"/>
          <w:sz w:val="24"/>
          <w:szCs w:val="23"/>
          <w:lang w:eastAsia="es-ES"/>
        </w:rPr>
        <w:t xml:space="preserve"> o incluso </w:t>
      </w:r>
      <w:r w:rsidR="007E3B7F">
        <w:rPr>
          <w:rFonts w:ascii="Times New Roman" w:eastAsia="Times New Roman" w:hAnsi="Times New Roman" w:cs="Times New Roman"/>
          <w:sz w:val="24"/>
          <w:szCs w:val="23"/>
          <w:lang w:eastAsia="es-ES"/>
        </w:rPr>
        <w:t xml:space="preserve">partidos niche, ya sean de nueva creación, o estén experimentando un auge sin precedentes, </w:t>
      </w:r>
      <w:r w:rsidR="00196C5D" w:rsidRPr="00196C5D">
        <w:rPr>
          <w:rFonts w:ascii="Times New Roman" w:eastAsia="Times New Roman" w:hAnsi="Times New Roman" w:cs="Times New Roman"/>
          <w:sz w:val="24"/>
          <w:szCs w:val="23"/>
          <w:lang w:eastAsia="es-ES"/>
        </w:rPr>
        <w:t>(</w:t>
      </w:r>
      <w:r w:rsidR="007E3B7F">
        <w:rPr>
          <w:rFonts w:ascii="Times New Roman" w:eastAsia="Times New Roman" w:hAnsi="Times New Roman" w:cs="Times New Roman"/>
          <w:sz w:val="24"/>
          <w:szCs w:val="23"/>
          <w:lang w:eastAsia="es-ES"/>
        </w:rPr>
        <w:t xml:space="preserve">véanse </w:t>
      </w:r>
      <w:r w:rsidR="00196C5D" w:rsidRPr="00196C5D">
        <w:rPr>
          <w:rFonts w:ascii="Times New Roman" w:eastAsia="Times New Roman" w:hAnsi="Times New Roman" w:cs="Times New Roman"/>
          <w:sz w:val="24"/>
          <w:szCs w:val="23"/>
          <w:lang w:eastAsia="es-ES"/>
        </w:rPr>
        <w:t xml:space="preserve">Syriza en Grecia, Movimiento 5 Estrellas en Italia, Podemos y Ciudadanos e España), que han encontrado </w:t>
      </w:r>
      <w:r w:rsidR="000D796A">
        <w:rPr>
          <w:rFonts w:ascii="Times New Roman" w:eastAsia="Times New Roman" w:hAnsi="Times New Roman" w:cs="Times New Roman"/>
          <w:sz w:val="24"/>
          <w:szCs w:val="23"/>
          <w:lang w:eastAsia="es-ES"/>
        </w:rPr>
        <w:t>su</w:t>
      </w:r>
      <w:r w:rsidR="00196C5D" w:rsidRPr="00196C5D">
        <w:rPr>
          <w:rFonts w:ascii="Times New Roman" w:eastAsia="Times New Roman" w:hAnsi="Times New Roman" w:cs="Times New Roman"/>
          <w:sz w:val="24"/>
          <w:szCs w:val="23"/>
          <w:lang w:eastAsia="es-ES"/>
        </w:rPr>
        <w:t xml:space="preserve"> estructura de oportunidad abanderando la austeridad y el combate de la corrupción.</w:t>
      </w:r>
      <w:r w:rsidR="00196C5D">
        <w:rPr>
          <w:rFonts w:ascii="Times New Roman" w:eastAsia="Times New Roman" w:hAnsi="Times New Roman" w:cs="Times New Roman"/>
          <w:sz w:val="24"/>
          <w:szCs w:val="23"/>
          <w:lang w:eastAsia="es-ES"/>
        </w:rPr>
        <w:t xml:space="preserve"> </w:t>
      </w:r>
    </w:p>
    <w:p w:rsidR="000D796A" w:rsidRDefault="000D796A" w:rsidP="00196C5D">
      <w:pPr>
        <w:spacing w:after="0" w:line="360" w:lineRule="auto"/>
        <w:ind w:firstLine="708"/>
        <w:jc w:val="both"/>
        <w:rPr>
          <w:rFonts w:ascii="Times New Roman" w:eastAsia="Times New Roman" w:hAnsi="Times New Roman" w:cs="Times New Roman"/>
          <w:sz w:val="24"/>
          <w:szCs w:val="23"/>
          <w:lang w:eastAsia="es-ES"/>
        </w:rPr>
      </w:pPr>
      <w:r>
        <w:rPr>
          <w:rFonts w:ascii="Times New Roman" w:eastAsia="Times New Roman" w:hAnsi="Times New Roman" w:cs="Times New Roman"/>
          <w:sz w:val="24"/>
          <w:szCs w:val="23"/>
          <w:lang w:eastAsia="es-ES"/>
        </w:rPr>
        <w:t xml:space="preserve">Sobre estos partidos, una de las afirmaciones más repetidas (que, no obstante, escapa a mis consideraciones aquí) es aquélla que les otorga la capitalización del descontento, así como la idea de que entre sus votantes se encuentran fuertemente representados antiguos abstencionistas. </w:t>
      </w:r>
      <w:r w:rsidR="00905759">
        <w:rPr>
          <w:rFonts w:ascii="Times New Roman" w:eastAsia="Times New Roman" w:hAnsi="Times New Roman" w:cs="Times New Roman"/>
          <w:sz w:val="24"/>
          <w:szCs w:val="23"/>
          <w:lang w:eastAsia="es-ES"/>
        </w:rPr>
        <w:t xml:space="preserve">Esto podría manifestar otro tipo de salida, la de la volatilidad electoral. De hecho, si nos fijamos en las últimas elecciones celebradas en </w:t>
      </w:r>
      <w:r w:rsidR="005F455D">
        <w:rPr>
          <w:rFonts w:ascii="Times New Roman" w:eastAsia="Times New Roman" w:hAnsi="Times New Roman" w:cs="Times New Roman"/>
          <w:sz w:val="24"/>
          <w:szCs w:val="23"/>
          <w:lang w:eastAsia="es-ES"/>
        </w:rPr>
        <w:t xml:space="preserve">Italia y la victoria del Movimiento 5 Estrellas, </w:t>
      </w:r>
      <w:r w:rsidR="00905759">
        <w:rPr>
          <w:rFonts w:ascii="Times New Roman" w:eastAsia="Times New Roman" w:hAnsi="Times New Roman" w:cs="Times New Roman"/>
          <w:sz w:val="24"/>
          <w:szCs w:val="23"/>
          <w:lang w:eastAsia="es-ES"/>
        </w:rPr>
        <w:t xml:space="preserve">Grecia, donde Syriza se hizo con el gobierno, o las andaluzas, locales y autonómicas en España, </w:t>
      </w:r>
      <w:r w:rsidR="005F455D">
        <w:rPr>
          <w:rFonts w:ascii="Times New Roman" w:eastAsia="Times New Roman" w:hAnsi="Times New Roman" w:cs="Times New Roman"/>
          <w:sz w:val="24"/>
          <w:szCs w:val="23"/>
          <w:lang w:eastAsia="es-ES"/>
        </w:rPr>
        <w:t xml:space="preserve">especialmente beneficiosas para Podemos y C’s, </w:t>
      </w:r>
      <w:r w:rsidR="00905759">
        <w:rPr>
          <w:rFonts w:ascii="Times New Roman" w:eastAsia="Times New Roman" w:hAnsi="Times New Roman" w:cs="Times New Roman"/>
          <w:sz w:val="24"/>
          <w:szCs w:val="23"/>
          <w:lang w:eastAsia="es-ES"/>
        </w:rPr>
        <w:t xml:space="preserve">son estas nuevas formaciones las que mejores resultados han cosechado.  Podría pues pensarse, de cara a futuras investigaciones, hasta qué punto, aquéllos ciudadanos que, de entre los abstencionistas, sostenían actitudes críticas pero desarrollaban otro tipo de participación política más costosa, pueden haber encontrado en partidos como los liderados por Beppe Grillo, </w:t>
      </w:r>
      <w:r w:rsidR="005F455D">
        <w:rPr>
          <w:rFonts w:ascii="Times New Roman" w:eastAsia="Times New Roman" w:hAnsi="Times New Roman" w:cs="Times New Roman"/>
          <w:sz w:val="24"/>
          <w:szCs w:val="23"/>
          <w:lang w:eastAsia="es-ES"/>
        </w:rPr>
        <w:t xml:space="preserve">Alexis Tsipras o Pablo Iglesias y </w:t>
      </w:r>
      <w:r w:rsidR="005F455D">
        <w:rPr>
          <w:rFonts w:ascii="Times New Roman" w:eastAsia="Times New Roman" w:hAnsi="Times New Roman" w:cs="Times New Roman"/>
          <w:sz w:val="24"/>
          <w:szCs w:val="23"/>
          <w:lang w:eastAsia="es-ES"/>
        </w:rPr>
        <w:lastRenderedPageBreak/>
        <w:t xml:space="preserve">Albert Rivera, la opción que les permita “volver a las urnas”, de donde se vieron “expulsados” por la falta de calidad o variedad en la oferta partidista. </w:t>
      </w:r>
    </w:p>
    <w:p w:rsidR="00B523E7" w:rsidRDefault="00B523E7" w:rsidP="00196C5D">
      <w:pPr>
        <w:spacing w:after="0" w:line="360" w:lineRule="auto"/>
        <w:ind w:firstLine="708"/>
        <w:jc w:val="both"/>
        <w:rPr>
          <w:rFonts w:ascii="Times New Roman" w:eastAsia="Times New Roman" w:hAnsi="Times New Roman" w:cs="Times New Roman"/>
          <w:sz w:val="24"/>
          <w:szCs w:val="23"/>
          <w:lang w:eastAsia="es-ES"/>
        </w:rPr>
      </w:pPr>
      <w:r>
        <w:rPr>
          <w:rFonts w:ascii="Times New Roman" w:eastAsia="Times New Roman" w:hAnsi="Times New Roman" w:cs="Times New Roman"/>
          <w:sz w:val="24"/>
          <w:szCs w:val="23"/>
          <w:lang w:eastAsia="es-ES"/>
        </w:rPr>
        <w:t>Los ciudadanos críticos, recuérdese, conservan interés político, indicador que ha crecido, sorprendentemente, durante la crisis. Y muestran su disposición a participar políticamente a través de formas más costosas de participación que el voto, como la asistencia a manifestaciones. Por ello, y si efectivamente, antiguos abstencionistas se encuentran entre los votantes de nuevas formaciones, es innegable que son “reincorporables”</w:t>
      </w:r>
      <w:r w:rsidR="00170F48">
        <w:rPr>
          <w:rFonts w:ascii="Times New Roman" w:eastAsia="Times New Roman" w:hAnsi="Times New Roman" w:cs="Times New Roman"/>
          <w:sz w:val="24"/>
          <w:szCs w:val="23"/>
          <w:lang w:eastAsia="es-ES"/>
        </w:rPr>
        <w:t xml:space="preserve"> al voto, por lo que, quizás, el conjunto de fuerzas del sistema político debiera prestar atención a su reclamo. </w:t>
      </w:r>
    </w:p>
    <w:p w:rsidR="00196C5D" w:rsidRDefault="00196C5D" w:rsidP="00C30686">
      <w:pPr>
        <w:tabs>
          <w:tab w:val="left" w:pos="426"/>
        </w:tabs>
        <w:spacing w:line="480" w:lineRule="auto"/>
        <w:jc w:val="both"/>
        <w:rPr>
          <w:rFonts w:ascii="Times New Roman" w:eastAsia="Times New Roman" w:hAnsi="Times New Roman" w:cs="Times New Roman"/>
          <w:sz w:val="24"/>
          <w:szCs w:val="23"/>
          <w:lang w:eastAsia="es-ES"/>
        </w:rPr>
      </w:pPr>
    </w:p>
    <w:p w:rsidR="00196C5D" w:rsidRDefault="00196C5D" w:rsidP="00C30686">
      <w:pPr>
        <w:tabs>
          <w:tab w:val="left" w:pos="426"/>
        </w:tabs>
        <w:spacing w:line="480" w:lineRule="auto"/>
        <w:jc w:val="both"/>
        <w:rPr>
          <w:rFonts w:ascii="Times New Roman" w:eastAsia="Times New Roman" w:hAnsi="Times New Roman" w:cs="Times New Roman"/>
          <w:sz w:val="24"/>
          <w:szCs w:val="23"/>
          <w:lang w:eastAsia="es-ES"/>
        </w:rPr>
      </w:pPr>
    </w:p>
    <w:p w:rsidR="00196C5D" w:rsidRDefault="00196C5D" w:rsidP="00C30686">
      <w:pPr>
        <w:tabs>
          <w:tab w:val="left" w:pos="426"/>
        </w:tabs>
        <w:spacing w:line="480" w:lineRule="auto"/>
        <w:jc w:val="both"/>
        <w:rPr>
          <w:rFonts w:ascii="Times New Roman" w:eastAsia="Times New Roman" w:hAnsi="Times New Roman" w:cs="Times New Roman"/>
          <w:sz w:val="24"/>
          <w:szCs w:val="23"/>
          <w:lang w:eastAsia="es-ES"/>
        </w:rPr>
      </w:pPr>
    </w:p>
    <w:p w:rsidR="00170F48" w:rsidRPr="00271428" w:rsidRDefault="00170F48" w:rsidP="00C30686">
      <w:pPr>
        <w:tabs>
          <w:tab w:val="left" w:pos="426"/>
        </w:tabs>
        <w:spacing w:line="480" w:lineRule="auto"/>
        <w:jc w:val="both"/>
        <w:rPr>
          <w:rFonts w:ascii="Times New Roman" w:hAnsi="Times New Roman" w:cs="Times New Roman"/>
          <w:b/>
          <w:sz w:val="24"/>
        </w:rPr>
      </w:pPr>
    </w:p>
    <w:p w:rsidR="00170F48" w:rsidRPr="00271428" w:rsidRDefault="00170F48" w:rsidP="00C30686">
      <w:pPr>
        <w:tabs>
          <w:tab w:val="left" w:pos="426"/>
        </w:tabs>
        <w:spacing w:line="480" w:lineRule="auto"/>
        <w:jc w:val="both"/>
        <w:rPr>
          <w:rFonts w:ascii="Times New Roman" w:hAnsi="Times New Roman" w:cs="Times New Roman"/>
          <w:b/>
          <w:sz w:val="24"/>
        </w:rPr>
      </w:pPr>
    </w:p>
    <w:p w:rsidR="00C24469" w:rsidRPr="00307DE5" w:rsidRDefault="00C24469">
      <w:pPr>
        <w:spacing w:line="259" w:lineRule="auto"/>
        <w:rPr>
          <w:rFonts w:ascii="Times New Roman" w:hAnsi="Times New Roman" w:cs="Times New Roman"/>
          <w:b/>
          <w:sz w:val="24"/>
        </w:rPr>
      </w:pPr>
      <w:r w:rsidRPr="00307DE5">
        <w:rPr>
          <w:rFonts w:ascii="Times New Roman" w:hAnsi="Times New Roman" w:cs="Times New Roman"/>
          <w:b/>
          <w:sz w:val="24"/>
        </w:rPr>
        <w:br w:type="page"/>
      </w:r>
    </w:p>
    <w:p w:rsidR="00C30686" w:rsidRPr="00D363EF" w:rsidRDefault="00C30686" w:rsidP="00C30686">
      <w:pPr>
        <w:tabs>
          <w:tab w:val="left" w:pos="426"/>
        </w:tabs>
        <w:spacing w:line="480" w:lineRule="auto"/>
        <w:jc w:val="both"/>
        <w:rPr>
          <w:rFonts w:ascii="Times New Roman" w:hAnsi="Times New Roman" w:cs="Times New Roman"/>
          <w:b/>
          <w:sz w:val="24"/>
          <w:lang w:val="en-US"/>
        </w:rPr>
      </w:pPr>
      <w:r w:rsidRPr="00D363EF">
        <w:rPr>
          <w:rFonts w:ascii="Times New Roman" w:hAnsi="Times New Roman" w:cs="Times New Roman"/>
          <w:b/>
          <w:sz w:val="24"/>
          <w:lang w:val="en-US"/>
        </w:rPr>
        <w:lastRenderedPageBreak/>
        <w:t>BIBLIOGRAFÍA</w:t>
      </w:r>
    </w:p>
    <w:p w:rsidR="00C30686" w:rsidRDefault="00C30686" w:rsidP="00C30686">
      <w:pPr>
        <w:tabs>
          <w:tab w:val="left" w:pos="426"/>
        </w:tabs>
        <w:spacing w:line="480" w:lineRule="auto"/>
        <w:jc w:val="both"/>
        <w:rPr>
          <w:rFonts w:ascii="Times New Roman" w:hAnsi="Times New Roman" w:cs="Times New Roman"/>
          <w:sz w:val="24"/>
          <w:lang w:val="en-US"/>
        </w:rPr>
      </w:pPr>
      <w:r w:rsidRPr="00332B18">
        <w:rPr>
          <w:rFonts w:ascii="Times New Roman" w:hAnsi="Times New Roman" w:cs="Times New Roman"/>
          <w:sz w:val="24"/>
          <w:lang w:val="en-US"/>
        </w:rPr>
        <w:t xml:space="preserve">Adams, J., Dow, J. y Merrill III, S. (2006): “The political consequences of alienation-based and indifference-based voter abstention: applications to presidential elections”, </w:t>
      </w:r>
      <w:r w:rsidRPr="00332B18">
        <w:rPr>
          <w:rFonts w:ascii="Times New Roman" w:hAnsi="Times New Roman" w:cs="Times New Roman"/>
          <w:i/>
          <w:sz w:val="24"/>
          <w:lang w:val="en-US"/>
        </w:rPr>
        <w:t>Political Behavior,</w:t>
      </w:r>
      <w:r w:rsidRPr="00332B18">
        <w:rPr>
          <w:rFonts w:ascii="Times New Roman" w:hAnsi="Times New Roman" w:cs="Times New Roman"/>
          <w:sz w:val="24"/>
          <w:lang w:val="en-US"/>
        </w:rPr>
        <w:t xml:space="preserve"> vol.28, no.I. Pp 65-86.</w:t>
      </w:r>
    </w:p>
    <w:p w:rsidR="00C520E5" w:rsidRDefault="00C520E5" w:rsidP="00C520E5">
      <w:pPr>
        <w:pStyle w:val="Estilopredeterminado"/>
        <w:spacing w:after="0"/>
        <w:jc w:val="both"/>
        <w:rPr>
          <w:rFonts w:ascii="Times New Roman" w:eastAsia="Times New Roman" w:hAnsi="Times New Roman" w:cs="Times New Roman"/>
          <w:sz w:val="24"/>
          <w:szCs w:val="24"/>
          <w:lang w:val="en-US" w:eastAsia="es-ES"/>
        </w:rPr>
      </w:pPr>
      <w:r w:rsidRPr="000319EB">
        <w:rPr>
          <w:rFonts w:ascii="Times New Roman" w:eastAsia="Times New Roman" w:hAnsi="Times New Roman" w:cs="Times New Roman"/>
          <w:sz w:val="24"/>
          <w:szCs w:val="24"/>
          <w:lang w:eastAsia="es-ES"/>
        </w:rPr>
        <w:t>Alarcón, R. (2014):</w:t>
      </w:r>
      <w:r w:rsidRPr="000319EB">
        <w:rPr>
          <w:rFonts w:ascii="Times New Roman" w:eastAsia="Times New Roman" w:hAnsi="Times New Roman" w:cs="Times New Roman"/>
          <w:i/>
          <w:sz w:val="24"/>
          <w:szCs w:val="24"/>
          <w:lang w:eastAsia="es-ES"/>
        </w:rPr>
        <w:t xml:space="preserve"> L</w:t>
      </w:r>
      <w:r w:rsidRPr="00C6667A">
        <w:rPr>
          <w:rFonts w:ascii="Times New Roman" w:eastAsia="Times New Roman" w:hAnsi="Times New Roman" w:cs="Times New Roman"/>
          <w:i/>
          <w:sz w:val="24"/>
          <w:szCs w:val="24"/>
          <w:lang w:eastAsia="es-ES"/>
        </w:rPr>
        <w:t>a Abstención Electoral en España 2000-2011: Una opción de Salida, según Albert Hirschmann</w:t>
      </w:r>
      <w:r w:rsidRPr="00C6667A">
        <w:rPr>
          <w:rFonts w:ascii="Times New Roman" w:eastAsia="Times New Roman" w:hAnsi="Times New Roman" w:cs="Times New Roman"/>
          <w:sz w:val="24"/>
          <w:szCs w:val="24"/>
          <w:lang w:eastAsia="es-ES"/>
        </w:rPr>
        <w:t xml:space="preserve">. </w:t>
      </w:r>
      <w:r w:rsidRPr="00823EF5">
        <w:rPr>
          <w:rFonts w:ascii="Times New Roman" w:eastAsia="Times New Roman" w:hAnsi="Times New Roman" w:cs="Times New Roman"/>
          <w:sz w:val="24"/>
          <w:szCs w:val="24"/>
          <w:lang w:val="en-US" w:eastAsia="es-ES"/>
        </w:rPr>
        <w:t xml:space="preserve">Available </w:t>
      </w:r>
      <w:proofErr w:type="gramStart"/>
      <w:r w:rsidRPr="00823EF5">
        <w:rPr>
          <w:rFonts w:ascii="Times New Roman" w:eastAsia="Times New Roman" w:hAnsi="Times New Roman" w:cs="Times New Roman"/>
          <w:sz w:val="24"/>
          <w:szCs w:val="24"/>
          <w:lang w:val="en-US" w:eastAsia="es-ES"/>
        </w:rPr>
        <w:t xml:space="preserve">at  </w:t>
      </w:r>
      <w:proofErr w:type="gramEnd"/>
      <w:r w:rsidR="003C0176">
        <w:fldChar w:fldCharType="begin"/>
      </w:r>
      <w:r w:rsidRPr="00823EF5">
        <w:rPr>
          <w:lang w:val="en-US"/>
        </w:rPr>
        <w:instrText>HYPERLINK "http://www.gigapp.org/es/congreso"</w:instrText>
      </w:r>
      <w:r w:rsidR="003C0176">
        <w:fldChar w:fldCharType="separate"/>
      </w:r>
      <w:r w:rsidRPr="00823EF5">
        <w:rPr>
          <w:rStyle w:val="Hipervnculo"/>
          <w:rFonts w:ascii="Times New Roman" w:eastAsia="Times New Roman" w:hAnsi="Times New Roman" w:cs="Times New Roman"/>
          <w:sz w:val="24"/>
          <w:szCs w:val="24"/>
          <w:lang w:val="en-US" w:eastAsia="es-ES"/>
        </w:rPr>
        <w:t>http://www.gigapp.org/es/congreso</w:t>
      </w:r>
      <w:r w:rsidR="003C0176">
        <w:fldChar w:fldCharType="end"/>
      </w:r>
      <w:r w:rsidRPr="00823EF5">
        <w:rPr>
          <w:rFonts w:ascii="Times New Roman" w:eastAsia="Times New Roman" w:hAnsi="Times New Roman" w:cs="Times New Roman"/>
          <w:sz w:val="24"/>
          <w:szCs w:val="24"/>
          <w:lang w:val="en-US" w:eastAsia="es-ES"/>
        </w:rPr>
        <w:t>.</w:t>
      </w:r>
    </w:p>
    <w:p w:rsidR="00C520E5" w:rsidRPr="00C520E5" w:rsidRDefault="00C520E5" w:rsidP="00C520E5">
      <w:pPr>
        <w:pStyle w:val="Estilopredeterminado"/>
        <w:spacing w:after="0"/>
        <w:jc w:val="both"/>
        <w:rPr>
          <w:rFonts w:ascii="Times New Roman" w:eastAsia="Times New Roman" w:hAnsi="Times New Roman" w:cs="Times New Roman"/>
          <w:sz w:val="24"/>
          <w:szCs w:val="24"/>
          <w:lang w:val="en-US" w:eastAsia="es-ES"/>
        </w:rPr>
      </w:pPr>
    </w:p>
    <w:p w:rsidR="00C30686" w:rsidRPr="00332B18" w:rsidRDefault="00C30686" w:rsidP="00C30686">
      <w:pPr>
        <w:tabs>
          <w:tab w:val="left" w:pos="426"/>
        </w:tabs>
        <w:spacing w:line="480" w:lineRule="auto"/>
        <w:jc w:val="both"/>
        <w:rPr>
          <w:rFonts w:ascii="Times New Roman" w:hAnsi="Times New Roman" w:cs="Times New Roman"/>
          <w:sz w:val="24"/>
        </w:rPr>
      </w:pPr>
      <w:r w:rsidRPr="00332B18">
        <w:rPr>
          <w:rFonts w:ascii="Times New Roman" w:hAnsi="Times New Roman" w:cs="Times New Roman"/>
          <w:sz w:val="24"/>
          <w:lang w:val="en-US"/>
        </w:rPr>
        <w:t xml:space="preserve">Aldrich, J. (1993):“Rational Choice and Turnout”, </w:t>
      </w:r>
      <w:r w:rsidRPr="00332B18">
        <w:rPr>
          <w:rFonts w:ascii="Times New Roman" w:hAnsi="Times New Roman" w:cs="Times New Roman"/>
          <w:i/>
          <w:sz w:val="24"/>
          <w:lang w:val="en-US"/>
        </w:rPr>
        <w:t>American Journal of Political Research</w:t>
      </w:r>
      <w:r w:rsidRPr="00332B18">
        <w:rPr>
          <w:rFonts w:ascii="Times New Roman" w:hAnsi="Times New Roman" w:cs="Times New Roman"/>
          <w:sz w:val="24"/>
          <w:lang w:val="en-US"/>
        </w:rPr>
        <w:t xml:space="preserve">, vol.37. </w:t>
      </w:r>
      <w:r w:rsidRPr="00332B18">
        <w:rPr>
          <w:rFonts w:ascii="Times New Roman" w:hAnsi="Times New Roman" w:cs="Times New Roman"/>
          <w:sz w:val="24"/>
        </w:rPr>
        <w:t>Pp 246-278.</w:t>
      </w:r>
    </w:p>
    <w:p w:rsidR="00C30686" w:rsidRPr="00332B18" w:rsidRDefault="00C30686" w:rsidP="00C30686">
      <w:pPr>
        <w:tabs>
          <w:tab w:val="left" w:pos="426"/>
        </w:tabs>
        <w:spacing w:line="480" w:lineRule="auto"/>
        <w:jc w:val="both"/>
        <w:rPr>
          <w:rFonts w:ascii="Times New Roman" w:hAnsi="Times New Roman" w:cs="Times New Roman"/>
          <w:sz w:val="24"/>
        </w:rPr>
      </w:pPr>
      <w:r w:rsidRPr="00332B18">
        <w:rPr>
          <w:rFonts w:ascii="Times New Roman" w:hAnsi="Times New Roman" w:cs="Times New Roman"/>
          <w:sz w:val="24"/>
        </w:rPr>
        <w:t xml:space="preserve">Anduiza, E. (1999): </w:t>
      </w:r>
      <w:r w:rsidRPr="00332B18">
        <w:rPr>
          <w:rFonts w:ascii="Times New Roman" w:hAnsi="Times New Roman" w:cs="Times New Roman"/>
          <w:i/>
          <w:sz w:val="24"/>
        </w:rPr>
        <w:t>¿Individuos o sistemas? Las razones de la abstención en Europa Occidental</w:t>
      </w:r>
      <w:r w:rsidRPr="00332B18">
        <w:rPr>
          <w:rFonts w:ascii="Times New Roman" w:hAnsi="Times New Roman" w:cs="Times New Roman"/>
          <w:sz w:val="24"/>
        </w:rPr>
        <w:t xml:space="preserve">. Madrid: CIS. </w:t>
      </w:r>
    </w:p>
    <w:p w:rsidR="00FF5604" w:rsidRDefault="00FF5604" w:rsidP="00FF5604">
      <w:pPr>
        <w:tabs>
          <w:tab w:val="left" w:pos="426"/>
        </w:tabs>
        <w:spacing w:line="480" w:lineRule="auto"/>
        <w:jc w:val="both"/>
        <w:rPr>
          <w:rFonts w:ascii="Times New Roman" w:hAnsi="Times New Roman" w:cs="Times New Roman"/>
          <w:sz w:val="24"/>
        </w:rPr>
      </w:pPr>
      <w:r>
        <w:rPr>
          <w:rFonts w:ascii="Times New Roman" w:hAnsi="Times New Roman" w:cs="Times New Roman"/>
          <w:sz w:val="24"/>
        </w:rPr>
        <w:t xml:space="preserve">Banco Mundial, (2014): </w:t>
      </w:r>
      <w:hyperlink r:id="rId18" w:history="1">
        <w:r>
          <w:rPr>
            <w:rStyle w:val="Hipervnculo"/>
            <w:rFonts w:ascii="Times New Roman" w:hAnsi="Times New Roman" w:cs="Times New Roman"/>
            <w:sz w:val="24"/>
          </w:rPr>
          <w:t>http://www.bancomundial.org/</w:t>
        </w:r>
      </w:hyperlink>
      <w:r>
        <w:rPr>
          <w:rFonts w:ascii="Times New Roman" w:hAnsi="Times New Roman" w:cs="Times New Roman"/>
          <w:sz w:val="24"/>
        </w:rPr>
        <w:t xml:space="preserve">  (última consulta, 07/2014). </w:t>
      </w:r>
      <w:r>
        <w:rPr>
          <w:rFonts w:ascii="Times New Roman" w:hAnsi="Times New Roman" w:cs="Times New Roman"/>
          <w:i/>
        </w:rPr>
        <w:t>(http://datos.bancomundial.org/indicador/NY.GDP.PCAP.CD?page=1).</w:t>
      </w:r>
    </w:p>
    <w:p w:rsidR="00C30686" w:rsidRPr="00332B18" w:rsidRDefault="00C30686" w:rsidP="00C30686">
      <w:pPr>
        <w:tabs>
          <w:tab w:val="left" w:pos="426"/>
        </w:tabs>
        <w:spacing w:line="480" w:lineRule="auto"/>
        <w:jc w:val="both"/>
        <w:rPr>
          <w:rFonts w:ascii="Times New Roman" w:hAnsi="Times New Roman" w:cs="Times New Roman"/>
          <w:sz w:val="24"/>
          <w:lang w:val="en-US"/>
        </w:rPr>
      </w:pPr>
      <w:r w:rsidRPr="00332B18">
        <w:rPr>
          <w:rFonts w:ascii="Times New Roman" w:hAnsi="Times New Roman" w:cs="Times New Roman"/>
          <w:sz w:val="24"/>
          <w:lang w:val="en-US"/>
        </w:rPr>
        <w:t xml:space="preserve">Bartels, L.M (2013): “Political Effects of the Great Recession”. </w:t>
      </w:r>
      <w:r w:rsidRPr="00332B18">
        <w:rPr>
          <w:rFonts w:ascii="Times New Roman" w:hAnsi="Times New Roman" w:cs="Times New Roman"/>
          <w:i/>
          <w:sz w:val="24"/>
          <w:lang w:val="en-US"/>
        </w:rPr>
        <w:t>Working Paper: 6-2013 Research Concentration: Elections and Electoral Rules</w:t>
      </w:r>
    </w:p>
    <w:p w:rsidR="00C30686" w:rsidRPr="00332B18" w:rsidRDefault="00C30686" w:rsidP="00C30686">
      <w:pPr>
        <w:tabs>
          <w:tab w:val="left" w:pos="426"/>
        </w:tabs>
        <w:spacing w:line="480" w:lineRule="auto"/>
        <w:jc w:val="both"/>
        <w:rPr>
          <w:rFonts w:ascii="Times New Roman" w:hAnsi="Times New Roman" w:cs="Times New Roman"/>
          <w:i/>
          <w:lang w:val="en-US"/>
        </w:rPr>
      </w:pPr>
      <w:r w:rsidRPr="00332B18">
        <w:rPr>
          <w:rFonts w:ascii="Times New Roman" w:hAnsi="Times New Roman" w:cs="Times New Roman"/>
          <w:lang w:val="en-US"/>
        </w:rPr>
        <w:t xml:space="preserve">Bellucci, P. (2014, </w:t>
      </w:r>
      <w:r w:rsidRPr="00332B18">
        <w:rPr>
          <w:rFonts w:ascii="Times New Roman" w:hAnsi="Times New Roman" w:cs="Times New Roman"/>
          <w:i/>
          <w:lang w:val="en-US"/>
        </w:rPr>
        <w:t>forthcoming</w:t>
      </w:r>
      <w:r w:rsidRPr="00332B18">
        <w:rPr>
          <w:rFonts w:ascii="Times New Roman" w:hAnsi="Times New Roman" w:cs="Times New Roman"/>
          <w:lang w:val="en-US"/>
        </w:rPr>
        <w:t xml:space="preserve">): “Crisis in the 2013 Italian National Election”, in </w:t>
      </w:r>
      <w:r w:rsidRPr="00332B18">
        <w:rPr>
          <w:rFonts w:ascii="Times New Roman" w:hAnsi="Times New Roman" w:cs="Times New Roman"/>
          <w:i/>
          <w:lang w:val="en-US"/>
        </w:rPr>
        <w:t>Contemporary Italian Politics.</w:t>
      </w:r>
    </w:p>
    <w:p w:rsidR="00C30686" w:rsidRPr="00332B18" w:rsidRDefault="00C30686" w:rsidP="00C30686">
      <w:pPr>
        <w:tabs>
          <w:tab w:val="left" w:pos="426"/>
        </w:tabs>
        <w:spacing w:line="480" w:lineRule="auto"/>
        <w:jc w:val="both"/>
        <w:rPr>
          <w:rFonts w:ascii="Times New Roman" w:hAnsi="Times New Roman" w:cs="Times New Roman"/>
          <w:lang w:val="en-US"/>
        </w:rPr>
      </w:pPr>
      <w:r w:rsidRPr="00332B18">
        <w:rPr>
          <w:rFonts w:ascii="Times New Roman" w:hAnsi="Times New Roman" w:cs="Times New Roman"/>
          <w:lang w:val="en-US"/>
        </w:rPr>
        <w:t>Blais, A. (1996): “Electoral Systems”, en Le Duc, R., Niemi, R. y Norris, P. eds,</w:t>
      </w:r>
      <w:r w:rsidRPr="00332B18">
        <w:rPr>
          <w:rFonts w:ascii="Times New Roman" w:hAnsi="Times New Roman" w:cs="Times New Roman"/>
          <w:i/>
          <w:lang w:val="en-US"/>
        </w:rPr>
        <w:t xml:space="preserve"> Comparing Democracies. Elections and voting in global perspective. </w:t>
      </w:r>
      <w:r w:rsidRPr="00332B18">
        <w:rPr>
          <w:rFonts w:ascii="Times New Roman" w:hAnsi="Times New Roman" w:cs="Times New Roman"/>
          <w:lang w:val="en-US"/>
        </w:rPr>
        <w:t>London. SAGE Publications. Pp 49-82.</w:t>
      </w:r>
    </w:p>
    <w:p w:rsidR="00C30686" w:rsidRPr="00332B18" w:rsidRDefault="00C30686" w:rsidP="00C30686">
      <w:pPr>
        <w:tabs>
          <w:tab w:val="left" w:pos="426"/>
        </w:tabs>
        <w:spacing w:line="480" w:lineRule="auto"/>
        <w:jc w:val="both"/>
        <w:rPr>
          <w:rFonts w:ascii="Times New Roman" w:hAnsi="Times New Roman" w:cs="Times New Roman"/>
          <w:sz w:val="24"/>
          <w:lang w:val="en-US"/>
        </w:rPr>
      </w:pPr>
      <w:r w:rsidRPr="00332B18">
        <w:rPr>
          <w:rFonts w:ascii="Times New Roman" w:hAnsi="Times New Roman" w:cs="Times New Roman"/>
          <w:sz w:val="24"/>
          <w:lang w:val="en-US"/>
        </w:rPr>
        <w:t>_________</w:t>
      </w:r>
      <w:proofErr w:type="gramStart"/>
      <w:r w:rsidRPr="00332B18">
        <w:rPr>
          <w:rFonts w:ascii="Times New Roman" w:hAnsi="Times New Roman" w:cs="Times New Roman"/>
          <w:sz w:val="24"/>
          <w:lang w:val="en-US"/>
        </w:rPr>
        <w:t>_  (</w:t>
      </w:r>
      <w:proofErr w:type="gramEnd"/>
      <w:r w:rsidRPr="00332B18">
        <w:rPr>
          <w:rFonts w:ascii="Times New Roman" w:hAnsi="Times New Roman" w:cs="Times New Roman"/>
          <w:sz w:val="24"/>
          <w:lang w:val="en-US"/>
        </w:rPr>
        <w:t xml:space="preserve">2000): </w:t>
      </w:r>
      <w:r w:rsidRPr="00332B18">
        <w:rPr>
          <w:rFonts w:ascii="Times New Roman" w:hAnsi="Times New Roman" w:cs="Times New Roman"/>
          <w:i/>
          <w:sz w:val="24"/>
          <w:lang w:val="en-US"/>
        </w:rPr>
        <w:t>To vote or not to vote?</w:t>
      </w:r>
      <w:r w:rsidRPr="00332B18">
        <w:rPr>
          <w:rFonts w:ascii="Times New Roman" w:hAnsi="Times New Roman" w:cs="Times New Roman"/>
          <w:sz w:val="24"/>
          <w:lang w:val="en-US"/>
        </w:rPr>
        <w:t xml:space="preserve"> Pittsburgh, Pittsburgh University Press. Cap. 3. </w:t>
      </w:r>
    </w:p>
    <w:p w:rsidR="00C30686" w:rsidRPr="00332B18" w:rsidRDefault="00C30686" w:rsidP="00C30686">
      <w:pPr>
        <w:tabs>
          <w:tab w:val="left" w:pos="426"/>
        </w:tabs>
        <w:spacing w:line="480" w:lineRule="auto"/>
        <w:jc w:val="both"/>
        <w:rPr>
          <w:rFonts w:ascii="Times New Roman" w:hAnsi="Times New Roman" w:cs="Times New Roman"/>
          <w:sz w:val="24"/>
        </w:rPr>
      </w:pPr>
      <w:r w:rsidRPr="00332B18">
        <w:rPr>
          <w:rFonts w:ascii="Times New Roman" w:hAnsi="Times New Roman" w:cs="Times New Roman"/>
          <w:sz w:val="24"/>
          <w:lang w:val="en-US"/>
        </w:rPr>
        <w:t xml:space="preserve">__________ (2007): “Turnout and Elections”, en Dalton, R. y Klingemann, H.D. </w:t>
      </w:r>
      <w:r w:rsidRPr="00332B18">
        <w:rPr>
          <w:rFonts w:ascii="Times New Roman" w:hAnsi="Times New Roman" w:cs="Times New Roman"/>
          <w:i/>
          <w:sz w:val="24"/>
          <w:lang w:val="en-US"/>
        </w:rPr>
        <w:t>Oxford Handbook of Political Behaviour.</w:t>
      </w:r>
      <w:r w:rsidRPr="003B4F04">
        <w:rPr>
          <w:rFonts w:ascii="Times New Roman" w:hAnsi="Times New Roman" w:cs="Times New Roman"/>
          <w:sz w:val="24"/>
          <w:lang w:val="en-US"/>
        </w:rPr>
        <w:t xml:space="preserve">Oxford, Oxford UniversityPress. </w:t>
      </w:r>
      <w:r w:rsidRPr="00332B18">
        <w:rPr>
          <w:rFonts w:ascii="Times New Roman" w:hAnsi="Times New Roman" w:cs="Times New Roman"/>
          <w:sz w:val="24"/>
        </w:rPr>
        <w:t>Pp 621-635.</w:t>
      </w:r>
    </w:p>
    <w:p w:rsidR="00C30686" w:rsidRPr="00332B18" w:rsidRDefault="00C30686" w:rsidP="00C30686">
      <w:pPr>
        <w:tabs>
          <w:tab w:val="left" w:pos="426"/>
        </w:tabs>
        <w:spacing w:line="480" w:lineRule="auto"/>
        <w:jc w:val="both"/>
        <w:rPr>
          <w:rFonts w:ascii="Times New Roman" w:hAnsi="Times New Roman" w:cs="Times New Roman"/>
          <w:sz w:val="24"/>
        </w:rPr>
      </w:pPr>
      <w:r w:rsidRPr="00332B18">
        <w:rPr>
          <w:rFonts w:ascii="Times New Roman" w:hAnsi="Times New Roman" w:cs="Times New Roman"/>
          <w:sz w:val="24"/>
        </w:rPr>
        <w:lastRenderedPageBreak/>
        <w:t xml:space="preserve">__________ (2008): “¿Qué afecta a la participación electoral? Revista Española de Ciencia Política, n. 18. Pp 10-27. </w:t>
      </w:r>
    </w:p>
    <w:p w:rsidR="00C30686" w:rsidRPr="00332B18" w:rsidRDefault="00C30686" w:rsidP="00C30686">
      <w:pPr>
        <w:tabs>
          <w:tab w:val="left" w:pos="426"/>
        </w:tabs>
        <w:spacing w:line="480" w:lineRule="auto"/>
        <w:jc w:val="both"/>
        <w:rPr>
          <w:rFonts w:ascii="Times New Roman" w:hAnsi="Times New Roman" w:cs="Times New Roman"/>
          <w:i/>
          <w:sz w:val="28"/>
        </w:rPr>
      </w:pPr>
      <w:r w:rsidRPr="00332B18">
        <w:rPr>
          <w:rFonts w:ascii="Times New Roman" w:hAnsi="Times New Roman" w:cs="Times New Roman"/>
          <w:sz w:val="24"/>
        </w:rPr>
        <w:t>__________ (2010): “PoliticalParticipation”, en en Le Duc, R., Niemi, R. y Norris, P. eds</w:t>
      </w:r>
      <w:proofErr w:type="gramStart"/>
      <w:r w:rsidRPr="00332B18">
        <w:rPr>
          <w:rFonts w:ascii="Times New Roman" w:hAnsi="Times New Roman" w:cs="Times New Roman"/>
          <w:sz w:val="24"/>
        </w:rPr>
        <w:t>,</w:t>
      </w:r>
      <w:r w:rsidRPr="00332B18">
        <w:rPr>
          <w:rFonts w:ascii="Times New Roman" w:hAnsi="Times New Roman" w:cs="Times New Roman"/>
          <w:i/>
          <w:sz w:val="24"/>
        </w:rPr>
        <w:t>ComparingDemocracies</w:t>
      </w:r>
      <w:proofErr w:type="gramEnd"/>
      <w:r w:rsidRPr="00332B18">
        <w:rPr>
          <w:rFonts w:ascii="Times New Roman" w:hAnsi="Times New Roman" w:cs="Times New Roman"/>
          <w:i/>
          <w:sz w:val="24"/>
        </w:rPr>
        <w:t xml:space="preserve"> 3. </w:t>
      </w:r>
      <w:r w:rsidRPr="00332B18">
        <w:rPr>
          <w:rFonts w:ascii="Times New Roman" w:hAnsi="Times New Roman" w:cs="Times New Roman"/>
          <w:i/>
          <w:sz w:val="24"/>
          <w:lang w:val="en-US"/>
        </w:rPr>
        <w:t>Elections and voting in the 21</w:t>
      </w:r>
      <w:r w:rsidRPr="00332B18">
        <w:rPr>
          <w:rFonts w:ascii="Times New Roman" w:hAnsi="Times New Roman" w:cs="Times New Roman"/>
          <w:i/>
          <w:sz w:val="24"/>
          <w:vertAlign w:val="superscript"/>
          <w:lang w:val="en-US"/>
        </w:rPr>
        <w:t>st</w:t>
      </w:r>
      <w:r w:rsidRPr="00332B18">
        <w:rPr>
          <w:rFonts w:ascii="Times New Roman" w:hAnsi="Times New Roman" w:cs="Times New Roman"/>
          <w:i/>
          <w:sz w:val="24"/>
          <w:lang w:val="en-US"/>
        </w:rPr>
        <w:t xml:space="preserve"> Century. </w:t>
      </w:r>
      <w:r w:rsidRPr="00332B18">
        <w:rPr>
          <w:rFonts w:ascii="Times New Roman" w:hAnsi="Times New Roman" w:cs="Times New Roman"/>
          <w:sz w:val="24"/>
          <w:lang w:val="en-US"/>
        </w:rPr>
        <w:t xml:space="preserve">London. SAGE Publications. </w:t>
      </w:r>
      <w:r w:rsidRPr="00332B18">
        <w:rPr>
          <w:rFonts w:ascii="Times New Roman" w:hAnsi="Times New Roman" w:cs="Times New Roman"/>
          <w:sz w:val="24"/>
        </w:rPr>
        <w:t>Pp 165-183.</w:t>
      </w:r>
    </w:p>
    <w:p w:rsidR="00C30686" w:rsidRPr="0093144F" w:rsidRDefault="00C30686" w:rsidP="00C30686">
      <w:pPr>
        <w:tabs>
          <w:tab w:val="left" w:pos="426"/>
        </w:tabs>
        <w:spacing w:line="480" w:lineRule="auto"/>
        <w:jc w:val="both"/>
        <w:rPr>
          <w:rFonts w:ascii="Times New Roman" w:hAnsi="Times New Roman" w:cs="Times New Roman"/>
          <w:sz w:val="24"/>
        </w:rPr>
      </w:pPr>
      <w:r w:rsidRPr="00332B18">
        <w:rPr>
          <w:rFonts w:ascii="Times New Roman" w:hAnsi="Times New Roman" w:cs="Times New Roman"/>
          <w:sz w:val="24"/>
        </w:rPr>
        <w:t xml:space="preserve">Boix, C. y Riba, C. (2000): “Las bases sociales y políticas de la abstención en las elecciones generales españolas: recursos individuales, movilización estratégica e instituciones electorales”, en </w:t>
      </w:r>
      <w:r w:rsidRPr="00332B18">
        <w:rPr>
          <w:rFonts w:ascii="Times New Roman" w:hAnsi="Times New Roman" w:cs="Times New Roman"/>
          <w:i/>
          <w:sz w:val="24"/>
        </w:rPr>
        <w:t>Revista Española de Investigaciones Sociológicas</w:t>
      </w:r>
      <w:r w:rsidRPr="00332B18">
        <w:rPr>
          <w:rFonts w:ascii="Times New Roman" w:hAnsi="Times New Roman" w:cs="Times New Roman"/>
          <w:sz w:val="24"/>
        </w:rPr>
        <w:t xml:space="preserve">, n 90. </w:t>
      </w:r>
      <w:r w:rsidRPr="0093144F">
        <w:rPr>
          <w:rFonts w:ascii="Times New Roman" w:hAnsi="Times New Roman" w:cs="Times New Roman"/>
          <w:sz w:val="24"/>
        </w:rPr>
        <w:t xml:space="preserve">PP 95-128. </w:t>
      </w:r>
    </w:p>
    <w:p w:rsidR="00FF5604" w:rsidRPr="00FF5604" w:rsidRDefault="00FF5604" w:rsidP="00FF5604">
      <w:pPr>
        <w:spacing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rPr>
        <w:t xml:space="preserve">Cepeda, C. (2013): “Levantamientos Sociales en la Unión Europea: ¿un ciclo de protestas contemporáno?”, en </w:t>
      </w:r>
      <w:r>
        <w:rPr>
          <w:rFonts w:ascii="Times New Roman" w:hAnsi="Times New Roman" w:cs="Times New Roman"/>
          <w:i/>
          <w:color w:val="000000" w:themeColor="text1"/>
          <w:sz w:val="24"/>
          <w:szCs w:val="24"/>
        </w:rPr>
        <w:t>Revista Sul-Americana de Ciencia Política</w:t>
      </w:r>
      <w:r>
        <w:rPr>
          <w:rFonts w:ascii="Times New Roman" w:hAnsi="Times New Roman" w:cs="Times New Roman"/>
          <w:color w:val="000000" w:themeColor="text1"/>
          <w:sz w:val="24"/>
          <w:szCs w:val="24"/>
        </w:rPr>
        <w:t xml:space="preserve">, vol.1, núm2. </w:t>
      </w:r>
      <w:r>
        <w:rPr>
          <w:rFonts w:ascii="Times New Roman" w:hAnsi="Times New Roman" w:cs="Times New Roman"/>
          <w:color w:val="000000" w:themeColor="text1"/>
          <w:sz w:val="24"/>
          <w:szCs w:val="24"/>
          <w:lang w:val="en-US"/>
        </w:rPr>
        <w:t>51-63.</w:t>
      </w:r>
    </w:p>
    <w:p w:rsidR="00C30686" w:rsidRPr="00332B18" w:rsidRDefault="00C30686" w:rsidP="00C30686">
      <w:pPr>
        <w:tabs>
          <w:tab w:val="left" w:pos="426"/>
        </w:tabs>
        <w:spacing w:line="480" w:lineRule="auto"/>
        <w:jc w:val="both"/>
        <w:rPr>
          <w:rFonts w:ascii="Times New Roman" w:hAnsi="Times New Roman" w:cs="Times New Roman"/>
          <w:sz w:val="24"/>
        </w:rPr>
      </w:pPr>
      <w:r w:rsidRPr="00F513DE">
        <w:rPr>
          <w:rFonts w:ascii="Times New Roman" w:hAnsi="Times New Roman" w:cs="Times New Roman"/>
          <w:sz w:val="24"/>
        </w:rPr>
        <w:t xml:space="preserve">Chabanet, D. y Faniel, J.  </w:t>
      </w:r>
      <w:proofErr w:type="gramStart"/>
      <w:r w:rsidRPr="00332B18">
        <w:rPr>
          <w:rFonts w:ascii="Times New Roman" w:hAnsi="Times New Roman" w:cs="Times New Roman"/>
          <w:sz w:val="24"/>
          <w:lang w:val="en-US"/>
        </w:rPr>
        <w:t>eds</w:t>
      </w:r>
      <w:proofErr w:type="gramEnd"/>
      <w:r w:rsidRPr="00332B18">
        <w:rPr>
          <w:rFonts w:ascii="Times New Roman" w:hAnsi="Times New Roman" w:cs="Times New Roman"/>
          <w:sz w:val="24"/>
          <w:lang w:val="en-US"/>
        </w:rPr>
        <w:t xml:space="preserve"> (2012): The movilization of the unemployed in Europe. </w:t>
      </w:r>
      <w:r w:rsidRPr="00332B18">
        <w:rPr>
          <w:rFonts w:ascii="Times New Roman" w:hAnsi="Times New Roman" w:cs="Times New Roman"/>
          <w:sz w:val="24"/>
        </w:rPr>
        <w:t>New York: PelgraveMacMillan.</w:t>
      </w:r>
    </w:p>
    <w:p w:rsidR="00C30686" w:rsidRPr="00332B18" w:rsidRDefault="00C30686" w:rsidP="00C30686">
      <w:pPr>
        <w:tabs>
          <w:tab w:val="left" w:pos="426"/>
        </w:tabs>
        <w:spacing w:line="480" w:lineRule="auto"/>
        <w:jc w:val="both"/>
        <w:rPr>
          <w:rFonts w:ascii="Times New Roman" w:hAnsi="Times New Roman" w:cs="Times New Roman"/>
          <w:sz w:val="24"/>
        </w:rPr>
      </w:pPr>
      <w:r w:rsidRPr="00332B18">
        <w:rPr>
          <w:rFonts w:ascii="Times New Roman" w:hAnsi="Times New Roman" w:cs="Times New Roman"/>
          <w:sz w:val="24"/>
        </w:rPr>
        <w:t xml:space="preserve">Comisión Europea, (2014): </w:t>
      </w:r>
      <w:hyperlink r:id="rId19" w:history="1">
        <w:r w:rsidRPr="00332B18">
          <w:rPr>
            <w:rStyle w:val="Hipervnculo"/>
            <w:rFonts w:ascii="Times New Roman" w:hAnsi="Times New Roman" w:cs="Times New Roman"/>
          </w:rPr>
          <w:t>http://ec.europa.eu/spain/pdf/np-eurostat-tasa-desempleo-31-octubre-2013_es.pdf</w:t>
        </w:r>
      </w:hyperlink>
      <w:r w:rsidRPr="00332B18">
        <w:rPr>
          <w:rFonts w:ascii="Times New Roman" w:hAnsi="Times New Roman" w:cs="Times New Roman"/>
        </w:rPr>
        <w:t xml:space="preserve"> (última consulta, 16/06/2014).</w:t>
      </w:r>
    </w:p>
    <w:p w:rsidR="00C30686" w:rsidRPr="00332B18" w:rsidRDefault="00C30686" w:rsidP="00C30686">
      <w:pPr>
        <w:tabs>
          <w:tab w:val="left" w:pos="426"/>
        </w:tabs>
        <w:spacing w:line="480" w:lineRule="auto"/>
        <w:jc w:val="both"/>
        <w:rPr>
          <w:rFonts w:ascii="Times New Roman" w:hAnsi="Times New Roman" w:cs="Times New Roman"/>
          <w:lang w:val="en-US"/>
        </w:rPr>
      </w:pPr>
      <w:r w:rsidRPr="00332B18">
        <w:rPr>
          <w:rFonts w:ascii="Times New Roman" w:hAnsi="Times New Roman" w:cs="Times New Roman"/>
          <w:lang w:val="en-US"/>
        </w:rPr>
        <w:t>Danzinger (2013)</w:t>
      </w:r>
      <w:proofErr w:type="gramStart"/>
      <w:r w:rsidRPr="00332B18">
        <w:rPr>
          <w:rFonts w:ascii="Times New Roman" w:hAnsi="Times New Roman" w:cs="Times New Roman"/>
          <w:lang w:val="en-US"/>
        </w:rPr>
        <w:t>,</w:t>
      </w:r>
      <w:r w:rsidRPr="00332B18">
        <w:rPr>
          <w:rFonts w:ascii="Times New Roman" w:hAnsi="Times New Roman" w:cs="Times New Roman"/>
          <w:sz w:val="24"/>
          <w:szCs w:val="24"/>
          <w:shd w:val="clear" w:color="auto" w:fill="FFFFFF"/>
          <w:lang w:val="en-US"/>
        </w:rPr>
        <w:t>“</w:t>
      </w:r>
      <w:proofErr w:type="gramEnd"/>
      <w:r w:rsidRPr="00332B18">
        <w:rPr>
          <w:rFonts w:ascii="Times New Roman" w:hAnsi="Times New Roman" w:cs="Times New Roman"/>
          <w:sz w:val="24"/>
          <w:szCs w:val="24"/>
          <w:shd w:val="clear" w:color="auto" w:fill="FFFFFF"/>
          <w:lang w:val="en-US"/>
        </w:rPr>
        <w:t>After the Great Recession: Poverty, Inequality and Public Policies,” newly presented at the</w:t>
      </w:r>
      <w:r w:rsidRPr="00332B18">
        <w:rPr>
          <w:rStyle w:val="apple-converted-space"/>
          <w:rFonts w:ascii="Times New Roman" w:hAnsi="Times New Roman" w:cs="Times New Roman"/>
          <w:sz w:val="24"/>
          <w:szCs w:val="24"/>
          <w:shd w:val="clear" w:color="auto" w:fill="FFFFFF"/>
          <w:lang w:val="en-US"/>
        </w:rPr>
        <w:t> </w:t>
      </w:r>
      <w:hyperlink r:id="rId20" w:history="1">
        <w:r w:rsidRPr="00332B18">
          <w:rPr>
            <w:rStyle w:val="Hipervnculo"/>
            <w:rFonts w:ascii="Times New Roman" w:hAnsi="Times New Roman" w:cs="Times New Roman"/>
            <w:i/>
            <w:sz w:val="24"/>
            <w:szCs w:val="24"/>
            <w:shd w:val="clear" w:color="auto" w:fill="FFFFFF"/>
            <w:lang w:val="en-US"/>
          </w:rPr>
          <w:t>Innovative Programmatic and Policy Responses to Poverty</w:t>
        </w:r>
      </w:hyperlink>
      <w:r w:rsidRPr="00332B18">
        <w:rPr>
          <w:rStyle w:val="apple-converted-space"/>
          <w:rFonts w:ascii="Times New Roman" w:hAnsi="Times New Roman" w:cs="Times New Roman"/>
          <w:i/>
          <w:sz w:val="24"/>
          <w:szCs w:val="24"/>
          <w:shd w:val="clear" w:color="auto" w:fill="FFFFFF"/>
          <w:lang w:val="en-US"/>
        </w:rPr>
        <w:t xml:space="preserve">  </w:t>
      </w:r>
      <w:r w:rsidRPr="00332B18">
        <w:rPr>
          <w:rFonts w:ascii="Times New Roman" w:hAnsi="Times New Roman" w:cs="Times New Roman"/>
          <w:i/>
          <w:sz w:val="24"/>
          <w:szCs w:val="24"/>
          <w:shd w:val="clear" w:color="auto" w:fill="FFFFFF"/>
          <w:lang w:val="en-US"/>
        </w:rPr>
        <w:t xml:space="preserve">Conference </w:t>
      </w:r>
      <w:r w:rsidRPr="00332B18">
        <w:rPr>
          <w:rFonts w:ascii="Times New Roman" w:hAnsi="Times New Roman" w:cs="Times New Roman"/>
          <w:sz w:val="24"/>
          <w:szCs w:val="24"/>
          <w:shd w:val="clear" w:color="auto" w:fill="FFFFFF"/>
          <w:lang w:val="en-US"/>
        </w:rPr>
        <w:t xml:space="preserve">on August 18, 2014. </w:t>
      </w:r>
    </w:p>
    <w:p w:rsidR="00C30686" w:rsidRPr="00332B18" w:rsidRDefault="00C30686" w:rsidP="00C30686">
      <w:pPr>
        <w:tabs>
          <w:tab w:val="left" w:pos="426"/>
        </w:tabs>
        <w:spacing w:line="480" w:lineRule="auto"/>
        <w:jc w:val="both"/>
        <w:rPr>
          <w:rFonts w:ascii="Times New Roman" w:hAnsi="Times New Roman" w:cs="Times New Roman"/>
          <w:sz w:val="24"/>
          <w:lang w:val="en-US"/>
        </w:rPr>
      </w:pPr>
      <w:r w:rsidRPr="00332B18">
        <w:rPr>
          <w:rFonts w:ascii="Times New Roman" w:hAnsi="Times New Roman" w:cs="Times New Roman"/>
          <w:sz w:val="24"/>
          <w:lang w:val="en-US"/>
        </w:rPr>
        <w:t xml:space="preserve">Delwitt, P. (2013): “The end pof voters in Europe? Electoral Turnout in Europe since WWII”, </w:t>
      </w:r>
      <w:r w:rsidRPr="00332B18">
        <w:rPr>
          <w:rFonts w:ascii="Times New Roman" w:hAnsi="Times New Roman" w:cs="Times New Roman"/>
          <w:i/>
          <w:sz w:val="24"/>
          <w:lang w:val="en-US"/>
        </w:rPr>
        <w:t>Open Journal of Political Science</w:t>
      </w:r>
      <w:r w:rsidRPr="00332B18">
        <w:rPr>
          <w:rFonts w:ascii="Times New Roman" w:hAnsi="Times New Roman" w:cs="Times New Roman"/>
          <w:sz w:val="24"/>
          <w:lang w:val="en-US"/>
        </w:rPr>
        <w:t>, vol 3, n.1. Pp 44-52.</w:t>
      </w:r>
    </w:p>
    <w:p w:rsidR="00C30686" w:rsidRPr="00FF5604" w:rsidRDefault="00C30686" w:rsidP="00FF5604">
      <w:pPr>
        <w:tabs>
          <w:tab w:val="left" w:pos="426"/>
        </w:tabs>
        <w:spacing w:line="480" w:lineRule="auto"/>
        <w:jc w:val="both"/>
        <w:rPr>
          <w:rFonts w:ascii="Times New Roman" w:hAnsi="Times New Roman" w:cs="Times New Roman"/>
          <w:sz w:val="24"/>
        </w:rPr>
      </w:pPr>
      <w:r w:rsidRPr="00332B18">
        <w:rPr>
          <w:rFonts w:ascii="Times New Roman" w:hAnsi="Times New Roman" w:cs="Times New Roman"/>
          <w:sz w:val="24"/>
          <w:lang w:val="en-US"/>
        </w:rPr>
        <w:t>Dalton, R.J. and Welzel, C. eds. (2013)</w:t>
      </w:r>
      <w:proofErr w:type="gramStart"/>
      <w:r w:rsidRPr="00332B18">
        <w:rPr>
          <w:rFonts w:ascii="Times New Roman" w:hAnsi="Times New Roman" w:cs="Times New Roman"/>
          <w:sz w:val="24"/>
          <w:lang w:val="en-US"/>
        </w:rPr>
        <w:t>:</w:t>
      </w:r>
      <w:r w:rsidRPr="00332B18">
        <w:rPr>
          <w:rFonts w:ascii="Times New Roman" w:hAnsi="Times New Roman" w:cs="Times New Roman"/>
          <w:i/>
          <w:sz w:val="24"/>
          <w:lang w:val="en-US"/>
        </w:rPr>
        <w:t>The</w:t>
      </w:r>
      <w:proofErr w:type="gramEnd"/>
      <w:r w:rsidRPr="00332B18">
        <w:rPr>
          <w:rFonts w:ascii="Times New Roman" w:hAnsi="Times New Roman" w:cs="Times New Roman"/>
          <w:i/>
          <w:sz w:val="24"/>
          <w:lang w:val="en-US"/>
        </w:rPr>
        <w:t xml:space="preserve"> Civic Culture Revisited: From Allegiant to Assertive Citizens. </w:t>
      </w:r>
      <w:r w:rsidRPr="00332B18">
        <w:rPr>
          <w:rFonts w:ascii="Times New Roman" w:hAnsi="Times New Roman" w:cs="Times New Roman"/>
          <w:sz w:val="24"/>
        </w:rPr>
        <w:t>Cambridge: Cambridge UniversityPress.</w:t>
      </w:r>
    </w:p>
    <w:p w:rsidR="00C30686" w:rsidRPr="00332B18" w:rsidRDefault="00C30686" w:rsidP="00C30686">
      <w:pPr>
        <w:pStyle w:val="Ttulo2"/>
        <w:spacing w:before="0" w:beforeAutospacing="0" w:after="0" w:afterAutospacing="0" w:line="420" w:lineRule="atLeast"/>
        <w:jc w:val="both"/>
        <w:textAlignment w:val="baseline"/>
        <w:rPr>
          <w:b w:val="0"/>
          <w:sz w:val="24"/>
          <w:szCs w:val="24"/>
          <w:lang w:val="en-US"/>
        </w:rPr>
      </w:pPr>
      <w:r w:rsidRPr="00332B18">
        <w:rPr>
          <w:b w:val="0"/>
          <w:sz w:val="24"/>
          <w:szCs w:val="24"/>
        </w:rPr>
        <w:lastRenderedPageBreak/>
        <w:t>Di Palma, G</w:t>
      </w:r>
      <w:proofErr w:type="gramStart"/>
      <w:r w:rsidRPr="00332B18">
        <w:rPr>
          <w:b w:val="0"/>
          <w:sz w:val="24"/>
          <w:szCs w:val="24"/>
        </w:rPr>
        <w:t>.(</w:t>
      </w:r>
      <w:proofErr w:type="gramEnd"/>
      <w:r w:rsidRPr="00332B18">
        <w:rPr>
          <w:b w:val="0"/>
          <w:sz w:val="24"/>
          <w:szCs w:val="24"/>
        </w:rPr>
        <w:t>1979): “</w:t>
      </w:r>
      <w:r w:rsidRPr="00332B18">
        <w:rPr>
          <w:rStyle w:val="titulo"/>
          <w:b w:val="0"/>
          <w:bCs w:val="0"/>
          <w:sz w:val="24"/>
          <w:szCs w:val="24"/>
          <w:bdr w:val="none" w:sz="0" w:space="0" w:color="auto" w:frame="1"/>
        </w:rPr>
        <w:t xml:space="preserve">¿Derecha, izquierda o centro? sobre la legitimación de los partidos y coaliciones en el sur de Europa”. </w:t>
      </w:r>
      <w:hyperlink r:id="rId21" w:history="1">
        <w:r w:rsidRPr="00332B18">
          <w:rPr>
            <w:rStyle w:val="Hipervnculo"/>
            <w:rFonts w:eastAsiaTheme="majorEastAsia"/>
            <w:b w:val="0"/>
            <w:i/>
            <w:sz w:val="24"/>
            <w:szCs w:val="24"/>
            <w:bdr w:val="none" w:sz="0" w:space="0" w:color="auto" w:frame="1"/>
            <w:lang w:val="en-US"/>
          </w:rPr>
          <w:t>Revista de derecho político</w:t>
        </w:r>
      </w:hyperlink>
      <w:r w:rsidRPr="00332B18">
        <w:rPr>
          <w:b w:val="0"/>
          <w:i/>
          <w:sz w:val="24"/>
          <w:szCs w:val="24"/>
          <w:lang w:val="en-US"/>
        </w:rPr>
        <w:t>,</w:t>
      </w:r>
      <w:r w:rsidRPr="00332B18">
        <w:rPr>
          <w:b w:val="0"/>
          <w:sz w:val="24"/>
          <w:szCs w:val="24"/>
          <w:lang w:val="en-US"/>
        </w:rPr>
        <w:t xml:space="preserve"> n </w:t>
      </w:r>
      <w:proofErr w:type="gramStart"/>
      <w:r w:rsidRPr="00332B18">
        <w:rPr>
          <w:b w:val="0"/>
          <w:sz w:val="24"/>
          <w:szCs w:val="24"/>
          <w:lang w:val="en-US"/>
        </w:rPr>
        <w:t>4</w:t>
      </w:r>
      <w:r w:rsidRPr="00332B18">
        <w:rPr>
          <w:rStyle w:val="apple-converted-space"/>
          <w:rFonts w:eastAsiaTheme="majorEastAsia"/>
          <w:b w:val="0"/>
          <w:sz w:val="24"/>
          <w:szCs w:val="24"/>
          <w:lang w:val="en-US"/>
        </w:rPr>
        <w:t> </w:t>
      </w:r>
      <w:r w:rsidRPr="00332B18">
        <w:rPr>
          <w:b w:val="0"/>
          <w:sz w:val="24"/>
          <w:szCs w:val="24"/>
          <w:lang w:val="en-US"/>
        </w:rPr>
        <w:t>.</w:t>
      </w:r>
      <w:proofErr w:type="gramEnd"/>
      <w:r w:rsidRPr="00332B18">
        <w:rPr>
          <w:b w:val="0"/>
          <w:sz w:val="24"/>
          <w:szCs w:val="24"/>
          <w:lang w:val="en-US"/>
        </w:rPr>
        <w:t xml:space="preserve"> Pp</w:t>
      </w:r>
      <w:r w:rsidRPr="00332B18">
        <w:rPr>
          <w:rStyle w:val="apple-converted-space"/>
          <w:rFonts w:eastAsiaTheme="majorEastAsia"/>
          <w:b w:val="0"/>
          <w:sz w:val="24"/>
          <w:szCs w:val="24"/>
          <w:lang w:val="en-US"/>
        </w:rPr>
        <w:t> </w:t>
      </w:r>
      <w:r w:rsidRPr="00332B18">
        <w:rPr>
          <w:b w:val="0"/>
          <w:sz w:val="24"/>
          <w:szCs w:val="24"/>
          <w:lang w:val="en-US"/>
        </w:rPr>
        <w:t>125-145.</w:t>
      </w:r>
    </w:p>
    <w:p w:rsidR="00C30686" w:rsidRPr="00332B18" w:rsidRDefault="00C30686" w:rsidP="00C30686">
      <w:pPr>
        <w:pStyle w:val="Ttulo2"/>
        <w:spacing w:before="0" w:beforeAutospacing="0" w:after="0" w:afterAutospacing="0" w:line="420" w:lineRule="atLeast"/>
        <w:jc w:val="both"/>
        <w:textAlignment w:val="baseline"/>
        <w:rPr>
          <w:b w:val="0"/>
          <w:bCs w:val="0"/>
          <w:sz w:val="24"/>
          <w:szCs w:val="24"/>
          <w:lang w:val="en-US"/>
        </w:rPr>
      </w:pPr>
    </w:p>
    <w:p w:rsidR="00C30686" w:rsidRPr="00332B18" w:rsidRDefault="00C30686" w:rsidP="00C30686">
      <w:pPr>
        <w:tabs>
          <w:tab w:val="left" w:pos="426"/>
        </w:tabs>
        <w:spacing w:line="480" w:lineRule="auto"/>
        <w:jc w:val="both"/>
        <w:rPr>
          <w:rFonts w:ascii="Times New Roman" w:hAnsi="Times New Roman" w:cs="Times New Roman"/>
          <w:sz w:val="24"/>
          <w:lang w:val="en-US"/>
        </w:rPr>
      </w:pPr>
      <w:r w:rsidRPr="00332B18">
        <w:rPr>
          <w:rFonts w:ascii="Times New Roman" w:hAnsi="Times New Roman" w:cs="Times New Roman"/>
          <w:sz w:val="24"/>
          <w:lang w:val="en-US"/>
        </w:rPr>
        <w:t xml:space="preserve">Downs, A. (1957): </w:t>
      </w:r>
      <w:r w:rsidRPr="00332B18">
        <w:rPr>
          <w:rFonts w:ascii="Times New Roman" w:hAnsi="Times New Roman" w:cs="Times New Roman"/>
          <w:i/>
          <w:sz w:val="24"/>
          <w:lang w:val="en-US"/>
        </w:rPr>
        <w:t>An economic theory of Democracy.</w:t>
      </w:r>
      <w:r w:rsidRPr="00332B18">
        <w:rPr>
          <w:rFonts w:ascii="Times New Roman" w:hAnsi="Times New Roman" w:cs="Times New Roman"/>
          <w:sz w:val="24"/>
          <w:lang w:val="en-US"/>
        </w:rPr>
        <w:t>Harper and Row.</w:t>
      </w:r>
    </w:p>
    <w:p w:rsidR="00FF5604" w:rsidRDefault="00FF5604" w:rsidP="00FF5604">
      <w:pPr>
        <w:pStyle w:val="Ttulo2"/>
        <w:spacing w:before="0" w:beforeAutospacing="0" w:after="0" w:afterAutospacing="0" w:line="420" w:lineRule="atLeast"/>
        <w:jc w:val="both"/>
        <w:textAlignment w:val="baseline"/>
        <w:rPr>
          <w:b w:val="0"/>
          <w:sz w:val="24"/>
        </w:rPr>
      </w:pPr>
      <w:r>
        <w:rPr>
          <w:b w:val="0"/>
          <w:sz w:val="24"/>
        </w:rPr>
        <w:t xml:space="preserve">Empleo.gob (2014): “Grecia: Primera Encuesta Trimestral Sobre Población Activa”, en  </w:t>
      </w:r>
      <w:hyperlink r:id="rId22" w:history="1">
        <w:r>
          <w:rPr>
            <w:rStyle w:val="Hipervnculo"/>
            <w:rFonts w:eastAsiaTheme="majorEastAsia"/>
            <w:b w:val="0"/>
            <w:sz w:val="24"/>
          </w:rPr>
          <w:t>http://www.empleo.gob.es/es/mundo/Revista/Revista170/94.pdf</w:t>
        </w:r>
      </w:hyperlink>
      <w:r>
        <w:rPr>
          <w:b w:val="0"/>
          <w:sz w:val="24"/>
        </w:rPr>
        <w:t xml:space="preserve"> (en base a datos del ELSTAT, Autoridad Helena de Estadística). (Última consulta, 03/03/15).</w:t>
      </w:r>
    </w:p>
    <w:p w:rsidR="00FF5604" w:rsidRDefault="00FF5604" w:rsidP="00FF5604">
      <w:pPr>
        <w:pStyle w:val="Ttulo2"/>
        <w:spacing w:before="0" w:beforeAutospacing="0" w:after="0" w:afterAutospacing="0" w:line="420" w:lineRule="atLeast"/>
        <w:jc w:val="both"/>
        <w:textAlignment w:val="baseline"/>
        <w:rPr>
          <w:b w:val="0"/>
          <w:sz w:val="24"/>
        </w:rPr>
      </w:pPr>
    </w:p>
    <w:p w:rsidR="00FF5604" w:rsidRDefault="00FF5604" w:rsidP="00FF5604">
      <w:pPr>
        <w:spacing w:after="0" w:line="360" w:lineRule="auto"/>
        <w:ind w:right="-35"/>
        <w:jc w:val="both"/>
        <w:rPr>
          <w:rFonts w:ascii="Times New Roman" w:eastAsia="Times New Roman" w:hAnsi="Times New Roman" w:cs="Times New Roman"/>
          <w:sz w:val="24"/>
          <w:szCs w:val="24"/>
          <w:u w:val="single"/>
          <w:lang w:eastAsia="es-ES"/>
        </w:rPr>
      </w:pPr>
      <w:r>
        <w:rPr>
          <w:rFonts w:ascii="Times New Roman" w:hAnsi="Times New Roman" w:cs="Times New Roman"/>
          <w:sz w:val="24"/>
          <w:szCs w:val="24"/>
        </w:rPr>
        <w:t xml:space="preserve">EUSTAT (2015): </w:t>
      </w:r>
      <w:r>
        <w:rPr>
          <w:rFonts w:ascii="Times New Roman" w:hAnsi="Times New Roman" w:cs="Times New Roman"/>
          <w:i/>
          <w:sz w:val="24"/>
          <w:szCs w:val="24"/>
        </w:rPr>
        <w:t xml:space="preserve">Niveles de Paro de la Unión Europea, </w:t>
      </w:r>
      <w:r>
        <w:rPr>
          <w:rFonts w:ascii="Times New Roman" w:hAnsi="Times New Roman" w:cs="Times New Roman"/>
          <w:sz w:val="24"/>
          <w:szCs w:val="24"/>
        </w:rPr>
        <w:t xml:space="preserve">disponible online en </w:t>
      </w:r>
      <w:hyperlink r:id="rId23" w:anchor="axzz3U4N5I9R9" w:history="1">
        <w:r>
          <w:rPr>
            <w:rStyle w:val="Hipervnculo"/>
            <w:rFonts w:ascii="Times New Roman" w:hAnsi="Times New Roman" w:cs="Times New Roman"/>
            <w:sz w:val="24"/>
            <w:szCs w:val="24"/>
          </w:rPr>
          <w:t>http://www.eustat.es/elementos/ele0009900/ti_Tasa_de_paro_en_la_UE_28__2004-2013/tbl0009932_c.html#axzz3U4N5I9R9</w:t>
        </w:r>
      </w:hyperlink>
      <w:r>
        <w:rPr>
          <w:rFonts w:ascii="Times New Roman" w:hAnsi="Times New Roman" w:cs="Times New Roman"/>
          <w:color w:val="000000"/>
          <w:sz w:val="24"/>
          <w:szCs w:val="24"/>
          <w:u w:val="single"/>
        </w:rPr>
        <w:t xml:space="preserve">) (última consulta, 23/03/15). </w:t>
      </w:r>
    </w:p>
    <w:p w:rsidR="00C30686" w:rsidRPr="00332B18" w:rsidRDefault="00C30686" w:rsidP="00C30686">
      <w:pPr>
        <w:rPr>
          <w:rFonts w:ascii="Times New Roman" w:hAnsi="Times New Roman" w:cs="Times New Roman"/>
          <w:sz w:val="24"/>
        </w:rPr>
      </w:pPr>
    </w:p>
    <w:p w:rsidR="00C30686" w:rsidRPr="00332B18" w:rsidRDefault="00C30686" w:rsidP="00C30686">
      <w:pPr>
        <w:tabs>
          <w:tab w:val="left" w:pos="426"/>
        </w:tabs>
        <w:spacing w:line="480" w:lineRule="auto"/>
        <w:jc w:val="both"/>
        <w:rPr>
          <w:rFonts w:ascii="Times New Roman" w:hAnsi="Times New Roman" w:cs="Times New Roman"/>
          <w:i/>
          <w:sz w:val="24"/>
          <w:lang w:val="en-US"/>
        </w:rPr>
      </w:pPr>
      <w:r w:rsidRPr="00332B18">
        <w:rPr>
          <w:rFonts w:ascii="Times New Roman" w:hAnsi="Times New Roman" w:cs="Times New Roman"/>
          <w:sz w:val="24"/>
          <w:lang w:val="en-US"/>
        </w:rPr>
        <w:t xml:space="preserve">Ferreira, P. and Dionisio, A. (2008): “Voters disaffection abstention and entropy: analysis in European countries”, </w:t>
      </w:r>
      <w:r w:rsidRPr="00332B18">
        <w:rPr>
          <w:rFonts w:ascii="Times New Roman" w:hAnsi="Times New Roman" w:cs="Times New Roman"/>
          <w:i/>
          <w:sz w:val="24"/>
          <w:lang w:val="en-US"/>
        </w:rPr>
        <w:t>CEFAGE working paper series.</w:t>
      </w:r>
    </w:p>
    <w:p w:rsidR="00C30686" w:rsidRPr="00332B18" w:rsidRDefault="00C30686" w:rsidP="00C30686">
      <w:pPr>
        <w:tabs>
          <w:tab w:val="left" w:pos="426"/>
        </w:tabs>
        <w:spacing w:line="480" w:lineRule="auto"/>
        <w:jc w:val="both"/>
        <w:rPr>
          <w:rFonts w:ascii="Times New Roman" w:hAnsi="Times New Roman" w:cs="Times New Roman"/>
          <w:sz w:val="24"/>
        </w:rPr>
      </w:pPr>
      <w:r w:rsidRPr="00332B18">
        <w:rPr>
          <w:rFonts w:ascii="Times New Roman" w:hAnsi="Times New Roman" w:cs="Times New Roman"/>
          <w:sz w:val="24"/>
        </w:rPr>
        <w:t xml:space="preserve">Font, J. (1995): Manuel Justel in Memoriam, “La abstención Electoral en España: Certezas e Interrogantes”. </w:t>
      </w:r>
      <w:r w:rsidRPr="00332B18">
        <w:rPr>
          <w:rFonts w:ascii="Times New Roman" w:hAnsi="Times New Roman" w:cs="Times New Roman"/>
          <w:i/>
          <w:sz w:val="24"/>
        </w:rPr>
        <w:t>Revista Española de Investigaciones Sociológicas,</w:t>
      </w:r>
      <w:r w:rsidRPr="00332B18">
        <w:rPr>
          <w:rFonts w:ascii="Times New Roman" w:hAnsi="Times New Roman" w:cs="Times New Roman"/>
          <w:sz w:val="24"/>
        </w:rPr>
        <w:t xml:space="preserve"> n 71-72. PP 11-37.</w:t>
      </w:r>
    </w:p>
    <w:p w:rsidR="00C30686" w:rsidRDefault="00C30686" w:rsidP="00C30686">
      <w:pPr>
        <w:tabs>
          <w:tab w:val="left" w:pos="426"/>
        </w:tabs>
        <w:spacing w:line="480" w:lineRule="auto"/>
        <w:jc w:val="both"/>
        <w:rPr>
          <w:rFonts w:ascii="Times New Roman" w:hAnsi="Times New Roman" w:cs="Times New Roman"/>
          <w:sz w:val="24"/>
          <w:lang w:val="en-US"/>
        </w:rPr>
      </w:pPr>
      <w:r w:rsidRPr="00332B18">
        <w:rPr>
          <w:rFonts w:ascii="Times New Roman" w:hAnsi="Times New Roman" w:cs="Times New Roman"/>
          <w:sz w:val="24"/>
        </w:rPr>
        <w:t xml:space="preserve">________ (1992): “La abstención en las grandes ciudades”,  </w:t>
      </w:r>
      <w:r w:rsidRPr="00332B18">
        <w:rPr>
          <w:rFonts w:ascii="Times New Roman" w:hAnsi="Times New Roman" w:cs="Times New Roman"/>
          <w:i/>
          <w:sz w:val="24"/>
        </w:rPr>
        <w:t>Revista Española de Investigaciones Sociológicas,</w:t>
      </w:r>
      <w:r w:rsidRPr="00332B18">
        <w:rPr>
          <w:rFonts w:ascii="Times New Roman" w:hAnsi="Times New Roman" w:cs="Times New Roman"/>
          <w:sz w:val="24"/>
        </w:rPr>
        <w:t xml:space="preserve"> n 58. </w:t>
      </w:r>
      <w:r w:rsidRPr="00332B18">
        <w:rPr>
          <w:rFonts w:ascii="Times New Roman" w:hAnsi="Times New Roman" w:cs="Times New Roman"/>
          <w:sz w:val="24"/>
          <w:lang w:val="en-US"/>
        </w:rPr>
        <w:t>PP 123-39.</w:t>
      </w:r>
    </w:p>
    <w:p w:rsidR="008B2997" w:rsidRDefault="008B2997" w:rsidP="008B2997">
      <w:pPr>
        <w:spacing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Frank, A. G. y Fuentes, M. (1987): “Nine Theses on Social Movements”, en Economic and Political Weekly, vol.22, núm.35. </w:t>
      </w:r>
      <w:r>
        <w:rPr>
          <w:rFonts w:ascii="Times New Roman" w:hAnsi="Times New Roman" w:cs="Times New Roman"/>
          <w:color w:val="000000" w:themeColor="text1"/>
          <w:sz w:val="24"/>
          <w:szCs w:val="24"/>
        </w:rPr>
        <w:t xml:space="preserve">1503-1507 y 1509-10. Disponible online en </w:t>
      </w:r>
      <w:hyperlink r:id="rId24" w:history="1">
        <w:r>
          <w:rPr>
            <w:rStyle w:val="Hipervnculo"/>
            <w:rFonts w:ascii="Times New Roman" w:hAnsi="Times New Roman" w:cs="Times New Roman"/>
            <w:color w:val="000000" w:themeColor="text1"/>
            <w:sz w:val="24"/>
            <w:szCs w:val="24"/>
          </w:rPr>
          <w:t>http://ip.cals.cornell.edu/courses/iard4010/archive/2012spring/documents/Frank%20and%20Fuentes%20Nine%20Theses.pdf</w:t>
        </w:r>
      </w:hyperlink>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(Últimaconsulta, 9/03/15).</w:t>
      </w:r>
    </w:p>
    <w:p w:rsidR="008B2997" w:rsidRPr="008B2997" w:rsidRDefault="008B2997" w:rsidP="008B2997">
      <w:pPr>
        <w:spacing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____________________</w:t>
      </w:r>
      <w:proofErr w:type="gramStart"/>
      <w:r>
        <w:rPr>
          <w:rFonts w:ascii="Times New Roman" w:hAnsi="Times New Roman" w:cs="Times New Roman"/>
          <w:color w:val="000000" w:themeColor="text1"/>
          <w:sz w:val="24"/>
          <w:szCs w:val="24"/>
          <w:lang w:val="en-US"/>
        </w:rPr>
        <w:t>_(</w:t>
      </w:r>
      <w:proofErr w:type="gramEnd"/>
      <w:r>
        <w:rPr>
          <w:rFonts w:ascii="Times New Roman" w:hAnsi="Times New Roman" w:cs="Times New Roman"/>
          <w:color w:val="000000" w:themeColor="text1"/>
          <w:sz w:val="24"/>
          <w:szCs w:val="24"/>
          <w:lang w:val="en-US"/>
        </w:rPr>
        <w:t xml:space="preserve">1992): </w:t>
      </w:r>
      <w:r>
        <w:rPr>
          <w:rFonts w:ascii="Times New Roman" w:hAnsi="Times New Roman" w:cs="Times New Roman"/>
          <w:i/>
          <w:color w:val="000000" w:themeColor="text1"/>
          <w:sz w:val="24"/>
          <w:szCs w:val="24"/>
          <w:lang w:val="en-US"/>
        </w:rPr>
        <w:t>On the study of Cycles in Social Movements</w:t>
      </w:r>
      <w:r>
        <w:rPr>
          <w:rFonts w:ascii="Times New Roman" w:hAnsi="Times New Roman" w:cs="Times New Roman"/>
          <w:color w:val="000000" w:themeColor="text1"/>
          <w:sz w:val="24"/>
          <w:szCs w:val="24"/>
          <w:lang w:val="en-US"/>
        </w:rPr>
        <w:t>, disponible online en</w:t>
      </w:r>
      <w:hyperlink r:id="rId25" w:history="1">
        <w:r>
          <w:rPr>
            <w:rStyle w:val="Hipervnculo"/>
            <w:rFonts w:ascii="Times New Roman" w:hAnsi="Times New Roman" w:cs="Times New Roman"/>
            <w:color w:val="000000" w:themeColor="text1"/>
            <w:sz w:val="24"/>
            <w:szCs w:val="24"/>
            <w:lang w:val="en-US"/>
          </w:rPr>
          <w:t>http://govt.eserver.org/cycles-in-social-movements.txt</w:t>
        </w:r>
      </w:hyperlink>
      <w:r>
        <w:rPr>
          <w:rFonts w:ascii="Times New Roman" w:hAnsi="Times New Roman" w:cs="Times New Roman"/>
          <w:color w:val="000000" w:themeColor="text1"/>
          <w:sz w:val="24"/>
          <w:szCs w:val="24"/>
          <w:lang w:val="en-US"/>
        </w:rPr>
        <w:t xml:space="preserve"> (últimaconsulta, 9/03/15).</w:t>
      </w:r>
    </w:p>
    <w:p w:rsidR="00C30686" w:rsidRPr="00332B18" w:rsidRDefault="00C30686" w:rsidP="00C30686">
      <w:pPr>
        <w:tabs>
          <w:tab w:val="left" w:pos="426"/>
        </w:tabs>
        <w:spacing w:line="480" w:lineRule="auto"/>
        <w:jc w:val="both"/>
        <w:rPr>
          <w:rStyle w:val="fn"/>
          <w:rFonts w:ascii="Times New Roman" w:hAnsi="Times New Roman" w:cs="Times New Roman"/>
          <w:sz w:val="24"/>
          <w:szCs w:val="24"/>
          <w:lang w:val="en-US"/>
        </w:rPr>
      </w:pPr>
      <w:r w:rsidRPr="00332B18">
        <w:rPr>
          <w:rFonts w:ascii="Times New Roman" w:hAnsi="Times New Roman" w:cs="Times New Roman"/>
          <w:sz w:val="24"/>
          <w:lang w:val="en-US"/>
        </w:rPr>
        <w:lastRenderedPageBreak/>
        <w:t xml:space="preserve">Franklin, M. (2004): </w:t>
      </w:r>
      <w:r w:rsidRPr="00332B18">
        <w:rPr>
          <w:rStyle w:val="fn"/>
          <w:rFonts w:ascii="Times New Roman" w:hAnsi="Times New Roman" w:cs="Times New Roman"/>
          <w:i/>
          <w:sz w:val="24"/>
          <w:szCs w:val="24"/>
          <w:lang w:val="en-US"/>
        </w:rPr>
        <w:t xml:space="preserve">Voter Turnout and the Dynamics of Electoral Competition in Established Democracies </w:t>
      </w:r>
      <w:proofErr w:type="gramStart"/>
      <w:r w:rsidRPr="00332B18">
        <w:rPr>
          <w:rStyle w:val="fn"/>
          <w:rFonts w:ascii="Times New Roman" w:hAnsi="Times New Roman" w:cs="Times New Roman"/>
          <w:i/>
          <w:sz w:val="24"/>
          <w:szCs w:val="24"/>
          <w:lang w:val="en-US"/>
        </w:rPr>
        <w:t>Since</w:t>
      </w:r>
      <w:proofErr w:type="gramEnd"/>
      <w:r w:rsidRPr="00332B18">
        <w:rPr>
          <w:rStyle w:val="fn"/>
          <w:rFonts w:ascii="Times New Roman" w:hAnsi="Times New Roman" w:cs="Times New Roman"/>
          <w:i/>
          <w:sz w:val="24"/>
          <w:szCs w:val="24"/>
          <w:lang w:val="en-US"/>
        </w:rPr>
        <w:t xml:space="preserve"> 1945</w:t>
      </w:r>
      <w:r w:rsidRPr="00332B18">
        <w:rPr>
          <w:rStyle w:val="fn"/>
          <w:rFonts w:ascii="Times New Roman" w:hAnsi="Times New Roman" w:cs="Times New Roman"/>
          <w:sz w:val="24"/>
          <w:szCs w:val="24"/>
          <w:lang w:val="en-US"/>
        </w:rPr>
        <w:t xml:space="preserve">. Cambridge: Cambridge University Press. </w:t>
      </w:r>
    </w:p>
    <w:p w:rsidR="00C30686" w:rsidRPr="00332B18" w:rsidRDefault="00C30686" w:rsidP="00C30686">
      <w:pPr>
        <w:tabs>
          <w:tab w:val="left" w:pos="426"/>
        </w:tabs>
        <w:spacing w:line="480" w:lineRule="auto"/>
        <w:jc w:val="both"/>
        <w:rPr>
          <w:rFonts w:ascii="Times New Roman" w:hAnsi="Times New Roman" w:cs="Times New Roman"/>
          <w:i/>
          <w:sz w:val="24"/>
          <w:lang w:val="en-US"/>
        </w:rPr>
      </w:pPr>
      <w:r w:rsidRPr="00332B18">
        <w:rPr>
          <w:rFonts w:ascii="Times New Roman" w:hAnsi="Times New Roman" w:cs="Times New Roman"/>
          <w:sz w:val="24"/>
          <w:lang w:val="en-US"/>
        </w:rPr>
        <w:t xml:space="preserve">Freire, A. (2014): “Economic crisis, change and policy representation: a quasi experimental text </w:t>
      </w:r>
      <w:proofErr w:type="gramStart"/>
      <w:r w:rsidRPr="00332B18">
        <w:rPr>
          <w:rFonts w:ascii="Times New Roman" w:hAnsi="Times New Roman" w:cs="Times New Roman"/>
          <w:sz w:val="24"/>
          <w:lang w:val="en-US"/>
        </w:rPr>
        <w:t>for  the</w:t>
      </w:r>
      <w:proofErr w:type="gramEnd"/>
      <w:r w:rsidRPr="00332B18">
        <w:rPr>
          <w:rFonts w:ascii="Times New Roman" w:hAnsi="Times New Roman" w:cs="Times New Roman"/>
          <w:sz w:val="24"/>
          <w:lang w:val="en-US"/>
        </w:rPr>
        <w:t xml:space="preserve"> representation from the above theory in Portugal”, </w:t>
      </w:r>
      <w:r w:rsidRPr="00332B18">
        <w:rPr>
          <w:rFonts w:ascii="Times New Roman" w:hAnsi="Times New Roman" w:cs="Times New Roman"/>
          <w:i/>
          <w:sz w:val="24"/>
          <w:lang w:val="en-US"/>
        </w:rPr>
        <w:t xml:space="preserve">Working Paper 161/2014 UAM Working Paper Series. </w:t>
      </w:r>
    </w:p>
    <w:p w:rsidR="00C30686" w:rsidRPr="00332B18" w:rsidRDefault="00C30686" w:rsidP="00C30686">
      <w:pPr>
        <w:tabs>
          <w:tab w:val="left" w:pos="426"/>
        </w:tabs>
        <w:spacing w:line="480" w:lineRule="auto"/>
        <w:jc w:val="both"/>
        <w:rPr>
          <w:rFonts w:ascii="Times New Roman" w:hAnsi="Times New Roman" w:cs="Times New Roman"/>
          <w:sz w:val="24"/>
        </w:rPr>
      </w:pPr>
      <w:r w:rsidRPr="00332B18">
        <w:rPr>
          <w:rFonts w:ascii="Times New Roman" w:hAnsi="Times New Roman" w:cs="Times New Roman"/>
          <w:i/>
          <w:sz w:val="24"/>
        </w:rPr>
        <w:t xml:space="preserve">European Social Survey, </w:t>
      </w:r>
      <w:r w:rsidRPr="00332B18">
        <w:rPr>
          <w:rFonts w:ascii="Times New Roman" w:hAnsi="Times New Roman" w:cs="Times New Roman"/>
          <w:sz w:val="24"/>
        </w:rPr>
        <w:t xml:space="preserve">disponible en </w:t>
      </w:r>
      <w:hyperlink r:id="rId26" w:history="1">
        <w:r w:rsidRPr="00332B18">
          <w:rPr>
            <w:rStyle w:val="Hipervnculo"/>
            <w:rFonts w:ascii="Times New Roman" w:hAnsi="Times New Roman" w:cs="Times New Roman"/>
            <w:sz w:val="24"/>
          </w:rPr>
          <w:t>http://www.europeansocialsurvey.org/</w:t>
        </w:r>
      </w:hyperlink>
      <w:r w:rsidRPr="00332B18">
        <w:rPr>
          <w:rFonts w:ascii="Times New Roman" w:hAnsi="Times New Roman" w:cs="Times New Roman"/>
          <w:sz w:val="24"/>
        </w:rPr>
        <w:t xml:space="preserve"> (última consulta, 15/08/14).</w:t>
      </w:r>
    </w:p>
    <w:p w:rsidR="00C30686" w:rsidRPr="00332B18" w:rsidRDefault="00C30686" w:rsidP="00C30686">
      <w:pPr>
        <w:tabs>
          <w:tab w:val="left" w:pos="426"/>
        </w:tabs>
        <w:spacing w:line="480" w:lineRule="auto"/>
        <w:jc w:val="both"/>
        <w:rPr>
          <w:rFonts w:ascii="Times New Roman" w:hAnsi="Times New Roman" w:cs="Times New Roman"/>
          <w:sz w:val="24"/>
          <w:lang w:val="en-US"/>
        </w:rPr>
      </w:pPr>
      <w:r w:rsidRPr="00332B18">
        <w:rPr>
          <w:rFonts w:ascii="Times New Roman" w:hAnsi="Times New Roman" w:cs="Times New Roman"/>
          <w:sz w:val="24"/>
        </w:rPr>
        <w:t xml:space="preserve">Gallego, A., San Martín, J. y Cristancho, C. (2010): “La movilización política: medición y relevancia”, </w:t>
      </w:r>
      <w:r w:rsidRPr="00332B18">
        <w:rPr>
          <w:rFonts w:ascii="Times New Roman" w:hAnsi="Times New Roman" w:cs="Times New Roman"/>
          <w:i/>
          <w:sz w:val="24"/>
        </w:rPr>
        <w:t>Revista Española de Ciencia Política</w:t>
      </w:r>
      <w:r w:rsidRPr="00332B18">
        <w:rPr>
          <w:rFonts w:ascii="Times New Roman" w:hAnsi="Times New Roman" w:cs="Times New Roman"/>
          <w:sz w:val="24"/>
        </w:rPr>
        <w:t xml:space="preserve">, número 23. </w:t>
      </w:r>
      <w:r w:rsidRPr="00332B18">
        <w:rPr>
          <w:rFonts w:ascii="Times New Roman" w:hAnsi="Times New Roman" w:cs="Times New Roman"/>
          <w:sz w:val="24"/>
          <w:lang w:val="en-US"/>
        </w:rPr>
        <w:t xml:space="preserve">Pp 113-124. </w:t>
      </w:r>
    </w:p>
    <w:p w:rsidR="00C30686" w:rsidRPr="00332B18" w:rsidRDefault="00C30686" w:rsidP="00C30686">
      <w:pPr>
        <w:tabs>
          <w:tab w:val="left" w:pos="426"/>
        </w:tabs>
        <w:spacing w:line="480" w:lineRule="auto"/>
        <w:jc w:val="both"/>
        <w:rPr>
          <w:rFonts w:ascii="Times New Roman" w:hAnsi="Times New Roman" w:cs="Times New Roman"/>
          <w:sz w:val="24"/>
          <w:szCs w:val="24"/>
          <w:lang w:val="en-US"/>
        </w:rPr>
      </w:pPr>
      <w:r w:rsidRPr="00332B18">
        <w:rPr>
          <w:rFonts w:ascii="Times New Roman" w:hAnsi="Times New Roman" w:cs="Times New Roman"/>
          <w:sz w:val="24"/>
          <w:lang w:val="en-US"/>
        </w:rPr>
        <w:t xml:space="preserve">Gallego, A. </w:t>
      </w:r>
      <w:r w:rsidRPr="00332B18">
        <w:rPr>
          <w:rFonts w:ascii="Times New Roman" w:hAnsi="Times New Roman" w:cs="Times New Roman"/>
          <w:sz w:val="24"/>
          <w:szCs w:val="24"/>
          <w:lang w:val="en-US"/>
        </w:rPr>
        <w:t>(f</w:t>
      </w:r>
      <w:r w:rsidRPr="00332B18">
        <w:rPr>
          <w:rFonts w:ascii="Times New Roman" w:hAnsi="Times New Roman" w:cs="Times New Roman"/>
          <w:i/>
          <w:sz w:val="24"/>
          <w:szCs w:val="24"/>
          <w:lang w:val="en-US"/>
        </w:rPr>
        <w:t>orthcoming</w:t>
      </w:r>
      <w:r w:rsidRPr="00332B18">
        <w:rPr>
          <w:rFonts w:ascii="Times New Roman" w:hAnsi="Times New Roman" w:cs="Times New Roman"/>
          <w:sz w:val="24"/>
          <w:szCs w:val="24"/>
          <w:lang w:val="en-US"/>
        </w:rPr>
        <w:t>)</w:t>
      </w:r>
      <w:r w:rsidRPr="00332B18">
        <w:rPr>
          <w:rFonts w:ascii="Times New Roman" w:hAnsi="Times New Roman" w:cs="Times New Roman"/>
          <w:sz w:val="24"/>
          <w:szCs w:val="24"/>
          <w:shd w:val="clear" w:color="auto" w:fill="FFFFFF"/>
          <w:lang w:val="en-US"/>
        </w:rPr>
        <w:t>:</w:t>
      </w:r>
      <w:r w:rsidRPr="00332B18">
        <w:rPr>
          <w:rStyle w:val="apple-converted-space"/>
          <w:rFonts w:ascii="Times New Roman" w:hAnsi="Times New Roman" w:cs="Times New Roman"/>
          <w:sz w:val="24"/>
          <w:szCs w:val="24"/>
          <w:shd w:val="clear" w:color="auto" w:fill="FFFFFF"/>
          <w:lang w:val="en-US"/>
        </w:rPr>
        <w:t> </w:t>
      </w:r>
      <w:r w:rsidRPr="00332B18">
        <w:rPr>
          <w:rStyle w:val="nfasis"/>
          <w:sz w:val="24"/>
          <w:szCs w:val="24"/>
          <w:shd w:val="clear" w:color="auto" w:fill="FFFFFF"/>
          <w:lang w:val="en-US"/>
        </w:rPr>
        <w:t>Unequal Political Participation Worldwide</w:t>
      </w:r>
      <w:r w:rsidRPr="00332B18">
        <w:rPr>
          <w:rFonts w:ascii="Times New Roman" w:hAnsi="Times New Roman" w:cs="Times New Roman"/>
          <w:sz w:val="24"/>
          <w:szCs w:val="24"/>
          <w:shd w:val="clear" w:color="auto" w:fill="FFFFFF"/>
          <w:lang w:val="en-US"/>
        </w:rPr>
        <w:t>. Cambridge University Press.</w:t>
      </w:r>
    </w:p>
    <w:p w:rsidR="00C30686" w:rsidRPr="00332B18" w:rsidRDefault="00C30686" w:rsidP="00C30686">
      <w:pPr>
        <w:tabs>
          <w:tab w:val="left" w:pos="426"/>
        </w:tabs>
        <w:spacing w:line="480" w:lineRule="auto"/>
        <w:jc w:val="both"/>
        <w:rPr>
          <w:rFonts w:ascii="Times New Roman" w:hAnsi="Times New Roman" w:cs="Times New Roman"/>
          <w:sz w:val="24"/>
          <w:lang w:val="en-US"/>
        </w:rPr>
      </w:pPr>
      <w:r w:rsidRPr="00332B18">
        <w:rPr>
          <w:rFonts w:ascii="Times New Roman" w:hAnsi="Times New Roman" w:cs="Times New Roman"/>
          <w:sz w:val="24"/>
        </w:rPr>
        <w:t xml:space="preserve">García Albacete, G., Lorente, J. y Martín, I.: </w:t>
      </w:r>
      <w:r w:rsidRPr="00332B18">
        <w:rPr>
          <w:rFonts w:ascii="Times New Roman" w:hAnsi="Times New Roman" w:cs="Times New Roman"/>
          <w:i/>
          <w:sz w:val="24"/>
        </w:rPr>
        <w:t>¿Cómo se relaciona la generación de la crisis con la política</w:t>
      </w:r>
      <w:r w:rsidRPr="00332B18">
        <w:rPr>
          <w:rFonts w:ascii="Times New Roman" w:hAnsi="Times New Roman" w:cs="Times New Roman"/>
          <w:sz w:val="24"/>
        </w:rPr>
        <w:t xml:space="preserve">? </w:t>
      </w:r>
      <w:r w:rsidRPr="00332B18">
        <w:rPr>
          <w:rFonts w:ascii="Times New Roman" w:hAnsi="Times New Roman" w:cs="Times New Roman"/>
          <w:sz w:val="24"/>
          <w:lang w:val="en-US"/>
        </w:rPr>
        <w:t>Forthcoming.</w:t>
      </w:r>
    </w:p>
    <w:p w:rsidR="00C30686" w:rsidRPr="00332B18" w:rsidRDefault="00C30686" w:rsidP="00C30686">
      <w:pPr>
        <w:tabs>
          <w:tab w:val="left" w:pos="426"/>
        </w:tabs>
        <w:spacing w:line="480" w:lineRule="auto"/>
        <w:jc w:val="both"/>
        <w:rPr>
          <w:rFonts w:ascii="Times New Roman" w:hAnsi="Times New Roman" w:cs="Times New Roman"/>
          <w:sz w:val="24"/>
          <w:lang w:val="en-US"/>
        </w:rPr>
      </w:pPr>
      <w:r w:rsidRPr="00332B18">
        <w:rPr>
          <w:rFonts w:ascii="Times New Roman" w:hAnsi="Times New Roman" w:cs="Times New Roman"/>
          <w:sz w:val="24"/>
          <w:lang w:val="en-US"/>
        </w:rPr>
        <w:t xml:space="preserve">Goddard, J., </w:t>
      </w:r>
      <w:proofErr w:type="gramStart"/>
      <w:r w:rsidRPr="00332B18">
        <w:rPr>
          <w:rFonts w:ascii="Times New Roman" w:hAnsi="Times New Roman" w:cs="Times New Roman"/>
          <w:sz w:val="24"/>
          <w:lang w:val="en-US"/>
        </w:rPr>
        <w:t>Molyneux  P</w:t>
      </w:r>
      <w:proofErr w:type="gramEnd"/>
      <w:r w:rsidRPr="00332B18">
        <w:rPr>
          <w:rFonts w:ascii="Times New Roman" w:hAnsi="Times New Roman" w:cs="Times New Roman"/>
          <w:sz w:val="24"/>
          <w:lang w:val="en-US"/>
        </w:rPr>
        <w:t xml:space="preserve">. y Wilson, J. (2009): “The financial crisis in Europe: evolution, policy responses and lessons for the future”, in </w:t>
      </w:r>
      <w:r w:rsidRPr="00332B18">
        <w:rPr>
          <w:rFonts w:ascii="Times New Roman" w:hAnsi="Times New Roman" w:cs="Times New Roman"/>
          <w:i/>
          <w:sz w:val="24"/>
          <w:lang w:val="en-US"/>
        </w:rPr>
        <w:t xml:space="preserve">Journal of Financial Regulation and Compliance </w:t>
      </w:r>
      <w:r w:rsidRPr="00332B18">
        <w:rPr>
          <w:rFonts w:ascii="Times New Roman" w:hAnsi="Times New Roman" w:cs="Times New Roman"/>
          <w:sz w:val="24"/>
          <w:lang w:val="en-US"/>
        </w:rPr>
        <w:t>Vol. 17 No. 4, 2009. Pp 362-380.</w:t>
      </w:r>
    </w:p>
    <w:p w:rsidR="00C30686" w:rsidRPr="00332B18" w:rsidRDefault="00C30686" w:rsidP="00C30686">
      <w:pPr>
        <w:pStyle w:val="Default"/>
        <w:spacing w:line="480" w:lineRule="auto"/>
        <w:jc w:val="both"/>
        <w:rPr>
          <w:color w:val="auto"/>
          <w:lang w:val="en-US"/>
        </w:rPr>
      </w:pPr>
      <w:r w:rsidRPr="00332B18">
        <w:rPr>
          <w:rFonts w:ascii="Times New Roman" w:hAnsi="Times New Roman" w:cs="Times New Roman"/>
          <w:color w:val="auto"/>
          <w:lang w:val="en-US"/>
        </w:rPr>
        <w:t>Goodhart, C. y ShoenmakerD. (2006):</w:t>
      </w:r>
      <w:r w:rsidRPr="00332B18">
        <w:rPr>
          <w:color w:val="auto"/>
          <w:lang w:val="en-US"/>
        </w:rPr>
        <w:t>“</w:t>
      </w:r>
      <w:r w:rsidRPr="00332B18">
        <w:rPr>
          <w:rFonts w:ascii="Times New Roman" w:hAnsi="Times New Roman" w:cs="Times New Roman"/>
          <w:bCs/>
          <w:color w:val="auto"/>
          <w:lang w:val="en-US"/>
        </w:rPr>
        <w:t xml:space="preserve">Burden sharing in a banking crisis in Europe”, </w:t>
      </w:r>
      <w:r w:rsidRPr="00332B18">
        <w:rPr>
          <w:rFonts w:ascii="Times New Roman" w:hAnsi="Times New Roman" w:cs="Times New Roman"/>
          <w:bCs/>
          <w:i/>
          <w:color w:val="auto"/>
          <w:lang w:val="en-US"/>
        </w:rPr>
        <w:t xml:space="preserve">in LSE Financial Markets Group Special Paper Series March 2006. </w:t>
      </w:r>
    </w:p>
    <w:p w:rsidR="00C30686" w:rsidRPr="00332B18" w:rsidRDefault="00C30686" w:rsidP="00C30686">
      <w:pPr>
        <w:autoSpaceDE w:val="0"/>
        <w:autoSpaceDN w:val="0"/>
        <w:adjustRightInd w:val="0"/>
        <w:spacing w:after="0" w:line="480" w:lineRule="auto"/>
        <w:rPr>
          <w:rFonts w:ascii="Times New Roman" w:hAnsi="Times New Roman" w:cs="Times New Roman"/>
          <w:b/>
          <w:bCs/>
          <w:sz w:val="24"/>
          <w:szCs w:val="24"/>
          <w:lang w:val="en-US"/>
        </w:rPr>
      </w:pPr>
      <w:r w:rsidRPr="00332B18">
        <w:rPr>
          <w:rFonts w:ascii="Times New Roman" w:hAnsi="Times New Roman" w:cs="Times New Roman"/>
          <w:lang w:val="en-US"/>
        </w:rPr>
        <w:t>Nathan Hanna (</w:t>
      </w:r>
      <w:r w:rsidRPr="00332B18">
        <w:rPr>
          <w:rFonts w:ascii="Times New Roman" w:hAnsi="Times New Roman" w:cs="Times New Roman"/>
          <w:i/>
          <w:lang w:val="en-US"/>
        </w:rPr>
        <w:t>forthcoming</w:t>
      </w:r>
      <w:r w:rsidRPr="00332B18">
        <w:rPr>
          <w:rFonts w:ascii="Times New Roman" w:hAnsi="Times New Roman" w:cs="Times New Roman"/>
          <w:lang w:val="en-US"/>
        </w:rPr>
        <w:t>), “</w:t>
      </w:r>
      <w:r w:rsidRPr="00332B18">
        <w:rPr>
          <w:rFonts w:ascii="Times New Roman" w:hAnsi="Times New Roman" w:cs="Times New Roman"/>
          <w:bCs/>
          <w:sz w:val="24"/>
          <w:szCs w:val="24"/>
          <w:lang w:val="en-US"/>
        </w:rPr>
        <w:t>An Argument for Voting Abstention</w:t>
      </w:r>
      <w:r w:rsidRPr="00332B18">
        <w:rPr>
          <w:rFonts w:ascii="Times New Roman" w:hAnsi="Times New Roman" w:cs="Times New Roman"/>
          <w:b/>
          <w:bCs/>
          <w:sz w:val="24"/>
          <w:szCs w:val="24"/>
          <w:lang w:val="en-US"/>
        </w:rPr>
        <w:t xml:space="preserve">” </w:t>
      </w:r>
      <w:r w:rsidRPr="00332B18">
        <w:rPr>
          <w:rFonts w:ascii="Times New Roman" w:hAnsi="Times New Roman" w:cs="Times New Roman"/>
          <w:sz w:val="24"/>
          <w:szCs w:val="24"/>
          <w:lang w:val="en-US"/>
        </w:rPr>
        <w:t xml:space="preserve">Forthcoming in </w:t>
      </w:r>
      <w:r w:rsidRPr="00332B18">
        <w:rPr>
          <w:rFonts w:ascii="Times New Roman" w:hAnsi="Times New Roman" w:cs="Times New Roman"/>
          <w:i/>
          <w:iCs/>
          <w:sz w:val="24"/>
          <w:szCs w:val="24"/>
          <w:lang w:val="en-US"/>
        </w:rPr>
        <w:t>Public Affairs Quarterly</w:t>
      </w:r>
    </w:p>
    <w:p w:rsidR="00C30686" w:rsidRPr="00332B18" w:rsidRDefault="00C30686" w:rsidP="00C30686">
      <w:pPr>
        <w:tabs>
          <w:tab w:val="left" w:pos="426"/>
          <w:tab w:val="right" w:pos="9746"/>
        </w:tabs>
        <w:spacing w:line="480" w:lineRule="auto"/>
        <w:jc w:val="both"/>
        <w:rPr>
          <w:rFonts w:ascii="Times New Roman" w:hAnsi="Times New Roman" w:cs="Times New Roman"/>
          <w:sz w:val="24"/>
        </w:rPr>
      </w:pPr>
      <w:r w:rsidRPr="00332B18">
        <w:rPr>
          <w:rFonts w:ascii="Times New Roman" w:hAnsi="Times New Roman" w:cs="Times New Roman"/>
          <w:sz w:val="24"/>
        </w:rPr>
        <w:t xml:space="preserve">Hirschman, A. (1970): </w:t>
      </w:r>
      <w:r w:rsidRPr="00332B18">
        <w:rPr>
          <w:rFonts w:ascii="Times New Roman" w:hAnsi="Times New Roman" w:cs="Times New Roman"/>
          <w:i/>
          <w:sz w:val="24"/>
        </w:rPr>
        <w:t>Salida, Voz y Lealtad</w:t>
      </w:r>
      <w:r w:rsidRPr="00332B18">
        <w:rPr>
          <w:rFonts w:ascii="Times New Roman" w:hAnsi="Times New Roman" w:cs="Times New Roman"/>
          <w:sz w:val="24"/>
        </w:rPr>
        <w:t xml:space="preserve">. México DF: Fondo de Cultura Económica. </w:t>
      </w:r>
      <w:r w:rsidRPr="00332B18">
        <w:rPr>
          <w:rFonts w:ascii="Times New Roman" w:hAnsi="Times New Roman" w:cs="Times New Roman"/>
          <w:sz w:val="24"/>
        </w:rPr>
        <w:tab/>
      </w:r>
    </w:p>
    <w:p w:rsidR="00C30686" w:rsidRPr="00332B18" w:rsidRDefault="00C30686" w:rsidP="00C30686">
      <w:pPr>
        <w:tabs>
          <w:tab w:val="left" w:pos="426"/>
        </w:tabs>
        <w:spacing w:line="480" w:lineRule="auto"/>
        <w:jc w:val="both"/>
        <w:rPr>
          <w:rFonts w:ascii="Times New Roman" w:hAnsi="Times New Roman" w:cs="Times New Roman"/>
          <w:sz w:val="24"/>
        </w:rPr>
      </w:pPr>
      <w:r w:rsidRPr="00332B18">
        <w:rPr>
          <w:rFonts w:ascii="Times New Roman" w:hAnsi="Times New Roman" w:cs="Times New Roman"/>
          <w:sz w:val="24"/>
        </w:rPr>
        <w:t xml:space="preserve">Justel, M. (1995): </w:t>
      </w:r>
      <w:r w:rsidRPr="00332B18">
        <w:rPr>
          <w:rFonts w:ascii="Times New Roman" w:hAnsi="Times New Roman" w:cs="Times New Roman"/>
          <w:i/>
          <w:sz w:val="24"/>
        </w:rPr>
        <w:t>La abstención Electoral En España</w:t>
      </w:r>
      <w:r w:rsidRPr="00332B18">
        <w:rPr>
          <w:rFonts w:ascii="Times New Roman" w:hAnsi="Times New Roman" w:cs="Times New Roman"/>
          <w:sz w:val="24"/>
        </w:rPr>
        <w:t xml:space="preserve">: 1977-1993. Madrid: CIS. </w:t>
      </w:r>
    </w:p>
    <w:p w:rsidR="00C30686" w:rsidRDefault="00C30686" w:rsidP="00C30686">
      <w:pPr>
        <w:tabs>
          <w:tab w:val="left" w:pos="426"/>
        </w:tabs>
        <w:spacing w:line="480" w:lineRule="auto"/>
        <w:jc w:val="both"/>
        <w:rPr>
          <w:rFonts w:ascii="Times New Roman" w:hAnsi="Times New Roman" w:cs="Times New Roman"/>
          <w:sz w:val="24"/>
          <w:lang w:val="en-US"/>
        </w:rPr>
      </w:pPr>
      <w:r w:rsidRPr="00332B18">
        <w:rPr>
          <w:rFonts w:ascii="Times New Roman" w:hAnsi="Times New Roman" w:cs="Times New Roman"/>
          <w:sz w:val="24"/>
        </w:rPr>
        <w:lastRenderedPageBreak/>
        <w:t xml:space="preserve">________ (1992): “Edad y Cultura Política”, en </w:t>
      </w:r>
      <w:r w:rsidRPr="00332B18">
        <w:rPr>
          <w:rFonts w:ascii="Times New Roman" w:hAnsi="Times New Roman" w:cs="Times New Roman"/>
          <w:i/>
          <w:sz w:val="24"/>
        </w:rPr>
        <w:t>Revista Española de Investigaciones Sociológicas,</w:t>
      </w:r>
      <w:r w:rsidRPr="00332B18">
        <w:rPr>
          <w:rFonts w:ascii="Times New Roman" w:hAnsi="Times New Roman" w:cs="Times New Roman"/>
          <w:sz w:val="24"/>
        </w:rPr>
        <w:t xml:space="preserve"> n 58. </w:t>
      </w:r>
      <w:r w:rsidRPr="00332B18">
        <w:rPr>
          <w:rFonts w:ascii="Times New Roman" w:hAnsi="Times New Roman" w:cs="Times New Roman"/>
          <w:sz w:val="24"/>
          <w:lang w:val="en-US"/>
        </w:rPr>
        <w:t>PP 57-96.</w:t>
      </w:r>
    </w:p>
    <w:p w:rsidR="008B2997" w:rsidRDefault="008B2997" w:rsidP="008B2997">
      <w:pPr>
        <w:spacing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Kern, A., Marien, S. y Hooghe, M. (2015): </w:t>
      </w:r>
      <w:r>
        <w:rPr>
          <w:rFonts w:ascii="Times New Roman" w:hAnsi="Times New Roman" w:cs="Times New Roman"/>
          <w:i/>
          <w:color w:val="000000" w:themeColor="text1"/>
          <w:sz w:val="24"/>
          <w:szCs w:val="24"/>
          <w:lang w:val="en-US"/>
        </w:rPr>
        <w:t>Fierce but short-lived: how do economic crises affect political participation</w:t>
      </w:r>
      <w:proofErr w:type="gramStart"/>
      <w:r>
        <w:rPr>
          <w:rFonts w:ascii="Times New Roman" w:hAnsi="Times New Roman" w:cs="Times New Roman"/>
          <w:i/>
          <w:color w:val="000000" w:themeColor="text1"/>
          <w:sz w:val="24"/>
          <w:szCs w:val="24"/>
          <w:lang w:val="en-US"/>
        </w:rPr>
        <w:t>?</w:t>
      </w:r>
      <w:r>
        <w:rPr>
          <w:rFonts w:ascii="Times New Roman" w:hAnsi="Times New Roman" w:cs="Times New Roman"/>
          <w:color w:val="000000" w:themeColor="text1"/>
          <w:sz w:val="24"/>
          <w:szCs w:val="24"/>
          <w:lang w:val="en-US"/>
        </w:rPr>
        <w:t>disponibleen</w:t>
      </w:r>
      <w:proofErr w:type="gramEnd"/>
      <w:r>
        <w:rPr>
          <w:rFonts w:ascii="Times New Roman" w:hAnsi="Times New Roman" w:cs="Times New Roman"/>
          <w:color w:val="000000" w:themeColor="text1"/>
          <w:sz w:val="24"/>
          <w:szCs w:val="24"/>
          <w:lang w:val="en-US"/>
        </w:rPr>
        <w:t xml:space="preserve"> herehttp://blogs.lse.ac.uk/europpblog/2015/03/07/fierce-but-short-lived-how-do-economic-crises-affect-political-participation/. (Últimaconsulta, 9/03/15).</w:t>
      </w:r>
    </w:p>
    <w:p w:rsidR="00C30686" w:rsidRPr="00332B18" w:rsidRDefault="00C30686" w:rsidP="00C30686">
      <w:pPr>
        <w:pStyle w:val="Ttulo2"/>
        <w:shd w:val="clear" w:color="auto" w:fill="FFFFFF"/>
        <w:spacing w:before="0" w:beforeAutospacing="0" w:after="55" w:afterAutospacing="0" w:line="480" w:lineRule="auto"/>
        <w:jc w:val="both"/>
        <w:textAlignment w:val="baseline"/>
        <w:rPr>
          <w:b w:val="0"/>
          <w:bCs w:val="0"/>
          <w:sz w:val="24"/>
          <w:szCs w:val="24"/>
          <w:bdr w:val="none" w:sz="0" w:space="0" w:color="auto" w:frame="1"/>
          <w:lang w:val="en-US"/>
        </w:rPr>
      </w:pPr>
      <w:r w:rsidRPr="00FF5604">
        <w:rPr>
          <w:b w:val="0"/>
          <w:sz w:val="24"/>
          <w:lang w:val="en-US"/>
        </w:rPr>
        <w:t>Lewis-Beck, M. y Fraile, M. (2013):</w:t>
      </w:r>
      <w:r w:rsidRPr="00FF5604">
        <w:rPr>
          <w:sz w:val="24"/>
          <w:szCs w:val="24"/>
          <w:lang w:val="en-US"/>
        </w:rPr>
        <w:t>“</w:t>
      </w:r>
      <w:r w:rsidRPr="00FF5604">
        <w:rPr>
          <w:b w:val="0"/>
          <w:bCs w:val="0"/>
          <w:sz w:val="24"/>
          <w:szCs w:val="24"/>
          <w:shd w:val="clear" w:color="auto" w:fill="FFFFFF"/>
          <w:lang w:val="en-US"/>
        </w:rPr>
        <w:t xml:space="preserve">Economic vote instability: Endogeneity or restricted variance? </w:t>
      </w:r>
      <w:r w:rsidRPr="00332B18">
        <w:rPr>
          <w:b w:val="0"/>
          <w:bCs w:val="0"/>
          <w:sz w:val="24"/>
          <w:szCs w:val="24"/>
          <w:shd w:val="clear" w:color="auto" w:fill="FFFFFF"/>
          <w:lang w:val="en-US"/>
        </w:rPr>
        <w:t xml:space="preserve">Spanish panel evidence from 2008 and 2011” </w:t>
      </w:r>
      <w:r w:rsidRPr="00332B18">
        <w:rPr>
          <w:b w:val="0"/>
          <w:bCs w:val="0"/>
          <w:i/>
          <w:sz w:val="24"/>
          <w:szCs w:val="24"/>
          <w:shd w:val="clear" w:color="auto" w:fill="FFFFFF"/>
          <w:lang w:val="en-US"/>
        </w:rPr>
        <w:t>European Journal of Political Research</w:t>
      </w:r>
      <w:proofErr w:type="gramStart"/>
      <w:r w:rsidRPr="00332B18">
        <w:rPr>
          <w:b w:val="0"/>
          <w:bCs w:val="0"/>
          <w:sz w:val="24"/>
          <w:szCs w:val="24"/>
          <w:shd w:val="clear" w:color="auto" w:fill="FFFFFF"/>
          <w:lang w:val="en-US"/>
        </w:rPr>
        <w:t>,</w:t>
      </w:r>
      <w:proofErr w:type="gramEnd"/>
      <w:r w:rsidR="003C0176">
        <w:fldChar w:fldCharType="begin"/>
      </w:r>
      <w:r w:rsidR="0093144F" w:rsidRPr="0093144F">
        <w:rPr>
          <w:lang w:val="en-US"/>
        </w:rPr>
        <w:instrText xml:space="preserve"> HYPERLINK "http://onlinelibrary.wiley.com/doi/10.1111/ejpr.2014.53.issue-1/issuetoc" </w:instrText>
      </w:r>
      <w:r w:rsidR="003C0176">
        <w:fldChar w:fldCharType="separate"/>
      </w:r>
      <w:r w:rsidRPr="00332B18">
        <w:rPr>
          <w:rStyle w:val="Hipervnculo"/>
          <w:rFonts w:eastAsiaTheme="majorEastAsia"/>
          <w:b w:val="0"/>
          <w:bCs w:val="0"/>
          <w:sz w:val="24"/>
          <w:szCs w:val="24"/>
          <w:bdr w:val="none" w:sz="0" w:space="0" w:color="auto" w:frame="1"/>
          <w:lang w:val="en-US"/>
        </w:rPr>
        <w:t>Volume 53</w:t>
      </w:r>
      <w:r w:rsidRPr="00332B18">
        <w:rPr>
          <w:rStyle w:val="Hipervnculo"/>
          <w:rFonts w:eastAsiaTheme="majorEastAsia"/>
          <w:b w:val="0"/>
          <w:sz w:val="24"/>
          <w:szCs w:val="24"/>
          <w:bdr w:val="none" w:sz="0" w:space="0" w:color="auto" w:frame="1"/>
          <w:lang w:val="en-US"/>
        </w:rPr>
        <w:t>,</w:t>
      </w:r>
      <w:r w:rsidRPr="00332B18">
        <w:rPr>
          <w:rStyle w:val="apple-converted-space"/>
          <w:rFonts w:eastAsiaTheme="majorEastAsia"/>
          <w:b w:val="0"/>
          <w:sz w:val="24"/>
          <w:szCs w:val="24"/>
          <w:bdr w:val="none" w:sz="0" w:space="0" w:color="auto" w:frame="1"/>
          <w:lang w:val="en-US"/>
        </w:rPr>
        <w:t> </w:t>
      </w:r>
      <w:r w:rsidRPr="00332B18">
        <w:rPr>
          <w:rStyle w:val="Hipervnculo"/>
          <w:rFonts w:eastAsiaTheme="majorEastAsia"/>
          <w:b w:val="0"/>
          <w:bCs w:val="0"/>
          <w:sz w:val="24"/>
          <w:szCs w:val="24"/>
          <w:bdr w:val="none" w:sz="0" w:space="0" w:color="auto" w:frame="1"/>
          <w:lang w:val="en-US"/>
        </w:rPr>
        <w:t>Issue 1</w:t>
      </w:r>
      <w:r w:rsidRPr="00332B18">
        <w:rPr>
          <w:rStyle w:val="Hipervnculo"/>
          <w:rFonts w:eastAsiaTheme="majorEastAsia"/>
          <w:b w:val="0"/>
          <w:sz w:val="24"/>
          <w:szCs w:val="24"/>
          <w:bdr w:val="none" w:sz="0" w:space="0" w:color="auto" w:frame="1"/>
          <w:lang w:val="en-US"/>
        </w:rPr>
        <w:t>,</w:t>
      </w:r>
      <w:r w:rsidRPr="00332B18">
        <w:rPr>
          <w:rStyle w:val="apple-converted-space"/>
          <w:rFonts w:eastAsiaTheme="majorEastAsia"/>
          <w:b w:val="0"/>
          <w:sz w:val="24"/>
          <w:szCs w:val="24"/>
          <w:bdr w:val="none" w:sz="0" w:space="0" w:color="auto" w:frame="1"/>
          <w:lang w:val="en-US"/>
        </w:rPr>
        <w:t> </w:t>
      </w:r>
      <w:r w:rsidR="003C0176">
        <w:rPr>
          <w:rStyle w:val="apple-converted-space"/>
          <w:rFonts w:eastAsiaTheme="majorEastAsia"/>
          <w:b w:val="0"/>
          <w:sz w:val="24"/>
          <w:szCs w:val="24"/>
          <w:bdr w:val="none" w:sz="0" w:space="0" w:color="auto" w:frame="1"/>
          <w:lang w:val="en-US"/>
        </w:rPr>
        <w:fldChar w:fldCharType="end"/>
      </w:r>
      <w:r w:rsidRPr="00332B18">
        <w:rPr>
          <w:b w:val="0"/>
          <w:bCs w:val="0"/>
          <w:sz w:val="24"/>
          <w:szCs w:val="24"/>
          <w:bdr w:val="none" w:sz="0" w:space="0" w:color="auto" w:frame="1"/>
          <w:lang w:val="en-US"/>
        </w:rPr>
        <w:t>pages 160–179</w:t>
      </w:r>
      <w:r w:rsidRPr="00332B18">
        <w:rPr>
          <w:b w:val="0"/>
          <w:sz w:val="24"/>
          <w:szCs w:val="24"/>
          <w:lang w:val="en-US"/>
        </w:rPr>
        <w:t>,</w:t>
      </w:r>
      <w:r w:rsidRPr="00332B18">
        <w:rPr>
          <w:rStyle w:val="apple-converted-space"/>
          <w:rFonts w:eastAsiaTheme="majorEastAsia"/>
          <w:b w:val="0"/>
          <w:sz w:val="24"/>
          <w:szCs w:val="24"/>
          <w:lang w:val="en-US"/>
        </w:rPr>
        <w:t> </w:t>
      </w:r>
      <w:r w:rsidRPr="00332B18">
        <w:rPr>
          <w:b w:val="0"/>
          <w:bCs w:val="0"/>
          <w:sz w:val="24"/>
          <w:szCs w:val="24"/>
          <w:bdr w:val="none" w:sz="0" w:space="0" w:color="auto" w:frame="1"/>
          <w:lang w:val="en-US"/>
        </w:rPr>
        <w:t xml:space="preserve">February 2014. </w:t>
      </w:r>
    </w:p>
    <w:p w:rsidR="00C30686" w:rsidRPr="00332B18" w:rsidRDefault="00C30686" w:rsidP="00C30686">
      <w:pPr>
        <w:pStyle w:val="Ttulo2"/>
        <w:shd w:val="clear" w:color="auto" w:fill="FFFFFF"/>
        <w:spacing w:before="0" w:beforeAutospacing="0" w:after="55" w:afterAutospacing="0" w:line="480" w:lineRule="auto"/>
        <w:jc w:val="both"/>
        <w:textAlignment w:val="baseline"/>
        <w:rPr>
          <w:b w:val="0"/>
          <w:bCs w:val="0"/>
          <w:sz w:val="24"/>
          <w:szCs w:val="24"/>
          <w:bdr w:val="none" w:sz="0" w:space="0" w:color="auto" w:frame="1"/>
          <w:lang w:val="en-US"/>
        </w:rPr>
      </w:pPr>
      <w:r w:rsidRPr="00332B18">
        <w:rPr>
          <w:b w:val="0"/>
          <w:sz w:val="24"/>
          <w:lang w:val="en-US"/>
        </w:rPr>
        <w:t xml:space="preserve">Lewis-Beck, M. y Steigmaier, M. (2000): </w:t>
      </w:r>
      <w:r w:rsidRPr="00332B18">
        <w:rPr>
          <w:sz w:val="24"/>
          <w:szCs w:val="24"/>
          <w:lang w:val="en-US"/>
        </w:rPr>
        <w:t>“</w:t>
      </w:r>
      <w:r w:rsidRPr="00332B18">
        <w:rPr>
          <w:b w:val="0"/>
          <w:bCs w:val="0"/>
          <w:sz w:val="24"/>
          <w:szCs w:val="24"/>
          <w:shd w:val="clear" w:color="auto" w:fill="FFFFFF"/>
          <w:lang w:val="en-US"/>
        </w:rPr>
        <w:t xml:space="preserve">Economic determinants of electoral outcomes” </w:t>
      </w:r>
      <w:r w:rsidRPr="00332B18">
        <w:rPr>
          <w:b w:val="0"/>
          <w:bCs w:val="0"/>
          <w:i/>
          <w:sz w:val="24"/>
          <w:szCs w:val="24"/>
          <w:shd w:val="clear" w:color="auto" w:fill="FFFFFF"/>
          <w:lang w:val="en-US"/>
        </w:rPr>
        <w:t>Annual Review of Political Science</w:t>
      </w:r>
      <w:r w:rsidRPr="00332B18">
        <w:rPr>
          <w:b w:val="0"/>
          <w:bCs w:val="0"/>
          <w:sz w:val="24"/>
          <w:szCs w:val="24"/>
          <w:shd w:val="clear" w:color="auto" w:fill="FFFFFF"/>
          <w:lang w:val="en-US"/>
        </w:rPr>
        <w:t>, número 3. Pp 183-219.</w:t>
      </w:r>
    </w:p>
    <w:p w:rsidR="00C30686" w:rsidRPr="00332B18" w:rsidRDefault="00C30686" w:rsidP="00C30686">
      <w:pPr>
        <w:tabs>
          <w:tab w:val="left" w:pos="426"/>
        </w:tabs>
        <w:spacing w:line="480" w:lineRule="auto"/>
        <w:jc w:val="both"/>
        <w:rPr>
          <w:rFonts w:ascii="Times New Roman" w:hAnsi="Times New Roman" w:cs="Times New Roman"/>
          <w:sz w:val="24"/>
        </w:rPr>
      </w:pPr>
      <w:r w:rsidRPr="00332B18">
        <w:rPr>
          <w:rFonts w:ascii="Times New Roman" w:hAnsi="Times New Roman" w:cs="Times New Roman"/>
          <w:sz w:val="24"/>
          <w:lang w:val="en-US"/>
        </w:rPr>
        <w:t xml:space="preserve">Lindvall, J. (2014): “The electoral consequences of two great crisis”, </w:t>
      </w:r>
      <w:r w:rsidRPr="00332B18">
        <w:rPr>
          <w:rFonts w:ascii="Times New Roman" w:hAnsi="Times New Roman" w:cs="Times New Roman"/>
          <w:i/>
          <w:sz w:val="24"/>
          <w:lang w:val="en-US"/>
        </w:rPr>
        <w:t>European Journal of Political Research.</w:t>
      </w:r>
      <w:r w:rsidRPr="00332B18">
        <w:rPr>
          <w:rFonts w:ascii="Times New Roman" w:hAnsi="Times New Roman" w:cs="Times New Roman"/>
          <w:sz w:val="24"/>
          <w:szCs w:val="18"/>
          <w:shd w:val="clear" w:color="auto" w:fill="FFFFFF"/>
          <w:lang w:val="en-US"/>
        </w:rPr>
        <w:t>Doi: 10.1111 / 1475-6765</w:t>
      </w:r>
      <w:proofErr w:type="gramStart"/>
      <w:r w:rsidRPr="00332B18">
        <w:rPr>
          <w:rFonts w:ascii="Times New Roman" w:hAnsi="Times New Roman" w:cs="Times New Roman"/>
          <w:sz w:val="24"/>
          <w:szCs w:val="18"/>
          <w:shd w:val="clear" w:color="auto" w:fill="FFFFFF"/>
          <w:lang w:val="en-US"/>
        </w:rPr>
        <w:t>,12055</w:t>
      </w:r>
      <w:proofErr w:type="gramEnd"/>
      <w:r w:rsidRPr="00332B18">
        <w:rPr>
          <w:rFonts w:ascii="Times New Roman" w:hAnsi="Times New Roman" w:cs="Times New Roman"/>
          <w:sz w:val="24"/>
          <w:szCs w:val="18"/>
          <w:shd w:val="clear" w:color="auto" w:fill="FFFFFF"/>
          <w:lang w:val="en-US"/>
        </w:rPr>
        <w:t xml:space="preserve">. </w:t>
      </w:r>
      <w:r w:rsidRPr="00332B18">
        <w:rPr>
          <w:rFonts w:ascii="Times New Roman" w:hAnsi="Times New Roman" w:cs="Times New Roman"/>
          <w:sz w:val="24"/>
          <w:szCs w:val="18"/>
          <w:shd w:val="clear" w:color="auto" w:fill="FFFFFF"/>
        </w:rPr>
        <w:t xml:space="preserve">Disponible en </w:t>
      </w:r>
      <w:hyperlink r:id="rId27" w:history="1">
        <w:r w:rsidRPr="00332B18">
          <w:rPr>
            <w:rStyle w:val="Hipervnculo"/>
            <w:rFonts w:ascii="Times New Roman" w:hAnsi="Times New Roman" w:cs="Times New Roman"/>
            <w:sz w:val="24"/>
            <w:szCs w:val="18"/>
            <w:shd w:val="clear" w:color="auto" w:fill="FFFFFF"/>
          </w:rPr>
          <w:t>http://onlinelibrary.wiley.com/doi/10.1111/1475-6765.12055/full</w:t>
        </w:r>
      </w:hyperlink>
      <w:r w:rsidRPr="00332B18">
        <w:rPr>
          <w:rFonts w:ascii="Times New Roman" w:hAnsi="Times New Roman" w:cs="Times New Roman"/>
          <w:sz w:val="24"/>
          <w:szCs w:val="18"/>
          <w:shd w:val="clear" w:color="auto" w:fill="FFFFFF"/>
        </w:rPr>
        <w:t xml:space="preserve"> (última consulta, 15/07/14).</w:t>
      </w:r>
    </w:p>
    <w:p w:rsidR="00C30686" w:rsidRPr="00332B18" w:rsidRDefault="00C30686" w:rsidP="00C30686">
      <w:pPr>
        <w:tabs>
          <w:tab w:val="left" w:pos="426"/>
        </w:tabs>
        <w:spacing w:line="480" w:lineRule="auto"/>
        <w:jc w:val="both"/>
        <w:rPr>
          <w:lang w:val="en-US"/>
        </w:rPr>
      </w:pPr>
      <w:r w:rsidRPr="00332B18">
        <w:rPr>
          <w:rFonts w:ascii="Times New Roman" w:hAnsi="Times New Roman" w:cs="Times New Roman"/>
          <w:sz w:val="24"/>
          <w:lang w:val="en-GB"/>
        </w:rPr>
        <w:t xml:space="preserve">Mair, P. (2005): “Democracy </w:t>
      </w:r>
      <w:proofErr w:type="gramStart"/>
      <w:r w:rsidRPr="00332B18">
        <w:rPr>
          <w:rFonts w:ascii="Times New Roman" w:hAnsi="Times New Roman" w:cs="Times New Roman"/>
          <w:sz w:val="24"/>
          <w:lang w:val="en-GB"/>
        </w:rPr>
        <w:t>Beyond</w:t>
      </w:r>
      <w:proofErr w:type="gramEnd"/>
      <w:r w:rsidRPr="00332B18">
        <w:rPr>
          <w:rFonts w:ascii="Times New Roman" w:hAnsi="Times New Roman" w:cs="Times New Roman"/>
          <w:sz w:val="24"/>
          <w:lang w:val="en-GB"/>
        </w:rPr>
        <w:t xml:space="preserve"> Parties”, </w:t>
      </w:r>
      <w:r w:rsidRPr="00332B18">
        <w:rPr>
          <w:rFonts w:ascii="Times New Roman" w:hAnsi="Times New Roman" w:cs="Times New Roman"/>
          <w:i/>
          <w:sz w:val="24"/>
          <w:lang w:val="en-GB"/>
        </w:rPr>
        <w:t>Center for the Study of Democracy</w:t>
      </w:r>
      <w:r w:rsidRPr="00332B18">
        <w:rPr>
          <w:rFonts w:ascii="Times New Roman" w:hAnsi="Times New Roman" w:cs="Times New Roman"/>
          <w:sz w:val="24"/>
          <w:lang w:val="en-GB"/>
        </w:rPr>
        <w:t>, disponible online en</w:t>
      </w:r>
      <w:hyperlink r:id="rId28" w:history="1">
        <w:r w:rsidRPr="00332B18">
          <w:rPr>
            <w:rStyle w:val="Hipervnculo"/>
            <w:rFonts w:ascii="Times New Roman" w:hAnsi="Times New Roman" w:cs="Times New Roman"/>
            <w:sz w:val="24"/>
            <w:lang w:val="en-GB"/>
          </w:rPr>
          <w:t>http://escholarship.org/uc/item/3vs886v9</w:t>
        </w:r>
      </w:hyperlink>
    </w:p>
    <w:p w:rsidR="00C30686" w:rsidRPr="00332B18" w:rsidRDefault="00C30686" w:rsidP="00C30686">
      <w:pPr>
        <w:tabs>
          <w:tab w:val="left" w:pos="426"/>
        </w:tabs>
        <w:spacing w:line="480" w:lineRule="auto"/>
        <w:jc w:val="both"/>
        <w:rPr>
          <w:rFonts w:ascii="Times New Roman" w:hAnsi="Times New Roman" w:cs="Times New Roman"/>
          <w:sz w:val="28"/>
        </w:rPr>
      </w:pPr>
      <w:r w:rsidRPr="00332B18">
        <w:rPr>
          <w:rFonts w:ascii="Times New Roman" w:hAnsi="Times New Roman" w:cs="Times New Roman"/>
          <w:sz w:val="24"/>
        </w:rPr>
        <w:t xml:space="preserve">Mateos, A. (2014): </w:t>
      </w:r>
      <w:r w:rsidRPr="00332B18">
        <w:rPr>
          <w:rFonts w:ascii="Times New Roman" w:hAnsi="Times New Roman" w:cs="Times New Roman"/>
          <w:i/>
          <w:sz w:val="24"/>
        </w:rPr>
        <w:t>Ciudadanos y Participación política</w:t>
      </w:r>
      <w:r w:rsidRPr="00332B18">
        <w:rPr>
          <w:rFonts w:ascii="Times New Roman" w:hAnsi="Times New Roman" w:cs="Times New Roman"/>
          <w:sz w:val="24"/>
        </w:rPr>
        <w:t xml:space="preserve">. Disponible en </w:t>
      </w:r>
      <w:hyperlink r:id="rId29" w:history="1">
        <w:r w:rsidRPr="00332B18">
          <w:rPr>
            <w:rStyle w:val="Hipervnculo"/>
            <w:rFonts w:ascii="Times New Roman" w:hAnsi="Times New Roman" w:cs="Times New Roman"/>
            <w:sz w:val="24"/>
          </w:rPr>
          <w:t>http://campus.usal.es/~dpublico/areacp/materiales/ciudadanosyparticipacion.pdf</w:t>
        </w:r>
      </w:hyperlink>
      <w:r w:rsidRPr="00332B18">
        <w:rPr>
          <w:rFonts w:ascii="Times New Roman" w:hAnsi="Times New Roman" w:cs="Times New Roman"/>
          <w:sz w:val="24"/>
        </w:rPr>
        <w:t xml:space="preserve"> (última consulta, 15/08/14).</w:t>
      </w:r>
    </w:p>
    <w:p w:rsidR="00C30686" w:rsidRPr="00332B18" w:rsidRDefault="00C30686" w:rsidP="00C30686">
      <w:pPr>
        <w:tabs>
          <w:tab w:val="left" w:pos="426"/>
        </w:tabs>
        <w:spacing w:line="480" w:lineRule="auto"/>
        <w:jc w:val="both"/>
        <w:rPr>
          <w:rFonts w:ascii="Times New Roman" w:hAnsi="Times New Roman" w:cs="Times New Roman"/>
          <w:sz w:val="24"/>
        </w:rPr>
      </w:pPr>
      <w:r w:rsidRPr="00332B18">
        <w:rPr>
          <w:rFonts w:ascii="Times New Roman" w:hAnsi="Times New Roman" w:cs="Times New Roman"/>
          <w:sz w:val="24"/>
        </w:rPr>
        <w:t>Montero, J.R, Gunther, R. y Torcal, M. (1998): “Actitudes hacia la Democracia en España: Legitimidad, Descontento y Desafección”, en</w:t>
      </w:r>
      <w:r w:rsidRPr="00332B18">
        <w:rPr>
          <w:rFonts w:ascii="Times New Roman" w:hAnsi="Times New Roman" w:cs="Times New Roman"/>
          <w:i/>
          <w:sz w:val="24"/>
        </w:rPr>
        <w:t xml:space="preserve"> Revista Española de Investigaciones Sociológicas), </w:t>
      </w:r>
      <w:r w:rsidRPr="00332B18">
        <w:rPr>
          <w:rFonts w:ascii="Times New Roman" w:hAnsi="Times New Roman" w:cs="Times New Roman"/>
          <w:sz w:val="24"/>
        </w:rPr>
        <w:t>n 83. PP 9-49.</w:t>
      </w:r>
    </w:p>
    <w:p w:rsidR="00C30686" w:rsidRPr="00332B18" w:rsidRDefault="00C30686" w:rsidP="00C30686">
      <w:pPr>
        <w:tabs>
          <w:tab w:val="left" w:pos="426"/>
        </w:tabs>
        <w:spacing w:line="480" w:lineRule="auto"/>
        <w:jc w:val="both"/>
        <w:rPr>
          <w:rFonts w:ascii="Times New Roman" w:hAnsi="Times New Roman" w:cs="Times New Roman"/>
          <w:sz w:val="24"/>
        </w:rPr>
      </w:pPr>
      <w:r w:rsidRPr="00332B18">
        <w:rPr>
          <w:rFonts w:ascii="Times New Roman" w:hAnsi="Times New Roman" w:cs="Times New Roman"/>
          <w:sz w:val="24"/>
        </w:rPr>
        <w:lastRenderedPageBreak/>
        <w:t>Montero, J.R., Font, J. y Torcal, M. (2006):</w:t>
      </w:r>
      <w:r w:rsidRPr="00332B18">
        <w:rPr>
          <w:rFonts w:ascii="Times New Roman" w:hAnsi="Times New Roman" w:cs="Times New Roman"/>
          <w:i/>
          <w:sz w:val="24"/>
        </w:rPr>
        <w:t xml:space="preserve"> Ciudadanos, asociaciones y participación. </w:t>
      </w:r>
      <w:r w:rsidRPr="00332B18">
        <w:rPr>
          <w:rFonts w:ascii="Times New Roman" w:hAnsi="Times New Roman" w:cs="Times New Roman"/>
          <w:sz w:val="24"/>
        </w:rPr>
        <w:t>Madrid</w:t>
      </w:r>
      <w:proofErr w:type="gramStart"/>
      <w:r w:rsidRPr="00332B18">
        <w:rPr>
          <w:rFonts w:ascii="Times New Roman" w:hAnsi="Times New Roman" w:cs="Times New Roman"/>
          <w:sz w:val="24"/>
        </w:rPr>
        <w:t>:CIS</w:t>
      </w:r>
      <w:proofErr w:type="gramEnd"/>
      <w:r w:rsidRPr="00332B18">
        <w:rPr>
          <w:rFonts w:ascii="Times New Roman" w:hAnsi="Times New Roman" w:cs="Times New Roman"/>
          <w:sz w:val="24"/>
        </w:rPr>
        <w:t>.</w:t>
      </w:r>
    </w:p>
    <w:p w:rsidR="00C30686" w:rsidRPr="00332B18" w:rsidRDefault="00C30686" w:rsidP="00C30686">
      <w:pPr>
        <w:tabs>
          <w:tab w:val="left" w:pos="426"/>
        </w:tabs>
        <w:spacing w:line="480" w:lineRule="auto"/>
        <w:jc w:val="both"/>
        <w:rPr>
          <w:rFonts w:ascii="Times New Roman" w:hAnsi="Times New Roman" w:cs="Times New Roman"/>
          <w:sz w:val="24"/>
        </w:rPr>
      </w:pPr>
      <w:r w:rsidRPr="00332B18">
        <w:rPr>
          <w:rFonts w:ascii="Times New Roman" w:hAnsi="Times New Roman" w:cs="Times New Roman"/>
          <w:sz w:val="24"/>
        </w:rPr>
        <w:t xml:space="preserve">Montero, J.R., Torcal, M. y Teorell, J. (2006): “La participación política en España: modos y niveles en perspectiva comparada”, en </w:t>
      </w:r>
      <w:r w:rsidRPr="00332B18">
        <w:rPr>
          <w:rFonts w:ascii="Times New Roman" w:hAnsi="Times New Roman" w:cs="Times New Roman"/>
          <w:i/>
          <w:sz w:val="24"/>
        </w:rPr>
        <w:t>Revista de Estudios Políticos, (Nueva Época),</w:t>
      </w:r>
      <w:r w:rsidRPr="00332B18">
        <w:rPr>
          <w:rFonts w:ascii="Times New Roman" w:hAnsi="Times New Roman" w:cs="Times New Roman"/>
          <w:sz w:val="24"/>
        </w:rPr>
        <w:t xml:space="preserve"> n 132. PP 7-41. </w:t>
      </w:r>
    </w:p>
    <w:p w:rsidR="00C30686" w:rsidRDefault="00C30686" w:rsidP="00C30686">
      <w:pPr>
        <w:tabs>
          <w:tab w:val="left" w:pos="426"/>
        </w:tabs>
        <w:spacing w:line="480" w:lineRule="auto"/>
        <w:jc w:val="both"/>
        <w:rPr>
          <w:rFonts w:ascii="Times New Roman" w:hAnsi="Times New Roman" w:cs="Times New Roman"/>
          <w:sz w:val="24"/>
        </w:rPr>
      </w:pPr>
      <w:r w:rsidRPr="00332B18">
        <w:rPr>
          <w:rFonts w:ascii="Times New Roman" w:hAnsi="Times New Roman" w:cs="Times New Roman"/>
          <w:sz w:val="24"/>
        </w:rPr>
        <w:t>Montero, J.R., Sanz, A. y Navarrete, R. (2013): “Las actitudes hacia la Democracia en tiempos de crisis: legitimidad, descontento y desafección en España” en  Pérez Nievas, S. et al</w:t>
      </w:r>
      <w:r w:rsidRPr="00332B18">
        <w:rPr>
          <w:rFonts w:ascii="Times New Roman" w:hAnsi="Times New Roman" w:cs="Times New Roman"/>
          <w:i/>
          <w:sz w:val="24"/>
        </w:rPr>
        <w:t>Los efectos de la crisis económica en la democracia española: legitimidad, insatisfacción y desafección.</w:t>
      </w:r>
      <w:r w:rsidRPr="003B4F04">
        <w:rPr>
          <w:rFonts w:ascii="Times New Roman" w:hAnsi="Times New Roman" w:cs="Times New Roman"/>
          <w:sz w:val="24"/>
        </w:rPr>
        <w:t>CIS. Disponible online en</w:t>
      </w:r>
      <w:hyperlink r:id="rId30" w:history="1">
        <w:r w:rsidRPr="003B4F04">
          <w:rPr>
            <w:rStyle w:val="Hipervnculo"/>
            <w:rFonts w:ascii="Times New Roman" w:hAnsi="Times New Roman" w:cs="Times New Roman"/>
            <w:sz w:val="24"/>
          </w:rPr>
          <w:t>http://www.uam.es/otros/afduam/documentos/InformeLos%20efectos%20de%20la%20crisis.pdf</w:t>
        </w:r>
      </w:hyperlink>
      <w:r w:rsidRPr="003B4F04">
        <w:rPr>
          <w:rFonts w:ascii="Times New Roman" w:hAnsi="Times New Roman" w:cs="Times New Roman"/>
          <w:sz w:val="24"/>
        </w:rPr>
        <w:t>(última consulta, 29/04/2014).</w:t>
      </w:r>
    </w:p>
    <w:p w:rsidR="008B2997" w:rsidRDefault="008B2997" w:rsidP="00C30686">
      <w:pPr>
        <w:tabs>
          <w:tab w:val="left" w:pos="426"/>
        </w:tabs>
        <w:spacing w:line="480" w:lineRule="auto"/>
        <w:jc w:val="both"/>
        <w:rPr>
          <w:rFonts w:ascii="Times New Roman" w:hAnsi="Times New Roman" w:cs="Times New Roman"/>
          <w:sz w:val="24"/>
          <w:lang w:val="en-US"/>
        </w:rPr>
      </w:pPr>
      <w:r>
        <w:rPr>
          <w:rFonts w:ascii="Times New Roman" w:hAnsi="Times New Roman" w:cs="Times New Roman"/>
          <w:sz w:val="24"/>
        </w:rPr>
        <w:t>Montero, J.R., Zmerli, S. y Newton, K</w:t>
      </w:r>
      <w:proofErr w:type="gramStart"/>
      <w:r>
        <w:rPr>
          <w:rFonts w:ascii="Times New Roman" w:hAnsi="Times New Roman" w:cs="Times New Roman"/>
          <w:sz w:val="24"/>
        </w:rPr>
        <w:t>.(</w:t>
      </w:r>
      <w:proofErr w:type="gramEnd"/>
      <w:r>
        <w:rPr>
          <w:rFonts w:ascii="Times New Roman" w:hAnsi="Times New Roman" w:cs="Times New Roman"/>
          <w:sz w:val="24"/>
        </w:rPr>
        <w:t xml:space="preserve">2008): “Confianza social, Confianza Política y Satisfacción con la Democracia”, en </w:t>
      </w:r>
      <w:r w:rsidRPr="008B2997">
        <w:rPr>
          <w:rFonts w:ascii="Times New Roman" w:hAnsi="Times New Roman" w:cs="Times New Roman"/>
          <w:i/>
          <w:sz w:val="24"/>
        </w:rPr>
        <w:t>Revista Española de Investigaciones Sociológicas</w:t>
      </w:r>
      <w:r>
        <w:rPr>
          <w:rFonts w:ascii="Times New Roman" w:hAnsi="Times New Roman" w:cs="Times New Roman"/>
          <w:sz w:val="24"/>
        </w:rPr>
        <w:t xml:space="preserve">, REIS. </w:t>
      </w:r>
      <w:r w:rsidRPr="0093144F">
        <w:rPr>
          <w:rFonts w:ascii="Times New Roman" w:hAnsi="Times New Roman" w:cs="Times New Roman"/>
          <w:sz w:val="24"/>
          <w:lang w:val="en-US"/>
        </w:rPr>
        <w:t>N 122, PP. 11-54.</w:t>
      </w:r>
    </w:p>
    <w:p w:rsidR="00C520E5" w:rsidRPr="0093144F" w:rsidRDefault="00C520E5" w:rsidP="00C30686">
      <w:pPr>
        <w:tabs>
          <w:tab w:val="left" w:pos="426"/>
        </w:tabs>
        <w:spacing w:line="480" w:lineRule="auto"/>
        <w:jc w:val="both"/>
        <w:rPr>
          <w:rFonts w:ascii="Times New Roman" w:hAnsi="Times New Roman" w:cs="Times New Roman"/>
          <w:sz w:val="24"/>
          <w:lang w:val="en-US"/>
        </w:rPr>
      </w:pPr>
      <w:r w:rsidRPr="00332B18">
        <w:rPr>
          <w:rFonts w:ascii="Times New Roman" w:hAnsi="Times New Roman" w:cs="Times New Roman"/>
          <w:sz w:val="24"/>
          <w:lang w:val="en-US"/>
        </w:rPr>
        <w:t xml:space="preserve">Norris, P. (1999): </w:t>
      </w:r>
      <w:r w:rsidRPr="00332B18">
        <w:rPr>
          <w:rFonts w:ascii="Times New Roman" w:hAnsi="Times New Roman" w:cs="Times New Roman"/>
          <w:i/>
          <w:sz w:val="24"/>
          <w:lang w:val="en-US"/>
        </w:rPr>
        <w:t>Critical citizens: global support for democratic governance</w:t>
      </w:r>
      <w:r w:rsidRPr="00332B18">
        <w:rPr>
          <w:rFonts w:ascii="Times New Roman" w:hAnsi="Times New Roman" w:cs="Times New Roman"/>
          <w:sz w:val="24"/>
          <w:lang w:val="en-US"/>
        </w:rPr>
        <w:t>. Oxford: Oxford University Press.</w:t>
      </w:r>
    </w:p>
    <w:p w:rsidR="00C30686" w:rsidRPr="00271428" w:rsidRDefault="00C30686" w:rsidP="00C30686">
      <w:pPr>
        <w:tabs>
          <w:tab w:val="left" w:pos="426"/>
        </w:tabs>
        <w:spacing w:line="480" w:lineRule="auto"/>
        <w:jc w:val="both"/>
        <w:rPr>
          <w:rFonts w:ascii="Times New Roman" w:hAnsi="Times New Roman" w:cs="Times New Roman"/>
          <w:sz w:val="24"/>
          <w:szCs w:val="24"/>
        </w:rPr>
      </w:pPr>
      <w:r w:rsidRPr="00BE6993">
        <w:rPr>
          <w:rFonts w:ascii="Times New Roman" w:hAnsi="Times New Roman" w:cs="Times New Roman"/>
          <w:sz w:val="24"/>
          <w:szCs w:val="24"/>
          <w:lang w:val="en-US"/>
        </w:rPr>
        <w:t xml:space="preserve">Pontusson, J. y Raess, D. (2012):“How (and Why) Is This Time Different? </w:t>
      </w:r>
      <w:r w:rsidRPr="00332B18">
        <w:rPr>
          <w:rFonts w:ascii="Times New Roman" w:hAnsi="Times New Roman" w:cs="Times New Roman"/>
          <w:sz w:val="24"/>
          <w:szCs w:val="24"/>
          <w:lang w:val="en-US"/>
        </w:rPr>
        <w:t xml:space="preserve">The Polities of Eeonomic Crisis in Western Europe and the United States”, </w:t>
      </w:r>
      <w:r w:rsidRPr="00332B18">
        <w:rPr>
          <w:rFonts w:ascii="Times New Roman" w:hAnsi="Times New Roman" w:cs="Times New Roman"/>
          <w:bCs/>
          <w:i/>
          <w:sz w:val="24"/>
          <w:szCs w:val="24"/>
          <w:lang w:val="en-US"/>
        </w:rPr>
        <w:t>Annual Review of Political Science</w:t>
      </w:r>
      <w:r w:rsidRPr="00332B18">
        <w:rPr>
          <w:rFonts w:ascii="Times New Roman" w:hAnsi="Times New Roman" w:cs="Times New Roman"/>
          <w:sz w:val="24"/>
          <w:szCs w:val="24"/>
          <w:lang w:val="en-US"/>
        </w:rPr>
        <w:t xml:space="preserve">Vol. </w:t>
      </w:r>
      <w:r w:rsidRPr="00271428">
        <w:rPr>
          <w:rFonts w:ascii="Times New Roman" w:hAnsi="Times New Roman" w:cs="Times New Roman"/>
          <w:sz w:val="24"/>
          <w:szCs w:val="24"/>
        </w:rPr>
        <w:t xml:space="preserve">15. Pp 13-33. </w:t>
      </w:r>
    </w:p>
    <w:p w:rsidR="00757F33" w:rsidRDefault="00757F33" w:rsidP="00757F33">
      <w:pPr>
        <w:tabs>
          <w:tab w:val="left" w:pos="426"/>
        </w:tabs>
        <w:spacing w:line="480" w:lineRule="auto"/>
        <w:jc w:val="both"/>
        <w:rPr>
          <w:rFonts w:ascii="Times New Roman" w:hAnsi="Times New Roman" w:cs="Times New Roman"/>
          <w:sz w:val="24"/>
          <w:szCs w:val="24"/>
        </w:rPr>
      </w:pPr>
      <w:r w:rsidRPr="00757F33">
        <w:rPr>
          <w:rFonts w:ascii="Times New Roman" w:hAnsi="Times New Roman" w:cs="Times New Roman"/>
          <w:sz w:val="24"/>
          <w:szCs w:val="24"/>
        </w:rPr>
        <w:t>P</w:t>
      </w:r>
      <w:r>
        <w:rPr>
          <w:rFonts w:ascii="Times New Roman" w:hAnsi="Times New Roman" w:cs="Times New Roman"/>
          <w:sz w:val="24"/>
          <w:szCs w:val="24"/>
        </w:rPr>
        <w:t>úblico, (2013):</w:t>
      </w:r>
      <w:r w:rsidRPr="00757F33">
        <w:rPr>
          <w:rFonts w:ascii="Times New Roman" w:hAnsi="Times New Roman" w:cs="Times New Roman"/>
          <w:sz w:val="24"/>
          <w:szCs w:val="24"/>
        </w:rPr>
        <w:t xml:space="preserve"> </w:t>
      </w:r>
      <w:r w:rsidRPr="00757F33">
        <w:rPr>
          <w:rFonts w:ascii="Times New Roman" w:hAnsi="Times New Roman" w:cs="Times New Roman"/>
          <w:i/>
          <w:sz w:val="24"/>
          <w:szCs w:val="24"/>
        </w:rPr>
        <w:t>2012. El año en que la crisis empujó a los ciudadanos a la calle, disponible</w:t>
      </w:r>
      <w:r w:rsidRPr="00757F33">
        <w:rPr>
          <w:rFonts w:ascii="Times New Roman" w:hAnsi="Times New Roman" w:cs="Times New Roman"/>
          <w:sz w:val="24"/>
          <w:szCs w:val="24"/>
        </w:rPr>
        <w:t xml:space="preserve"> </w:t>
      </w:r>
      <w:r>
        <w:rPr>
          <w:rFonts w:ascii="Times New Roman" w:hAnsi="Times New Roman" w:cs="Times New Roman"/>
          <w:sz w:val="24"/>
          <w:szCs w:val="24"/>
        </w:rPr>
        <w:t xml:space="preserve">en </w:t>
      </w:r>
      <w:hyperlink r:id="rId31" w:history="1">
        <w:r w:rsidRPr="00A103E0">
          <w:rPr>
            <w:rStyle w:val="Hipervnculo"/>
            <w:rFonts w:ascii="Times New Roman" w:hAnsi="Times New Roman" w:cs="Times New Roman"/>
            <w:sz w:val="24"/>
            <w:szCs w:val="24"/>
          </w:rPr>
          <w:t>http://www.publico.es/espana/2012-ano-crisis-empujo-ciudadanos.html</w:t>
        </w:r>
      </w:hyperlink>
      <w:r>
        <w:rPr>
          <w:rFonts w:ascii="Times New Roman" w:hAnsi="Times New Roman" w:cs="Times New Roman"/>
          <w:sz w:val="24"/>
          <w:szCs w:val="24"/>
        </w:rPr>
        <w:t>, última consulta, 17/06/2015.</w:t>
      </w:r>
    </w:p>
    <w:p w:rsidR="00C30686" w:rsidRPr="00757F33" w:rsidRDefault="00C30686" w:rsidP="00757F33">
      <w:pPr>
        <w:tabs>
          <w:tab w:val="left" w:pos="426"/>
        </w:tabs>
        <w:spacing w:line="480" w:lineRule="auto"/>
        <w:jc w:val="both"/>
        <w:rPr>
          <w:rFonts w:ascii="Times New Roman" w:hAnsi="Times New Roman" w:cs="Times New Roman"/>
          <w:sz w:val="24"/>
          <w:lang w:val="en-US"/>
        </w:rPr>
      </w:pPr>
      <w:r w:rsidRPr="00757F33">
        <w:rPr>
          <w:rFonts w:ascii="Times New Roman" w:hAnsi="Times New Roman" w:cs="Times New Roman"/>
          <w:sz w:val="24"/>
          <w:szCs w:val="24"/>
          <w:lang w:val="en-US"/>
        </w:rPr>
        <w:lastRenderedPageBreak/>
        <w:t>Revoluting Europe, (2014)</w:t>
      </w:r>
      <w:proofErr w:type="gramStart"/>
      <w:r w:rsidRPr="00757F33">
        <w:rPr>
          <w:rFonts w:ascii="Times New Roman" w:hAnsi="Times New Roman" w:cs="Times New Roman"/>
          <w:sz w:val="24"/>
          <w:szCs w:val="24"/>
          <w:lang w:val="en-US"/>
        </w:rPr>
        <w:t>:</w:t>
      </w:r>
      <w:r w:rsidRPr="00757F33">
        <w:rPr>
          <w:rFonts w:ascii="Times New Roman" w:hAnsi="Times New Roman" w:cs="Times New Roman"/>
          <w:i/>
          <w:spacing w:val="-10"/>
          <w:sz w:val="24"/>
          <w:szCs w:val="24"/>
          <w:lang w:val="en-US"/>
        </w:rPr>
        <w:t>France</w:t>
      </w:r>
      <w:proofErr w:type="gramEnd"/>
      <w:r w:rsidRPr="00757F33">
        <w:rPr>
          <w:rFonts w:ascii="Times New Roman" w:hAnsi="Times New Roman" w:cs="Times New Roman"/>
          <w:i/>
          <w:spacing w:val="-10"/>
          <w:sz w:val="24"/>
          <w:szCs w:val="24"/>
          <w:lang w:val="en-US"/>
        </w:rPr>
        <w:t xml:space="preserve"> local elections: disappointment with Hollande and abstention help Le Pen, </w:t>
      </w:r>
      <w:r w:rsidRPr="00757F33">
        <w:rPr>
          <w:rFonts w:ascii="Times New Roman" w:hAnsi="Times New Roman" w:cs="Times New Roman"/>
          <w:spacing w:val="-10"/>
          <w:sz w:val="24"/>
          <w:szCs w:val="24"/>
          <w:lang w:val="en-US"/>
        </w:rPr>
        <w:t>disponibleen</w:t>
      </w:r>
      <w:hyperlink r:id="rId32" w:history="1">
        <w:r w:rsidRPr="00757F33">
          <w:rPr>
            <w:rStyle w:val="Hipervnculo"/>
            <w:rFonts w:ascii="Times New Roman" w:hAnsi="Times New Roman" w:cs="Times New Roman"/>
            <w:color w:val="auto"/>
            <w:sz w:val="24"/>
            <w:szCs w:val="24"/>
            <w:lang w:val="en-US"/>
          </w:rPr>
          <w:t>http://revolting-europe.com/2014/03/27/france-local-elections-disappointment-with-hollande-and-abstention-help-le-pen/</w:t>
        </w:r>
      </w:hyperlink>
      <w:r w:rsidRPr="00757F33">
        <w:rPr>
          <w:rFonts w:ascii="Times New Roman" w:hAnsi="Times New Roman" w:cs="Times New Roman"/>
          <w:sz w:val="24"/>
          <w:szCs w:val="24"/>
          <w:lang w:val="en-US"/>
        </w:rPr>
        <w:t>, (última</w:t>
      </w:r>
      <w:r w:rsidR="00757F33">
        <w:rPr>
          <w:rFonts w:ascii="Times New Roman" w:hAnsi="Times New Roman" w:cs="Times New Roman"/>
          <w:sz w:val="24"/>
          <w:szCs w:val="24"/>
          <w:lang w:val="en-US"/>
        </w:rPr>
        <w:t xml:space="preserve"> </w:t>
      </w:r>
      <w:r w:rsidRPr="00757F33">
        <w:rPr>
          <w:rFonts w:ascii="Times New Roman" w:hAnsi="Times New Roman" w:cs="Times New Roman"/>
          <w:sz w:val="24"/>
          <w:szCs w:val="24"/>
          <w:lang w:val="en-US"/>
        </w:rPr>
        <w:t>consulta, 08/2014).</w:t>
      </w:r>
    </w:p>
    <w:p w:rsidR="00C30686" w:rsidRPr="00332B18" w:rsidRDefault="00C30686" w:rsidP="00C30686">
      <w:pPr>
        <w:pStyle w:val="Ttulo1"/>
        <w:shd w:val="clear" w:color="auto" w:fill="FFFFFF"/>
        <w:spacing w:before="0" w:line="480" w:lineRule="auto"/>
        <w:jc w:val="both"/>
        <w:textAlignment w:val="baseline"/>
        <w:rPr>
          <w:rFonts w:ascii="Times New Roman" w:hAnsi="Times New Roman" w:cs="Times New Roman"/>
          <w:color w:val="auto"/>
          <w:sz w:val="24"/>
          <w:lang w:val="en-US"/>
        </w:rPr>
      </w:pPr>
      <w:r w:rsidRPr="00332B18">
        <w:rPr>
          <w:rFonts w:ascii="Times New Roman" w:hAnsi="Times New Roman" w:cs="Times New Roman"/>
          <w:color w:val="auto"/>
          <w:sz w:val="24"/>
          <w:lang w:val="en-US"/>
        </w:rPr>
        <w:t xml:space="preserve">Rosenstone, S. 81982): “Economic Adversity and Voter Turnout”, </w:t>
      </w:r>
      <w:r w:rsidRPr="00332B18">
        <w:rPr>
          <w:rFonts w:ascii="Times New Roman" w:hAnsi="Times New Roman" w:cs="Times New Roman"/>
          <w:i/>
          <w:color w:val="auto"/>
          <w:sz w:val="24"/>
          <w:lang w:val="en-US"/>
        </w:rPr>
        <w:t>American Journal of Political Science</w:t>
      </w:r>
      <w:r w:rsidRPr="00332B18">
        <w:rPr>
          <w:rFonts w:ascii="Times New Roman" w:hAnsi="Times New Roman" w:cs="Times New Roman"/>
          <w:color w:val="auto"/>
          <w:sz w:val="24"/>
          <w:lang w:val="en-US"/>
        </w:rPr>
        <w:t>, vol.26, no.I. Pp 25-46.</w:t>
      </w:r>
    </w:p>
    <w:p w:rsidR="00C30686" w:rsidRPr="00332B18" w:rsidRDefault="00C30686" w:rsidP="00C30686">
      <w:pPr>
        <w:tabs>
          <w:tab w:val="left" w:pos="426"/>
        </w:tabs>
        <w:spacing w:line="480" w:lineRule="auto"/>
        <w:jc w:val="both"/>
        <w:rPr>
          <w:rFonts w:ascii="Times New Roman" w:hAnsi="Times New Roman" w:cs="Times New Roman"/>
          <w:sz w:val="24"/>
        </w:rPr>
      </w:pPr>
      <w:r w:rsidRPr="00332B18">
        <w:rPr>
          <w:rFonts w:ascii="Times New Roman" w:hAnsi="Times New Roman" w:cs="Times New Roman"/>
          <w:sz w:val="24"/>
          <w:lang w:val="en-US"/>
        </w:rPr>
        <w:t>Rosenstone</w:t>
      </w:r>
      <w:proofErr w:type="gramStart"/>
      <w:r w:rsidRPr="00332B18">
        <w:rPr>
          <w:rFonts w:ascii="Times New Roman" w:hAnsi="Times New Roman" w:cs="Times New Roman"/>
          <w:sz w:val="24"/>
          <w:lang w:val="en-US"/>
        </w:rPr>
        <w:t>,S</w:t>
      </w:r>
      <w:proofErr w:type="gramEnd"/>
      <w:r w:rsidRPr="00332B18">
        <w:rPr>
          <w:rFonts w:ascii="Times New Roman" w:hAnsi="Times New Roman" w:cs="Times New Roman"/>
          <w:sz w:val="24"/>
          <w:lang w:val="en-US"/>
        </w:rPr>
        <w:t>.</w:t>
      </w:r>
      <w:r w:rsidRPr="00332B18">
        <w:rPr>
          <w:rFonts w:ascii="Times New Roman" w:eastAsia="MS Mincho" w:hAnsi="MS Mincho" w:cs="Times New Roman"/>
          <w:sz w:val="24"/>
          <w:lang w:val="en-US"/>
        </w:rPr>
        <w:t> </w:t>
      </w:r>
      <w:r w:rsidRPr="00332B18">
        <w:rPr>
          <w:rFonts w:ascii="Times New Roman" w:hAnsi="Times New Roman" w:cs="Times New Roman"/>
          <w:sz w:val="24"/>
          <w:lang w:val="en-US"/>
        </w:rPr>
        <w:t>J,</w:t>
      </w:r>
      <w:r w:rsidRPr="00332B18">
        <w:rPr>
          <w:rFonts w:ascii="Times New Roman" w:eastAsia="MS Mincho" w:hAnsi="MS Mincho" w:cs="Times New Roman"/>
          <w:sz w:val="24"/>
          <w:lang w:val="en-US"/>
        </w:rPr>
        <w:t> </w:t>
      </w:r>
      <w:r w:rsidRPr="00332B18">
        <w:rPr>
          <w:rFonts w:ascii="Times New Roman" w:hAnsi="Times New Roman" w:cs="Times New Roman"/>
          <w:sz w:val="24"/>
          <w:lang w:val="en-US"/>
        </w:rPr>
        <w:t>and</w:t>
      </w:r>
      <w:r w:rsidRPr="00332B18">
        <w:rPr>
          <w:rFonts w:ascii="Times New Roman" w:eastAsia="MS Mincho" w:hAnsi="MS Mincho" w:cs="Times New Roman"/>
          <w:sz w:val="24"/>
          <w:lang w:val="en-US"/>
        </w:rPr>
        <w:t> </w:t>
      </w:r>
      <w:r w:rsidRPr="00332B18">
        <w:rPr>
          <w:rFonts w:ascii="Times New Roman" w:hAnsi="Times New Roman" w:cs="Times New Roman"/>
          <w:sz w:val="24"/>
          <w:lang w:val="en-US"/>
        </w:rPr>
        <w:t>Hansen,J.M..</w:t>
      </w:r>
      <w:r w:rsidRPr="00332B18">
        <w:rPr>
          <w:rFonts w:ascii="Times New Roman" w:eastAsia="MS Mincho" w:hAnsi="Times New Roman" w:cs="Times New Roman"/>
          <w:sz w:val="24"/>
          <w:lang w:val="en-US"/>
        </w:rPr>
        <w:t>(</w:t>
      </w:r>
      <w:r w:rsidRPr="00332B18">
        <w:rPr>
          <w:rFonts w:ascii="Times New Roman" w:hAnsi="Times New Roman" w:cs="Times New Roman"/>
          <w:sz w:val="24"/>
          <w:lang w:val="en-US"/>
        </w:rPr>
        <w:t>1993).</w:t>
      </w:r>
      <w:r w:rsidRPr="00332B18">
        <w:rPr>
          <w:rFonts w:ascii="Times New Roman" w:eastAsia="MS Mincho" w:hAnsi="MS Mincho" w:cs="Times New Roman"/>
          <w:sz w:val="24"/>
          <w:lang w:val="en-US"/>
        </w:rPr>
        <w:t> </w:t>
      </w:r>
      <w:r w:rsidRPr="00332B18">
        <w:rPr>
          <w:rFonts w:ascii="Times New Roman" w:hAnsi="Times New Roman" w:cs="Times New Roman"/>
          <w:i/>
          <w:sz w:val="24"/>
          <w:lang w:val="en-US"/>
        </w:rPr>
        <w:t>Mobilization</w:t>
      </w:r>
      <w:proofErr w:type="gramStart"/>
      <w:r w:rsidRPr="00332B18">
        <w:rPr>
          <w:rFonts w:ascii="Times New Roman" w:hAnsi="Times New Roman" w:cs="Times New Roman"/>
          <w:i/>
          <w:sz w:val="24"/>
          <w:lang w:val="en-US"/>
        </w:rPr>
        <w:t>,participation</w:t>
      </w:r>
      <w:proofErr w:type="gramEnd"/>
      <w:r w:rsidRPr="00332B18">
        <w:rPr>
          <w:rFonts w:ascii="Times New Roman" w:hAnsi="Times New Roman" w:cs="Times New Roman"/>
          <w:i/>
          <w:sz w:val="24"/>
          <w:lang w:val="en-US"/>
        </w:rPr>
        <w:t>,</w:t>
      </w:r>
      <w:r w:rsidRPr="00332B18">
        <w:rPr>
          <w:rFonts w:ascii="Times New Roman" w:eastAsia="MS Mincho" w:hAnsi="MS Mincho" w:cs="Times New Roman"/>
          <w:i/>
          <w:sz w:val="24"/>
          <w:lang w:val="en-US"/>
        </w:rPr>
        <w:t> </w:t>
      </w:r>
      <w:r w:rsidRPr="00332B18">
        <w:rPr>
          <w:rFonts w:ascii="Times New Roman" w:hAnsi="Times New Roman" w:cs="Times New Roman"/>
          <w:i/>
          <w:sz w:val="24"/>
          <w:lang w:val="en-US"/>
        </w:rPr>
        <w:t>and</w:t>
      </w:r>
      <w:r w:rsidRPr="00332B18">
        <w:rPr>
          <w:rFonts w:ascii="Times New Roman" w:eastAsia="MS Mincho" w:hAnsi="MS Mincho" w:cs="Times New Roman"/>
          <w:i/>
          <w:sz w:val="24"/>
          <w:lang w:val="en-US"/>
        </w:rPr>
        <w:t> </w:t>
      </w:r>
      <w:r w:rsidRPr="00332B18">
        <w:rPr>
          <w:rFonts w:ascii="Times New Roman" w:hAnsi="Times New Roman" w:cs="Times New Roman"/>
          <w:i/>
          <w:sz w:val="24"/>
          <w:lang w:val="en-US"/>
        </w:rPr>
        <w:t>democracy</w:t>
      </w:r>
      <w:r w:rsidRPr="00332B18">
        <w:rPr>
          <w:rFonts w:ascii="Times New Roman" w:eastAsia="MS Mincho" w:hAnsi="MS Mincho" w:cs="Times New Roman"/>
          <w:i/>
          <w:sz w:val="24"/>
          <w:lang w:val="en-US"/>
        </w:rPr>
        <w:t> </w:t>
      </w:r>
      <w:r w:rsidRPr="00332B18">
        <w:rPr>
          <w:rFonts w:ascii="Times New Roman" w:hAnsi="Times New Roman" w:cs="Times New Roman"/>
          <w:i/>
          <w:sz w:val="24"/>
          <w:lang w:val="en-US"/>
        </w:rPr>
        <w:t>in</w:t>
      </w:r>
      <w:r w:rsidRPr="00332B18">
        <w:rPr>
          <w:rFonts w:ascii="Times New Roman" w:eastAsia="MS Mincho" w:hAnsi="MS Mincho" w:cs="Times New Roman"/>
          <w:i/>
          <w:sz w:val="24"/>
          <w:lang w:val="en-US"/>
        </w:rPr>
        <w:t> </w:t>
      </w:r>
      <w:r w:rsidRPr="00332B18">
        <w:rPr>
          <w:rFonts w:ascii="Times New Roman" w:hAnsi="Times New Roman" w:cs="Times New Roman"/>
          <w:i/>
          <w:sz w:val="24"/>
        </w:rPr>
        <w:t>America.</w:t>
      </w:r>
      <w:r w:rsidRPr="00332B18">
        <w:rPr>
          <w:rFonts w:ascii="Times New Roman" w:eastAsia="MS Mincho" w:hAnsi="MS Mincho" w:cs="Times New Roman"/>
          <w:sz w:val="24"/>
        </w:rPr>
        <w:t> </w:t>
      </w:r>
      <w:r w:rsidRPr="00332B18">
        <w:rPr>
          <w:rFonts w:ascii="Times New Roman" w:hAnsi="Times New Roman" w:cs="Times New Roman"/>
          <w:sz w:val="24"/>
        </w:rPr>
        <w:t>New York: Macmillan</w:t>
      </w:r>
      <w:r w:rsidRPr="00332B18">
        <w:rPr>
          <w:rFonts w:ascii="Times New Roman" w:eastAsia="MS Mincho" w:hAnsi="MS Mincho" w:cs="Times New Roman"/>
          <w:sz w:val="24"/>
        </w:rPr>
        <w:t> </w:t>
      </w:r>
      <w:r w:rsidRPr="00332B18">
        <w:rPr>
          <w:rFonts w:ascii="Times New Roman" w:hAnsi="Times New Roman" w:cs="Times New Roman"/>
          <w:sz w:val="24"/>
        </w:rPr>
        <w:t>Pub</w:t>
      </w:r>
      <w:r w:rsidRPr="00332B18">
        <w:rPr>
          <w:rFonts w:ascii="Times New Roman" w:eastAsia="MS Mincho" w:hAnsi="MS Mincho" w:cs="Times New Roman"/>
          <w:sz w:val="24"/>
        </w:rPr>
        <w:t> </w:t>
      </w:r>
      <w:r w:rsidRPr="00332B18">
        <w:rPr>
          <w:rFonts w:ascii="Times New Roman" w:hAnsi="Times New Roman" w:cs="Times New Roman"/>
          <w:sz w:val="24"/>
        </w:rPr>
        <w:t>Co.</w:t>
      </w:r>
    </w:p>
    <w:p w:rsidR="00C30686" w:rsidRPr="00493011" w:rsidRDefault="00C30686" w:rsidP="00C30686">
      <w:pPr>
        <w:tabs>
          <w:tab w:val="left" w:pos="426"/>
        </w:tabs>
        <w:spacing w:line="480" w:lineRule="auto"/>
        <w:jc w:val="both"/>
        <w:rPr>
          <w:rFonts w:ascii="Times New Roman" w:hAnsi="Times New Roman" w:cs="Times New Roman"/>
          <w:lang w:val="en-US"/>
        </w:rPr>
      </w:pPr>
      <w:r w:rsidRPr="00332B18">
        <w:rPr>
          <w:rFonts w:ascii="Times New Roman" w:hAnsi="Times New Roman" w:cs="Times New Roman"/>
          <w:sz w:val="24"/>
        </w:rPr>
        <w:t>Rubiales, F. (2014):</w:t>
      </w:r>
      <w:r w:rsidRPr="00332B18">
        <w:rPr>
          <w:rFonts w:ascii="Times New Roman" w:hAnsi="Times New Roman" w:cs="Times New Roman"/>
          <w:i/>
          <w:sz w:val="24"/>
        </w:rPr>
        <w:t xml:space="preserve"> La insatisfacción de los españoles</w:t>
      </w:r>
      <w:r w:rsidRPr="00332B18">
        <w:rPr>
          <w:rFonts w:ascii="Times New Roman" w:hAnsi="Times New Roman" w:cs="Times New Roman"/>
          <w:sz w:val="24"/>
        </w:rPr>
        <w:t xml:space="preserve">, disponible en </w:t>
      </w:r>
      <w:hyperlink r:id="rId33" w:history="1">
        <w:r w:rsidRPr="00332B18">
          <w:rPr>
            <w:rStyle w:val="Hipervnculo"/>
            <w:rFonts w:ascii="Times New Roman" w:hAnsi="Times New Roman" w:cs="Times New Roman"/>
          </w:rPr>
          <w:t>http://www.votoenblanco.com/LA-INSATISFACCION-DE-LOS-ESPANOLES_a5437.html</w:t>
        </w:r>
      </w:hyperlink>
      <w:r w:rsidRPr="00332B18">
        <w:rPr>
          <w:rFonts w:ascii="Times New Roman" w:hAnsi="Times New Roman" w:cs="Times New Roman"/>
        </w:rPr>
        <w:t xml:space="preserve">. </w:t>
      </w:r>
      <w:r w:rsidRPr="00493011">
        <w:rPr>
          <w:rFonts w:ascii="Times New Roman" w:hAnsi="Times New Roman" w:cs="Times New Roman"/>
          <w:lang w:val="en-US"/>
        </w:rPr>
        <w:t>(Últimaconsulta, 08/2014).</w:t>
      </w:r>
    </w:p>
    <w:p w:rsidR="00C30686" w:rsidRDefault="00C30686" w:rsidP="00C30686">
      <w:pPr>
        <w:tabs>
          <w:tab w:val="left" w:pos="426"/>
        </w:tabs>
        <w:spacing w:line="480" w:lineRule="auto"/>
        <w:jc w:val="both"/>
        <w:rPr>
          <w:rFonts w:ascii="Times New Roman" w:hAnsi="Times New Roman" w:cs="Times New Roman"/>
          <w:sz w:val="24"/>
          <w:lang w:val="en-US"/>
        </w:rPr>
      </w:pPr>
      <w:r w:rsidRPr="00493011">
        <w:rPr>
          <w:rFonts w:ascii="Times New Roman" w:hAnsi="Times New Roman" w:cs="Times New Roman"/>
          <w:sz w:val="24"/>
          <w:lang w:val="en-US"/>
        </w:rPr>
        <w:t xml:space="preserve">Söderlund, P. (2008): </w:t>
      </w:r>
      <w:r>
        <w:rPr>
          <w:rFonts w:ascii="Times New Roman" w:hAnsi="Times New Roman" w:cs="Times New Roman"/>
          <w:sz w:val="24"/>
          <w:lang w:val="en-US"/>
        </w:rPr>
        <w:t>“</w:t>
      </w:r>
      <w:r w:rsidRPr="00493011">
        <w:rPr>
          <w:rFonts w:ascii="Times New Roman" w:hAnsi="Times New Roman" w:cs="Times New Roman"/>
          <w:sz w:val="24"/>
          <w:lang w:val="en-US"/>
        </w:rPr>
        <w:t>Retrospective voting and electoral volatility: a Nordic perspective</w:t>
      </w:r>
      <w:r>
        <w:rPr>
          <w:rFonts w:ascii="Times New Roman" w:hAnsi="Times New Roman" w:cs="Times New Roman"/>
          <w:sz w:val="24"/>
          <w:lang w:val="en-US"/>
        </w:rPr>
        <w:t>”</w:t>
      </w:r>
      <w:proofErr w:type="gramStart"/>
      <w:r w:rsidRPr="00493011">
        <w:rPr>
          <w:rFonts w:ascii="Times New Roman" w:hAnsi="Times New Roman" w:cs="Times New Roman"/>
          <w:sz w:val="24"/>
          <w:lang w:val="en-US"/>
        </w:rPr>
        <w:t>,</w:t>
      </w:r>
      <w:r>
        <w:rPr>
          <w:rFonts w:ascii="Times New Roman" w:hAnsi="Times New Roman" w:cs="Times New Roman"/>
          <w:i/>
          <w:sz w:val="24"/>
          <w:lang w:val="en-US"/>
        </w:rPr>
        <w:t>Scandinavian</w:t>
      </w:r>
      <w:proofErr w:type="gramEnd"/>
      <w:r>
        <w:rPr>
          <w:rFonts w:ascii="Times New Roman" w:hAnsi="Times New Roman" w:cs="Times New Roman"/>
          <w:i/>
          <w:sz w:val="24"/>
          <w:lang w:val="en-US"/>
        </w:rPr>
        <w:t xml:space="preserve"> Political Studies, </w:t>
      </w:r>
      <w:r w:rsidRPr="00493011">
        <w:rPr>
          <w:rFonts w:ascii="Times New Roman" w:hAnsi="Times New Roman" w:cs="Times New Roman"/>
          <w:sz w:val="24"/>
          <w:lang w:val="en-US"/>
        </w:rPr>
        <w:t>vol 31, nº2. Pp 217-239.</w:t>
      </w:r>
    </w:p>
    <w:p w:rsidR="008B2997" w:rsidRPr="0093144F" w:rsidRDefault="008B2997" w:rsidP="00C30686">
      <w:pPr>
        <w:tabs>
          <w:tab w:val="left" w:pos="426"/>
        </w:tabs>
        <w:spacing w:line="480" w:lineRule="auto"/>
        <w:jc w:val="both"/>
        <w:rPr>
          <w:rFonts w:ascii="Times New Roman" w:hAnsi="Times New Roman" w:cs="Times New Roman"/>
          <w:color w:val="000000"/>
          <w:sz w:val="24"/>
          <w:shd w:val="clear" w:color="auto" w:fill="FFFFFF"/>
          <w:lang w:val="en-US"/>
        </w:rPr>
      </w:pPr>
      <w:r w:rsidRPr="0093144F">
        <w:rPr>
          <w:rFonts w:ascii="Times New Roman" w:hAnsi="Times New Roman" w:cs="Times New Roman"/>
          <w:color w:val="000000"/>
          <w:sz w:val="24"/>
          <w:shd w:val="clear" w:color="auto" w:fill="FFFFFF"/>
          <w:lang w:val="en-US"/>
        </w:rPr>
        <w:t xml:space="preserve">Tarrow, S. (2004): </w:t>
      </w:r>
      <w:r w:rsidRPr="0093144F">
        <w:rPr>
          <w:rFonts w:ascii="Times New Roman" w:hAnsi="Times New Roman" w:cs="Times New Roman"/>
          <w:i/>
          <w:color w:val="000000"/>
          <w:sz w:val="24"/>
          <w:shd w:val="clear" w:color="auto" w:fill="FFFFFF"/>
          <w:lang w:val="en-US"/>
        </w:rPr>
        <w:t>El poderenmovimiento</w:t>
      </w:r>
      <w:r w:rsidRPr="0093144F">
        <w:rPr>
          <w:rFonts w:ascii="Times New Roman" w:hAnsi="Times New Roman" w:cs="Times New Roman"/>
          <w:color w:val="000000"/>
          <w:sz w:val="24"/>
          <w:shd w:val="clear" w:color="auto" w:fill="FFFFFF"/>
          <w:lang w:val="en-US"/>
        </w:rPr>
        <w:t>. Madrid: Alianza.</w:t>
      </w:r>
    </w:p>
    <w:p w:rsidR="00C30686" w:rsidRPr="00493011" w:rsidRDefault="00C30686" w:rsidP="00C30686">
      <w:pPr>
        <w:spacing w:line="360" w:lineRule="auto"/>
        <w:jc w:val="both"/>
        <w:rPr>
          <w:rFonts w:ascii="Times New Roman" w:hAnsi="Times New Roman" w:cs="Times New Roman"/>
          <w:sz w:val="24"/>
          <w:lang w:val="en-US"/>
        </w:rPr>
      </w:pPr>
      <w:r w:rsidRPr="00493011">
        <w:rPr>
          <w:rFonts w:ascii="Times New Roman" w:hAnsi="Times New Roman" w:cs="Times New Roman"/>
          <w:sz w:val="24"/>
          <w:lang w:val="en-US"/>
        </w:rPr>
        <w:t>The Knowledge, (2013): “Abstention as a Political Choice”; disponibleen /</w:t>
      </w:r>
      <w:hyperlink r:id="rId34" w:history="1">
        <w:r w:rsidRPr="00493011">
          <w:rPr>
            <w:rStyle w:val="Hipervnculo"/>
            <w:rFonts w:ascii="Times New Roman" w:hAnsi="Times New Roman" w:cs="Times New Roman"/>
            <w:sz w:val="24"/>
            <w:lang w:val="en-US"/>
          </w:rPr>
          <w:t>http://theknowledgeplymouth.co.uk/2014-upsu-elections-abstention-a-political-choice/</w:t>
        </w:r>
      </w:hyperlink>
      <w:r w:rsidRPr="00493011">
        <w:rPr>
          <w:rFonts w:ascii="Times New Roman" w:hAnsi="Times New Roman" w:cs="Times New Roman"/>
          <w:sz w:val="24"/>
          <w:lang w:val="en-US"/>
        </w:rPr>
        <w:t xml:space="preserve">, (últimaconsulta, 08/2014). </w:t>
      </w:r>
    </w:p>
    <w:p w:rsidR="00C30686" w:rsidRPr="00332B18" w:rsidRDefault="00C30686" w:rsidP="00C30686">
      <w:pPr>
        <w:spacing w:line="480" w:lineRule="auto"/>
        <w:jc w:val="both"/>
        <w:rPr>
          <w:rFonts w:ascii="Times New Roman" w:hAnsi="Times New Roman" w:cs="Times New Roman"/>
          <w:sz w:val="24"/>
          <w:lang w:val="en-US"/>
        </w:rPr>
      </w:pPr>
      <w:r w:rsidRPr="00332B18">
        <w:rPr>
          <w:rFonts w:ascii="Times New Roman" w:hAnsi="Times New Roman" w:cs="Times New Roman"/>
          <w:sz w:val="24"/>
          <w:lang w:val="en-US"/>
        </w:rPr>
        <w:t xml:space="preserve">Verba, S. y Nie, N. (1972): </w:t>
      </w:r>
      <w:r w:rsidRPr="00332B18">
        <w:rPr>
          <w:rFonts w:ascii="Times New Roman" w:hAnsi="Times New Roman" w:cs="Times New Roman"/>
          <w:i/>
          <w:sz w:val="24"/>
          <w:lang w:val="en-US"/>
        </w:rPr>
        <w:t>Participation in America: Political Democracy and social Equality.</w:t>
      </w:r>
      <w:r w:rsidRPr="00332B18">
        <w:rPr>
          <w:rFonts w:ascii="Times New Roman" w:hAnsi="Times New Roman" w:cs="Times New Roman"/>
          <w:sz w:val="24"/>
          <w:lang w:val="en-US"/>
        </w:rPr>
        <w:t>Chicago: Chicago University Press.</w:t>
      </w:r>
    </w:p>
    <w:p w:rsidR="00C30686" w:rsidRPr="00332B18" w:rsidRDefault="00C30686" w:rsidP="00C30686">
      <w:pPr>
        <w:spacing w:line="360" w:lineRule="auto"/>
        <w:jc w:val="both"/>
        <w:rPr>
          <w:rFonts w:ascii="Times New Roman" w:hAnsi="Times New Roman" w:cs="Times New Roman"/>
          <w:sz w:val="24"/>
          <w:lang w:val="en-US"/>
        </w:rPr>
      </w:pPr>
      <w:r w:rsidRPr="00332B18">
        <w:rPr>
          <w:rFonts w:ascii="Times New Roman" w:hAnsi="Times New Roman" w:cs="Times New Roman"/>
          <w:sz w:val="24"/>
          <w:lang w:val="en-US"/>
        </w:rPr>
        <w:t xml:space="preserve">Verba, S., Nye, R. y Kim (1978): </w:t>
      </w:r>
      <w:r w:rsidRPr="00332B18">
        <w:rPr>
          <w:rFonts w:ascii="Times New Roman" w:hAnsi="Times New Roman" w:cs="Times New Roman"/>
          <w:i/>
          <w:sz w:val="24"/>
          <w:lang w:val="en-US"/>
        </w:rPr>
        <w:t>Participation and Political Equality, a seven-nation comparison</w:t>
      </w:r>
      <w:r w:rsidRPr="00332B18">
        <w:rPr>
          <w:rFonts w:ascii="Times New Roman" w:hAnsi="Times New Roman" w:cs="Times New Roman"/>
          <w:sz w:val="24"/>
          <w:lang w:val="en-US"/>
        </w:rPr>
        <w:t>. Chicago: Chicago University Press.</w:t>
      </w:r>
    </w:p>
    <w:p w:rsidR="00C30686" w:rsidRPr="00332B18" w:rsidRDefault="00C30686" w:rsidP="00C30686">
      <w:pPr>
        <w:spacing w:line="360" w:lineRule="auto"/>
        <w:jc w:val="both"/>
        <w:rPr>
          <w:rFonts w:ascii="Times New Roman" w:hAnsi="Times New Roman" w:cs="Times New Roman"/>
          <w:sz w:val="24"/>
        </w:rPr>
      </w:pPr>
      <w:r w:rsidRPr="00332B18">
        <w:rPr>
          <w:rFonts w:ascii="Times New Roman" w:hAnsi="Times New Roman" w:cs="Times New Roman"/>
          <w:sz w:val="24"/>
          <w:lang w:val="en-US"/>
        </w:rPr>
        <w:t xml:space="preserve">Verba, S. Shclozman, K.L, y Brady, H.E. (1995): </w:t>
      </w:r>
      <w:r w:rsidRPr="00332B18">
        <w:rPr>
          <w:rFonts w:ascii="Times New Roman" w:hAnsi="Times New Roman" w:cs="Times New Roman"/>
          <w:i/>
          <w:iCs/>
          <w:sz w:val="24"/>
          <w:lang w:val="en-US"/>
        </w:rPr>
        <w:t>Voice and Equality</w:t>
      </w:r>
      <w:r w:rsidRPr="00332B18">
        <w:rPr>
          <w:rFonts w:ascii="Times New Roman" w:hAnsi="Times New Roman" w:cs="Times New Roman"/>
          <w:sz w:val="24"/>
          <w:lang w:val="en-US"/>
        </w:rPr>
        <w:t xml:space="preserve">. </w:t>
      </w:r>
      <w:r w:rsidRPr="00332B18">
        <w:rPr>
          <w:rFonts w:ascii="Times New Roman" w:hAnsi="Times New Roman" w:cs="Times New Roman"/>
          <w:sz w:val="24"/>
        </w:rPr>
        <w:t>Harvard UniversityPress.</w:t>
      </w:r>
    </w:p>
    <w:p w:rsidR="00C30686" w:rsidRPr="00332B18" w:rsidRDefault="00C30686" w:rsidP="00C30686">
      <w:pPr>
        <w:spacing w:line="360" w:lineRule="auto"/>
        <w:jc w:val="both"/>
        <w:rPr>
          <w:rFonts w:ascii="Times New Roman" w:hAnsi="Times New Roman" w:cs="Times New Roman"/>
          <w:sz w:val="24"/>
          <w:lang w:val="en-US"/>
        </w:rPr>
      </w:pPr>
      <w:r w:rsidRPr="00332B18">
        <w:rPr>
          <w:rFonts w:ascii="Times New Roman" w:hAnsi="Times New Roman" w:cs="Times New Roman"/>
          <w:sz w:val="24"/>
        </w:rPr>
        <w:t xml:space="preserve">Vilajosana, J.M (1999): “La justificación de la abstención”, Revista de Estudios Políticos (Nueva Época), no.104. </w:t>
      </w:r>
      <w:r w:rsidRPr="00332B18">
        <w:rPr>
          <w:rFonts w:ascii="Times New Roman" w:hAnsi="Times New Roman" w:cs="Times New Roman"/>
          <w:sz w:val="24"/>
          <w:lang w:val="en-US"/>
        </w:rPr>
        <w:t>Pp 165-180.</w:t>
      </w:r>
    </w:p>
    <w:p w:rsidR="00C30686" w:rsidRPr="003B4F04" w:rsidRDefault="00C30686" w:rsidP="00C30686">
      <w:pPr>
        <w:tabs>
          <w:tab w:val="left" w:pos="426"/>
        </w:tabs>
        <w:spacing w:line="480" w:lineRule="auto"/>
        <w:jc w:val="both"/>
        <w:rPr>
          <w:rFonts w:ascii="Times New Roman" w:hAnsi="Times New Roman" w:cs="Times New Roman"/>
          <w:sz w:val="24"/>
          <w:lang w:val="en-US"/>
        </w:rPr>
      </w:pPr>
      <w:r w:rsidRPr="00332B18">
        <w:rPr>
          <w:rFonts w:ascii="Times New Roman" w:hAnsi="Times New Roman" w:cs="Times New Roman"/>
          <w:sz w:val="24"/>
          <w:lang w:val="en-US"/>
        </w:rPr>
        <w:lastRenderedPageBreak/>
        <w:t>Virós, R. (1994)</w:t>
      </w:r>
      <w:proofErr w:type="gramStart"/>
      <w:r w:rsidRPr="00332B18">
        <w:rPr>
          <w:rFonts w:ascii="Times New Roman" w:hAnsi="Times New Roman" w:cs="Times New Roman"/>
          <w:sz w:val="24"/>
          <w:lang w:val="en-US"/>
        </w:rPr>
        <w:t>:</w:t>
      </w:r>
      <w:r w:rsidRPr="00332B18">
        <w:rPr>
          <w:rFonts w:ascii="Times New Roman" w:hAnsi="Times New Roman" w:cs="Times New Roman"/>
          <w:i/>
          <w:sz w:val="24"/>
          <w:lang w:val="en-US"/>
        </w:rPr>
        <w:t>A</w:t>
      </w:r>
      <w:proofErr w:type="gramEnd"/>
      <w:r w:rsidRPr="00332B18">
        <w:rPr>
          <w:rFonts w:ascii="Times New Roman" w:hAnsi="Times New Roman" w:cs="Times New Roman"/>
          <w:i/>
          <w:sz w:val="24"/>
          <w:lang w:val="en-US"/>
        </w:rPr>
        <w:t xml:space="preserve"> qualitative approach to electoral abstention.</w:t>
      </w:r>
      <w:r w:rsidRPr="003B4F04">
        <w:rPr>
          <w:rFonts w:ascii="Times New Roman" w:hAnsi="Times New Roman" w:cs="Times New Roman"/>
          <w:sz w:val="24"/>
          <w:lang w:val="en-US"/>
        </w:rPr>
        <w:t>WorkingPaper series n.98, Universidad PompeuFabra.</w:t>
      </w:r>
    </w:p>
    <w:p w:rsidR="00217D53" w:rsidRPr="00271428" w:rsidRDefault="00217D53" w:rsidP="00271428">
      <w:pPr>
        <w:spacing w:after="200" w:line="276" w:lineRule="auto"/>
        <w:rPr>
          <w:rFonts w:ascii="Times New Roman" w:hAnsi="Times New Roman" w:cs="Times New Roman"/>
          <w:highlight w:val="yellow"/>
          <w:lang w:val="en-US"/>
        </w:rPr>
      </w:pPr>
    </w:p>
    <w:sectPr w:rsidR="00217D53" w:rsidRPr="00271428" w:rsidSect="00FF5604">
      <w:headerReference w:type="even" r:id="rId35"/>
      <w:headerReference w:type="default" r:id="rId36"/>
      <w:footerReference w:type="even" r:id="rId37"/>
      <w:footerReference w:type="default" r:id="rId38"/>
      <w:headerReference w:type="first" r:id="rId39"/>
      <w:footerReference w:type="first" r:id="rId4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654E" w:rsidRDefault="0010654E" w:rsidP="00C30686">
      <w:pPr>
        <w:spacing w:after="0" w:line="240" w:lineRule="auto"/>
      </w:pPr>
      <w:r>
        <w:separator/>
      </w:r>
    </w:p>
  </w:endnote>
  <w:endnote w:type="continuationSeparator" w:id="0">
    <w:p w:rsidR="0010654E" w:rsidRDefault="0010654E" w:rsidP="00C30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DejaVu Sans">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654E" w:rsidRDefault="0010654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40547"/>
      <w:docPartObj>
        <w:docPartGallery w:val="Page Numbers (Bottom of Page)"/>
        <w:docPartUnique/>
      </w:docPartObj>
    </w:sdtPr>
    <w:sdtEndPr/>
    <w:sdtContent>
      <w:p w:rsidR="0010654E" w:rsidRDefault="0010654E">
        <w:pPr>
          <w:pStyle w:val="Piedepgina"/>
          <w:jc w:val="center"/>
        </w:pPr>
        <w:r>
          <w:fldChar w:fldCharType="begin"/>
        </w:r>
        <w:r>
          <w:instrText xml:space="preserve"> PAGE   \* MERGEFORMAT </w:instrText>
        </w:r>
        <w:r>
          <w:fldChar w:fldCharType="separate"/>
        </w:r>
        <w:r w:rsidR="00307DE5">
          <w:rPr>
            <w:noProof/>
          </w:rPr>
          <w:t>24</w:t>
        </w:r>
        <w:r>
          <w:rPr>
            <w:noProof/>
          </w:rPr>
          <w:fldChar w:fldCharType="end"/>
        </w:r>
      </w:p>
    </w:sdtContent>
  </w:sdt>
  <w:p w:rsidR="0010654E" w:rsidRDefault="0010654E">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654E" w:rsidRDefault="0010654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654E" w:rsidRDefault="0010654E" w:rsidP="00C30686">
      <w:pPr>
        <w:spacing w:after="0" w:line="240" w:lineRule="auto"/>
      </w:pPr>
      <w:r>
        <w:separator/>
      </w:r>
    </w:p>
  </w:footnote>
  <w:footnote w:type="continuationSeparator" w:id="0">
    <w:p w:rsidR="0010654E" w:rsidRDefault="0010654E" w:rsidP="00C30686">
      <w:pPr>
        <w:spacing w:after="0" w:line="240" w:lineRule="auto"/>
      </w:pPr>
      <w:r>
        <w:continuationSeparator/>
      </w:r>
    </w:p>
  </w:footnote>
  <w:footnote w:id="1">
    <w:p w:rsidR="0010654E" w:rsidRPr="00C95408" w:rsidRDefault="0010654E" w:rsidP="00C30686">
      <w:pPr>
        <w:pStyle w:val="Textonotapie"/>
        <w:jc w:val="both"/>
        <w:rPr>
          <w:rFonts w:ascii="Times New Roman" w:hAnsi="Times New Roman" w:cs="Times New Roman"/>
          <w:sz w:val="18"/>
          <w:szCs w:val="18"/>
        </w:rPr>
      </w:pPr>
      <w:r w:rsidRPr="00C95408">
        <w:rPr>
          <w:rStyle w:val="Refdenotaalpie"/>
          <w:rFonts w:ascii="Times New Roman" w:hAnsi="Times New Roman" w:cs="Times New Roman"/>
          <w:sz w:val="18"/>
          <w:szCs w:val="18"/>
        </w:rPr>
        <w:footnoteRef/>
      </w:r>
      <w:r w:rsidRPr="00C95408">
        <w:rPr>
          <w:rFonts w:ascii="Times New Roman" w:hAnsi="Times New Roman" w:cs="Times New Roman"/>
          <w:sz w:val="18"/>
          <w:szCs w:val="18"/>
        </w:rPr>
        <w:t xml:space="preserve"> Las variaciones en el aumento de la abstención electoral pueden deberse a que, dentro de ser todos ellos los países más afectados por la crisis, en España, Italia, Grecia y Portugal pueden encontrarse “distintas crisis” y contextos (los dos rescates en Grecia, las reformas del sistema electoral italiano y la concurrencia de dos </w:t>
      </w:r>
      <w:r w:rsidRPr="00C95408">
        <w:rPr>
          <w:rFonts w:ascii="Times New Roman" w:hAnsi="Times New Roman" w:cs="Times New Roman"/>
          <w:i/>
          <w:sz w:val="18"/>
          <w:szCs w:val="18"/>
        </w:rPr>
        <w:t>incumbents</w:t>
      </w:r>
      <w:r w:rsidRPr="00C95408">
        <w:rPr>
          <w:rFonts w:ascii="Times New Roman" w:hAnsi="Times New Roman" w:cs="Times New Roman"/>
          <w:sz w:val="18"/>
          <w:szCs w:val="18"/>
        </w:rPr>
        <w:t xml:space="preserve">, Monti y Berlusconi, en los últimos comicios, la solicitud consensuada por todas las fuerzas parlamentarias de rescate en Portugal o el castigo a Zapatero en España. </w:t>
      </w:r>
    </w:p>
  </w:footnote>
  <w:footnote w:id="2">
    <w:p w:rsidR="0010654E" w:rsidRDefault="0010654E" w:rsidP="00C30686">
      <w:pPr>
        <w:pStyle w:val="Textonotapie"/>
        <w:jc w:val="both"/>
      </w:pPr>
      <w:r>
        <w:rPr>
          <w:rStyle w:val="Refdenotaalpie"/>
        </w:rPr>
        <w:footnoteRef/>
      </w:r>
      <w:r>
        <w:rPr>
          <w:rFonts w:ascii="Times New Roman" w:hAnsi="Times New Roman" w:cs="Times New Roman"/>
          <w:sz w:val="18"/>
        </w:rPr>
        <w:t xml:space="preserve">Aclaro </w:t>
      </w:r>
      <w:r w:rsidRPr="00795971">
        <w:rPr>
          <w:rFonts w:ascii="Times New Roman" w:hAnsi="Times New Roman" w:cs="Times New Roman"/>
          <w:sz w:val="18"/>
        </w:rPr>
        <w:t>aquí que la salida no ha de ser tomada por todos los abstencionistas. De hecho, lo que el trabajo propone es  la presencia de la salida y de un perfil crítico entre aquéllos que se abstienen, perfil que estaría cobrando una mayor presencia durante la crisis, como consecuencia de ella</w:t>
      </w:r>
      <w:r w:rsidRPr="00795971">
        <w:rPr>
          <w:sz w:val="18"/>
        </w:rPr>
        <w:t xml:space="preserve">. </w:t>
      </w:r>
    </w:p>
  </w:footnote>
  <w:footnote w:id="3">
    <w:p w:rsidR="0010654E" w:rsidRPr="0025658E" w:rsidRDefault="0010654E" w:rsidP="00C30686">
      <w:pPr>
        <w:pStyle w:val="Textonotapie"/>
        <w:jc w:val="both"/>
        <w:rPr>
          <w:rFonts w:ascii="Times New Roman" w:hAnsi="Times New Roman" w:cs="Times New Roman"/>
          <w:sz w:val="18"/>
          <w:szCs w:val="18"/>
        </w:rPr>
      </w:pPr>
      <w:r w:rsidRPr="0025658E">
        <w:rPr>
          <w:rStyle w:val="Refdenotaalpie"/>
          <w:rFonts w:ascii="Times New Roman" w:hAnsi="Times New Roman" w:cs="Times New Roman"/>
          <w:sz w:val="18"/>
          <w:szCs w:val="18"/>
        </w:rPr>
        <w:footnoteRef/>
      </w:r>
      <w:r w:rsidRPr="0025658E">
        <w:rPr>
          <w:rFonts w:ascii="Times New Roman" w:hAnsi="Times New Roman" w:cs="Times New Roman"/>
          <w:sz w:val="18"/>
          <w:szCs w:val="18"/>
        </w:rPr>
        <w:t xml:space="preserve"> La insatisfacción con el rendimiento o funcionamiento de la democracia y las instituciones políticas de los países objeto de caso no han de confundirse, en ningún momento, con una pérdida de legitimidad de la democracia (Montero, Zmerli and Newton, 2008), que continúa siendo considerado como el mejor de los regímenes posibles. La insatisfacción con la democracia procede de la pregunta n17 de la Encuesta Social Europea, </w:t>
      </w:r>
      <w:r w:rsidRPr="0025658E">
        <w:rPr>
          <w:rFonts w:ascii="Times New Roman" w:hAnsi="Times New Roman" w:cs="Times New Roman"/>
          <w:i/>
          <w:sz w:val="18"/>
          <w:szCs w:val="18"/>
        </w:rPr>
        <w:t>howsatisfied are youwithhowdemcoracy</w:t>
      </w:r>
      <w:r>
        <w:rPr>
          <w:rFonts w:ascii="Times New Roman" w:hAnsi="Times New Roman" w:cs="Times New Roman"/>
          <w:i/>
          <w:sz w:val="18"/>
          <w:szCs w:val="18"/>
        </w:rPr>
        <w:t>w</w:t>
      </w:r>
      <w:r w:rsidRPr="0025658E">
        <w:rPr>
          <w:rFonts w:ascii="Times New Roman" w:hAnsi="Times New Roman" w:cs="Times New Roman"/>
          <w:i/>
          <w:sz w:val="18"/>
          <w:szCs w:val="18"/>
        </w:rPr>
        <w:t>orks in your country?</w:t>
      </w:r>
    </w:p>
  </w:footnote>
  <w:footnote w:id="4">
    <w:p w:rsidR="0010654E" w:rsidRPr="001F4792" w:rsidRDefault="0010654E" w:rsidP="00C30686">
      <w:pPr>
        <w:pStyle w:val="Textonotapie"/>
        <w:jc w:val="both"/>
        <w:rPr>
          <w:rFonts w:ascii="Times New Roman" w:hAnsi="Times New Roman" w:cs="Times New Roman"/>
        </w:rPr>
      </w:pPr>
      <w:r w:rsidRPr="001F4792">
        <w:rPr>
          <w:rStyle w:val="Refdenotaalpie"/>
          <w:rFonts w:ascii="Times New Roman" w:hAnsi="Times New Roman" w:cs="Times New Roman"/>
        </w:rPr>
        <w:footnoteRef/>
      </w:r>
      <w:r w:rsidRPr="0058015B">
        <w:rPr>
          <w:rFonts w:ascii="Times New Roman" w:hAnsi="Times New Roman" w:cs="Times New Roman"/>
          <w:sz w:val="18"/>
        </w:rPr>
        <w:t>Pappas y O’Malley (2014); Pereira y Wemans, (2014); Royo, (2014).</w:t>
      </w:r>
    </w:p>
  </w:footnote>
  <w:footnote w:id="5">
    <w:p w:rsidR="0010654E" w:rsidRPr="00C95408" w:rsidRDefault="0010654E" w:rsidP="00C30686">
      <w:pPr>
        <w:pStyle w:val="Textonotapie"/>
        <w:jc w:val="both"/>
        <w:rPr>
          <w:rFonts w:ascii="Times New Roman" w:hAnsi="Times New Roman" w:cs="Times New Roman"/>
          <w:sz w:val="18"/>
          <w:szCs w:val="18"/>
        </w:rPr>
      </w:pPr>
      <w:r w:rsidRPr="00C95408">
        <w:rPr>
          <w:rStyle w:val="Refdenotaalpie"/>
          <w:rFonts w:ascii="Times New Roman" w:hAnsi="Times New Roman" w:cs="Times New Roman"/>
          <w:sz w:val="18"/>
          <w:szCs w:val="18"/>
        </w:rPr>
        <w:footnoteRef/>
      </w:r>
      <w:r w:rsidRPr="00C95408">
        <w:rPr>
          <w:rFonts w:ascii="Times New Roman" w:hAnsi="Times New Roman" w:cs="Times New Roman"/>
          <w:sz w:val="18"/>
          <w:szCs w:val="18"/>
        </w:rPr>
        <w:t xml:space="preserve"> Para Grecia, la ESS no muestra datos en la ronda de 2012,  pese a ello, las olas de la ESS seleccionadas son las que más se ajustan a las pretensiones de mi investigación y las que más información aportan sobre el fenómeno que quiere estudiarse, ya que no sólo son las que incorporan a la mayoría de los países seleccionados (Italia, por ejemplo, queda fuera de la Encuesta desde 2004) sino que además contienen módulos específicos sobre Democracia, lo que permite elaborar modelos que contengan variables actitudinales. Finalmente y en referencia a Grecia, la ausencia de dato</w:t>
      </w:r>
      <w:r>
        <w:rPr>
          <w:rFonts w:ascii="Times New Roman" w:hAnsi="Times New Roman" w:cs="Times New Roman"/>
          <w:sz w:val="18"/>
          <w:szCs w:val="18"/>
        </w:rPr>
        <w:t xml:space="preserve">s fiables procedentes de otras </w:t>
      </w:r>
      <w:r w:rsidRPr="00C95408">
        <w:rPr>
          <w:rFonts w:ascii="Times New Roman" w:hAnsi="Times New Roman" w:cs="Times New Roman"/>
          <w:sz w:val="18"/>
          <w:szCs w:val="18"/>
        </w:rPr>
        <w:t xml:space="preserve">fuentes hace que, ahí donde la ESS no proporcione información, se prefiera mantener un espacio en blanco, para una mayor fiabilidad y limpieza de los resultados obtenidos. </w:t>
      </w:r>
    </w:p>
  </w:footnote>
  <w:footnote w:id="6">
    <w:p w:rsidR="0010654E" w:rsidRPr="00F513DE" w:rsidRDefault="0010654E" w:rsidP="00BA5987">
      <w:pPr>
        <w:pStyle w:val="Textonotapie"/>
        <w:jc w:val="both"/>
        <w:rPr>
          <w:rFonts w:ascii="Times New Roman" w:hAnsi="Times New Roman" w:cs="Times New Roman"/>
        </w:rPr>
      </w:pPr>
      <w:r w:rsidRPr="00F513DE">
        <w:rPr>
          <w:rStyle w:val="Refdenotaalpie"/>
          <w:rFonts w:ascii="Times New Roman" w:hAnsi="Times New Roman" w:cs="Times New Roman"/>
        </w:rPr>
        <w:footnoteRef/>
      </w:r>
      <w:r w:rsidRPr="00F513DE">
        <w:rPr>
          <w:rFonts w:ascii="Times New Roman" w:hAnsi="Times New Roman" w:cs="Times New Roman"/>
        </w:rPr>
        <w:t xml:space="preserve"> Sin perjuicio de que se aporten datos acerca de la confianza en otras instituciones, como el Parlamento Europeo, o los diferentes actores nacionales, como representantes y partidos. </w:t>
      </w:r>
    </w:p>
  </w:footnote>
  <w:footnote w:id="7">
    <w:p w:rsidR="0010654E" w:rsidRPr="00BA5987" w:rsidRDefault="0010654E" w:rsidP="00BA5987">
      <w:pPr>
        <w:pStyle w:val="Textonotapie"/>
        <w:jc w:val="both"/>
        <w:rPr>
          <w:rFonts w:ascii="Times New Roman" w:hAnsi="Times New Roman" w:cs="Times New Roman"/>
        </w:rPr>
      </w:pPr>
      <w:r w:rsidRPr="00BA5987">
        <w:rPr>
          <w:rStyle w:val="Refdenotaalpie"/>
          <w:rFonts w:ascii="Times New Roman" w:hAnsi="Times New Roman" w:cs="Times New Roman"/>
        </w:rPr>
        <w:footnoteRef/>
      </w:r>
      <w:r w:rsidRPr="00BA5987">
        <w:rPr>
          <w:rFonts w:ascii="Times New Roman" w:hAnsi="Times New Roman" w:cs="Times New Roman"/>
        </w:rPr>
        <w:t xml:space="preserve"> Por su mayor presencia en el debate público y los medios de comunicación.</w:t>
      </w:r>
      <w:r>
        <w:rPr>
          <w:rFonts w:ascii="Times New Roman" w:hAnsi="Times New Roman" w:cs="Times New Roman"/>
        </w:rPr>
        <w:t xml:space="preserve"> </w:t>
      </w:r>
    </w:p>
  </w:footnote>
  <w:footnote w:id="8">
    <w:p w:rsidR="0010654E" w:rsidRPr="00C95408" w:rsidRDefault="0010654E" w:rsidP="00C30686">
      <w:pPr>
        <w:pStyle w:val="Textonotapie"/>
        <w:jc w:val="both"/>
        <w:rPr>
          <w:rFonts w:ascii="Times New Roman" w:hAnsi="Times New Roman" w:cs="Times New Roman"/>
          <w:sz w:val="18"/>
          <w:szCs w:val="18"/>
        </w:rPr>
      </w:pPr>
      <w:r w:rsidRPr="00C95408">
        <w:rPr>
          <w:rStyle w:val="Refdenotaalpie"/>
          <w:rFonts w:ascii="Times New Roman" w:hAnsi="Times New Roman" w:cs="Times New Roman"/>
          <w:sz w:val="18"/>
          <w:szCs w:val="18"/>
        </w:rPr>
        <w:footnoteRef/>
      </w:r>
      <w:r w:rsidRPr="00C95408">
        <w:rPr>
          <w:rFonts w:ascii="Times New Roman" w:hAnsi="Times New Roman" w:cs="Times New Roman"/>
          <w:sz w:val="18"/>
          <w:szCs w:val="18"/>
        </w:rPr>
        <w:t xml:space="preserve"> Mientras que la Oficina Nacional de Investigación Económica de Estados Unidos la data entre diciembre de 2007 y junio del 2009, su llegada a Europa es algo posterior, como también lo es la perdurabilidad de sus efectos. No obstante, y como hace Danzinger (2013), tomaré este nombre para diferenciarla de la Gran Depresión, por razones de claridad expositiva. </w:t>
      </w:r>
    </w:p>
  </w:footnote>
  <w:footnote w:id="9">
    <w:p w:rsidR="0010654E" w:rsidRPr="00C95408" w:rsidRDefault="0010654E" w:rsidP="00C30686">
      <w:pPr>
        <w:pStyle w:val="Textonotapie"/>
        <w:jc w:val="both"/>
        <w:rPr>
          <w:rFonts w:ascii="Times New Roman" w:hAnsi="Times New Roman" w:cs="Times New Roman"/>
          <w:sz w:val="18"/>
          <w:szCs w:val="18"/>
        </w:rPr>
      </w:pPr>
      <w:r w:rsidRPr="00C95408">
        <w:rPr>
          <w:rStyle w:val="Refdenotaalpie"/>
          <w:rFonts w:ascii="Times New Roman" w:hAnsi="Times New Roman" w:cs="Times New Roman"/>
          <w:sz w:val="18"/>
          <w:szCs w:val="18"/>
        </w:rPr>
        <w:footnoteRef/>
      </w:r>
      <w:r w:rsidRPr="00C95408">
        <w:rPr>
          <w:rFonts w:ascii="Times New Roman" w:hAnsi="Times New Roman" w:cs="Times New Roman"/>
          <w:sz w:val="18"/>
          <w:szCs w:val="18"/>
        </w:rPr>
        <w:t xml:space="preserve"> Salvo para Grecia, en 2002, donde sig=0.486 y que no presenta datos en 2012, y España, que para 2002 y 2012 muestra unos valores en sig de 0.001 y 0.000, todos los resultados son significativos con una confianza superior al 95%, y como puede verse, ocasionalmente, mayor al 99 por ciento.</w:t>
      </w:r>
    </w:p>
  </w:footnote>
  <w:footnote w:id="10">
    <w:p w:rsidR="0010654E" w:rsidRPr="00A07E51" w:rsidRDefault="0010654E" w:rsidP="00A07E51">
      <w:pPr>
        <w:pStyle w:val="Textonotapie"/>
        <w:jc w:val="both"/>
        <w:rPr>
          <w:rFonts w:ascii="Times New Roman" w:hAnsi="Times New Roman" w:cs="Times New Roman"/>
        </w:rPr>
      </w:pPr>
      <w:r w:rsidRPr="00A07E51">
        <w:rPr>
          <w:rStyle w:val="Refdenotaalpie"/>
          <w:rFonts w:ascii="Times New Roman" w:hAnsi="Times New Roman" w:cs="Times New Roman"/>
        </w:rPr>
        <w:footnoteRef/>
      </w:r>
      <w:r w:rsidRPr="00A07E51">
        <w:rPr>
          <w:rFonts w:ascii="Times New Roman" w:hAnsi="Times New Roman" w:cs="Times New Roman"/>
        </w:rPr>
        <w:t xml:space="preserve"> Se utiliza el parlamento nacional por coherencia con los autores de referencia así como por la mayor estabilidad que se presupone a la actuación de las cámaras, </w:t>
      </w:r>
      <w:proofErr w:type="gramStart"/>
      <w:r w:rsidRPr="00A07E51">
        <w:rPr>
          <w:rFonts w:ascii="Times New Roman" w:hAnsi="Times New Roman" w:cs="Times New Roman"/>
        </w:rPr>
        <w:t>“ a</w:t>
      </w:r>
      <w:proofErr w:type="gramEnd"/>
      <w:r w:rsidRPr="00A07E51">
        <w:rPr>
          <w:rFonts w:ascii="Times New Roman" w:hAnsi="Times New Roman" w:cs="Times New Roman"/>
        </w:rPr>
        <w:t xml:space="preserve"> salvo” de la confusión entre otras como Gobierno y partido de gobierno, o satisfacción con el funcionamiento de la democracia según la valoración de la actuación del </w:t>
      </w:r>
      <w:r w:rsidRPr="00A07E51">
        <w:rPr>
          <w:rFonts w:ascii="Times New Roman" w:hAnsi="Times New Roman" w:cs="Times New Roman"/>
          <w:i/>
        </w:rPr>
        <w:t>incumbent.</w:t>
      </w:r>
      <w:r w:rsidRPr="00A07E51">
        <w:rPr>
          <w:rFonts w:ascii="Times New Roman" w:hAnsi="Times New Roman" w:cs="Times New Roman"/>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654E" w:rsidRDefault="0010654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color w:val="7F7F7F" w:themeColor="text1" w:themeTint="80"/>
      </w:rPr>
      <w:alias w:val="Título"/>
      <w:tag w:val=""/>
      <w:id w:val="1116400235"/>
      <w:placeholder>
        <w:docPart w:val="5C99C08BDBF04686A73831BFE1B2B7D0"/>
      </w:placeholder>
      <w:dataBinding w:prefixMappings="xmlns:ns0='http://purl.org/dc/elements/1.1/' xmlns:ns1='http://schemas.openxmlformats.org/package/2006/metadata/core-properties' " w:xpath="/ns1:coreProperties[1]/ns0:title[1]" w:storeItemID="{6C3C8BC8-F283-45AE-878A-BAB7291924A1}"/>
      <w:text/>
    </w:sdtPr>
    <w:sdtEndPr/>
    <w:sdtContent>
      <w:p w:rsidR="0010654E" w:rsidRPr="00271428" w:rsidRDefault="0010654E">
        <w:pPr>
          <w:pStyle w:val="Encabezado"/>
          <w:jc w:val="right"/>
          <w:rPr>
            <w:rFonts w:ascii="Times New Roman" w:hAnsi="Times New Roman" w:cs="Times New Roman"/>
            <w:color w:val="7F7F7F" w:themeColor="text1" w:themeTint="80"/>
          </w:rPr>
        </w:pPr>
        <w:r w:rsidRPr="00271428">
          <w:rPr>
            <w:rFonts w:ascii="Times New Roman" w:hAnsi="Times New Roman" w:cs="Times New Roman"/>
            <w:color w:val="7F7F7F" w:themeColor="text1" w:themeTint="80"/>
          </w:rPr>
          <w:t>Rocío Alarcón Rasero. Crisis y Descontento. XII Congreso AECPA, 2015</w:t>
        </w:r>
      </w:p>
    </w:sdtContent>
  </w:sdt>
  <w:p w:rsidR="0010654E" w:rsidRDefault="0010654E">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654E" w:rsidRDefault="0010654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64223F1"/>
    <w:multiLevelType w:val="hybridMultilevel"/>
    <w:tmpl w:val="3814BA1A"/>
    <w:lvl w:ilvl="0" w:tplc="0D98D53C">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30686"/>
    <w:rsid w:val="0002274E"/>
    <w:rsid w:val="00047FAD"/>
    <w:rsid w:val="000D796A"/>
    <w:rsid w:val="0010654E"/>
    <w:rsid w:val="00170F48"/>
    <w:rsid w:val="00196C5D"/>
    <w:rsid w:val="001C279B"/>
    <w:rsid w:val="00204653"/>
    <w:rsid w:val="0020781F"/>
    <w:rsid w:val="00217D53"/>
    <w:rsid w:val="00271428"/>
    <w:rsid w:val="002C7809"/>
    <w:rsid w:val="002D590D"/>
    <w:rsid w:val="00303614"/>
    <w:rsid w:val="00307DE5"/>
    <w:rsid w:val="00320E60"/>
    <w:rsid w:val="0037473A"/>
    <w:rsid w:val="00396C84"/>
    <w:rsid w:val="003C0176"/>
    <w:rsid w:val="003C2B42"/>
    <w:rsid w:val="004B0978"/>
    <w:rsid w:val="004C284B"/>
    <w:rsid w:val="0051625B"/>
    <w:rsid w:val="005F455D"/>
    <w:rsid w:val="00757F33"/>
    <w:rsid w:val="007E3B7F"/>
    <w:rsid w:val="00804A11"/>
    <w:rsid w:val="00807063"/>
    <w:rsid w:val="0082014D"/>
    <w:rsid w:val="008B2997"/>
    <w:rsid w:val="008C7FF3"/>
    <w:rsid w:val="008E0855"/>
    <w:rsid w:val="00905759"/>
    <w:rsid w:val="0093144F"/>
    <w:rsid w:val="009A4FA4"/>
    <w:rsid w:val="00A0787A"/>
    <w:rsid w:val="00A07E51"/>
    <w:rsid w:val="00A2617D"/>
    <w:rsid w:val="00A64401"/>
    <w:rsid w:val="00AD414F"/>
    <w:rsid w:val="00B523E7"/>
    <w:rsid w:val="00B769ED"/>
    <w:rsid w:val="00B9078E"/>
    <w:rsid w:val="00BA5987"/>
    <w:rsid w:val="00BB61C1"/>
    <w:rsid w:val="00C24469"/>
    <w:rsid w:val="00C30686"/>
    <w:rsid w:val="00C520E5"/>
    <w:rsid w:val="00C635F1"/>
    <w:rsid w:val="00C84E56"/>
    <w:rsid w:val="00DA15B2"/>
    <w:rsid w:val="00E24482"/>
    <w:rsid w:val="00EA22FF"/>
    <w:rsid w:val="00EE6091"/>
    <w:rsid w:val="00F513DE"/>
    <w:rsid w:val="00F547B0"/>
    <w:rsid w:val="00FC7B78"/>
    <w:rsid w:val="00FF560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509956-0DC2-408B-A5D6-9CFA71F32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686"/>
    <w:pPr>
      <w:spacing w:line="256" w:lineRule="auto"/>
    </w:pPr>
  </w:style>
  <w:style w:type="paragraph" w:styleId="Ttulo1">
    <w:name w:val="heading 1"/>
    <w:basedOn w:val="Normal"/>
    <w:next w:val="Normal"/>
    <w:link w:val="Ttulo1Car"/>
    <w:uiPriority w:val="9"/>
    <w:qFormat/>
    <w:rsid w:val="00C30686"/>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9"/>
    <w:qFormat/>
    <w:rsid w:val="00C30686"/>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30686"/>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C30686"/>
    <w:rPr>
      <w:rFonts w:ascii="Times New Roman" w:eastAsia="Times New Roman" w:hAnsi="Times New Roman" w:cs="Times New Roman"/>
      <w:b/>
      <w:bCs/>
      <w:sz w:val="36"/>
      <w:szCs w:val="36"/>
      <w:lang w:eastAsia="es-ES"/>
    </w:rPr>
  </w:style>
  <w:style w:type="character" w:styleId="Hipervnculo">
    <w:name w:val="Hyperlink"/>
    <w:basedOn w:val="Fuentedeprrafopredeter"/>
    <w:uiPriority w:val="99"/>
    <w:unhideWhenUsed/>
    <w:rsid w:val="00C30686"/>
    <w:rPr>
      <w:color w:val="0563C1" w:themeColor="hyperlink"/>
      <w:u w:val="single"/>
    </w:rPr>
  </w:style>
  <w:style w:type="paragraph" w:styleId="Textonotapie">
    <w:name w:val="footnote text"/>
    <w:basedOn w:val="Normal"/>
    <w:link w:val="TextonotapieCar"/>
    <w:uiPriority w:val="99"/>
    <w:semiHidden/>
    <w:unhideWhenUsed/>
    <w:rsid w:val="00C3068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30686"/>
    <w:rPr>
      <w:sz w:val="20"/>
      <w:szCs w:val="20"/>
    </w:rPr>
  </w:style>
  <w:style w:type="character" w:styleId="Refdenotaalpie">
    <w:name w:val="footnote reference"/>
    <w:basedOn w:val="Fuentedeprrafopredeter"/>
    <w:uiPriority w:val="99"/>
    <w:semiHidden/>
    <w:unhideWhenUsed/>
    <w:rsid w:val="00C30686"/>
    <w:rPr>
      <w:vertAlign w:val="superscript"/>
    </w:rPr>
  </w:style>
  <w:style w:type="paragraph" w:styleId="Textodeglobo">
    <w:name w:val="Balloon Text"/>
    <w:basedOn w:val="Normal"/>
    <w:link w:val="TextodegloboCar"/>
    <w:uiPriority w:val="99"/>
    <w:semiHidden/>
    <w:unhideWhenUsed/>
    <w:rsid w:val="00C3068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30686"/>
    <w:rPr>
      <w:rFonts w:ascii="Tahoma" w:hAnsi="Tahoma" w:cs="Tahoma"/>
      <w:sz w:val="16"/>
      <w:szCs w:val="16"/>
    </w:rPr>
  </w:style>
  <w:style w:type="paragraph" w:styleId="Encabezado">
    <w:name w:val="header"/>
    <w:basedOn w:val="Normal"/>
    <w:link w:val="EncabezadoCar"/>
    <w:uiPriority w:val="99"/>
    <w:unhideWhenUsed/>
    <w:rsid w:val="00C3068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30686"/>
  </w:style>
  <w:style w:type="paragraph" w:styleId="Piedepgina">
    <w:name w:val="footer"/>
    <w:basedOn w:val="Normal"/>
    <w:link w:val="PiedepginaCar"/>
    <w:uiPriority w:val="99"/>
    <w:unhideWhenUsed/>
    <w:rsid w:val="00C3068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30686"/>
  </w:style>
  <w:style w:type="character" w:customStyle="1" w:styleId="apple-converted-space">
    <w:name w:val="apple-converted-space"/>
    <w:basedOn w:val="Fuentedeprrafopredeter"/>
    <w:rsid w:val="00C30686"/>
  </w:style>
  <w:style w:type="character" w:styleId="nfasis">
    <w:name w:val="Emphasis"/>
    <w:basedOn w:val="Fuentedeprrafopredeter"/>
    <w:uiPriority w:val="20"/>
    <w:qFormat/>
    <w:rsid w:val="00C30686"/>
    <w:rPr>
      <w:i/>
      <w:iCs/>
    </w:rPr>
  </w:style>
  <w:style w:type="paragraph" w:styleId="Prrafodelista">
    <w:name w:val="List Paragraph"/>
    <w:basedOn w:val="Normal"/>
    <w:uiPriority w:val="34"/>
    <w:qFormat/>
    <w:rsid w:val="00C30686"/>
    <w:pPr>
      <w:spacing w:after="200" w:line="276" w:lineRule="auto"/>
      <w:ind w:left="720"/>
      <w:contextualSpacing/>
    </w:pPr>
  </w:style>
  <w:style w:type="table" w:styleId="Tablaconcuadrcula">
    <w:name w:val="Table Grid"/>
    <w:basedOn w:val="Tablanormal"/>
    <w:uiPriority w:val="59"/>
    <w:rsid w:val="00C30686"/>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C30686"/>
    <w:pPr>
      <w:autoSpaceDE w:val="0"/>
      <w:autoSpaceDN w:val="0"/>
      <w:adjustRightInd w:val="0"/>
      <w:spacing w:after="0" w:line="240" w:lineRule="auto"/>
    </w:pPr>
    <w:rPr>
      <w:rFonts w:ascii="Arial" w:hAnsi="Arial" w:cs="Arial"/>
      <w:color w:val="000000"/>
      <w:sz w:val="24"/>
      <w:szCs w:val="24"/>
    </w:rPr>
  </w:style>
  <w:style w:type="paragraph" w:customStyle="1" w:styleId="articledetails">
    <w:name w:val="articledetails"/>
    <w:basedOn w:val="Normal"/>
    <w:rsid w:val="00C30686"/>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fn">
    <w:name w:val="fn"/>
    <w:basedOn w:val="Fuentedeprrafopredeter"/>
    <w:rsid w:val="00C30686"/>
  </w:style>
  <w:style w:type="character" w:customStyle="1" w:styleId="titulo">
    <w:name w:val="titulo"/>
    <w:basedOn w:val="Fuentedeprrafopredeter"/>
    <w:rsid w:val="00C30686"/>
  </w:style>
  <w:style w:type="paragraph" w:styleId="Sinespaciado">
    <w:name w:val="No Spacing"/>
    <w:link w:val="SinespaciadoCar"/>
    <w:uiPriority w:val="1"/>
    <w:qFormat/>
    <w:rsid w:val="00C30686"/>
    <w:pPr>
      <w:spacing w:after="0" w:line="240" w:lineRule="auto"/>
    </w:pPr>
    <w:rPr>
      <w:rFonts w:eastAsiaTheme="minorEastAsia"/>
      <w:lang w:eastAsia="es-ES"/>
    </w:rPr>
  </w:style>
  <w:style w:type="character" w:customStyle="1" w:styleId="SinespaciadoCar">
    <w:name w:val="Sin espaciado Car"/>
    <w:basedOn w:val="Fuentedeprrafopredeter"/>
    <w:link w:val="Sinespaciado"/>
    <w:uiPriority w:val="1"/>
    <w:rsid w:val="00C30686"/>
    <w:rPr>
      <w:rFonts w:eastAsiaTheme="minorEastAsia"/>
      <w:lang w:eastAsia="es-ES"/>
    </w:rPr>
  </w:style>
  <w:style w:type="character" w:styleId="Refdecomentario">
    <w:name w:val="annotation reference"/>
    <w:basedOn w:val="Fuentedeprrafopredeter"/>
    <w:uiPriority w:val="99"/>
    <w:semiHidden/>
    <w:unhideWhenUsed/>
    <w:rsid w:val="00C30686"/>
    <w:rPr>
      <w:sz w:val="16"/>
      <w:szCs w:val="16"/>
    </w:rPr>
  </w:style>
  <w:style w:type="paragraph" w:styleId="Textocomentario">
    <w:name w:val="annotation text"/>
    <w:basedOn w:val="Normal"/>
    <w:link w:val="TextocomentarioCar"/>
    <w:uiPriority w:val="99"/>
    <w:semiHidden/>
    <w:unhideWhenUsed/>
    <w:rsid w:val="00C3068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30686"/>
    <w:rPr>
      <w:sz w:val="20"/>
      <w:szCs w:val="20"/>
    </w:rPr>
  </w:style>
  <w:style w:type="paragraph" w:styleId="Asuntodelcomentario">
    <w:name w:val="annotation subject"/>
    <w:basedOn w:val="Textocomentario"/>
    <w:next w:val="Textocomentario"/>
    <w:link w:val="AsuntodelcomentarioCar"/>
    <w:uiPriority w:val="99"/>
    <w:semiHidden/>
    <w:unhideWhenUsed/>
    <w:rsid w:val="00C30686"/>
    <w:rPr>
      <w:b/>
      <w:bCs/>
    </w:rPr>
  </w:style>
  <w:style w:type="character" w:customStyle="1" w:styleId="AsuntodelcomentarioCar">
    <w:name w:val="Asunto del comentario Car"/>
    <w:basedOn w:val="TextocomentarioCar"/>
    <w:link w:val="Asuntodelcomentario"/>
    <w:uiPriority w:val="99"/>
    <w:semiHidden/>
    <w:rsid w:val="00C30686"/>
    <w:rPr>
      <w:b/>
      <w:bCs/>
      <w:sz w:val="20"/>
      <w:szCs w:val="20"/>
    </w:rPr>
  </w:style>
  <w:style w:type="paragraph" w:customStyle="1" w:styleId="Estilopredeterminado">
    <w:name w:val="Estilo predeterminado"/>
    <w:rsid w:val="00C520E5"/>
    <w:pPr>
      <w:suppressAutoHyphens/>
      <w:spacing w:after="200" w:line="276" w:lineRule="auto"/>
    </w:pPr>
    <w:rPr>
      <w:rFonts w:ascii="Calibri" w:eastAsia="DejaVu Sans" w:hAnsi="Calibri" w:cs="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419547">
      <w:bodyDiv w:val="1"/>
      <w:marLeft w:val="0"/>
      <w:marRight w:val="0"/>
      <w:marTop w:val="0"/>
      <w:marBottom w:val="0"/>
      <w:divBdr>
        <w:top w:val="none" w:sz="0" w:space="0" w:color="auto"/>
        <w:left w:val="none" w:sz="0" w:space="0" w:color="auto"/>
        <w:bottom w:val="none" w:sz="0" w:space="0" w:color="auto"/>
        <w:right w:val="none" w:sz="0" w:space="0" w:color="auto"/>
      </w:divBdr>
    </w:div>
    <w:div w:id="379326063">
      <w:bodyDiv w:val="1"/>
      <w:marLeft w:val="0"/>
      <w:marRight w:val="0"/>
      <w:marTop w:val="0"/>
      <w:marBottom w:val="0"/>
      <w:divBdr>
        <w:top w:val="none" w:sz="0" w:space="0" w:color="auto"/>
        <w:left w:val="none" w:sz="0" w:space="0" w:color="auto"/>
        <w:bottom w:val="none" w:sz="0" w:space="0" w:color="auto"/>
        <w:right w:val="none" w:sz="0" w:space="0" w:color="auto"/>
      </w:divBdr>
    </w:div>
    <w:div w:id="416098670">
      <w:bodyDiv w:val="1"/>
      <w:marLeft w:val="0"/>
      <w:marRight w:val="0"/>
      <w:marTop w:val="0"/>
      <w:marBottom w:val="0"/>
      <w:divBdr>
        <w:top w:val="none" w:sz="0" w:space="0" w:color="auto"/>
        <w:left w:val="none" w:sz="0" w:space="0" w:color="auto"/>
        <w:bottom w:val="none" w:sz="0" w:space="0" w:color="auto"/>
        <w:right w:val="none" w:sz="0" w:space="0" w:color="auto"/>
      </w:divBdr>
    </w:div>
    <w:div w:id="703332824">
      <w:bodyDiv w:val="1"/>
      <w:marLeft w:val="0"/>
      <w:marRight w:val="0"/>
      <w:marTop w:val="0"/>
      <w:marBottom w:val="0"/>
      <w:divBdr>
        <w:top w:val="none" w:sz="0" w:space="0" w:color="auto"/>
        <w:left w:val="none" w:sz="0" w:space="0" w:color="auto"/>
        <w:bottom w:val="none" w:sz="0" w:space="0" w:color="auto"/>
        <w:right w:val="none" w:sz="0" w:space="0" w:color="auto"/>
      </w:divBdr>
    </w:div>
    <w:div w:id="708338004">
      <w:bodyDiv w:val="1"/>
      <w:marLeft w:val="0"/>
      <w:marRight w:val="0"/>
      <w:marTop w:val="0"/>
      <w:marBottom w:val="0"/>
      <w:divBdr>
        <w:top w:val="none" w:sz="0" w:space="0" w:color="auto"/>
        <w:left w:val="none" w:sz="0" w:space="0" w:color="auto"/>
        <w:bottom w:val="none" w:sz="0" w:space="0" w:color="auto"/>
        <w:right w:val="none" w:sz="0" w:space="0" w:color="auto"/>
      </w:divBdr>
    </w:div>
    <w:div w:id="809320820">
      <w:bodyDiv w:val="1"/>
      <w:marLeft w:val="0"/>
      <w:marRight w:val="0"/>
      <w:marTop w:val="0"/>
      <w:marBottom w:val="0"/>
      <w:divBdr>
        <w:top w:val="none" w:sz="0" w:space="0" w:color="auto"/>
        <w:left w:val="none" w:sz="0" w:space="0" w:color="auto"/>
        <w:bottom w:val="none" w:sz="0" w:space="0" w:color="auto"/>
        <w:right w:val="none" w:sz="0" w:space="0" w:color="auto"/>
      </w:divBdr>
    </w:div>
    <w:div w:id="909197395">
      <w:bodyDiv w:val="1"/>
      <w:marLeft w:val="0"/>
      <w:marRight w:val="0"/>
      <w:marTop w:val="0"/>
      <w:marBottom w:val="0"/>
      <w:divBdr>
        <w:top w:val="none" w:sz="0" w:space="0" w:color="auto"/>
        <w:left w:val="none" w:sz="0" w:space="0" w:color="auto"/>
        <w:bottom w:val="none" w:sz="0" w:space="0" w:color="auto"/>
        <w:right w:val="none" w:sz="0" w:space="0" w:color="auto"/>
      </w:divBdr>
    </w:div>
    <w:div w:id="1034580613">
      <w:bodyDiv w:val="1"/>
      <w:marLeft w:val="0"/>
      <w:marRight w:val="0"/>
      <w:marTop w:val="0"/>
      <w:marBottom w:val="0"/>
      <w:divBdr>
        <w:top w:val="none" w:sz="0" w:space="0" w:color="auto"/>
        <w:left w:val="none" w:sz="0" w:space="0" w:color="auto"/>
        <w:bottom w:val="none" w:sz="0" w:space="0" w:color="auto"/>
        <w:right w:val="none" w:sz="0" w:space="0" w:color="auto"/>
      </w:divBdr>
    </w:div>
    <w:div w:id="1100880114">
      <w:bodyDiv w:val="1"/>
      <w:marLeft w:val="0"/>
      <w:marRight w:val="0"/>
      <w:marTop w:val="0"/>
      <w:marBottom w:val="0"/>
      <w:divBdr>
        <w:top w:val="none" w:sz="0" w:space="0" w:color="auto"/>
        <w:left w:val="none" w:sz="0" w:space="0" w:color="auto"/>
        <w:bottom w:val="none" w:sz="0" w:space="0" w:color="auto"/>
        <w:right w:val="none" w:sz="0" w:space="0" w:color="auto"/>
      </w:divBdr>
    </w:div>
    <w:div w:id="1123034445">
      <w:bodyDiv w:val="1"/>
      <w:marLeft w:val="0"/>
      <w:marRight w:val="0"/>
      <w:marTop w:val="0"/>
      <w:marBottom w:val="0"/>
      <w:divBdr>
        <w:top w:val="none" w:sz="0" w:space="0" w:color="auto"/>
        <w:left w:val="none" w:sz="0" w:space="0" w:color="auto"/>
        <w:bottom w:val="none" w:sz="0" w:space="0" w:color="auto"/>
        <w:right w:val="none" w:sz="0" w:space="0" w:color="auto"/>
      </w:divBdr>
    </w:div>
    <w:div w:id="1127091177">
      <w:bodyDiv w:val="1"/>
      <w:marLeft w:val="0"/>
      <w:marRight w:val="0"/>
      <w:marTop w:val="0"/>
      <w:marBottom w:val="0"/>
      <w:divBdr>
        <w:top w:val="none" w:sz="0" w:space="0" w:color="auto"/>
        <w:left w:val="none" w:sz="0" w:space="0" w:color="auto"/>
        <w:bottom w:val="none" w:sz="0" w:space="0" w:color="auto"/>
        <w:right w:val="none" w:sz="0" w:space="0" w:color="auto"/>
      </w:divBdr>
    </w:div>
    <w:div w:id="1159150266">
      <w:bodyDiv w:val="1"/>
      <w:marLeft w:val="0"/>
      <w:marRight w:val="0"/>
      <w:marTop w:val="0"/>
      <w:marBottom w:val="0"/>
      <w:divBdr>
        <w:top w:val="none" w:sz="0" w:space="0" w:color="auto"/>
        <w:left w:val="none" w:sz="0" w:space="0" w:color="auto"/>
        <w:bottom w:val="none" w:sz="0" w:space="0" w:color="auto"/>
        <w:right w:val="none" w:sz="0" w:space="0" w:color="auto"/>
      </w:divBdr>
    </w:div>
    <w:div w:id="1391927146">
      <w:bodyDiv w:val="1"/>
      <w:marLeft w:val="0"/>
      <w:marRight w:val="0"/>
      <w:marTop w:val="0"/>
      <w:marBottom w:val="0"/>
      <w:divBdr>
        <w:top w:val="none" w:sz="0" w:space="0" w:color="auto"/>
        <w:left w:val="none" w:sz="0" w:space="0" w:color="auto"/>
        <w:bottom w:val="none" w:sz="0" w:space="0" w:color="auto"/>
        <w:right w:val="none" w:sz="0" w:space="0" w:color="auto"/>
      </w:divBdr>
    </w:div>
    <w:div w:id="1475484030">
      <w:bodyDiv w:val="1"/>
      <w:marLeft w:val="0"/>
      <w:marRight w:val="0"/>
      <w:marTop w:val="0"/>
      <w:marBottom w:val="0"/>
      <w:divBdr>
        <w:top w:val="none" w:sz="0" w:space="0" w:color="auto"/>
        <w:left w:val="none" w:sz="0" w:space="0" w:color="auto"/>
        <w:bottom w:val="none" w:sz="0" w:space="0" w:color="auto"/>
        <w:right w:val="none" w:sz="0" w:space="0" w:color="auto"/>
      </w:divBdr>
    </w:div>
    <w:div w:id="1697854562">
      <w:bodyDiv w:val="1"/>
      <w:marLeft w:val="0"/>
      <w:marRight w:val="0"/>
      <w:marTop w:val="0"/>
      <w:marBottom w:val="0"/>
      <w:divBdr>
        <w:top w:val="none" w:sz="0" w:space="0" w:color="auto"/>
        <w:left w:val="none" w:sz="0" w:space="0" w:color="auto"/>
        <w:bottom w:val="none" w:sz="0" w:space="0" w:color="auto"/>
        <w:right w:val="none" w:sz="0" w:space="0" w:color="auto"/>
      </w:divBdr>
    </w:div>
    <w:div w:id="1835947932">
      <w:bodyDiv w:val="1"/>
      <w:marLeft w:val="0"/>
      <w:marRight w:val="0"/>
      <w:marTop w:val="0"/>
      <w:marBottom w:val="0"/>
      <w:divBdr>
        <w:top w:val="none" w:sz="0" w:space="0" w:color="auto"/>
        <w:left w:val="none" w:sz="0" w:space="0" w:color="auto"/>
        <w:bottom w:val="none" w:sz="0" w:space="0" w:color="auto"/>
        <w:right w:val="none" w:sz="0" w:space="0" w:color="auto"/>
      </w:divBdr>
    </w:div>
    <w:div w:id="1894192772">
      <w:bodyDiv w:val="1"/>
      <w:marLeft w:val="0"/>
      <w:marRight w:val="0"/>
      <w:marTop w:val="0"/>
      <w:marBottom w:val="0"/>
      <w:divBdr>
        <w:top w:val="none" w:sz="0" w:space="0" w:color="auto"/>
        <w:left w:val="none" w:sz="0" w:space="0" w:color="auto"/>
        <w:bottom w:val="none" w:sz="0" w:space="0" w:color="auto"/>
        <w:right w:val="none" w:sz="0" w:space="0" w:color="auto"/>
      </w:divBdr>
    </w:div>
    <w:div w:id="1990094100">
      <w:bodyDiv w:val="1"/>
      <w:marLeft w:val="0"/>
      <w:marRight w:val="0"/>
      <w:marTop w:val="0"/>
      <w:marBottom w:val="0"/>
      <w:divBdr>
        <w:top w:val="none" w:sz="0" w:space="0" w:color="auto"/>
        <w:left w:val="none" w:sz="0" w:space="0" w:color="auto"/>
        <w:bottom w:val="none" w:sz="0" w:space="0" w:color="auto"/>
        <w:right w:val="none" w:sz="0" w:space="0" w:color="auto"/>
      </w:divBdr>
    </w:div>
    <w:div w:id="207365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hyperlink" Target="http://www.bancomundial.org/" TargetMode="External"/><Relationship Id="rId26" Type="http://schemas.openxmlformats.org/officeDocument/2006/relationships/hyperlink" Target="http://www.europeansocialsurvey.org/" TargetMode="External"/><Relationship Id="rId39"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yperlink" Target="http://dialnet.unirioja.es/servlet/revista?codigo=1146" TargetMode="External"/><Relationship Id="rId34" Type="http://schemas.openxmlformats.org/officeDocument/2006/relationships/hyperlink" Target="http://theknowledgeplymouth.co.uk/2014-upsu-elections-abstention-a-political-choice/" TargetMode="External"/><Relationship Id="rId42"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hyperlink" Target="http://govt.eserver.org/cycles-in-social-movements.txt" TargetMode="External"/><Relationship Id="rId33" Type="http://schemas.openxmlformats.org/officeDocument/2006/relationships/hyperlink" Target="http://www.votoenblanco.com/LA-INSATISFACCION-DE-LOS-ESPANOLES_a5437.html" TargetMode="External"/><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chart" Target="charts/chart8.xml"/><Relationship Id="rId20" Type="http://schemas.openxmlformats.org/officeDocument/2006/relationships/hyperlink" Target="http://www.sssp1.org/index.cfm/m/601/Innovative_Programmatic_and_Policy_Responses_to_Poverty/" TargetMode="External"/><Relationship Id="rId29" Type="http://schemas.openxmlformats.org/officeDocument/2006/relationships/hyperlink" Target="http://campus.usal.es/~dpublico/areacp/materiales/ciudadanosyparticipacion.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24" Type="http://schemas.openxmlformats.org/officeDocument/2006/relationships/hyperlink" Target="http://ip.cals.cornell.edu/courses/iard4010/archive/2012spring/documents/Frank%20and%20Fuentes%20Nine%20Theses.pdf" TargetMode="External"/><Relationship Id="rId32" Type="http://schemas.openxmlformats.org/officeDocument/2006/relationships/hyperlink" Target="http://revolting-europe.com/2014/03/27/france-local-elections-disappointment-with-hollande-and-abstention-help-le-pen/"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chart" Target="charts/chart7.xml"/><Relationship Id="rId23" Type="http://schemas.openxmlformats.org/officeDocument/2006/relationships/hyperlink" Target="http://www.eustat.es/elementos/ele0009900/ti_Tasa_de_paro_en_la_UE_28__2004-2013/tbl0009932_c.html" TargetMode="External"/><Relationship Id="rId28" Type="http://schemas.openxmlformats.org/officeDocument/2006/relationships/hyperlink" Target="http://escholarship.org/uc/item/3vs886v9" TargetMode="External"/><Relationship Id="rId36" Type="http://schemas.openxmlformats.org/officeDocument/2006/relationships/header" Target="header2.xml"/><Relationship Id="rId10" Type="http://schemas.openxmlformats.org/officeDocument/2006/relationships/chart" Target="charts/chart2.xml"/><Relationship Id="rId19" Type="http://schemas.openxmlformats.org/officeDocument/2006/relationships/hyperlink" Target="http://ec.europa.eu/spain/pdf/np-eurostat-tasa-desempleo-31-octubre-2013_es.pdf" TargetMode="External"/><Relationship Id="rId31" Type="http://schemas.openxmlformats.org/officeDocument/2006/relationships/hyperlink" Target="http://www.publico.es/espana/2012-ano-crisis-empujo-ciudadanos.html" TargetMode="External"/><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www.empleo.gob.es/es/mundo/Revista/Revista170/94.pdf" TargetMode="External"/><Relationship Id="rId27" Type="http://schemas.openxmlformats.org/officeDocument/2006/relationships/hyperlink" Target="http://onlinelibrary.wiley.com/doi/10.1111/1475-6765.12055/full" TargetMode="External"/><Relationship Id="rId30" Type="http://schemas.openxmlformats.org/officeDocument/2006/relationships/hyperlink" Target="http://www.uam.es/otros/afduam/documentos/InformeLos%20efectos%20de%20la%20crisis.pdf" TargetMode="External"/><Relationship Id="rId35" Type="http://schemas.openxmlformats.org/officeDocument/2006/relationships/header" Target="header1.xml"/><Relationship Id="rId43"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Documents%20and%20Settings\Rocio\Escritorio\ART&#205;CULOS\Encrucijadas\Abtenci&#243;n%20desde%20los%209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D:\Usuarios\Usuario\Desktop\Gr&#225;ficos%208-11%20Sept\Abstenciones_Votoblancoynulo_2008TB_Para%20inter&#233;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4.xml.rels><?xml version="1.0" encoding="UTF-8" standalone="yes"?>
<Relationships xmlns="http://schemas.openxmlformats.org/package/2006/relationships"><Relationship Id="rId3" Type="http://schemas.openxmlformats.org/officeDocument/2006/relationships/oleObject" Target="file:///C:\Documents%20and%20Settings\Rocio\Escritorio\ART&#205;CULOS\Encrucijadas\Tasas%20de%20paro.xlsx" TargetMode="External"/><Relationship Id="rId2" Type="http://schemas.microsoft.com/office/2011/relationships/chartColorStyle" Target="colors2.xml"/><Relationship Id="rId1" Type="http://schemas.microsoft.com/office/2011/relationships/chartStyle" Target="style2.xml"/></Relationships>
</file>

<file path=word/charts/_rels/chart5.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7.xml.rels><?xml version="1.0" encoding="UTF-8" standalone="yes"?>
<Relationships xmlns="http://schemas.openxmlformats.org/package/2006/relationships"><Relationship Id="rId3" Type="http://schemas.openxmlformats.org/officeDocument/2006/relationships/oleObject" Target="file:///C:\Documents%20and%20Settings\Rocio\Escritorio\Gr&#225;ficos%20evoluci&#243;n%20perfiles%20abstencionistas.xlsx" TargetMode="External"/><Relationship Id="rId2" Type="http://schemas.microsoft.com/office/2011/relationships/chartColorStyle" Target="colors3.xml"/><Relationship Id="rId1" Type="http://schemas.microsoft.com/office/2011/relationships/chartStyle" Target="style3.xml"/></Relationships>
</file>

<file path=word/charts/_rels/chart8.xml.rels><?xml version="1.0" encoding="UTF-8" standalone="yes"?>
<Relationships xmlns="http://schemas.openxmlformats.org/package/2006/relationships"><Relationship Id="rId3" Type="http://schemas.openxmlformats.org/officeDocument/2006/relationships/oleObject" Target="file:///C:\Documents%20and%20Settings\Rocio\Escritorio\Gr&#225;ficos%20evoluci&#243;n%20perfiles%20abstencionistas.xlsx" TargetMode="External"/><Relationship Id="rId2" Type="http://schemas.microsoft.com/office/2011/relationships/chartColorStyle" Target="colors4.xml"/><Relationship Id="rId1" Type="http://schemas.microsoft.com/office/2011/relationships/chartStyle" Target="style4.xml"/></Relationships>
</file>

<file path=word/charts/_rels/chart9.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plotArea>
      <c:layout/>
      <c:barChart>
        <c:barDir val="col"/>
        <c:grouping val="clustered"/>
        <c:varyColors val="0"/>
        <c:ser>
          <c:idx val="0"/>
          <c:order val="0"/>
          <c:tx>
            <c:strRef>
              <c:f>Hoja1!$A$3</c:f>
              <c:strCache>
                <c:ptCount val="1"/>
                <c:pt idx="0">
                  <c:v>España</c:v>
                </c:pt>
              </c:strCache>
            </c:strRef>
          </c:tx>
          <c:spPr>
            <a:solidFill>
              <a:schemeClr val="accent3">
                <a:shade val="58000"/>
              </a:schemeClr>
            </a:solidFill>
            <a:ln>
              <a:noFill/>
            </a:ln>
            <a:effectLst/>
          </c:spPr>
          <c:invertIfNegative val="0"/>
          <c:cat>
            <c:numRef>
              <c:f>Hoja1!$B$2:$R$2</c:f>
              <c:numCache>
                <c:formatCode>General</c:formatCode>
                <c:ptCount val="17"/>
                <c:pt idx="0">
                  <c:v>1993</c:v>
                </c:pt>
                <c:pt idx="1">
                  <c:v>1994</c:v>
                </c:pt>
                <c:pt idx="2">
                  <c:v>1995</c:v>
                </c:pt>
                <c:pt idx="3">
                  <c:v>1996</c:v>
                </c:pt>
                <c:pt idx="4">
                  <c:v>1999</c:v>
                </c:pt>
                <c:pt idx="5">
                  <c:v>2000</c:v>
                </c:pt>
                <c:pt idx="6">
                  <c:v>2001</c:v>
                </c:pt>
                <c:pt idx="7">
                  <c:v>2002</c:v>
                </c:pt>
                <c:pt idx="8">
                  <c:v>2004</c:v>
                </c:pt>
                <c:pt idx="9">
                  <c:v>2005</c:v>
                </c:pt>
                <c:pt idx="10">
                  <c:v>2006</c:v>
                </c:pt>
                <c:pt idx="11">
                  <c:v>2007</c:v>
                </c:pt>
                <c:pt idx="12">
                  <c:v>2008</c:v>
                </c:pt>
                <c:pt idx="13">
                  <c:v>2009</c:v>
                </c:pt>
                <c:pt idx="14">
                  <c:v>2011</c:v>
                </c:pt>
                <c:pt idx="15">
                  <c:v>2012</c:v>
                </c:pt>
                <c:pt idx="16">
                  <c:v>2013</c:v>
                </c:pt>
              </c:numCache>
            </c:numRef>
          </c:cat>
          <c:val>
            <c:numRef>
              <c:f>Hoja1!$B$3:$R$3</c:f>
              <c:numCache>
                <c:formatCode>General</c:formatCode>
                <c:ptCount val="17"/>
                <c:pt idx="0">
                  <c:v>23.6</c:v>
                </c:pt>
                <c:pt idx="3">
                  <c:v>22.6</c:v>
                </c:pt>
                <c:pt idx="5">
                  <c:v>31.3</c:v>
                </c:pt>
                <c:pt idx="8">
                  <c:v>24.3</c:v>
                </c:pt>
                <c:pt idx="12">
                  <c:v>26.2</c:v>
                </c:pt>
                <c:pt idx="14">
                  <c:v>31.1</c:v>
                </c:pt>
              </c:numCache>
            </c:numRef>
          </c:val>
        </c:ser>
        <c:ser>
          <c:idx val="1"/>
          <c:order val="1"/>
          <c:tx>
            <c:strRef>
              <c:f>Hoja1!$A$4</c:f>
              <c:strCache>
                <c:ptCount val="1"/>
                <c:pt idx="0">
                  <c:v>Grecia</c:v>
                </c:pt>
              </c:strCache>
            </c:strRef>
          </c:tx>
          <c:spPr>
            <a:solidFill>
              <a:schemeClr val="accent3">
                <a:shade val="86000"/>
              </a:schemeClr>
            </a:solidFill>
            <a:ln>
              <a:noFill/>
            </a:ln>
            <a:effectLst/>
          </c:spPr>
          <c:invertIfNegative val="0"/>
          <c:cat>
            <c:numRef>
              <c:f>Hoja1!$B$2:$R$2</c:f>
              <c:numCache>
                <c:formatCode>General</c:formatCode>
                <c:ptCount val="17"/>
                <c:pt idx="0">
                  <c:v>1993</c:v>
                </c:pt>
                <c:pt idx="1">
                  <c:v>1994</c:v>
                </c:pt>
                <c:pt idx="2">
                  <c:v>1995</c:v>
                </c:pt>
                <c:pt idx="3">
                  <c:v>1996</c:v>
                </c:pt>
                <c:pt idx="4">
                  <c:v>1999</c:v>
                </c:pt>
                <c:pt idx="5">
                  <c:v>2000</c:v>
                </c:pt>
                <c:pt idx="6">
                  <c:v>2001</c:v>
                </c:pt>
                <c:pt idx="7">
                  <c:v>2002</c:v>
                </c:pt>
                <c:pt idx="8">
                  <c:v>2004</c:v>
                </c:pt>
                <c:pt idx="9">
                  <c:v>2005</c:v>
                </c:pt>
                <c:pt idx="10">
                  <c:v>2006</c:v>
                </c:pt>
                <c:pt idx="11">
                  <c:v>2007</c:v>
                </c:pt>
                <c:pt idx="12">
                  <c:v>2008</c:v>
                </c:pt>
                <c:pt idx="13">
                  <c:v>2009</c:v>
                </c:pt>
                <c:pt idx="14">
                  <c:v>2011</c:v>
                </c:pt>
                <c:pt idx="15">
                  <c:v>2012</c:v>
                </c:pt>
                <c:pt idx="16">
                  <c:v>2013</c:v>
                </c:pt>
              </c:numCache>
            </c:numRef>
          </c:cat>
          <c:val>
            <c:numRef>
              <c:f>Hoja1!$B$4:$R$4</c:f>
              <c:numCache>
                <c:formatCode>General</c:formatCode>
                <c:ptCount val="17"/>
                <c:pt idx="3">
                  <c:v>23.7</c:v>
                </c:pt>
                <c:pt idx="5">
                  <c:v>25</c:v>
                </c:pt>
                <c:pt idx="8">
                  <c:v>23.5</c:v>
                </c:pt>
                <c:pt idx="11">
                  <c:v>25.8</c:v>
                </c:pt>
                <c:pt idx="13">
                  <c:v>29.1</c:v>
                </c:pt>
                <c:pt idx="15">
                  <c:v>34.9</c:v>
                </c:pt>
              </c:numCache>
            </c:numRef>
          </c:val>
        </c:ser>
        <c:ser>
          <c:idx val="2"/>
          <c:order val="2"/>
          <c:tx>
            <c:strRef>
              <c:f>Hoja1!$A$5</c:f>
              <c:strCache>
                <c:ptCount val="1"/>
                <c:pt idx="0">
                  <c:v>Italia</c:v>
                </c:pt>
              </c:strCache>
            </c:strRef>
          </c:tx>
          <c:spPr>
            <a:solidFill>
              <a:schemeClr val="accent3">
                <a:tint val="86000"/>
              </a:schemeClr>
            </a:solidFill>
            <a:ln>
              <a:noFill/>
            </a:ln>
            <a:effectLst/>
          </c:spPr>
          <c:invertIfNegative val="0"/>
          <c:cat>
            <c:numRef>
              <c:f>Hoja1!$B$2:$R$2</c:f>
              <c:numCache>
                <c:formatCode>General</c:formatCode>
                <c:ptCount val="17"/>
                <c:pt idx="0">
                  <c:v>1993</c:v>
                </c:pt>
                <c:pt idx="1">
                  <c:v>1994</c:v>
                </c:pt>
                <c:pt idx="2">
                  <c:v>1995</c:v>
                </c:pt>
                <c:pt idx="3">
                  <c:v>1996</c:v>
                </c:pt>
                <c:pt idx="4">
                  <c:v>1999</c:v>
                </c:pt>
                <c:pt idx="5">
                  <c:v>2000</c:v>
                </c:pt>
                <c:pt idx="6">
                  <c:v>2001</c:v>
                </c:pt>
                <c:pt idx="7">
                  <c:v>2002</c:v>
                </c:pt>
                <c:pt idx="8">
                  <c:v>2004</c:v>
                </c:pt>
                <c:pt idx="9">
                  <c:v>2005</c:v>
                </c:pt>
                <c:pt idx="10">
                  <c:v>2006</c:v>
                </c:pt>
                <c:pt idx="11">
                  <c:v>2007</c:v>
                </c:pt>
                <c:pt idx="12">
                  <c:v>2008</c:v>
                </c:pt>
                <c:pt idx="13">
                  <c:v>2009</c:v>
                </c:pt>
                <c:pt idx="14">
                  <c:v>2011</c:v>
                </c:pt>
                <c:pt idx="15">
                  <c:v>2012</c:v>
                </c:pt>
                <c:pt idx="16">
                  <c:v>2013</c:v>
                </c:pt>
              </c:numCache>
            </c:numRef>
          </c:cat>
          <c:val>
            <c:numRef>
              <c:f>Hoja1!$B$5:$R$5</c:f>
              <c:numCache>
                <c:formatCode>General</c:formatCode>
                <c:ptCount val="17"/>
                <c:pt idx="1">
                  <c:v>13.9</c:v>
                </c:pt>
                <c:pt idx="3">
                  <c:v>17.100000000000001</c:v>
                </c:pt>
                <c:pt idx="6">
                  <c:v>18.100000000000001</c:v>
                </c:pt>
                <c:pt idx="10">
                  <c:v>16.399999999999999</c:v>
                </c:pt>
                <c:pt idx="12">
                  <c:v>19.5</c:v>
                </c:pt>
                <c:pt idx="16">
                  <c:v>24.8</c:v>
                </c:pt>
              </c:numCache>
            </c:numRef>
          </c:val>
        </c:ser>
        <c:ser>
          <c:idx val="3"/>
          <c:order val="3"/>
          <c:tx>
            <c:strRef>
              <c:f>Hoja1!$A$6</c:f>
              <c:strCache>
                <c:ptCount val="1"/>
                <c:pt idx="0">
                  <c:v>Portugal</c:v>
                </c:pt>
              </c:strCache>
            </c:strRef>
          </c:tx>
          <c:spPr>
            <a:solidFill>
              <a:schemeClr val="accent3">
                <a:tint val="58000"/>
              </a:schemeClr>
            </a:solidFill>
            <a:ln>
              <a:noFill/>
            </a:ln>
            <a:effectLst/>
          </c:spPr>
          <c:invertIfNegative val="0"/>
          <c:cat>
            <c:numRef>
              <c:f>Hoja1!$B$2:$R$2</c:f>
              <c:numCache>
                <c:formatCode>General</c:formatCode>
                <c:ptCount val="17"/>
                <c:pt idx="0">
                  <c:v>1993</c:v>
                </c:pt>
                <c:pt idx="1">
                  <c:v>1994</c:v>
                </c:pt>
                <c:pt idx="2">
                  <c:v>1995</c:v>
                </c:pt>
                <c:pt idx="3">
                  <c:v>1996</c:v>
                </c:pt>
                <c:pt idx="4">
                  <c:v>1999</c:v>
                </c:pt>
                <c:pt idx="5">
                  <c:v>2000</c:v>
                </c:pt>
                <c:pt idx="6">
                  <c:v>2001</c:v>
                </c:pt>
                <c:pt idx="7">
                  <c:v>2002</c:v>
                </c:pt>
                <c:pt idx="8">
                  <c:v>2004</c:v>
                </c:pt>
                <c:pt idx="9">
                  <c:v>2005</c:v>
                </c:pt>
                <c:pt idx="10">
                  <c:v>2006</c:v>
                </c:pt>
                <c:pt idx="11">
                  <c:v>2007</c:v>
                </c:pt>
                <c:pt idx="12">
                  <c:v>2008</c:v>
                </c:pt>
                <c:pt idx="13">
                  <c:v>2009</c:v>
                </c:pt>
                <c:pt idx="14">
                  <c:v>2011</c:v>
                </c:pt>
                <c:pt idx="15">
                  <c:v>2012</c:v>
                </c:pt>
                <c:pt idx="16">
                  <c:v>2013</c:v>
                </c:pt>
              </c:numCache>
            </c:numRef>
          </c:cat>
          <c:val>
            <c:numRef>
              <c:f>Hoja1!$B$6:$R$6</c:f>
              <c:numCache>
                <c:formatCode>General</c:formatCode>
                <c:ptCount val="17"/>
                <c:pt idx="2">
                  <c:v>22.9</c:v>
                </c:pt>
                <c:pt idx="4">
                  <c:v>28.2</c:v>
                </c:pt>
                <c:pt idx="7">
                  <c:v>27.7</c:v>
                </c:pt>
                <c:pt idx="9">
                  <c:v>35</c:v>
                </c:pt>
                <c:pt idx="13">
                  <c:v>39.5</c:v>
                </c:pt>
                <c:pt idx="14">
                  <c:v>41.1</c:v>
                </c:pt>
              </c:numCache>
            </c:numRef>
          </c:val>
        </c:ser>
        <c:dLbls>
          <c:showLegendKey val="0"/>
          <c:showVal val="0"/>
          <c:showCatName val="0"/>
          <c:showSerName val="0"/>
          <c:showPercent val="0"/>
          <c:showBubbleSize val="0"/>
        </c:dLbls>
        <c:gapWidth val="150"/>
        <c:axId val="51827056"/>
        <c:axId val="141400520"/>
      </c:barChart>
      <c:catAx>
        <c:axId val="51827056"/>
        <c:scaling>
          <c:orientation val="minMax"/>
        </c:scaling>
        <c:delete val="0"/>
        <c:axPos val="b"/>
        <c:numFmt formatCode="General" sourceLinked="1"/>
        <c:majorTickMark val="out"/>
        <c:minorTickMark val="none"/>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s-ES"/>
          </a:p>
        </c:txPr>
        <c:crossAx val="141400520"/>
        <c:crosses val="autoZero"/>
        <c:auto val="1"/>
        <c:lblAlgn val="ctr"/>
        <c:lblOffset val="100"/>
        <c:noMultiLvlLbl val="0"/>
      </c:catAx>
      <c:valAx>
        <c:axId val="141400520"/>
        <c:scaling>
          <c:orientation val="minMax"/>
        </c:scaling>
        <c:delete val="0"/>
        <c:axPos val="l"/>
        <c:majorGridlines>
          <c:spPr>
            <a:ln w="6350" cap="flat" cmpd="sng" algn="ctr">
              <a:solidFill>
                <a:schemeClr val="tx1">
                  <a:tint val="75000"/>
                </a:schemeClr>
              </a:solidFill>
              <a:prstDash val="solid"/>
              <a:round/>
            </a:ln>
            <a:effectLst/>
          </c:spPr>
        </c:majorGridlines>
        <c:numFmt formatCode="General" sourceLinked="1"/>
        <c:majorTickMark val="out"/>
        <c:minorTickMark val="none"/>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s-ES"/>
          </a:p>
        </c:txPr>
        <c:crossAx val="51827056"/>
        <c:crosses val="autoZero"/>
        <c:crossBetween val="between"/>
      </c:valAx>
      <c:spPr>
        <a:solidFill>
          <a:schemeClr val="bg1"/>
        </a:solidFill>
        <a:ln>
          <a:noFill/>
        </a:ln>
        <a:effectLst/>
      </c:spPr>
    </c:plotArea>
    <c:legend>
      <c:legendPos val="r"/>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s-ES"/>
        </a:p>
      </c:txPr>
    </c:legend>
    <c:plotVisOnly val="1"/>
    <c:dispBlanksAs val="gap"/>
    <c:showDLblsOverMax val="0"/>
  </c:chart>
  <c:spPr>
    <a:solidFill>
      <a:schemeClr val="bg1"/>
    </a:solidFill>
    <a:ln w="6350" cap="flat" cmpd="sng" algn="ctr">
      <a:solidFill>
        <a:schemeClr val="tx1">
          <a:tint val="75000"/>
        </a:schemeClr>
      </a:solidFill>
      <a:prstDash val="solid"/>
      <a:round/>
    </a:ln>
    <a:effectLst/>
  </c:spPr>
  <c:txPr>
    <a:bodyPr/>
    <a:lstStyle/>
    <a:p>
      <a:pPr>
        <a:defRPr/>
      </a:pPr>
      <a:endParaRPr lang="es-E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lineChart>
        <c:grouping val="standard"/>
        <c:varyColors val="0"/>
        <c:ser>
          <c:idx val="0"/>
          <c:order val="0"/>
          <c:tx>
            <c:strRef>
              <c:f>Hoja1!$G$3</c:f>
              <c:strCache>
                <c:ptCount val="1"/>
                <c:pt idx="0">
                  <c:v>Alemania</c:v>
                </c:pt>
              </c:strCache>
            </c:strRef>
          </c:tx>
          <c:spPr>
            <a:ln w="28575" cap="rnd" cmpd="sng" algn="ctr">
              <a:solidFill>
                <a:schemeClr val="dk1">
                  <a:tint val="88500"/>
                  <a:shade val="95000"/>
                  <a:satMod val="105000"/>
                </a:schemeClr>
              </a:solidFill>
              <a:prstDash val="solid"/>
              <a:round/>
            </a:ln>
            <a:effectLst/>
          </c:spPr>
          <c:marker>
            <c:spPr>
              <a:solidFill>
                <a:schemeClr val="dk1">
                  <a:tint val="88500"/>
                </a:schemeClr>
              </a:solidFill>
              <a:ln w="9525" cap="flat" cmpd="sng" algn="ctr">
                <a:solidFill>
                  <a:schemeClr val="dk1">
                    <a:tint val="88500"/>
                    <a:shade val="95000"/>
                    <a:satMod val="105000"/>
                  </a:schemeClr>
                </a:solidFill>
                <a:prstDash val="solid"/>
                <a:round/>
              </a:ln>
              <a:effectLst/>
            </c:spPr>
          </c:marker>
          <c:cat>
            <c:numRef>
              <c:f>Hoja1!$H$2:$J$2</c:f>
              <c:numCache>
                <c:formatCode>General</c:formatCode>
                <c:ptCount val="3"/>
                <c:pt idx="0">
                  <c:v>2002</c:v>
                </c:pt>
                <c:pt idx="1">
                  <c:v>2008</c:v>
                </c:pt>
                <c:pt idx="2">
                  <c:v>2012</c:v>
                </c:pt>
              </c:numCache>
            </c:numRef>
          </c:cat>
          <c:val>
            <c:numRef>
              <c:f>Hoja1!$H$3:$J$3</c:f>
              <c:numCache>
                <c:formatCode>General</c:formatCode>
                <c:ptCount val="3"/>
                <c:pt idx="0">
                  <c:v>20</c:v>
                </c:pt>
                <c:pt idx="1">
                  <c:v>22</c:v>
                </c:pt>
                <c:pt idx="2">
                  <c:v>29</c:v>
                </c:pt>
              </c:numCache>
            </c:numRef>
          </c:val>
          <c:smooth val="0"/>
        </c:ser>
        <c:ser>
          <c:idx val="1"/>
          <c:order val="1"/>
          <c:tx>
            <c:strRef>
              <c:f>Hoja1!$G$4</c:f>
              <c:strCache>
                <c:ptCount val="1"/>
                <c:pt idx="0">
                  <c:v>Austria</c:v>
                </c:pt>
              </c:strCache>
            </c:strRef>
          </c:tx>
          <c:spPr>
            <a:ln w="28575" cap="rnd" cmpd="sng" algn="ctr">
              <a:solidFill>
                <a:schemeClr val="dk1">
                  <a:tint val="55000"/>
                  <a:shade val="95000"/>
                  <a:satMod val="105000"/>
                </a:schemeClr>
              </a:solidFill>
              <a:prstDash val="solid"/>
              <a:round/>
            </a:ln>
            <a:effectLst/>
          </c:spPr>
          <c:marker>
            <c:spPr>
              <a:solidFill>
                <a:schemeClr val="dk1">
                  <a:tint val="55000"/>
                </a:schemeClr>
              </a:solidFill>
              <a:ln w="9525" cap="flat" cmpd="sng" algn="ctr">
                <a:solidFill>
                  <a:schemeClr val="dk1">
                    <a:tint val="55000"/>
                    <a:shade val="95000"/>
                    <a:satMod val="105000"/>
                  </a:schemeClr>
                </a:solidFill>
                <a:prstDash val="solid"/>
                <a:round/>
              </a:ln>
              <a:effectLst/>
            </c:spPr>
          </c:marker>
          <c:cat>
            <c:numRef>
              <c:f>Hoja1!$H$2:$J$2</c:f>
              <c:numCache>
                <c:formatCode>General</c:formatCode>
                <c:ptCount val="3"/>
                <c:pt idx="0">
                  <c:v>2002</c:v>
                </c:pt>
                <c:pt idx="1">
                  <c:v>2008</c:v>
                </c:pt>
                <c:pt idx="2">
                  <c:v>2012</c:v>
                </c:pt>
              </c:numCache>
            </c:numRef>
          </c:cat>
          <c:val>
            <c:numRef>
              <c:f>Hoja1!$H$4:$J$4</c:f>
              <c:numCache>
                <c:formatCode>General</c:formatCode>
                <c:ptCount val="3"/>
                <c:pt idx="0">
                  <c:v>16</c:v>
                </c:pt>
                <c:pt idx="2">
                  <c:v>21</c:v>
                </c:pt>
              </c:numCache>
            </c:numRef>
          </c:val>
          <c:smooth val="0"/>
        </c:ser>
        <c:ser>
          <c:idx val="2"/>
          <c:order val="2"/>
          <c:tx>
            <c:strRef>
              <c:f>Hoja1!$G$5</c:f>
              <c:strCache>
                <c:ptCount val="1"/>
                <c:pt idx="0">
                  <c:v>Bélgica</c:v>
                </c:pt>
              </c:strCache>
            </c:strRef>
          </c:tx>
          <c:spPr>
            <a:ln w="28575" cap="rnd" cmpd="sng" algn="ctr">
              <a:solidFill>
                <a:schemeClr val="dk1">
                  <a:tint val="75000"/>
                  <a:shade val="95000"/>
                  <a:satMod val="105000"/>
                </a:schemeClr>
              </a:solidFill>
              <a:prstDash val="solid"/>
              <a:round/>
            </a:ln>
            <a:effectLst/>
          </c:spPr>
          <c:marker>
            <c:spPr>
              <a:solidFill>
                <a:schemeClr val="dk1">
                  <a:tint val="75000"/>
                </a:schemeClr>
              </a:solidFill>
              <a:ln w="9525" cap="flat" cmpd="sng" algn="ctr">
                <a:solidFill>
                  <a:schemeClr val="dk1">
                    <a:tint val="75000"/>
                    <a:shade val="95000"/>
                    <a:satMod val="105000"/>
                  </a:schemeClr>
                </a:solidFill>
                <a:prstDash val="solid"/>
                <a:round/>
              </a:ln>
              <a:effectLst/>
            </c:spPr>
          </c:marker>
          <c:cat>
            <c:numRef>
              <c:f>Hoja1!$H$2:$J$2</c:f>
              <c:numCache>
                <c:formatCode>General</c:formatCode>
                <c:ptCount val="3"/>
                <c:pt idx="0">
                  <c:v>2002</c:v>
                </c:pt>
                <c:pt idx="1">
                  <c:v>2008</c:v>
                </c:pt>
                <c:pt idx="2">
                  <c:v>2012</c:v>
                </c:pt>
              </c:numCache>
            </c:numRef>
          </c:cat>
          <c:val>
            <c:numRef>
              <c:f>Hoja1!$H$5:$J$5</c:f>
              <c:numCache>
                <c:formatCode>General</c:formatCode>
                <c:ptCount val="3"/>
                <c:pt idx="0">
                  <c:v>9</c:v>
                </c:pt>
                <c:pt idx="1">
                  <c:v>9</c:v>
                </c:pt>
                <c:pt idx="2">
                  <c:v>11</c:v>
                </c:pt>
              </c:numCache>
            </c:numRef>
          </c:val>
          <c:smooth val="0"/>
        </c:ser>
        <c:ser>
          <c:idx val="3"/>
          <c:order val="3"/>
          <c:tx>
            <c:strRef>
              <c:f>Hoja1!$G$6</c:f>
              <c:strCache>
                <c:ptCount val="1"/>
                <c:pt idx="0">
                  <c:v>Bulgaria</c:v>
                </c:pt>
              </c:strCache>
            </c:strRef>
          </c:tx>
          <c:spPr>
            <a:ln w="28575" cap="rnd" cmpd="sng" algn="ctr">
              <a:solidFill>
                <a:schemeClr val="dk1">
                  <a:tint val="98500"/>
                  <a:shade val="95000"/>
                  <a:satMod val="105000"/>
                </a:schemeClr>
              </a:solidFill>
              <a:prstDash val="solid"/>
              <a:round/>
            </a:ln>
            <a:effectLst/>
          </c:spPr>
          <c:marker>
            <c:spPr>
              <a:noFill/>
              <a:ln w="9525" cap="flat" cmpd="sng" algn="ctr">
                <a:solidFill>
                  <a:schemeClr val="dk1">
                    <a:tint val="98500"/>
                    <a:shade val="95000"/>
                    <a:satMod val="105000"/>
                  </a:schemeClr>
                </a:solidFill>
                <a:prstDash val="solid"/>
                <a:round/>
              </a:ln>
              <a:effectLst/>
            </c:spPr>
          </c:marker>
          <c:cat>
            <c:numRef>
              <c:f>Hoja1!$H$2:$J$2</c:f>
              <c:numCache>
                <c:formatCode>General</c:formatCode>
                <c:ptCount val="3"/>
                <c:pt idx="0">
                  <c:v>2002</c:v>
                </c:pt>
                <c:pt idx="1">
                  <c:v>2008</c:v>
                </c:pt>
                <c:pt idx="2">
                  <c:v>2012</c:v>
                </c:pt>
              </c:numCache>
            </c:numRef>
          </c:cat>
          <c:val>
            <c:numRef>
              <c:f>Hoja1!$H$6:$J$6</c:f>
              <c:numCache>
                <c:formatCode>General</c:formatCode>
                <c:ptCount val="3"/>
                <c:pt idx="0">
                  <c:v>33</c:v>
                </c:pt>
                <c:pt idx="1">
                  <c:v>44</c:v>
                </c:pt>
                <c:pt idx="2">
                  <c:v>40</c:v>
                </c:pt>
              </c:numCache>
            </c:numRef>
          </c:val>
          <c:smooth val="0"/>
        </c:ser>
        <c:ser>
          <c:idx val="4"/>
          <c:order val="4"/>
          <c:tx>
            <c:strRef>
              <c:f>Hoja1!$G$7</c:f>
              <c:strCache>
                <c:ptCount val="1"/>
                <c:pt idx="0">
                  <c:v>Dinamarca</c:v>
                </c:pt>
              </c:strCache>
            </c:strRef>
          </c:tx>
          <c:spPr>
            <a:ln w="28575" cap="rnd" cmpd="sng" algn="ctr">
              <a:solidFill>
                <a:schemeClr val="dk1">
                  <a:tint val="30000"/>
                  <a:shade val="95000"/>
                  <a:satMod val="105000"/>
                </a:schemeClr>
              </a:solidFill>
              <a:prstDash val="solid"/>
              <a:round/>
            </a:ln>
            <a:effectLst/>
          </c:spPr>
          <c:marker>
            <c:spPr>
              <a:noFill/>
              <a:ln w="9525" cap="flat" cmpd="sng" algn="ctr">
                <a:solidFill>
                  <a:schemeClr val="dk1">
                    <a:tint val="30000"/>
                    <a:shade val="95000"/>
                    <a:satMod val="105000"/>
                  </a:schemeClr>
                </a:solidFill>
                <a:prstDash val="solid"/>
                <a:round/>
              </a:ln>
              <a:effectLst/>
            </c:spPr>
          </c:marker>
          <c:cat>
            <c:numRef>
              <c:f>Hoja1!$H$2:$J$2</c:f>
              <c:numCache>
                <c:formatCode>General</c:formatCode>
                <c:ptCount val="3"/>
                <c:pt idx="0">
                  <c:v>2002</c:v>
                </c:pt>
                <c:pt idx="1">
                  <c:v>2008</c:v>
                </c:pt>
                <c:pt idx="2">
                  <c:v>2012</c:v>
                </c:pt>
              </c:numCache>
            </c:numRef>
          </c:cat>
          <c:val>
            <c:numRef>
              <c:f>Hoja1!$H$7:$J$7</c:f>
              <c:numCache>
                <c:formatCode>General</c:formatCode>
                <c:ptCount val="3"/>
                <c:pt idx="0">
                  <c:v>13</c:v>
                </c:pt>
                <c:pt idx="1">
                  <c:v>13</c:v>
                </c:pt>
                <c:pt idx="2">
                  <c:v>12</c:v>
                </c:pt>
              </c:numCache>
            </c:numRef>
          </c:val>
          <c:smooth val="0"/>
        </c:ser>
        <c:ser>
          <c:idx val="5"/>
          <c:order val="5"/>
          <c:tx>
            <c:strRef>
              <c:f>Hoja1!$G$8</c:f>
              <c:strCache>
                <c:ptCount val="1"/>
                <c:pt idx="0">
                  <c:v>Finlandia</c:v>
                </c:pt>
              </c:strCache>
            </c:strRef>
          </c:tx>
          <c:spPr>
            <a:ln w="28575" cap="rnd" cmpd="sng" algn="ctr">
              <a:solidFill>
                <a:schemeClr val="dk1">
                  <a:tint val="60000"/>
                  <a:shade val="95000"/>
                  <a:satMod val="105000"/>
                </a:schemeClr>
              </a:solidFill>
              <a:prstDash val="solid"/>
              <a:round/>
            </a:ln>
            <a:effectLst/>
          </c:spPr>
          <c:marker>
            <c:spPr>
              <a:solidFill>
                <a:schemeClr val="dk1">
                  <a:tint val="60000"/>
                </a:schemeClr>
              </a:solidFill>
              <a:ln w="9525" cap="flat" cmpd="sng" algn="ctr">
                <a:solidFill>
                  <a:schemeClr val="dk1">
                    <a:tint val="60000"/>
                    <a:shade val="95000"/>
                    <a:satMod val="105000"/>
                  </a:schemeClr>
                </a:solidFill>
                <a:prstDash val="solid"/>
                <a:round/>
              </a:ln>
              <a:effectLst/>
            </c:spPr>
          </c:marker>
          <c:cat>
            <c:numRef>
              <c:f>Hoja1!$H$2:$J$2</c:f>
              <c:numCache>
                <c:formatCode>General</c:formatCode>
                <c:ptCount val="3"/>
                <c:pt idx="0">
                  <c:v>2002</c:v>
                </c:pt>
                <c:pt idx="1">
                  <c:v>2008</c:v>
                </c:pt>
                <c:pt idx="2">
                  <c:v>2012</c:v>
                </c:pt>
              </c:numCache>
            </c:numRef>
          </c:cat>
          <c:val>
            <c:numRef>
              <c:f>Hoja1!$H$8:$J$8</c:f>
              <c:numCache>
                <c:formatCode>General</c:formatCode>
                <c:ptCount val="3"/>
                <c:pt idx="0">
                  <c:v>24</c:v>
                </c:pt>
                <c:pt idx="1">
                  <c:v>25</c:v>
                </c:pt>
                <c:pt idx="2">
                  <c:v>23</c:v>
                </c:pt>
              </c:numCache>
            </c:numRef>
          </c:val>
          <c:smooth val="0"/>
        </c:ser>
        <c:ser>
          <c:idx val="6"/>
          <c:order val="6"/>
          <c:tx>
            <c:strRef>
              <c:f>Hoja1!$G$9</c:f>
              <c:strCache>
                <c:ptCount val="1"/>
                <c:pt idx="0">
                  <c:v>Francia</c:v>
                </c:pt>
              </c:strCache>
            </c:strRef>
          </c:tx>
          <c:spPr>
            <a:ln w="28575" cap="rnd" cmpd="sng" algn="ctr">
              <a:solidFill>
                <a:schemeClr val="dk1">
                  <a:tint val="80000"/>
                  <a:shade val="95000"/>
                  <a:satMod val="105000"/>
                </a:schemeClr>
              </a:solidFill>
              <a:prstDash val="solid"/>
              <a:round/>
            </a:ln>
            <a:effectLst/>
          </c:spPr>
          <c:marker>
            <c:spPr>
              <a:noFill/>
              <a:ln w="9525" cap="flat" cmpd="sng" algn="ctr">
                <a:solidFill>
                  <a:schemeClr val="dk1">
                    <a:tint val="80000"/>
                    <a:shade val="95000"/>
                    <a:satMod val="105000"/>
                  </a:schemeClr>
                </a:solidFill>
                <a:prstDash val="solid"/>
                <a:round/>
              </a:ln>
              <a:effectLst/>
            </c:spPr>
          </c:marker>
          <c:cat>
            <c:numRef>
              <c:f>Hoja1!$H$2:$J$2</c:f>
              <c:numCache>
                <c:formatCode>General</c:formatCode>
                <c:ptCount val="3"/>
                <c:pt idx="0">
                  <c:v>2002</c:v>
                </c:pt>
                <c:pt idx="1">
                  <c:v>2008</c:v>
                </c:pt>
                <c:pt idx="2">
                  <c:v>2012</c:v>
                </c:pt>
              </c:numCache>
            </c:numRef>
          </c:cat>
          <c:val>
            <c:numRef>
              <c:f>Hoja1!$H$9:$J$9</c:f>
              <c:numCache>
                <c:formatCode>General</c:formatCode>
                <c:ptCount val="3"/>
                <c:pt idx="0">
                  <c:v>40</c:v>
                </c:pt>
                <c:pt idx="1">
                  <c:v>40</c:v>
                </c:pt>
                <c:pt idx="2">
                  <c:v>45</c:v>
                </c:pt>
              </c:numCache>
            </c:numRef>
          </c:val>
          <c:smooth val="0"/>
        </c:ser>
        <c:ser>
          <c:idx val="7"/>
          <c:order val="7"/>
          <c:tx>
            <c:strRef>
              <c:f>Hoja1!$G$10</c:f>
              <c:strCache>
                <c:ptCount val="1"/>
                <c:pt idx="0">
                  <c:v>Holanda</c:v>
                </c:pt>
              </c:strCache>
            </c:strRef>
          </c:tx>
          <c:spPr>
            <a:ln w="28575" cap="rnd" cmpd="sng" algn="ctr">
              <a:solidFill>
                <a:schemeClr val="dk1">
                  <a:tint val="88500"/>
                  <a:shade val="95000"/>
                  <a:satMod val="105000"/>
                </a:schemeClr>
              </a:solidFill>
              <a:prstDash val="solid"/>
              <a:round/>
            </a:ln>
            <a:effectLst/>
          </c:spPr>
          <c:marker>
            <c:spPr>
              <a:solidFill>
                <a:schemeClr val="dk1">
                  <a:tint val="88500"/>
                </a:schemeClr>
              </a:solidFill>
              <a:ln w="9525" cap="flat" cmpd="sng" algn="ctr">
                <a:solidFill>
                  <a:schemeClr val="dk1">
                    <a:tint val="88500"/>
                    <a:shade val="95000"/>
                    <a:satMod val="105000"/>
                  </a:schemeClr>
                </a:solidFill>
                <a:prstDash val="solid"/>
                <a:round/>
              </a:ln>
              <a:effectLst/>
            </c:spPr>
          </c:marker>
          <c:cat>
            <c:numRef>
              <c:f>Hoja1!$H$2:$J$2</c:f>
              <c:numCache>
                <c:formatCode>General</c:formatCode>
                <c:ptCount val="3"/>
                <c:pt idx="0">
                  <c:v>2002</c:v>
                </c:pt>
                <c:pt idx="1">
                  <c:v>2008</c:v>
                </c:pt>
                <c:pt idx="2">
                  <c:v>2012</c:v>
                </c:pt>
              </c:numCache>
            </c:numRef>
          </c:cat>
          <c:val>
            <c:numRef>
              <c:f>Hoja1!$H$10:$J$10</c:f>
              <c:numCache>
                <c:formatCode>General</c:formatCode>
                <c:ptCount val="3"/>
                <c:pt idx="0">
                  <c:v>20</c:v>
                </c:pt>
                <c:pt idx="1">
                  <c:v>20</c:v>
                </c:pt>
                <c:pt idx="2">
                  <c:v>25</c:v>
                </c:pt>
              </c:numCache>
            </c:numRef>
          </c:val>
          <c:smooth val="0"/>
        </c:ser>
        <c:ser>
          <c:idx val="8"/>
          <c:order val="8"/>
          <c:tx>
            <c:strRef>
              <c:f>Hoja1!$G$11</c:f>
              <c:strCache>
                <c:ptCount val="1"/>
                <c:pt idx="0">
                  <c:v>Hungría</c:v>
                </c:pt>
              </c:strCache>
            </c:strRef>
          </c:tx>
          <c:spPr>
            <a:ln w="28575" cap="rnd" cmpd="sng" algn="ctr">
              <a:solidFill>
                <a:schemeClr val="dk1">
                  <a:tint val="55000"/>
                  <a:shade val="95000"/>
                  <a:satMod val="105000"/>
                </a:schemeClr>
              </a:solidFill>
              <a:prstDash val="solid"/>
              <a:round/>
            </a:ln>
            <a:effectLst/>
          </c:spPr>
          <c:marker>
            <c:spPr>
              <a:solidFill>
                <a:schemeClr val="dk1">
                  <a:tint val="55000"/>
                </a:schemeClr>
              </a:solidFill>
              <a:ln w="9525" cap="flat" cmpd="sng" algn="ctr">
                <a:solidFill>
                  <a:schemeClr val="dk1">
                    <a:tint val="55000"/>
                    <a:shade val="95000"/>
                    <a:satMod val="105000"/>
                  </a:schemeClr>
                </a:solidFill>
                <a:prstDash val="solid"/>
                <a:round/>
              </a:ln>
              <a:effectLst/>
            </c:spPr>
          </c:marker>
          <c:cat>
            <c:numRef>
              <c:f>Hoja1!$H$2:$J$2</c:f>
              <c:numCache>
                <c:formatCode>General</c:formatCode>
                <c:ptCount val="3"/>
                <c:pt idx="0">
                  <c:v>2002</c:v>
                </c:pt>
                <c:pt idx="1">
                  <c:v>2008</c:v>
                </c:pt>
                <c:pt idx="2">
                  <c:v>2012</c:v>
                </c:pt>
              </c:numCache>
            </c:numRef>
          </c:cat>
          <c:val>
            <c:numRef>
              <c:f>Hoja1!$H$11:$J$11</c:f>
              <c:numCache>
                <c:formatCode>General</c:formatCode>
                <c:ptCount val="3"/>
                <c:pt idx="0">
                  <c:v>26</c:v>
                </c:pt>
                <c:pt idx="1">
                  <c:v>46</c:v>
                </c:pt>
                <c:pt idx="2">
                  <c:v>53</c:v>
                </c:pt>
              </c:numCache>
            </c:numRef>
          </c:val>
          <c:smooth val="0"/>
        </c:ser>
        <c:ser>
          <c:idx val="9"/>
          <c:order val="9"/>
          <c:tx>
            <c:strRef>
              <c:f>Hoja1!$G$12</c:f>
              <c:strCache>
                <c:ptCount val="1"/>
                <c:pt idx="0">
                  <c:v>Irlanda</c:v>
                </c:pt>
              </c:strCache>
            </c:strRef>
          </c:tx>
          <c:spPr>
            <a:ln w="28575" cap="rnd" cmpd="sng" algn="ctr">
              <a:solidFill>
                <a:schemeClr val="dk1">
                  <a:tint val="75000"/>
                  <a:shade val="95000"/>
                  <a:satMod val="105000"/>
                </a:schemeClr>
              </a:solidFill>
              <a:prstDash val="solid"/>
              <a:round/>
            </a:ln>
            <a:effectLst/>
          </c:spPr>
          <c:marker>
            <c:spPr>
              <a:solidFill>
                <a:schemeClr val="dk1">
                  <a:tint val="75000"/>
                </a:schemeClr>
              </a:solidFill>
              <a:ln w="9525" cap="flat" cmpd="sng" algn="ctr">
                <a:solidFill>
                  <a:schemeClr val="dk1">
                    <a:tint val="75000"/>
                    <a:shade val="95000"/>
                    <a:satMod val="105000"/>
                  </a:schemeClr>
                </a:solidFill>
                <a:prstDash val="solid"/>
                <a:round/>
              </a:ln>
              <a:effectLst/>
            </c:spPr>
          </c:marker>
          <c:cat>
            <c:numRef>
              <c:f>Hoja1!$H$2:$J$2</c:f>
              <c:numCache>
                <c:formatCode>General</c:formatCode>
                <c:ptCount val="3"/>
                <c:pt idx="0">
                  <c:v>2002</c:v>
                </c:pt>
                <c:pt idx="1">
                  <c:v>2008</c:v>
                </c:pt>
                <c:pt idx="2">
                  <c:v>2012</c:v>
                </c:pt>
              </c:numCache>
            </c:numRef>
          </c:cat>
          <c:val>
            <c:numRef>
              <c:f>Hoja1!$H$12:$J$12</c:f>
              <c:numCache>
                <c:formatCode>General</c:formatCode>
                <c:ptCount val="3"/>
                <c:pt idx="0">
                  <c:v>37</c:v>
                </c:pt>
                <c:pt idx="1">
                  <c:v>32</c:v>
                </c:pt>
                <c:pt idx="2">
                  <c:v>30</c:v>
                </c:pt>
              </c:numCache>
            </c:numRef>
          </c:val>
          <c:smooth val="0"/>
        </c:ser>
        <c:ser>
          <c:idx val="10"/>
          <c:order val="10"/>
          <c:tx>
            <c:strRef>
              <c:f>Hoja1!$G$13</c:f>
              <c:strCache>
                <c:ptCount val="1"/>
                <c:pt idx="0">
                  <c:v>Reino Unido</c:v>
                </c:pt>
              </c:strCache>
            </c:strRef>
          </c:tx>
          <c:spPr>
            <a:ln w="28575" cap="rnd" cmpd="sng" algn="ctr">
              <a:solidFill>
                <a:schemeClr val="dk1">
                  <a:tint val="98500"/>
                  <a:shade val="95000"/>
                  <a:satMod val="105000"/>
                </a:schemeClr>
              </a:solidFill>
              <a:prstDash val="solid"/>
              <a:round/>
            </a:ln>
            <a:effectLst/>
          </c:spPr>
          <c:marker>
            <c:spPr>
              <a:solidFill>
                <a:schemeClr val="dk1">
                  <a:tint val="98500"/>
                </a:schemeClr>
              </a:solidFill>
              <a:ln w="9525" cap="flat" cmpd="sng" algn="ctr">
                <a:solidFill>
                  <a:schemeClr val="dk1">
                    <a:tint val="98500"/>
                    <a:shade val="95000"/>
                    <a:satMod val="105000"/>
                  </a:schemeClr>
                </a:solidFill>
                <a:prstDash val="solid"/>
                <a:round/>
              </a:ln>
              <a:effectLst/>
            </c:spPr>
          </c:marker>
          <c:cat>
            <c:numRef>
              <c:f>Hoja1!$H$2:$J$2</c:f>
              <c:numCache>
                <c:formatCode>General</c:formatCode>
                <c:ptCount val="3"/>
                <c:pt idx="0">
                  <c:v>2002</c:v>
                </c:pt>
                <c:pt idx="1">
                  <c:v>2008</c:v>
                </c:pt>
                <c:pt idx="2">
                  <c:v>2012</c:v>
                </c:pt>
              </c:numCache>
            </c:numRef>
          </c:cat>
          <c:val>
            <c:numRef>
              <c:f>Hoja1!$H$13:$J$13</c:f>
              <c:numCache>
                <c:formatCode>General</c:formatCode>
                <c:ptCount val="3"/>
                <c:pt idx="0">
                  <c:v>41</c:v>
                </c:pt>
                <c:pt idx="1">
                  <c:v>39</c:v>
                </c:pt>
                <c:pt idx="2">
                  <c:v>35</c:v>
                </c:pt>
              </c:numCache>
            </c:numRef>
          </c:val>
          <c:smooth val="0"/>
        </c:ser>
        <c:ser>
          <c:idx val="11"/>
          <c:order val="11"/>
          <c:tx>
            <c:strRef>
              <c:f>Hoja1!$G$14</c:f>
              <c:strCache>
                <c:ptCount val="1"/>
                <c:pt idx="0">
                  <c:v>Suecia</c:v>
                </c:pt>
              </c:strCache>
            </c:strRef>
          </c:tx>
          <c:spPr>
            <a:ln w="28575" cap="rnd" cmpd="sng" algn="ctr">
              <a:solidFill>
                <a:schemeClr val="dk1">
                  <a:tint val="30000"/>
                  <a:shade val="95000"/>
                  <a:satMod val="105000"/>
                </a:schemeClr>
              </a:solidFill>
              <a:prstDash val="solid"/>
              <a:round/>
            </a:ln>
            <a:effectLst/>
          </c:spPr>
          <c:marker>
            <c:spPr>
              <a:solidFill>
                <a:schemeClr val="dk1">
                  <a:tint val="30000"/>
                </a:schemeClr>
              </a:solidFill>
              <a:ln w="9525" cap="flat" cmpd="sng" algn="ctr">
                <a:solidFill>
                  <a:schemeClr val="dk1">
                    <a:tint val="30000"/>
                    <a:shade val="95000"/>
                    <a:satMod val="105000"/>
                  </a:schemeClr>
                </a:solidFill>
                <a:prstDash val="solid"/>
                <a:round/>
              </a:ln>
              <a:effectLst/>
            </c:spPr>
          </c:marker>
          <c:cat>
            <c:numRef>
              <c:f>Hoja1!$H$2:$J$2</c:f>
              <c:numCache>
                <c:formatCode>General</c:formatCode>
                <c:ptCount val="3"/>
                <c:pt idx="0">
                  <c:v>2002</c:v>
                </c:pt>
                <c:pt idx="1">
                  <c:v>2008</c:v>
                </c:pt>
                <c:pt idx="2">
                  <c:v>2012</c:v>
                </c:pt>
              </c:numCache>
            </c:numRef>
          </c:cat>
          <c:val>
            <c:numRef>
              <c:f>Hoja1!$H$14:$J$14</c:f>
              <c:numCache>
                <c:formatCode>General</c:formatCode>
                <c:ptCount val="3"/>
                <c:pt idx="0">
                  <c:v>20</c:v>
                </c:pt>
                <c:pt idx="1">
                  <c:v>18</c:v>
                </c:pt>
                <c:pt idx="2">
                  <c:v>15</c:v>
                </c:pt>
              </c:numCache>
            </c:numRef>
          </c:val>
          <c:smooth val="0"/>
        </c:ser>
        <c:dLbls>
          <c:showLegendKey val="0"/>
          <c:showVal val="0"/>
          <c:showCatName val="0"/>
          <c:showSerName val="0"/>
          <c:showPercent val="0"/>
          <c:showBubbleSize val="0"/>
        </c:dLbls>
        <c:marker val="1"/>
        <c:smooth val="0"/>
        <c:axId val="143129616"/>
        <c:axId val="141385192"/>
      </c:lineChart>
      <c:catAx>
        <c:axId val="143129616"/>
        <c:scaling>
          <c:orientation val="minMax"/>
        </c:scaling>
        <c:delete val="0"/>
        <c:axPos val="b"/>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s-ES"/>
          </a:p>
        </c:txPr>
        <c:crossAx val="141385192"/>
        <c:crosses val="autoZero"/>
        <c:auto val="1"/>
        <c:lblAlgn val="ctr"/>
        <c:lblOffset val="100"/>
        <c:noMultiLvlLbl val="0"/>
      </c:catAx>
      <c:valAx>
        <c:axId val="141385192"/>
        <c:scaling>
          <c:orientation val="minMax"/>
        </c:scaling>
        <c:delete val="0"/>
        <c:axPos val="l"/>
        <c:majorGridlines>
          <c:spPr>
            <a:ln w="9525" cap="flat" cmpd="sng" algn="ctr">
              <a:solidFill>
                <a:schemeClr val="tx1">
                  <a:tint val="75000"/>
                  <a:shade val="95000"/>
                  <a:satMod val="105000"/>
                </a:schemeClr>
              </a:solidFill>
              <a:prstDash val="solid"/>
              <a:round/>
            </a:ln>
            <a:effectLst/>
          </c:spPr>
        </c:majorGridlines>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s-ES"/>
          </a:p>
        </c:txPr>
        <c:crossAx val="143129616"/>
        <c:crosses val="autoZero"/>
        <c:crossBetween val="between"/>
      </c:valAx>
      <c:spPr>
        <a:solidFill>
          <a:schemeClr val="bg1"/>
        </a:solidFill>
        <a:ln>
          <a:noFill/>
        </a:ln>
        <a:effectLst/>
      </c:spPr>
    </c:plotArea>
    <c:legend>
      <c:legendPos val="r"/>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tint val="75000"/>
          <a:shade val="95000"/>
          <a:satMod val="105000"/>
        </a:schemeClr>
      </a:solidFill>
      <a:prstDash val="solid"/>
      <a:round/>
    </a:ln>
    <a:effectLst/>
  </c:spPr>
  <c:txPr>
    <a:bodyPr/>
    <a:lstStyle/>
    <a:p>
      <a:pPr>
        <a:defRPr/>
      </a:pPr>
      <a:endParaRPr lang="es-E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lineChart>
        <c:grouping val="standard"/>
        <c:varyColors val="0"/>
        <c:ser>
          <c:idx val="0"/>
          <c:order val="0"/>
          <c:tx>
            <c:strRef>
              <c:f>Hoja1!$A$4</c:f>
              <c:strCache>
                <c:ptCount val="1"/>
                <c:pt idx="0">
                  <c:v>España</c:v>
                </c:pt>
              </c:strCache>
            </c:strRef>
          </c:tx>
          <c:spPr>
            <a:ln w="28575" cap="rnd" cmpd="sng" algn="ctr">
              <a:solidFill>
                <a:schemeClr val="dk1">
                  <a:tint val="88500"/>
                  <a:shade val="95000"/>
                  <a:satMod val="105000"/>
                </a:schemeClr>
              </a:solidFill>
              <a:prstDash val="solid"/>
              <a:round/>
            </a:ln>
            <a:effectLst/>
          </c:spPr>
          <c:marker>
            <c:spPr>
              <a:solidFill>
                <a:schemeClr val="dk1">
                  <a:tint val="88500"/>
                </a:schemeClr>
              </a:solidFill>
              <a:ln w="9525" cap="flat" cmpd="sng" algn="ctr">
                <a:solidFill>
                  <a:schemeClr val="dk1">
                    <a:tint val="88500"/>
                    <a:shade val="95000"/>
                    <a:satMod val="105000"/>
                  </a:schemeClr>
                </a:solidFill>
                <a:prstDash val="solid"/>
                <a:round/>
              </a:ln>
              <a:effectLst/>
            </c:spPr>
          </c:marker>
          <c:cat>
            <c:numRef>
              <c:f>Hoja1!$B$3:$F$3</c:f>
              <c:numCache>
                <c:formatCode>General</c:formatCode>
                <c:ptCount val="5"/>
                <c:pt idx="0">
                  <c:v>2002</c:v>
                </c:pt>
                <c:pt idx="1">
                  <c:v>2006</c:v>
                </c:pt>
                <c:pt idx="2">
                  <c:v>2008</c:v>
                </c:pt>
                <c:pt idx="3">
                  <c:v>2009</c:v>
                </c:pt>
                <c:pt idx="4">
                  <c:v>2012</c:v>
                </c:pt>
              </c:numCache>
            </c:numRef>
          </c:cat>
          <c:val>
            <c:numRef>
              <c:f>Hoja1!$B$4:$F$4</c:f>
              <c:numCache>
                <c:formatCode>#,##0</c:formatCode>
                <c:ptCount val="5"/>
                <c:pt idx="0">
                  <c:v>16565</c:v>
                </c:pt>
                <c:pt idx="1">
                  <c:v>27847</c:v>
                </c:pt>
                <c:pt idx="2">
                  <c:v>34674</c:v>
                </c:pt>
                <c:pt idx="3">
                  <c:v>31369</c:v>
                </c:pt>
                <c:pt idx="4">
                  <c:v>28274</c:v>
                </c:pt>
              </c:numCache>
            </c:numRef>
          </c:val>
          <c:smooth val="0"/>
        </c:ser>
        <c:ser>
          <c:idx val="1"/>
          <c:order val="1"/>
          <c:tx>
            <c:strRef>
              <c:f>Hoja1!$A$5</c:f>
              <c:strCache>
                <c:ptCount val="1"/>
                <c:pt idx="0">
                  <c:v>Grecia</c:v>
                </c:pt>
              </c:strCache>
            </c:strRef>
          </c:tx>
          <c:spPr>
            <a:ln w="28575" cap="rnd" cmpd="sng" algn="ctr">
              <a:solidFill>
                <a:schemeClr val="dk1">
                  <a:tint val="55000"/>
                  <a:shade val="95000"/>
                  <a:satMod val="105000"/>
                </a:schemeClr>
              </a:solidFill>
              <a:prstDash val="solid"/>
              <a:round/>
            </a:ln>
            <a:effectLst/>
          </c:spPr>
          <c:marker>
            <c:spPr>
              <a:solidFill>
                <a:schemeClr val="dk1">
                  <a:tint val="55000"/>
                </a:schemeClr>
              </a:solidFill>
              <a:ln w="9525" cap="flat" cmpd="sng" algn="ctr">
                <a:solidFill>
                  <a:schemeClr val="dk1">
                    <a:tint val="55000"/>
                    <a:shade val="95000"/>
                    <a:satMod val="105000"/>
                  </a:schemeClr>
                </a:solidFill>
                <a:prstDash val="solid"/>
                <a:round/>
              </a:ln>
              <a:effectLst/>
            </c:spPr>
          </c:marker>
          <c:cat>
            <c:numRef>
              <c:f>Hoja1!$B$3:$F$3</c:f>
              <c:numCache>
                <c:formatCode>General</c:formatCode>
                <c:ptCount val="5"/>
                <c:pt idx="0">
                  <c:v>2002</c:v>
                </c:pt>
                <c:pt idx="1">
                  <c:v>2006</c:v>
                </c:pt>
                <c:pt idx="2">
                  <c:v>2008</c:v>
                </c:pt>
                <c:pt idx="3">
                  <c:v>2009</c:v>
                </c:pt>
                <c:pt idx="4">
                  <c:v>2012</c:v>
                </c:pt>
              </c:numCache>
            </c:numRef>
          </c:cat>
          <c:val>
            <c:numRef>
              <c:f>Hoja1!$B$5:$F$5</c:f>
              <c:numCache>
                <c:formatCode>#,##0</c:formatCode>
                <c:ptCount val="5"/>
                <c:pt idx="0">
                  <c:v>13297</c:v>
                </c:pt>
                <c:pt idx="1">
                  <c:v>23518</c:v>
                </c:pt>
                <c:pt idx="2">
                  <c:v>30563</c:v>
                </c:pt>
                <c:pt idx="3">
                  <c:v>28462</c:v>
                </c:pt>
                <c:pt idx="4">
                  <c:v>22442</c:v>
                </c:pt>
              </c:numCache>
            </c:numRef>
          </c:val>
          <c:smooth val="0"/>
        </c:ser>
        <c:ser>
          <c:idx val="2"/>
          <c:order val="2"/>
          <c:tx>
            <c:strRef>
              <c:f>Hoja1!$A$6</c:f>
              <c:strCache>
                <c:ptCount val="1"/>
                <c:pt idx="0">
                  <c:v>Italia</c:v>
                </c:pt>
              </c:strCache>
            </c:strRef>
          </c:tx>
          <c:spPr>
            <a:ln w="28575" cap="rnd" cmpd="sng" algn="ctr">
              <a:solidFill>
                <a:schemeClr val="dk1">
                  <a:tint val="75000"/>
                  <a:shade val="95000"/>
                  <a:satMod val="105000"/>
                </a:schemeClr>
              </a:solidFill>
              <a:prstDash val="solid"/>
              <a:round/>
            </a:ln>
            <a:effectLst/>
          </c:spPr>
          <c:marker>
            <c:spPr>
              <a:solidFill>
                <a:schemeClr val="dk1">
                  <a:tint val="75000"/>
                </a:schemeClr>
              </a:solidFill>
              <a:ln w="9525" cap="flat" cmpd="sng" algn="ctr">
                <a:solidFill>
                  <a:schemeClr val="dk1">
                    <a:tint val="75000"/>
                    <a:shade val="95000"/>
                    <a:satMod val="105000"/>
                  </a:schemeClr>
                </a:solidFill>
                <a:prstDash val="solid"/>
                <a:round/>
              </a:ln>
              <a:effectLst/>
            </c:spPr>
          </c:marker>
          <c:cat>
            <c:numRef>
              <c:f>Hoja1!$B$3:$F$3</c:f>
              <c:numCache>
                <c:formatCode>General</c:formatCode>
                <c:ptCount val="5"/>
                <c:pt idx="0">
                  <c:v>2002</c:v>
                </c:pt>
                <c:pt idx="1">
                  <c:v>2006</c:v>
                </c:pt>
                <c:pt idx="2">
                  <c:v>2008</c:v>
                </c:pt>
                <c:pt idx="3">
                  <c:v>2009</c:v>
                </c:pt>
                <c:pt idx="4">
                  <c:v>2012</c:v>
                </c:pt>
              </c:numCache>
            </c:numRef>
          </c:cat>
          <c:val>
            <c:numRef>
              <c:f>Hoja1!$B$6:$F$6</c:f>
              <c:numCache>
                <c:formatCode>#,##0</c:formatCode>
                <c:ptCount val="5"/>
                <c:pt idx="0">
                  <c:v>21472</c:v>
                </c:pt>
                <c:pt idx="1">
                  <c:v>32213</c:v>
                </c:pt>
                <c:pt idx="2">
                  <c:v>39222</c:v>
                </c:pt>
                <c:pt idx="3">
                  <c:v>35073</c:v>
                </c:pt>
                <c:pt idx="4">
                  <c:v>33816</c:v>
                </c:pt>
              </c:numCache>
            </c:numRef>
          </c:val>
          <c:smooth val="0"/>
        </c:ser>
        <c:ser>
          <c:idx val="3"/>
          <c:order val="3"/>
          <c:tx>
            <c:strRef>
              <c:f>Hoja1!$A$7</c:f>
              <c:strCache>
                <c:ptCount val="1"/>
                <c:pt idx="0">
                  <c:v>Portugal</c:v>
                </c:pt>
              </c:strCache>
            </c:strRef>
          </c:tx>
          <c:spPr>
            <a:ln w="28575" cap="rnd" cmpd="sng" algn="ctr">
              <a:solidFill>
                <a:schemeClr val="dk1">
                  <a:tint val="98500"/>
                  <a:shade val="95000"/>
                  <a:satMod val="105000"/>
                </a:schemeClr>
              </a:solidFill>
              <a:prstDash val="solid"/>
              <a:round/>
            </a:ln>
            <a:effectLst/>
          </c:spPr>
          <c:marker>
            <c:spPr>
              <a:noFill/>
              <a:ln w="9525" cap="flat" cmpd="sng" algn="ctr">
                <a:solidFill>
                  <a:schemeClr val="dk1">
                    <a:tint val="98500"/>
                    <a:shade val="95000"/>
                    <a:satMod val="105000"/>
                  </a:schemeClr>
                </a:solidFill>
                <a:prstDash val="solid"/>
                <a:round/>
              </a:ln>
              <a:effectLst/>
            </c:spPr>
          </c:marker>
          <c:cat>
            <c:numRef>
              <c:f>Hoja1!$B$3:$F$3</c:f>
              <c:numCache>
                <c:formatCode>General</c:formatCode>
                <c:ptCount val="5"/>
                <c:pt idx="0">
                  <c:v>2002</c:v>
                </c:pt>
                <c:pt idx="1">
                  <c:v>2006</c:v>
                </c:pt>
                <c:pt idx="2">
                  <c:v>2008</c:v>
                </c:pt>
                <c:pt idx="3">
                  <c:v>2009</c:v>
                </c:pt>
                <c:pt idx="4">
                  <c:v>2012</c:v>
                </c:pt>
              </c:numCache>
            </c:numRef>
          </c:cat>
          <c:val>
            <c:numRef>
              <c:f>Hoja1!$B$7:$F$7</c:f>
              <c:numCache>
                <c:formatCode>#,##0</c:formatCode>
                <c:ptCount val="5"/>
                <c:pt idx="0">
                  <c:v>12696</c:v>
                </c:pt>
                <c:pt idx="1">
                  <c:v>19177</c:v>
                </c:pt>
                <c:pt idx="2">
                  <c:v>23816</c:v>
                </c:pt>
                <c:pt idx="3">
                  <c:v>22153</c:v>
                </c:pt>
                <c:pt idx="4">
                  <c:v>20175</c:v>
                </c:pt>
              </c:numCache>
            </c:numRef>
          </c:val>
          <c:smooth val="0"/>
        </c:ser>
        <c:dLbls>
          <c:showLegendKey val="0"/>
          <c:showVal val="0"/>
          <c:showCatName val="0"/>
          <c:showSerName val="0"/>
          <c:showPercent val="0"/>
          <c:showBubbleSize val="0"/>
        </c:dLbls>
        <c:marker val="1"/>
        <c:smooth val="0"/>
        <c:axId val="141194840"/>
        <c:axId val="141195224"/>
      </c:lineChart>
      <c:catAx>
        <c:axId val="141194840"/>
        <c:scaling>
          <c:orientation val="minMax"/>
        </c:scaling>
        <c:delete val="0"/>
        <c:axPos val="b"/>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s-ES"/>
          </a:p>
        </c:txPr>
        <c:crossAx val="141195224"/>
        <c:crosses val="autoZero"/>
        <c:auto val="1"/>
        <c:lblAlgn val="ctr"/>
        <c:lblOffset val="100"/>
        <c:noMultiLvlLbl val="0"/>
      </c:catAx>
      <c:valAx>
        <c:axId val="141195224"/>
        <c:scaling>
          <c:orientation val="minMax"/>
        </c:scaling>
        <c:delete val="0"/>
        <c:axPos val="l"/>
        <c:majorGridlines>
          <c:spPr>
            <a:ln w="9525" cap="flat" cmpd="sng" algn="ctr">
              <a:solidFill>
                <a:schemeClr val="tx1">
                  <a:tint val="75000"/>
                  <a:shade val="95000"/>
                  <a:satMod val="105000"/>
                </a:schemeClr>
              </a:solidFill>
              <a:prstDash val="solid"/>
              <a:round/>
            </a:ln>
            <a:effectLst/>
          </c:spPr>
        </c:majorGridlines>
        <c:numFmt formatCode="#,##0"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s-ES"/>
          </a:p>
        </c:txPr>
        <c:crossAx val="141194840"/>
        <c:crosses val="autoZero"/>
        <c:crossBetween val="between"/>
      </c:valAx>
      <c:spPr>
        <a:solidFill>
          <a:schemeClr val="bg1"/>
        </a:solidFill>
        <a:ln>
          <a:noFill/>
        </a:ln>
        <a:effectLst/>
      </c:spPr>
    </c:plotArea>
    <c:legend>
      <c:legendPos val="r"/>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tint val="75000"/>
          <a:shade val="95000"/>
          <a:satMod val="105000"/>
        </a:schemeClr>
      </a:solidFill>
      <a:prstDash val="solid"/>
      <a:round/>
    </a:ln>
    <a:effectLst/>
  </c:spPr>
  <c:txPr>
    <a:bodyPr/>
    <a:lstStyle/>
    <a:p>
      <a:pPr>
        <a:defRPr/>
      </a:pPr>
      <a:endParaRPr lang="es-E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800" b="1" i="0" u="none" strike="noStrike" kern="1200" baseline="0">
                <a:solidFill>
                  <a:schemeClr val="tx1"/>
                </a:solidFill>
                <a:latin typeface="+mn-lt"/>
                <a:ea typeface="+mn-ea"/>
                <a:cs typeface="+mn-cs"/>
              </a:defRPr>
            </a:pPr>
            <a:r>
              <a:rPr lang="es-ES" sz="1200">
                <a:latin typeface="Times New Roman" pitchFamily="18" charset="0"/>
                <a:cs typeface="Times New Roman" pitchFamily="18" charset="0"/>
              </a:rPr>
              <a:t>Gráfico 4. </a:t>
            </a:r>
            <a:r>
              <a:rPr lang="es-ES" sz="1200" b="0">
                <a:latin typeface="Times New Roman" pitchFamily="18" charset="0"/>
                <a:cs typeface="Times New Roman" pitchFamily="18" charset="0"/>
              </a:rPr>
              <a:t>Evolución</a:t>
            </a:r>
            <a:r>
              <a:rPr lang="es-ES" sz="1200" b="0" baseline="0">
                <a:latin typeface="Times New Roman" pitchFamily="18" charset="0"/>
                <a:cs typeface="Times New Roman" pitchFamily="18" charset="0"/>
              </a:rPr>
              <a:t> del Paro en el Sur de Europa desde 2004, en %</a:t>
            </a:r>
            <a:endParaRPr lang="es-ES" sz="1200" b="0">
              <a:latin typeface="Times New Roman" pitchFamily="18" charset="0"/>
              <a:cs typeface="Times New Roman" pitchFamily="18" charset="0"/>
            </a:endParaRPr>
          </a:p>
        </c:rich>
      </c:tx>
      <c:layout/>
      <c:overlay val="0"/>
      <c:spPr>
        <a:noFill/>
        <a:ln>
          <a:noFill/>
        </a:ln>
        <a:effectLst/>
      </c:spPr>
      <c:txPr>
        <a:bodyPr rot="0" spcFirstLastPara="1" vertOverflow="ellipsis" vert="horz" wrap="square" anchor="ctr" anchorCtr="1"/>
        <a:lstStyle/>
        <a:p>
          <a:pPr>
            <a:defRPr sz="1800" b="1" i="0" u="none" strike="noStrike" kern="1200" baseline="0">
              <a:solidFill>
                <a:schemeClr val="tx1"/>
              </a:solidFill>
              <a:latin typeface="+mn-lt"/>
              <a:ea typeface="+mn-ea"/>
              <a:cs typeface="+mn-cs"/>
            </a:defRPr>
          </a:pPr>
          <a:endParaRPr lang="es-ES"/>
        </a:p>
      </c:txPr>
    </c:title>
    <c:autoTitleDeleted val="0"/>
    <c:plotArea>
      <c:layout/>
      <c:lineChart>
        <c:grouping val="standard"/>
        <c:varyColors val="0"/>
        <c:ser>
          <c:idx val="0"/>
          <c:order val="0"/>
          <c:tx>
            <c:strRef>
              <c:f>Hoja1!$B$2</c:f>
              <c:strCache>
                <c:ptCount val="1"/>
                <c:pt idx="0">
                  <c:v>España</c:v>
                </c:pt>
              </c:strCache>
            </c:strRef>
          </c:tx>
          <c:spPr>
            <a:ln w="19050" cap="rnd" cmpd="sng" algn="ctr">
              <a:solidFill>
                <a:schemeClr val="dk1">
                  <a:tint val="88500"/>
                </a:schemeClr>
              </a:solidFill>
              <a:prstDash val="solid"/>
              <a:round/>
            </a:ln>
            <a:effectLst/>
          </c:spPr>
          <c:marker>
            <c:symbol val="none"/>
          </c:marker>
          <c:cat>
            <c:numRef>
              <c:f>Hoja1!$C$1:$L$1</c:f>
              <c:numCache>
                <c:formatCode>General</c:formatCode>
                <c:ptCount val="10"/>
                <c:pt idx="0">
                  <c:v>4</c:v>
                </c:pt>
                <c:pt idx="1">
                  <c:v>5</c:v>
                </c:pt>
                <c:pt idx="2">
                  <c:v>6</c:v>
                </c:pt>
                <c:pt idx="3">
                  <c:v>7</c:v>
                </c:pt>
                <c:pt idx="4">
                  <c:v>8</c:v>
                </c:pt>
                <c:pt idx="5">
                  <c:v>9</c:v>
                </c:pt>
                <c:pt idx="6">
                  <c:v>10</c:v>
                </c:pt>
                <c:pt idx="7">
                  <c:v>11</c:v>
                </c:pt>
                <c:pt idx="8">
                  <c:v>12</c:v>
                </c:pt>
                <c:pt idx="9">
                  <c:v>13</c:v>
                </c:pt>
              </c:numCache>
            </c:numRef>
          </c:cat>
          <c:val>
            <c:numRef>
              <c:f>Hoja1!$C$2:$L$2</c:f>
              <c:numCache>
                <c:formatCode>General</c:formatCode>
                <c:ptCount val="10"/>
                <c:pt idx="0">
                  <c:v>11</c:v>
                </c:pt>
                <c:pt idx="1">
                  <c:v>9.2000000000000011</c:v>
                </c:pt>
                <c:pt idx="2">
                  <c:v>8.5</c:v>
                </c:pt>
                <c:pt idx="3">
                  <c:v>8.2000000000000011</c:v>
                </c:pt>
                <c:pt idx="4">
                  <c:v>11.3</c:v>
                </c:pt>
                <c:pt idx="5">
                  <c:v>17.899999999999999</c:v>
                </c:pt>
                <c:pt idx="6">
                  <c:v>20</c:v>
                </c:pt>
                <c:pt idx="7">
                  <c:v>21.4</c:v>
                </c:pt>
                <c:pt idx="8">
                  <c:v>24.8</c:v>
                </c:pt>
                <c:pt idx="9">
                  <c:v>26.1</c:v>
                </c:pt>
              </c:numCache>
            </c:numRef>
          </c:val>
          <c:smooth val="0"/>
        </c:ser>
        <c:ser>
          <c:idx val="1"/>
          <c:order val="1"/>
          <c:tx>
            <c:strRef>
              <c:f>Hoja1!$B$3</c:f>
              <c:strCache>
                <c:ptCount val="1"/>
                <c:pt idx="0">
                  <c:v>Grecia</c:v>
                </c:pt>
              </c:strCache>
            </c:strRef>
          </c:tx>
          <c:spPr>
            <a:ln w="19050" cap="rnd" cmpd="sng" algn="ctr">
              <a:solidFill>
                <a:schemeClr val="dk1">
                  <a:tint val="55000"/>
                </a:schemeClr>
              </a:solidFill>
              <a:prstDash val="solid"/>
              <a:round/>
            </a:ln>
            <a:effectLst/>
          </c:spPr>
          <c:marker>
            <c:symbol val="none"/>
          </c:marker>
          <c:cat>
            <c:numRef>
              <c:f>Hoja1!$C$1:$L$1</c:f>
              <c:numCache>
                <c:formatCode>General</c:formatCode>
                <c:ptCount val="10"/>
                <c:pt idx="0">
                  <c:v>4</c:v>
                </c:pt>
                <c:pt idx="1">
                  <c:v>5</c:v>
                </c:pt>
                <c:pt idx="2">
                  <c:v>6</c:v>
                </c:pt>
                <c:pt idx="3">
                  <c:v>7</c:v>
                </c:pt>
                <c:pt idx="4">
                  <c:v>8</c:v>
                </c:pt>
                <c:pt idx="5">
                  <c:v>9</c:v>
                </c:pt>
                <c:pt idx="6">
                  <c:v>10</c:v>
                </c:pt>
                <c:pt idx="7">
                  <c:v>11</c:v>
                </c:pt>
                <c:pt idx="8">
                  <c:v>12</c:v>
                </c:pt>
                <c:pt idx="9">
                  <c:v>13</c:v>
                </c:pt>
              </c:numCache>
            </c:numRef>
          </c:cat>
          <c:val>
            <c:numRef>
              <c:f>Hoja1!$C$3:$L$3</c:f>
              <c:numCache>
                <c:formatCode>General</c:formatCode>
                <c:ptCount val="10"/>
                <c:pt idx="0">
                  <c:v>10.8</c:v>
                </c:pt>
                <c:pt idx="1">
                  <c:v>10.1</c:v>
                </c:pt>
                <c:pt idx="2">
                  <c:v>9.1</c:v>
                </c:pt>
                <c:pt idx="3">
                  <c:v>8.5</c:v>
                </c:pt>
                <c:pt idx="4">
                  <c:v>7.9</c:v>
                </c:pt>
                <c:pt idx="5">
                  <c:v>9.7000000000000011</c:v>
                </c:pt>
                <c:pt idx="6">
                  <c:v>12.8</c:v>
                </c:pt>
                <c:pt idx="7">
                  <c:v>17.899999999999999</c:v>
                </c:pt>
                <c:pt idx="8">
                  <c:v>24.3</c:v>
                </c:pt>
                <c:pt idx="9">
                  <c:v>17.3</c:v>
                </c:pt>
              </c:numCache>
            </c:numRef>
          </c:val>
          <c:smooth val="0"/>
        </c:ser>
        <c:ser>
          <c:idx val="2"/>
          <c:order val="2"/>
          <c:tx>
            <c:strRef>
              <c:f>Hoja1!$B$4</c:f>
              <c:strCache>
                <c:ptCount val="1"/>
                <c:pt idx="0">
                  <c:v>Italia</c:v>
                </c:pt>
              </c:strCache>
            </c:strRef>
          </c:tx>
          <c:spPr>
            <a:ln w="19050" cap="rnd" cmpd="sng" algn="ctr">
              <a:solidFill>
                <a:schemeClr val="dk1">
                  <a:tint val="75000"/>
                </a:schemeClr>
              </a:solidFill>
              <a:prstDash val="solid"/>
              <a:round/>
            </a:ln>
            <a:effectLst/>
          </c:spPr>
          <c:marker>
            <c:symbol val="none"/>
          </c:marker>
          <c:cat>
            <c:numRef>
              <c:f>Hoja1!$C$1:$L$1</c:f>
              <c:numCache>
                <c:formatCode>General</c:formatCode>
                <c:ptCount val="10"/>
                <c:pt idx="0">
                  <c:v>4</c:v>
                </c:pt>
                <c:pt idx="1">
                  <c:v>5</c:v>
                </c:pt>
                <c:pt idx="2">
                  <c:v>6</c:v>
                </c:pt>
                <c:pt idx="3">
                  <c:v>7</c:v>
                </c:pt>
                <c:pt idx="4">
                  <c:v>8</c:v>
                </c:pt>
                <c:pt idx="5">
                  <c:v>9</c:v>
                </c:pt>
                <c:pt idx="6">
                  <c:v>10</c:v>
                </c:pt>
                <c:pt idx="7">
                  <c:v>11</c:v>
                </c:pt>
                <c:pt idx="8">
                  <c:v>12</c:v>
                </c:pt>
                <c:pt idx="9">
                  <c:v>13</c:v>
                </c:pt>
              </c:numCache>
            </c:numRef>
          </c:cat>
          <c:val>
            <c:numRef>
              <c:f>Hoja1!$C$4:$L$4</c:f>
              <c:numCache>
                <c:formatCode>General</c:formatCode>
                <c:ptCount val="10"/>
                <c:pt idx="0">
                  <c:v>8</c:v>
                </c:pt>
                <c:pt idx="1">
                  <c:v>7.7</c:v>
                </c:pt>
                <c:pt idx="2">
                  <c:v>6.8</c:v>
                </c:pt>
                <c:pt idx="3">
                  <c:v>6.1</c:v>
                </c:pt>
                <c:pt idx="4">
                  <c:v>6.7</c:v>
                </c:pt>
                <c:pt idx="5">
                  <c:v>7.8</c:v>
                </c:pt>
                <c:pt idx="6">
                  <c:v>8.4</c:v>
                </c:pt>
                <c:pt idx="7">
                  <c:v>8.4</c:v>
                </c:pt>
                <c:pt idx="8">
                  <c:v>10.7</c:v>
                </c:pt>
                <c:pt idx="9">
                  <c:v>12.2</c:v>
                </c:pt>
              </c:numCache>
            </c:numRef>
          </c:val>
          <c:smooth val="0"/>
        </c:ser>
        <c:ser>
          <c:idx val="3"/>
          <c:order val="3"/>
          <c:tx>
            <c:strRef>
              <c:f>Hoja1!$B$5</c:f>
              <c:strCache>
                <c:ptCount val="1"/>
                <c:pt idx="0">
                  <c:v>Portugal</c:v>
                </c:pt>
              </c:strCache>
            </c:strRef>
          </c:tx>
          <c:spPr>
            <a:ln w="19050" cap="rnd" cmpd="sng" algn="ctr">
              <a:solidFill>
                <a:schemeClr val="dk1">
                  <a:tint val="98500"/>
                </a:schemeClr>
              </a:solidFill>
              <a:prstDash val="solid"/>
              <a:round/>
            </a:ln>
            <a:effectLst/>
          </c:spPr>
          <c:marker>
            <c:symbol val="none"/>
          </c:marker>
          <c:cat>
            <c:numRef>
              <c:f>Hoja1!$C$1:$L$1</c:f>
              <c:numCache>
                <c:formatCode>General</c:formatCode>
                <c:ptCount val="10"/>
                <c:pt idx="0">
                  <c:v>4</c:v>
                </c:pt>
                <c:pt idx="1">
                  <c:v>5</c:v>
                </c:pt>
                <c:pt idx="2">
                  <c:v>6</c:v>
                </c:pt>
                <c:pt idx="3">
                  <c:v>7</c:v>
                </c:pt>
                <c:pt idx="4">
                  <c:v>8</c:v>
                </c:pt>
                <c:pt idx="5">
                  <c:v>9</c:v>
                </c:pt>
                <c:pt idx="6">
                  <c:v>10</c:v>
                </c:pt>
                <c:pt idx="7">
                  <c:v>11</c:v>
                </c:pt>
                <c:pt idx="8">
                  <c:v>12</c:v>
                </c:pt>
                <c:pt idx="9">
                  <c:v>13</c:v>
                </c:pt>
              </c:numCache>
            </c:numRef>
          </c:cat>
          <c:val>
            <c:numRef>
              <c:f>Hoja1!$C$5:$L$5</c:f>
              <c:numCache>
                <c:formatCode>General</c:formatCode>
                <c:ptCount val="10"/>
                <c:pt idx="0">
                  <c:v>7.5</c:v>
                </c:pt>
                <c:pt idx="1">
                  <c:v>8.5</c:v>
                </c:pt>
                <c:pt idx="2">
                  <c:v>8.6</c:v>
                </c:pt>
                <c:pt idx="3">
                  <c:v>8.9</c:v>
                </c:pt>
                <c:pt idx="4">
                  <c:v>8.5</c:v>
                </c:pt>
                <c:pt idx="5">
                  <c:v>10.6</c:v>
                </c:pt>
                <c:pt idx="6">
                  <c:v>12</c:v>
                </c:pt>
                <c:pt idx="7">
                  <c:v>12.9</c:v>
                </c:pt>
                <c:pt idx="8">
                  <c:v>15.8</c:v>
                </c:pt>
                <c:pt idx="9">
                  <c:v>16.399999999999999</c:v>
                </c:pt>
              </c:numCache>
            </c:numRef>
          </c:val>
          <c:smooth val="0"/>
        </c:ser>
        <c:dLbls>
          <c:showLegendKey val="0"/>
          <c:showVal val="0"/>
          <c:showCatName val="0"/>
          <c:showSerName val="0"/>
          <c:showPercent val="0"/>
          <c:showBubbleSize val="0"/>
        </c:dLbls>
        <c:smooth val="0"/>
        <c:axId val="141239240"/>
        <c:axId val="141239624"/>
      </c:lineChart>
      <c:catAx>
        <c:axId val="141239240"/>
        <c:scaling>
          <c:orientation val="minMax"/>
        </c:scaling>
        <c:delete val="0"/>
        <c:axPos val="b"/>
        <c:numFmt formatCode="General" sourceLinked="1"/>
        <c:majorTickMark val="none"/>
        <c:minorTickMark val="none"/>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s-ES"/>
          </a:p>
        </c:txPr>
        <c:crossAx val="141239624"/>
        <c:crosses val="autoZero"/>
        <c:auto val="1"/>
        <c:lblAlgn val="ctr"/>
        <c:lblOffset val="100"/>
        <c:noMultiLvlLbl val="0"/>
      </c:catAx>
      <c:valAx>
        <c:axId val="141239624"/>
        <c:scaling>
          <c:orientation val="minMax"/>
        </c:scaling>
        <c:delete val="0"/>
        <c:axPos val="l"/>
        <c:majorGridlines>
          <c:spPr>
            <a:ln w="6350" cap="flat" cmpd="sng" algn="ctr">
              <a:solidFill>
                <a:schemeClr val="tx1">
                  <a:tint val="75000"/>
                </a:schemeClr>
              </a:solidFill>
              <a:prstDash val="solid"/>
              <a:round/>
            </a:ln>
            <a:effectLst/>
          </c:spPr>
        </c:majorGridlines>
        <c:numFmt formatCode="General" sourceLinked="1"/>
        <c:majorTickMark val="none"/>
        <c:minorTickMark val="none"/>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s-ES"/>
          </a:p>
        </c:txPr>
        <c:crossAx val="141239240"/>
        <c:crosses val="autoZero"/>
        <c:crossBetween val="between"/>
      </c:valAx>
      <c:spPr>
        <a:solidFill>
          <a:schemeClr val="bg1"/>
        </a:solidFill>
        <a:ln>
          <a:noFill/>
        </a:ln>
        <a:effectLst/>
      </c:spPr>
    </c:plotArea>
    <c:legend>
      <c:legendPos val="r"/>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s-ES"/>
        </a:p>
      </c:txPr>
    </c:legend>
    <c:plotVisOnly val="1"/>
    <c:dispBlanksAs val="gap"/>
    <c:showDLblsOverMax val="0"/>
  </c:chart>
  <c:spPr>
    <a:solidFill>
      <a:schemeClr val="bg1"/>
    </a:solidFill>
    <a:ln w="6350" cap="flat" cmpd="sng" algn="ctr">
      <a:solidFill>
        <a:schemeClr val="tx1">
          <a:tint val="75000"/>
        </a:schemeClr>
      </a:solidFill>
      <a:prstDash val="solid"/>
      <a:round/>
    </a:ln>
    <a:effectLst/>
  </c:spPr>
  <c:txPr>
    <a:bodyPr/>
    <a:lstStyle/>
    <a:p>
      <a:pPr>
        <a:defRPr/>
      </a:pPr>
      <a:endParaRPr lang="es-E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a:lstStyle/>
          <a:p>
            <a:pPr>
              <a:defRPr/>
            </a:pPr>
            <a:r>
              <a:rPr lang="es-ES" sz="1200" b="1">
                <a:latin typeface="Times New Roman" pitchFamily="18" charset="0"/>
                <a:cs typeface="Times New Roman" pitchFamily="18" charset="0"/>
              </a:rPr>
              <a:t>Gráfico 5</a:t>
            </a:r>
            <a:r>
              <a:rPr lang="es-ES" sz="1200" b="0">
                <a:latin typeface="Times New Roman" pitchFamily="18" charset="0"/>
                <a:cs typeface="Times New Roman" pitchFamily="18" charset="0"/>
              </a:rPr>
              <a:t>. Evolución</a:t>
            </a:r>
            <a:r>
              <a:rPr lang="es-ES" sz="1200" b="0" baseline="0">
                <a:latin typeface="Times New Roman" pitchFamily="18" charset="0"/>
                <a:cs typeface="Times New Roman" pitchFamily="18" charset="0"/>
              </a:rPr>
              <a:t> del interés en el Sur de Europa, 2002-12</a:t>
            </a:r>
            <a:endParaRPr lang="es-ES" sz="1200" b="0">
              <a:latin typeface="Times New Roman" pitchFamily="18" charset="0"/>
              <a:cs typeface="Times New Roman" pitchFamily="18" charset="0"/>
            </a:endParaRPr>
          </a:p>
        </c:rich>
      </c:tx>
      <c:layout/>
      <c:overlay val="0"/>
    </c:title>
    <c:autoTitleDeleted val="0"/>
    <c:plotArea>
      <c:layout/>
      <c:lineChart>
        <c:grouping val="standard"/>
        <c:varyColors val="0"/>
        <c:ser>
          <c:idx val="0"/>
          <c:order val="0"/>
          <c:tx>
            <c:strRef>
              <c:f>Hoja1!$B$4</c:f>
              <c:strCache>
                <c:ptCount val="1"/>
                <c:pt idx="0">
                  <c:v>España</c:v>
                </c:pt>
              </c:strCache>
            </c:strRef>
          </c:tx>
          <c:cat>
            <c:numRef>
              <c:f>Hoja1!$C$3:$G$3</c:f>
              <c:numCache>
                <c:formatCode>General</c:formatCode>
                <c:ptCount val="5"/>
                <c:pt idx="0">
                  <c:v>2002</c:v>
                </c:pt>
                <c:pt idx="1">
                  <c:v>2004</c:v>
                </c:pt>
                <c:pt idx="2">
                  <c:v>2008</c:v>
                </c:pt>
                <c:pt idx="3">
                  <c:v>2010</c:v>
                </c:pt>
                <c:pt idx="4">
                  <c:v>2012</c:v>
                </c:pt>
              </c:numCache>
            </c:numRef>
          </c:cat>
          <c:val>
            <c:numRef>
              <c:f>Hoja1!$C$4:$G$4</c:f>
              <c:numCache>
                <c:formatCode>General</c:formatCode>
                <c:ptCount val="5"/>
                <c:pt idx="0">
                  <c:v>22</c:v>
                </c:pt>
                <c:pt idx="1">
                  <c:v>29</c:v>
                </c:pt>
                <c:pt idx="2">
                  <c:v>26</c:v>
                </c:pt>
                <c:pt idx="3">
                  <c:v>29</c:v>
                </c:pt>
                <c:pt idx="4">
                  <c:v>35</c:v>
                </c:pt>
              </c:numCache>
            </c:numRef>
          </c:val>
          <c:smooth val="0"/>
        </c:ser>
        <c:ser>
          <c:idx val="1"/>
          <c:order val="1"/>
          <c:tx>
            <c:strRef>
              <c:f>Hoja1!$B$5</c:f>
              <c:strCache>
                <c:ptCount val="1"/>
                <c:pt idx="0">
                  <c:v>Grecia</c:v>
                </c:pt>
              </c:strCache>
            </c:strRef>
          </c:tx>
          <c:cat>
            <c:numRef>
              <c:f>Hoja1!$C$3:$G$3</c:f>
              <c:numCache>
                <c:formatCode>General</c:formatCode>
                <c:ptCount val="5"/>
                <c:pt idx="0">
                  <c:v>2002</c:v>
                </c:pt>
                <c:pt idx="1">
                  <c:v>2004</c:v>
                </c:pt>
                <c:pt idx="2">
                  <c:v>2008</c:v>
                </c:pt>
                <c:pt idx="3">
                  <c:v>2010</c:v>
                </c:pt>
                <c:pt idx="4">
                  <c:v>2012</c:v>
                </c:pt>
              </c:numCache>
            </c:numRef>
          </c:cat>
          <c:val>
            <c:numRef>
              <c:f>Hoja1!$C$5:$G$5</c:f>
              <c:numCache>
                <c:formatCode>General</c:formatCode>
                <c:ptCount val="5"/>
                <c:pt idx="0">
                  <c:v>32</c:v>
                </c:pt>
                <c:pt idx="1">
                  <c:v>33</c:v>
                </c:pt>
                <c:pt idx="2">
                  <c:v>30</c:v>
                </c:pt>
                <c:pt idx="3">
                  <c:v>30</c:v>
                </c:pt>
              </c:numCache>
            </c:numRef>
          </c:val>
          <c:smooth val="0"/>
        </c:ser>
        <c:ser>
          <c:idx val="2"/>
          <c:order val="2"/>
          <c:tx>
            <c:strRef>
              <c:f>Hoja1!$B$6</c:f>
              <c:strCache>
                <c:ptCount val="1"/>
                <c:pt idx="0">
                  <c:v>Italia</c:v>
                </c:pt>
              </c:strCache>
            </c:strRef>
          </c:tx>
          <c:trendline>
            <c:spPr>
              <a:ln w="28575"/>
            </c:spPr>
            <c:trendlineType val="linear"/>
            <c:dispRSqr val="0"/>
            <c:dispEq val="0"/>
          </c:trendline>
          <c:cat>
            <c:numRef>
              <c:f>Hoja1!$C$3:$G$3</c:f>
              <c:numCache>
                <c:formatCode>General</c:formatCode>
                <c:ptCount val="5"/>
                <c:pt idx="0">
                  <c:v>2002</c:v>
                </c:pt>
                <c:pt idx="1">
                  <c:v>2004</c:v>
                </c:pt>
                <c:pt idx="2">
                  <c:v>2008</c:v>
                </c:pt>
                <c:pt idx="3">
                  <c:v>2010</c:v>
                </c:pt>
                <c:pt idx="4">
                  <c:v>2012</c:v>
                </c:pt>
              </c:numCache>
            </c:numRef>
          </c:cat>
          <c:val>
            <c:numRef>
              <c:f>Hoja1!$C$6:$G$6</c:f>
              <c:numCache>
                <c:formatCode>General</c:formatCode>
                <c:ptCount val="5"/>
                <c:pt idx="0">
                  <c:v>34</c:v>
                </c:pt>
                <c:pt idx="4">
                  <c:v>49</c:v>
                </c:pt>
              </c:numCache>
            </c:numRef>
          </c:val>
          <c:smooth val="0"/>
        </c:ser>
        <c:ser>
          <c:idx val="3"/>
          <c:order val="3"/>
          <c:tx>
            <c:strRef>
              <c:f>Hoja1!$B$7</c:f>
              <c:strCache>
                <c:ptCount val="1"/>
                <c:pt idx="0">
                  <c:v>Portugal</c:v>
                </c:pt>
              </c:strCache>
            </c:strRef>
          </c:tx>
          <c:cat>
            <c:numRef>
              <c:f>Hoja1!$C$3:$G$3</c:f>
              <c:numCache>
                <c:formatCode>General</c:formatCode>
                <c:ptCount val="5"/>
                <c:pt idx="0">
                  <c:v>2002</c:v>
                </c:pt>
                <c:pt idx="1">
                  <c:v>2004</c:v>
                </c:pt>
                <c:pt idx="2">
                  <c:v>2008</c:v>
                </c:pt>
                <c:pt idx="3">
                  <c:v>2010</c:v>
                </c:pt>
                <c:pt idx="4">
                  <c:v>2012</c:v>
                </c:pt>
              </c:numCache>
            </c:numRef>
          </c:cat>
          <c:val>
            <c:numRef>
              <c:f>Hoja1!$C$7:$G$7</c:f>
              <c:numCache>
                <c:formatCode>General</c:formatCode>
                <c:ptCount val="5"/>
                <c:pt idx="0">
                  <c:v>38</c:v>
                </c:pt>
                <c:pt idx="1">
                  <c:v>30</c:v>
                </c:pt>
                <c:pt idx="2">
                  <c:v>30</c:v>
                </c:pt>
                <c:pt idx="3">
                  <c:v>30</c:v>
                </c:pt>
                <c:pt idx="4">
                  <c:v>30</c:v>
                </c:pt>
              </c:numCache>
            </c:numRef>
          </c:val>
          <c:smooth val="0"/>
        </c:ser>
        <c:dLbls>
          <c:showLegendKey val="0"/>
          <c:showVal val="0"/>
          <c:showCatName val="0"/>
          <c:showSerName val="0"/>
          <c:showPercent val="0"/>
          <c:showBubbleSize val="0"/>
        </c:dLbls>
        <c:marker val="1"/>
        <c:smooth val="0"/>
        <c:axId val="139236040"/>
        <c:axId val="139236432"/>
      </c:lineChart>
      <c:catAx>
        <c:axId val="139236040"/>
        <c:scaling>
          <c:orientation val="minMax"/>
        </c:scaling>
        <c:delete val="0"/>
        <c:axPos val="b"/>
        <c:numFmt formatCode="General" sourceLinked="1"/>
        <c:majorTickMark val="none"/>
        <c:minorTickMark val="none"/>
        <c:tickLblPos val="nextTo"/>
        <c:crossAx val="139236432"/>
        <c:crosses val="autoZero"/>
        <c:auto val="1"/>
        <c:lblAlgn val="ctr"/>
        <c:lblOffset val="100"/>
        <c:noMultiLvlLbl val="0"/>
      </c:catAx>
      <c:valAx>
        <c:axId val="139236432"/>
        <c:scaling>
          <c:orientation val="minMax"/>
        </c:scaling>
        <c:delete val="0"/>
        <c:axPos val="l"/>
        <c:majorGridlines/>
        <c:title>
          <c:layout/>
          <c:overlay val="0"/>
        </c:title>
        <c:numFmt formatCode="General" sourceLinked="1"/>
        <c:majorTickMark val="none"/>
        <c:minorTickMark val="none"/>
        <c:tickLblPos val="nextTo"/>
        <c:crossAx val="139236040"/>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 sz="1200" b="1">
                <a:solidFill>
                  <a:sysClr val="windowText" lastClr="000000"/>
                </a:solidFill>
                <a:latin typeface="Times New Roman" panose="02020603050405020304" pitchFamily="18" charset="0"/>
                <a:cs typeface="Times New Roman" panose="02020603050405020304" pitchFamily="18" charset="0"/>
              </a:rPr>
              <a:t>Gráfico 6. </a:t>
            </a:r>
            <a:r>
              <a:rPr lang="es-ES" sz="1200">
                <a:solidFill>
                  <a:sysClr val="windowText" lastClr="000000"/>
                </a:solidFill>
                <a:latin typeface="Times New Roman" panose="02020603050405020304" pitchFamily="18" charset="0"/>
                <a:cs typeface="Times New Roman" panose="02020603050405020304" pitchFamily="18" charset="0"/>
              </a:rPr>
              <a:t>Asistencia a manifestaciones en el Sur de Europa, </a:t>
            </a:r>
          </a:p>
          <a:p>
            <a:pPr>
              <a:defRPr sz="1400" b="0" i="0" u="none" strike="noStrike" kern="1200" spc="0" baseline="0">
                <a:solidFill>
                  <a:schemeClr val="tx1">
                    <a:lumMod val="65000"/>
                    <a:lumOff val="35000"/>
                  </a:schemeClr>
                </a:solidFill>
                <a:latin typeface="+mn-lt"/>
                <a:ea typeface="+mn-ea"/>
                <a:cs typeface="+mn-cs"/>
              </a:defRPr>
            </a:pPr>
            <a:r>
              <a:rPr lang="es-ES" sz="1200">
                <a:solidFill>
                  <a:sysClr val="windowText" lastClr="000000"/>
                </a:solidFill>
                <a:latin typeface="Times New Roman" panose="02020603050405020304" pitchFamily="18" charset="0"/>
                <a:cs typeface="Times New Roman" panose="02020603050405020304" pitchFamily="18" charset="0"/>
              </a:rPr>
              <a:t>2002-2012</a:t>
            </a:r>
          </a:p>
        </c:rich>
      </c:tx>
      <c:layout/>
      <c:overlay val="0"/>
      <c:spPr>
        <a:noFill/>
        <a:ln>
          <a:noFill/>
        </a:ln>
        <a:effectLst/>
      </c:spPr>
    </c:title>
    <c:autoTitleDeleted val="0"/>
    <c:plotArea>
      <c:layout/>
      <c:barChart>
        <c:barDir val="col"/>
        <c:grouping val="clustered"/>
        <c:varyColors val="0"/>
        <c:ser>
          <c:idx val="0"/>
          <c:order val="0"/>
          <c:tx>
            <c:strRef>
              <c:f>Hoja1!$A$2</c:f>
              <c:strCache>
                <c:ptCount val="1"/>
                <c:pt idx="0">
                  <c:v>España</c:v>
                </c:pt>
              </c:strCache>
            </c:strRef>
          </c:tx>
          <c:spPr>
            <a:ln w="28575" cap="rnd">
              <a:solidFill>
                <a:schemeClr val="dk1">
                  <a:tint val="885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Hoja1!$B$1:$E$1</c:f>
              <c:numCache>
                <c:formatCode>General</c:formatCode>
                <c:ptCount val="4"/>
                <c:pt idx="0">
                  <c:v>2002</c:v>
                </c:pt>
                <c:pt idx="1">
                  <c:v>2004</c:v>
                </c:pt>
                <c:pt idx="2">
                  <c:v>2008</c:v>
                </c:pt>
                <c:pt idx="3">
                  <c:v>2012</c:v>
                </c:pt>
              </c:numCache>
            </c:numRef>
          </c:cat>
          <c:val>
            <c:numRef>
              <c:f>Hoja1!$B$2:$E$2</c:f>
              <c:numCache>
                <c:formatCode>General</c:formatCode>
                <c:ptCount val="4"/>
                <c:pt idx="0">
                  <c:v>16</c:v>
                </c:pt>
                <c:pt idx="1">
                  <c:v>33</c:v>
                </c:pt>
                <c:pt idx="2">
                  <c:v>16</c:v>
                </c:pt>
                <c:pt idx="3">
                  <c:v>26</c:v>
                </c:pt>
              </c:numCache>
            </c:numRef>
          </c:val>
        </c:ser>
        <c:ser>
          <c:idx val="1"/>
          <c:order val="1"/>
          <c:tx>
            <c:strRef>
              <c:f>Hoja1!$A$3</c:f>
              <c:strCache>
                <c:ptCount val="1"/>
                <c:pt idx="0">
                  <c:v>Grecia</c:v>
                </c:pt>
              </c:strCache>
            </c:strRef>
          </c:tx>
          <c:spPr>
            <a:ln w="28575" cap="rnd">
              <a:solidFill>
                <a:schemeClr val="dk1">
                  <a:tint val="5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Hoja1!$B$1:$E$1</c:f>
              <c:numCache>
                <c:formatCode>General</c:formatCode>
                <c:ptCount val="4"/>
                <c:pt idx="0">
                  <c:v>2002</c:v>
                </c:pt>
                <c:pt idx="1">
                  <c:v>2004</c:v>
                </c:pt>
                <c:pt idx="2">
                  <c:v>2008</c:v>
                </c:pt>
                <c:pt idx="3">
                  <c:v>2012</c:v>
                </c:pt>
              </c:numCache>
            </c:numRef>
          </c:cat>
          <c:val>
            <c:numRef>
              <c:f>Hoja1!$B$3:$E$3</c:f>
              <c:numCache>
                <c:formatCode>General</c:formatCode>
                <c:ptCount val="4"/>
                <c:pt idx="0">
                  <c:v>4</c:v>
                </c:pt>
                <c:pt idx="1">
                  <c:v>5</c:v>
                </c:pt>
                <c:pt idx="2">
                  <c:v>6</c:v>
                </c:pt>
              </c:numCache>
            </c:numRef>
          </c:val>
        </c:ser>
        <c:ser>
          <c:idx val="2"/>
          <c:order val="2"/>
          <c:tx>
            <c:strRef>
              <c:f>Hoja1!$A$4</c:f>
              <c:strCache>
                <c:ptCount val="1"/>
                <c:pt idx="0">
                  <c:v>Italia</c:v>
                </c:pt>
              </c:strCache>
            </c:strRef>
          </c:tx>
          <c:spPr>
            <a:ln w="28575" cap="rnd">
              <a:solidFill>
                <a:schemeClr val="dk1">
                  <a:tint val="7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Hoja1!$B$1:$E$1</c:f>
              <c:numCache>
                <c:formatCode>General</c:formatCode>
                <c:ptCount val="4"/>
                <c:pt idx="0">
                  <c:v>2002</c:v>
                </c:pt>
                <c:pt idx="1">
                  <c:v>2004</c:v>
                </c:pt>
                <c:pt idx="2">
                  <c:v>2008</c:v>
                </c:pt>
                <c:pt idx="3">
                  <c:v>2012</c:v>
                </c:pt>
              </c:numCache>
            </c:numRef>
          </c:cat>
          <c:val>
            <c:numRef>
              <c:f>Hoja1!$B$4:$E$4</c:f>
              <c:numCache>
                <c:formatCode>General</c:formatCode>
                <c:ptCount val="4"/>
                <c:pt idx="0">
                  <c:v>11</c:v>
                </c:pt>
                <c:pt idx="1">
                  <c:v>12</c:v>
                </c:pt>
                <c:pt idx="3">
                  <c:v>16</c:v>
                </c:pt>
              </c:numCache>
            </c:numRef>
          </c:val>
        </c:ser>
        <c:ser>
          <c:idx val="3"/>
          <c:order val="3"/>
          <c:tx>
            <c:strRef>
              <c:f>Hoja1!$A$5</c:f>
              <c:strCache>
                <c:ptCount val="1"/>
                <c:pt idx="0">
                  <c:v>Portugal</c:v>
                </c:pt>
              </c:strCache>
            </c:strRef>
          </c:tx>
          <c:spPr>
            <a:ln w="28575" cap="rnd">
              <a:solidFill>
                <a:schemeClr val="dk1">
                  <a:tint val="985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Hoja1!$B$1:$E$1</c:f>
              <c:numCache>
                <c:formatCode>General</c:formatCode>
                <c:ptCount val="4"/>
                <c:pt idx="0">
                  <c:v>2002</c:v>
                </c:pt>
                <c:pt idx="1">
                  <c:v>2004</c:v>
                </c:pt>
                <c:pt idx="2">
                  <c:v>2008</c:v>
                </c:pt>
                <c:pt idx="3">
                  <c:v>2012</c:v>
                </c:pt>
              </c:numCache>
            </c:numRef>
          </c:cat>
          <c:val>
            <c:numRef>
              <c:f>Hoja1!$B$5:$E$5</c:f>
              <c:numCache>
                <c:formatCode>General</c:formatCode>
                <c:ptCount val="4"/>
                <c:pt idx="0">
                  <c:v>4</c:v>
                </c:pt>
                <c:pt idx="1">
                  <c:v>3.5</c:v>
                </c:pt>
                <c:pt idx="2">
                  <c:v>3.7</c:v>
                </c:pt>
                <c:pt idx="3">
                  <c:v>7</c:v>
                </c:pt>
              </c:numCache>
            </c:numRef>
          </c:val>
        </c:ser>
        <c:dLbls>
          <c:showLegendKey val="0"/>
          <c:showVal val="1"/>
          <c:showCatName val="0"/>
          <c:showSerName val="0"/>
          <c:showPercent val="0"/>
          <c:showBubbleSize val="0"/>
        </c:dLbls>
        <c:gapWidth val="150"/>
        <c:axId val="141333480"/>
        <c:axId val="141333872"/>
      </c:barChart>
      <c:catAx>
        <c:axId val="141333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41333872"/>
        <c:crosses val="autoZero"/>
        <c:auto val="1"/>
        <c:lblAlgn val="ctr"/>
        <c:lblOffset val="100"/>
        <c:noMultiLvlLbl val="0"/>
      </c:catAx>
      <c:valAx>
        <c:axId val="1413338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4133348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800" b="1" i="0" u="none" strike="noStrike" kern="1200" baseline="0">
                <a:solidFill>
                  <a:schemeClr val="tx1"/>
                </a:solidFill>
                <a:latin typeface="+mn-lt"/>
                <a:ea typeface="+mn-ea"/>
                <a:cs typeface="+mn-cs"/>
              </a:defRPr>
            </a:pPr>
            <a:r>
              <a:rPr lang="es-ES" sz="1200" b="1">
                <a:solidFill>
                  <a:sysClr val="windowText" lastClr="000000"/>
                </a:solidFill>
                <a:latin typeface="Times New Roman" pitchFamily="18" charset="0"/>
                <a:cs typeface="Times New Roman" pitchFamily="18" charset="0"/>
              </a:rPr>
              <a:t>Gráfico 7</a:t>
            </a:r>
            <a:r>
              <a:rPr lang="es-ES" sz="1200" b="0">
                <a:latin typeface="Times New Roman" pitchFamily="18" charset="0"/>
                <a:cs typeface="Times New Roman" pitchFamily="18" charset="0"/>
              </a:rPr>
              <a:t>. Perfil</a:t>
            </a:r>
            <a:r>
              <a:rPr lang="es-ES" sz="1200" b="0" baseline="0">
                <a:latin typeface="Times New Roman" pitchFamily="18" charset="0"/>
                <a:cs typeface="Times New Roman" pitchFamily="18" charset="0"/>
              </a:rPr>
              <a:t> de los abstencionistas en el Sur de Eurpa, 2002, en %</a:t>
            </a:r>
            <a:endParaRPr lang="es-ES" sz="1200" b="0">
              <a:latin typeface="Times New Roman" pitchFamily="18" charset="0"/>
              <a:cs typeface="Times New Roman" pitchFamily="18" charset="0"/>
            </a:endParaRPr>
          </a:p>
        </c:rich>
      </c:tx>
      <c:layout/>
      <c:overlay val="0"/>
      <c:spPr>
        <a:noFill/>
        <a:ln>
          <a:noFill/>
        </a:ln>
        <a:effectLst/>
      </c:spPr>
      <c:txPr>
        <a:bodyPr rot="0" spcFirstLastPara="1" vertOverflow="ellipsis" vert="horz" wrap="square" anchor="ctr" anchorCtr="1"/>
        <a:lstStyle/>
        <a:p>
          <a:pPr>
            <a:defRPr sz="1800" b="1" i="0" u="none" strike="noStrike" kern="1200" baseline="0">
              <a:solidFill>
                <a:schemeClr val="tx1"/>
              </a:solidFill>
              <a:latin typeface="+mn-lt"/>
              <a:ea typeface="+mn-ea"/>
              <a:cs typeface="+mn-cs"/>
            </a:defRPr>
          </a:pPr>
          <a:endParaRPr lang="es-ES"/>
        </a:p>
      </c:txPr>
    </c:title>
    <c:autoTitleDeleted val="0"/>
    <c:plotArea>
      <c:layout/>
      <c:barChart>
        <c:barDir val="col"/>
        <c:grouping val="clustered"/>
        <c:varyColors val="0"/>
        <c:ser>
          <c:idx val="0"/>
          <c:order val="0"/>
          <c:tx>
            <c:strRef>
              <c:f>Hoja1!$A$2</c:f>
              <c:strCache>
                <c:ptCount val="1"/>
                <c:pt idx="0">
                  <c:v>Cívicos</c:v>
                </c:pt>
              </c:strCache>
            </c:strRef>
          </c:tx>
          <c:spPr>
            <a:solidFill>
              <a:schemeClr val="accent3">
                <a:shade val="58000"/>
              </a:schemeClr>
            </a:solidFill>
            <a:ln>
              <a:noFill/>
            </a:ln>
            <a:effectLst/>
          </c:spPr>
          <c:invertIfNegative val="0"/>
          <c:cat>
            <c:strRef>
              <c:f>Hoja1!$B$1:$E$1</c:f>
              <c:strCache>
                <c:ptCount val="4"/>
                <c:pt idx="0">
                  <c:v>Italia</c:v>
                </c:pt>
                <c:pt idx="1">
                  <c:v>Grecia</c:v>
                </c:pt>
                <c:pt idx="2">
                  <c:v>Portugal </c:v>
                </c:pt>
                <c:pt idx="3">
                  <c:v>España</c:v>
                </c:pt>
              </c:strCache>
            </c:strRef>
          </c:cat>
          <c:val>
            <c:numRef>
              <c:f>Hoja1!$B$2:$E$2</c:f>
              <c:numCache>
                <c:formatCode>General</c:formatCode>
                <c:ptCount val="4"/>
                <c:pt idx="0">
                  <c:v>11</c:v>
                </c:pt>
                <c:pt idx="1">
                  <c:v>21</c:v>
                </c:pt>
                <c:pt idx="2">
                  <c:v>10</c:v>
                </c:pt>
                <c:pt idx="3">
                  <c:v>9</c:v>
                </c:pt>
              </c:numCache>
            </c:numRef>
          </c:val>
        </c:ser>
        <c:ser>
          <c:idx val="1"/>
          <c:order val="1"/>
          <c:tx>
            <c:strRef>
              <c:f>Hoja1!$A$3</c:f>
              <c:strCache>
                <c:ptCount val="1"/>
                <c:pt idx="0">
                  <c:v>Críticos</c:v>
                </c:pt>
              </c:strCache>
            </c:strRef>
          </c:tx>
          <c:spPr>
            <a:solidFill>
              <a:schemeClr val="accent3">
                <a:shade val="86000"/>
              </a:schemeClr>
            </a:solidFill>
            <a:ln>
              <a:noFill/>
            </a:ln>
            <a:effectLst/>
          </c:spPr>
          <c:invertIfNegative val="0"/>
          <c:cat>
            <c:strRef>
              <c:f>Hoja1!$B$1:$E$1</c:f>
              <c:strCache>
                <c:ptCount val="4"/>
                <c:pt idx="0">
                  <c:v>Italia</c:v>
                </c:pt>
                <c:pt idx="1">
                  <c:v>Grecia</c:v>
                </c:pt>
                <c:pt idx="2">
                  <c:v>Portugal </c:v>
                </c:pt>
                <c:pt idx="3">
                  <c:v>España</c:v>
                </c:pt>
              </c:strCache>
            </c:strRef>
          </c:cat>
          <c:val>
            <c:numRef>
              <c:f>Hoja1!$B$3:$E$3</c:f>
              <c:numCache>
                <c:formatCode>General</c:formatCode>
                <c:ptCount val="4"/>
                <c:pt idx="0">
                  <c:v>7</c:v>
                </c:pt>
                <c:pt idx="1">
                  <c:v>12</c:v>
                </c:pt>
                <c:pt idx="2">
                  <c:v>14</c:v>
                </c:pt>
                <c:pt idx="3">
                  <c:v>6</c:v>
                </c:pt>
              </c:numCache>
            </c:numRef>
          </c:val>
        </c:ser>
        <c:ser>
          <c:idx val="2"/>
          <c:order val="2"/>
          <c:tx>
            <c:strRef>
              <c:f>Hoja1!$A$4</c:f>
              <c:strCache>
                <c:ptCount val="1"/>
                <c:pt idx="0">
                  <c:v>Desafectos</c:v>
                </c:pt>
              </c:strCache>
            </c:strRef>
          </c:tx>
          <c:spPr>
            <a:solidFill>
              <a:schemeClr val="accent3">
                <a:tint val="86000"/>
              </a:schemeClr>
            </a:solidFill>
            <a:ln>
              <a:noFill/>
            </a:ln>
            <a:effectLst/>
          </c:spPr>
          <c:invertIfNegative val="0"/>
          <c:cat>
            <c:strRef>
              <c:f>Hoja1!$B$1:$E$1</c:f>
              <c:strCache>
                <c:ptCount val="4"/>
                <c:pt idx="0">
                  <c:v>Italia</c:v>
                </c:pt>
                <c:pt idx="1">
                  <c:v>Grecia</c:v>
                </c:pt>
                <c:pt idx="2">
                  <c:v>Portugal </c:v>
                </c:pt>
                <c:pt idx="3">
                  <c:v>España</c:v>
                </c:pt>
              </c:strCache>
            </c:strRef>
          </c:cat>
          <c:val>
            <c:numRef>
              <c:f>Hoja1!$B$4:$E$4</c:f>
              <c:numCache>
                <c:formatCode>General</c:formatCode>
                <c:ptCount val="4"/>
                <c:pt idx="0">
                  <c:v>41</c:v>
                </c:pt>
                <c:pt idx="1">
                  <c:v>29</c:v>
                </c:pt>
                <c:pt idx="2">
                  <c:v>45</c:v>
                </c:pt>
                <c:pt idx="3">
                  <c:v>35</c:v>
                </c:pt>
              </c:numCache>
            </c:numRef>
          </c:val>
        </c:ser>
        <c:ser>
          <c:idx val="3"/>
          <c:order val="3"/>
          <c:tx>
            <c:strRef>
              <c:f>Hoja1!$A$5</c:f>
              <c:strCache>
                <c:ptCount val="1"/>
                <c:pt idx="0">
                  <c:v>Deferentes</c:v>
                </c:pt>
              </c:strCache>
            </c:strRef>
          </c:tx>
          <c:spPr>
            <a:solidFill>
              <a:schemeClr val="accent3">
                <a:tint val="58000"/>
              </a:schemeClr>
            </a:solidFill>
            <a:ln>
              <a:noFill/>
            </a:ln>
            <a:effectLst/>
          </c:spPr>
          <c:invertIfNegative val="0"/>
          <c:cat>
            <c:strRef>
              <c:f>Hoja1!$B$1:$E$1</c:f>
              <c:strCache>
                <c:ptCount val="4"/>
                <c:pt idx="0">
                  <c:v>Italia</c:v>
                </c:pt>
                <c:pt idx="1">
                  <c:v>Grecia</c:v>
                </c:pt>
                <c:pt idx="2">
                  <c:v>Portugal </c:v>
                </c:pt>
                <c:pt idx="3">
                  <c:v>España</c:v>
                </c:pt>
              </c:strCache>
            </c:strRef>
          </c:cat>
          <c:val>
            <c:numRef>
              <c:f>Hoja1!$B$5:$E$5</c:f>
              <c:numCache>
                <c:formatCode>General</c:formatCode>
                <c:ptCount val="4"/>
                <c:pt idx="0">
                  <c:v>41</c:v>
                </c:pt>
                <c:pt idx="1">
                  <c:v>39</c:v>
                </c:pt>
                <c:pt idx="2">
                  <c:v>31</c:v>
                </c:pt>
                <c:pt idx="3">
                  <c:v>50</c:v>
                </c:pt>
              </c:numCache>
            </c:numRef>
          </c:val>
        </c:ser>
        <c:dLbls>
          <c:showLegendKey val="0"/>
          <c:showVal val="0"/>
          <c:showCatName val="0"/>
          <c:showSerName val="0"/>
          <c:showPercent val="0"/>
          <c:showBubbleSize val="0"/>
        </c:dLbls>
        <c:gapWidth val="150"/>
        <c:axId val="141334656"/>
        <c:axId val="141335048"/>
      </c:barChart>
      <c:catAx>
        <c:axId val="141334656"/>
        <c:scaling>
          <c:orientation val="minMax"/>
        </c:scaling>
        <c:delete val="0"/>
        <c:axPos val="b"/>
        <c:numFmt formatCode="General" sourceLinked="0"/>
        <c:majorTickMark val="none"/>
        <c:minorTickMark val="none"/>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s-ES"/>
          </a:p>
        </c:txPr>
        <c:crossAx val="141335048"/>
        <c:crosses val="autoZero"/>
        <c:auto val="1"/>
        <c:lblAlgn val="ctr"/>
        <c:lblOffset val="100"/>
        <c:noMultiLvlLbl val="0"/>
      </c:catAx>
      <c:valAx>
        <c:axId val="141335048"/>
        <c:scaling>
          <c:orientation val="minMax"/>
        </c:scaling>
        <c:delete val="0"/>
        <c:axPos val="l"/>
        <c:majorGridlines>
          <c:spPr>
            <a:ln w="6350" cap="flat" cmpd="sng" algn="ctr">
              <a:solidFill>
                <a:schemeClr val="tx1">
                  <a:tint val="75000"/>
                </a:schemeClr>
              </a:solidFill>
              <a:prstDash val="solid"/>
              <a:round/>
            </a:ln>
            <a:effectLst/>
          </c:spPr>
        </c:majorGridlines>
        <c:numFmt formatCode="General" sourceLinked="1"/>
        <c:majorTickMark val="none"/>
        <c:minorTickMark val="none"/>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s-ES"/>
          </a:p>
        </c:txPr>
        <c:crossAx val="141334656"/>
        <c:crosses val="autoZero"/>
        <c:crossBetween val="between"/>
      </c:valAx>
      <c:spPr>
        <a:solidFill>
          <a:schemeClr val="bg1"/>
        </a:solidFill>
        <a:ln>
          <a:noFill/>
        </a:ln>
        <a:effectLst/>
      </c:spPr>
    </c:plotArea>
    <c:legend>
      <c:legendPos val="r"/>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s-ES"/>
        </a:p>
      </c:txPr>
    </c:legend>
    <c:plotVisOnly val="1"/>
    <c:dispBlanksAs val="gap"/>
    <c:showDLblsOverMax val="0"/>
  </c:chart>
  <c:spPr>
    <a:solidFill>
      <a:schemeClr val="bg1"/>
    </a:solidFill>
    <a:ln w="6350" cap="flat" cmpd="sng" algn="ctr">
      <a:solidFill>
        <a:schemeClr val="tx1">
          <a:tint val="75000"/>
        </a:schemeClr>
      </a:solidFill>
      <a:prstDash val="solid"/>
      <a:round/>
    </a:ln>
    <a:effectLst/>
  </c:spPr>
  <c:txPr>
    <a:bodyPr/>
    <a:lstStyle/>
    <a:p>
      <a:pPr>
        <a:defRPr/>
      </a:pPr>
      <a:endParaRPr lang="es-E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800" b="1" i="0" u="none" strike="noStrike" kern="1200" baseline="0">
                <a:solidFill>
                  <a:schemeClr val="tx1"/>
                </a:solidFill>
                <a:latin typeface="+mn-lt"/>
                <a:ea typeface="+mn-ea"/>
                <a:cs typeface="+mn-cs"/>
              </a:defRPr>
            </a:pPr>
            <a:r>
              <a:rPr lang="es-ES" sz="1200" b="1">
                <a:solidFill>
                  <a:sysClr val="windowText" lastClr="000000"/>
                </a:solidFill>
                <a:latin typeface="Times New Roman" pitchFamily="18" charset="0"/>
                <a:cs typeface="Times New Roman" pitchFamily="18" charset="0"/>
              </a:rPr>
              <a:t>Gráfico 8. </a:t>
            </a:r>
            <a:r>
              <a:rPr lang="es-ES" sz="1200" b="0">
                <a:latin typeface="Times New Roman" pitchFamily="18" charset="0"/>
                <a:cs typeface="Times New Roman" pitchFamily="18" charset="0"/>
              </a:rPr>
              <a:t>Perfil</a:t>
            </a:r>
            <a:r>
              <a:rPr lang="es-ES" sz="1200" b="0" baseline="0">
                <a:latin typeface="Times New Roman" pitchFamily="18" charset="0"/>
                <a:cs typeface="Times New Roman" pitchFamily="18" charset="0"/>
              </a:rPr>
              <a:t> de los abstencionistas en el Sur de Europa en 2012, en %</a:t>
            </a:r>
            <a:endParaRPr lang="es-ES" sz="1200" b="0">
              <a:latin typeface="Times New Roman" pitchFamily="18" charset="0"/>
              <a:cs typeface="Times New Roman" pitchFamily="18" charset="0"/>
            </a:endParaRPr>
          </a:p>
        </c:rich>
      </c:tx>
      <c:layout/>
      <c:overlay val="0"/>
      <c:spPr>
        <a:noFill/>
        <a:ln>
          <a:noFill/>
        </a:ln>
        <a:effectLst/>
      </c:spPr>
      <c:txPr>
        <a:bodyPr rot="0" spcFirstLastPara="1" vertOverflow="ellipsis" vert="horz" wrap="square" anchor="ctr" anchorCtr="1"/>
        <a:lstStyle/>
        <a:p>
          <a:pPr>
            <a:defRPr sz="1800" b="1" i="0" u="none" strike="noStrike" kern="1200" baseline="0">
              <a:solidFill>
                <a:schemeClr val="tx1"/>
              </a:solidFill>
              <a:latin typeface="+mn-lt"/>
              <a:ea typeface="+mn-ea"/>
              <a:cs typeface="+mn-cs"/>
            </a:defRPr>
          </a:pPr>
          <a:endParaRPr lang="es-ES"/>
        </a:p>
      </c:txPr>
    </c:title>
    <c:autoTitleDeleted val="0"/>
    <c:plotArea>
      <c:layout/>
      <c:barChart>
        <c:barDir val="col"/>
        <c:grouping val="clustered"/>
        <c:varyColors val="0"/>
        <c:ser>
          <c:idx val="0"/>
          <c:order val="0"/>
          <c:tx>
            <c:strRef>
              <c:f>Hoja2!$A$2</c:f>
              <c:strCache>
                <c:ptCount val="1"/>
                <c:pt idx="0">
                  <c:v>Cívicos</c:v>
                </c:pt>
              </c:strCache>
            </c:strRef>
          </c:tx>
          <c:spPr>
            <a:solidFill>
              <a:schemeClr val="accent3">
                <a:shade val="58000"/>
              </a:schemeClr>
            </a:solidFill>
            <a:ln>
              <a:noFill/>
            </a:ln>
            <a:effectLst/>
          </c:spPr>
          <c:invertIfNegative val="0"/>
          <c:cat>
            <c:strRef>
              <c:f>Hoja2!$B$1:$E$1</c:f>
              <c:strCache>
                <c:ptCount val="4"/>
                <c:pt idx="0">
                  <c:v>Italia</c:v>
                </c:pt>
                <c:pt idx="1">
                  <c:v>Grecia</c:v>
                </c:pt>
                <c:pt idx="2">
                  <c:v>Portugal </c:v>
                </c:pt>
                <c:pt idx="3">
                  <c:v>España</c:v>
                </c:pt>
              </c:strCache>
            </c:strRef>
          </c:cat>
          <c:val>
            <c:numRef>
              <c:f>Hoja2!$B$2:$E$2</c:f>
              <c:numCache>
                <c:formatCode>General</c:formatCode>
                <c:ptCount val="4"/>
                <c:pt idx="0">
                  <c:v>8</c:v>
                </c:pt>
                <c:pt idx="1">
                  <c:v>5</c:v>
                </c:pt>
                <c:pt idx="2">
                  <c:v>5</c:v>
                </c:pt>
                <c:pt idx="3">
                  <c:v>8</c:v>
                </c:pt>
              </c:numCache>
            </c:numRef>
          </c:val>
        </c:ser>
        <c:ser>
          <c:idx val="1"/>
          <c:order val="1"/>
          <c:tx>
            <c:strRef>
              <c:f>Hoja2!$A$3</c:f>
              <c:strCache>
                <c:ptCount val="1"/>
                <c:pt idx="0">
                  <c:v>Críticos</c:v>
                </c:pt>
              </c:strCache>
            </c:strRef>
          </c:tx>
          <c:spPr>
            <a:solidFill>
              <a:schemeClr val="accent3">
                <a:shade val="86000"/>
              </a:schemeClr>
            </a:solidFill>
            <a:ln>
              <a:noFill/>
            </a:ln>
            <a:effectLst/>
          </c:spPr>
          <c:invertIfNegative val="0"/>
          <c:cat>
            <c:strRef>
              <c:f>Hoja2!$B$1:$E$1</c:f>
              <c:strCache>
                <c:ptCount val="4"/>
                <c:pt idx="0">
                  <c:v>Italia</c:v>
                </c:pt>
                <c:pt idx="1">
                  <c:v>Grecia</c:v>
                </c:pt>
                <c:pt idx="2">
                  <c:v>Portugal </c:v>
                </c:pt>
                <c:pt idx="3">
                  <c:v>España</c:v>
                </c:pt>
              </c:strCache>
            </c:strRef>
          </c:cat>
          <c:val>
            <c:numRef>
              <c:f>Hoja2!$B$3:$E$3</c:f>
              <c:numCache>
                <c:formatCode>General</c:formatCode>
                <c:ptCount val="4"/>
                <c:pt idx="0">
                  <c:v>13</c:v>
                </c:pt>
                <c:pt idx="1">
                  <c:v>16</c:v>
                </c:pt>
                <c:pt idx="2">
                  <c:v>13</c:v>
                </c:pt>
                <c:pt idx="3">
                  <c:v>14</c:v>
                </c:pt>
              </c:numCache>
            </c:numRef>
          </c:val>
        </c:ser>
        <c:ser>
          <c:idx val="2"/>
          <c:order val="2"/>
          <c:tx>
            <c:strRef>
              <c:f>Hoja2!$A$4</c:f>
              <c:strCache>
                <c:ptCount val="1"/>
                <c:pt idx="0">
                  <c:v>Desafectos</c:v>
                </c:pt>
              </c:strCache>
            </c:strRef>
          </c:tx>
          <c:spPr>
            <a:solidFill>
              <a:schemeClr val="accent3">
                <a:tint val="86000"/>
              </a:schemeClr>
            </a:solidFill>
            <a:ln>
              <a:noFill/>
            </a:ln>
            <a:effectLst/>
          </c:spPr>
          <c:invertIfNegative val="0"/>
          <c:cat>
            <c:strRef>
              <c:f>Hoja2!$B$1:$E$1</c:f>
              <c:strCache>
                <c:ptCount val="4"/>
                <c:pt idx="0">
                  <c:v>Italia</c:v>
                </c:pt>
                <c:pt idx="1">
                  <c:v>Grecia</c:v>
                </c:pt>
                <c:pt idx="2">
                  <c:v>Portugal </c:v>
                </c:pt>
                <c:pt idx="3">
                  <c:v>España</c:v>
                </c:pt>
              </c:strCache>
            </c:strRef>
          </c:cat>
          <c:val>
            <c:numRef>
              <c:f>Hoja2!$B$4:$E$4</c:f>
              <c:numCache>
                <c:formatCode>General</c:formatCode>
                <c:ptCount val="4"/>
                <c:pt idx="0">
                  <c:v>66</c:v>
                </c:pt>
                <c:pt idx="1">
                  <c:v>70</c:v>
                </c:pt>
                <c:pt idx="2">
                  <c:v>72</c:v>
                </c:pt>
                <c:pt idx="3">
                  <c:v>52</c:v>
                </c:pt>
              </c:numCache>
            </c:numRef>
          </c:val>
        </c:ser>
        <c:ser>
          <c:idx val="3"/>
          <c:order val="3"/>
          <c:tx>
            <c:strRef>
              <c:f>Hoja2!$A$5</c:f>
              <c:strCache>
                <c:ptCount val="1"/>
                <c:pt idx="0">
                  <c:v>Deferentes</c:v>
                </c:pt>
              </c:strCache>
            </c:strRef>
          </c:tx>
          <c:spPr>
            <a:solidFill>
              <a:schemeClr val="accent3">
                <a:tint val="58000"/>
              </a:schemeClr>
            </a:solidFill>
            <a:ln>
              <a:noFill/>
            </a:ln>
            <a:effectLst/>
          </c:spPr>
          <c:invertIfNegative val="0"/>
          <c:cat>
            <c:strRef>
              <c:f>Hoja2!$B$1:$E$1</c:f>
              <c:strCache>
                <c:ptCount val="4"/>
                <c:pt idx="0">
                  <c:v>Italia</c:v>
                </c:pt>
                <c:pt idx="1">
                  <c:v>Grecia</c:v>
                </c:pt>
                <c:pt idx="2">
                  <c:v>Portugal </c:v>
                </c:pt>
                <c:pt idx="3">
                  <c:v>España</c:v>
                </c:pt>
              </c:strCache>
            </c:strRef>
          </c:cat>
          <c:val>
            <c:numRef>
              <c:f>Hoja2!$B$5:$E$5</c:f>
              <c:numCache>
                <c:formatCode>General</c:formatCode>
                <c:ptCount val="4"/>
                <c:pt idx="0">
                  <c:v>13</c:v>
                </c:pt>
                <c:pt idx="1">
                  <c:v>9</c:v>
                </c:pt>
                <c:pt idx="2">
                  <c:v>10</c:v>
                </c:pt>
                <c:pt idx="3">
                  <c:v>26</c:v>
                </c:pt>
              </c:numCache>
            </c:numRef>
          </c:val>
        </c:ser>
        <c:dLbls>
          <c:showLegendKey val="0"/>
          <c:showVal val="0"/>
          <c:showCatName val="0"/>
          <c:showSerName val="0"/>
          <c:showPercent val="0"/>
          <c:showBubbleSize val="0"/>
        </c:dLbls>
        <c:gapWidth val="150"/>
        <c:axId val="139235648"/>
        <c:axId val="141335832"/>
      </c:barChart>
      <c:catAx>
        <c:axId val="139235648"/>
        <c:scaling>
          <c:orientation val="minMax"/>
        </c:scaling>
        <c:delete val="0"/>
        <c:axPos val="b"/>
        <c:numFmt formatCode="General" sourceLinked="0"/>
        <c:majorTickMark val="none"/>
        <c:minorTickMark val="none"/>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s-ES"/>
          </a:p>
        </c:txPr>
        <c:crossAx val="141335832"/>
        <c:crosses val="autoZero"/>
        <c:auto val="1"/>
        <c:lblAlgn val="ctr"/>
        <c:lblOffset val="100"/>
        <c:noMultiLvlLbl val="0"/>
      </c:catAx>
      <c:valAx>
        <c:axId val="141335832"/>
        <c:scaling>
          <c:orientation val="minMax"/>
        </c:scaling>
        <c:delete val="0"/>
        <c:axPos val="l"/>
        <c:majorGridlines>
          <c:spPr>
            <a:ln w="6350" cap="flat" cmpd="sng" algn="ctr">
              <a:solidFill>
                <a:schemeClr val="tx1">
                  <a:tint val="75000"/>
                </a:schemeClr>
              </a:solidFill>
              <a:prstDash val="solid"/>
              <a:round/>
            </a:ln>
            <a:effectLst/>
          </c:spPr>
        </c:majorGridlines>
        <c:numFmt formatCode="General" sourceLinked="1"/>
        <c:majorTickMark val="none"/>
        <c:minorTickMark val="none"/>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s-ES"/>
          </a:p>
        </c:txPr>
        <c:crossAx val="139235648"/>
        <c:crosses val="autoZero"/>
        <c:crossBetween val="between"/>
      </c:valAx>
      <c:spPr>
        <a:solidFill>
          <a:schemeClr val="bg1"/>
        </a:solidFill>
        <a:ln>
          <a:noFill/>
        </a:ln>
        <a:effectLst/>
      </c:spPr>
    </c:plotArea>
    <c:legend>
      <c:legendPos val="r"/>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s-ES"/>
        </a:p>
      </c:txPr>
    </c:legend>
    <c:plotVisOnly val="1"/>
    <c:dispBlanksAs val="gap"/>
    <c:showDLblsOverMax val="0"/>
  </c:chart>
  <c:spPr>
    <a:solidFill>
      <a:schemeClr val="bg1"/>
    </a:solidFill>
    <a:ln w="6350" cap="flat" cmpd="sng" algn="ctr">
      <a:solidFill>
        <a:schemeClr val="tx1">
          <a:tint val="75000"/>
        </a:schemeClr>
      </a:solidFill>
      <a:prstDash val="solid"/>
      <a:round/>
    </a:ln>
    <a:effectLst/>
  </c:spPr>
  <c:txPr>
    <a:bodyPr/>
    <a:lstStyle/>
    <a:p>
      <a:pPr>
        <a:defRPr/>
      </a:pPr>
      <a:endParaRPr lang="es-E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 sz="1200" b="1">
                <a:latin typeface="Times New Roman" panose="02020603050405020304" pitchFamily="18" charset="0"/>
                <a:cs typeface="Times New Roman" panose="02020603050405020304" pitchFamily="18" charset="0"/>
              </a:rPr>
              <a:t>Gráfico 10</a:t>
            </a:r>
            <a:r>
              <a:rPr lang="es-ES" sz="1200">
                <a:latin typeface="Times New Roman" panose="02020603050405020304" pitchFamily="18" charset="0"/>
                <a:cs typeface="Times New Roman" panose="02020603050405020304" pitchFamily="18" charset="0"/>
              </a:rPr>
              <a:t>. Asistencia a manifestaciones</a:t>
            </a:r>
            <a:r>
              <a:rPr lang="es-ES" sz="1200" baseline="0">
                <a:latin typeface="Times New Roman" panose="02020603050405020304" pitchFamily="18" charset="0"/>
                <a:cs typeface="Times New Roman" panose="02020603050405020304" pitchFamily="18" charset="0"/>
              </a:rPr>
              <a:t> entre los abstencionistas críticos en el Sur de Europa, 2002-2012.</a:t>
            </a:r>
            <a:endParaRPr lang="es-ES" sz="1200">
              <a:latin typeface="Times New Roman" panose="02020603050405020304" pitchFamily="18" charset="0"/>
              <a:cs typeface="Times New Roman" panose="02020603050405020304" pitchFamily="18" charset="0"/>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barChart>
        <c:barDir val="col"/>
        <c:grouping val="clustered"/>
        <c:varyColors val="0"/>
        <c:ser>
          <c:idx val="0"/>
          <c:order val="0"/>
          <c:tx>
            <c:strRef>
              <c:f>Hoja1!$J$3</c:f>
              <c:strCache>
                <c:ptCount val="1"/>
                <c:pt idx="0">
                  <c:v>2002</c:v>
                </c:pt>
              </c:strCache>
            </c:strRef>
          </c:tx>
          <c:spPr>
            <a:solidFill>
              <a:schemeClr val="dk1">
                <a:tint val="88500"/>
              </a:schemeClr>
            </a:solidFill>
            <a:ln>
              <a:noFill/>
            </a:ln>
            <a:effectLst/>
          </c:spPr>
          <c:invertIfNegative val="0"/>
          <c:cat>
            <c:strRef>
              <c:f>Hoja1!$I$4:$I$7</c:f>
              <c:strCache>
                <c:ptCount val="4"/>
                <c:pt idx="0">
                  <c:v>Grecia</c:v>
                </c:pt>
                <c:pt idx="1">
                  <c:v>Italia </c:v>
                </c:pt>
                <c:pt idx="2">
                  <c:v>Portugal </c:v>
                </c:pt>
                <c:pt idx="3">
                  <c:v>España</c:v>
                </c:pt>
              </c:strCache>
            </c:strRef>
          </c:cat>
          <c:val>
            <c:numRef>
              <c:f>Hoja1!$J$4:$J$7</c:f>
              <c:numCache>
                <c:formatCode>General</c:formatCode>
                <c:ptCount val="4"/>
                <c:pt idx="0">
                  <c:v>5</c:v>
                </c:pt>
                <c:pt idx="1">
                  <c:v>13</c:v>
                </c:pt>
                <c:pt idx="2">
                  <c:v>2</c:v>
                </c:pt>
                <c:pt idx="3">
                  <c:v>41</c:v>
                </c:pt>
              </c:numCache>
            </c:numRef>
          </c:val>
        </c:ser>
        <c:ser>
          <c:idx val="1"/>
          <c:order val="1"/>
          <c:tx>
            <c:strRef>
              <c:f>Hoja1!$K$3</c:f>
              <c:strCache>
                <c:ptCount val="1"/>
                <c:pt idx="0">
                  <c:v>2012</c:v>
                </c:pt>
              </c:strCache>
            </c:strRef>
          </c:tx>
          <c:spPr>
            <a:solidFill>
              <a:schemeClr val="dk1">
                <a:tint val="55000"/>
              </a:schemeClr>
            </a:solidFill>
            <a:ln>
              <a:noFill/>
            </a:ln>
            <a:effectLst/>
          </c:spPr>
          <c:invertIfNegative val="0"/>
          <c:cat>
            <c:strRef>
              <c:f>Hoja1!$I$4:$I$7</c:f>
              <c:strCache>
                <c:ptCount val="4"/>
                <c:pt idx="0">
                  <c:v>Grecia</c:v>
                </c:pt>
                <c:pt idx="1">
                  <c:v>Italia </c:v>
                </c:pt>
                <c:pt idx="2">
                  <c:v>Portugal </c:v>
                </c:pt>
                <c:pt idx="3">
                  <c:v>España</c:v>
                </c:pt>
              </c:strCache>
            </c:strRef>
          </c:cat>
          <c:val>
            <c:numRef>
              <c:f>Hoja1!$K$4:$K$7</c:f>
              <c:numCache>
                <c:formatCode>General</c:formatCode>
                <c:ptCount val="4"/>
                <c:pt idx="0">
                  <c:v>13</c:v>
                </c:pt>
                <c:pt idx="1">
                  <c:v>18</c:v>
                </c:pt>
                <c:pt idx="2">
                  <c:v>11</c:v>
                </c:pt>
                <c:pt idx="3">
                  <c:v>44</c:v>
                </c:pt>
              </c:numCache>
            </c:numRef>
          </c:val>
        </c:ser>
        <c:ser>
          <c:idx val="2"/>
          <c:order val="2"/>
          <c:tx>
            <c:strRef>
              <c:f>Hoja1!$L$3</c:f>
              <c:strCache>
                <c:ptCount val="1"/>
              </c:strCache>
            </c:strRef>
          </c:tx>
          <c:spPr>
            <a:solidFill>
              <a:schemeClr val="dk1">
                <a:tint val="75000"/>
              </a:schemeClr>
            </a:solidFill>
            <a:ln>
              <a:noFill/>
            </a:ln>
            <a:effectLst/>
          </c:spPr>
          <c:invertIfNegative val="0"/>
          <c:cat>
            <c:strRef>
              <c:f>Hoja1!$I$4:$I$7</c:f>
              <c:strCache>
                <c:ptCount val="4"/>
                <c:pt idx="0">
                  <c:v>Grecia</c:v>
                </c:pt>
                <c:pt idx="1">
                  <c:v>Italia </c:v>
                </c:pt>
                <c:pt idx="2">
                  <c:v>Portugal </c:v>
                </c:pt>
                <c:pt idx="3">
                  <c:v>España</c:v>
                </c:pt>
              </c:strCache>
            </c:strRef>
          </c:cat>
          <c:val>
            <c:numRef>
              <c:f>Hoja1!$L$4:$L$7</c:f>
              <c:numCache>
                <c:formatCode>General</c:formatCode>
                <c:ptCount val="4"/>
              </c:numCache>
            </c:numRef>
          </c:val>
        </c:ser>
        <c:dLbls>
          <c:showLegendKey val="0"/>
          <c:showVal val="0"/>
          <c:showCatName val="0"/>
          <c:showSerName val="0"/>
          <c:showPercent val="0"/>
          <c:showBubbleSize val="0"/>
        </c:dLbls>
        <c:gapWidth val="219"/>
        <c:overlap val="-27"/>
        <c:axId val="141336616"/>
        <c:axId val="141975208"/>
      </c:barChart>
      <c:catAx>
        <c:axId val="141336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41975208"/>
        <c:crosses val="autoZero"/>
        <c:auto val="1"/>
        <c:lblAlgn val="ctr"/>
        <c:lblOffset val="100"/>
        <c:noMultiLvlLbl val="0"/>
      </c:catAx>
      <c:valAx>
        <c:axId val="1419752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4133661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6">
  <a:schemeClr val="accent3"/>
</cs:colorStyle>
</file>

<file path=word/charts/colors2.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3.xml><?xml version="1.0" encoding="utf-8"?>
<cs:colorStyle xmlns:cs="http://schemas.microsoft.com/office/drawing/2012/chartStyle" xmlns:a="http://schemas.openxmlformats.org/drawingml/2006/main" meth="withinLinear" id="16">
  <a:schemeClr val="accent3"/>
</cs:colorStyle>
</file>

<file path=word/charts/colors4.xml><?xml version="1.0" encoding="utf-8"?>
<cs:colorStyle xmlns:cs="http://schemas.microsoft.com/office/drawing/2012/chartStyle" xmlns:a="http://schemas.openxmlformats.org/drawingml/2006/main" meth="withinLinear" id="16">
  <a:schemeClr val="accent3"/>
</cs:colorStyle>
</file>

<file path=word/charts/colors5.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C99C08BDBF04686A73831BFE1B2B7D0"/>
        <w:category>
          <w:name w:val="General"/>
          <w:gallery w:val="placeholder"/>
        </w:category>
        <w:types>
          <w:type w:val="bbPlcHdr"/>
        </w:types>
        <w:behaviors>
          <w:behavior w:val="content"/>
        </w:behaviors>
        <w:guid w:val="{859BA31A-C0AF-405D-A3DA-CB21B2BA8813}"/>
      </w:docPartPr>
      <w:docPartBody>
        <w:p w:rsidR="00A215CB" w:rsidRDefault="007029EF" w:rsidP="007029EF">
          <w:pPr>
            <w:pStyle w:val="5C99C08BDBF04686A73831BFE1B2B7D0"/>
          </w:pPr>
          <w:r>
            <w:rPr>
              <w:color w:val="7F7F7F" w:themeColor="text1" w:themeTint="80"/>
            </w:rPr>
            <w:t>[Título del documento]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DejaVu Sans">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82E"/>
    <w:rsid w:val="0054382E"/>
    <w:rsid w:val="007029EF"/>
    <w:rsid w:val="00A215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28CD1FAB2D54FCCA9A3E427685109CA">
    <w:name w:val="D28CD1FAB2D54FCCA9A3E427685109CA"/>
    <w:rsid w:val="0054382E"/>
  </w:style>
  <w:style w:type="paragraph" w:customStyle="1" w:styleId="6B408D42D16F460DB8CC0DE6FFE25ACF">
    <w:name w:val="6B408D42D16F460DB8CC0DE6FFE25ACF"/>
    <w:rsid w:val="0054382E"/>
  </w:style>
  <w:style w:type="paragraph" w:customStyle="1" w:styleId="5C99C08BDBF04686A73831BFE1B2B7D0">
    <w:name w:val="5C99C08BDBF04686A73831BFE1B2B7D0"/>
    <w:rsid w:val="007029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XII Congreso AECPA, 2015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39979C1-7341-4B79-9136-33FB3FE00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31</Pages>
  <Words>8060</Words>
  <Characters>44331</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Rocío Alarcón Rasero. Crisis y Descontento. XII Congreso AECPA, 2015</vt:lpstr>
    </vt:vector>
  </TitlesOfParts>
  <Company/>
  <LinksUpToDate>false</LinksUpToDate>
  <CharactersWithSpaces>52287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Rocío Alarcón Rasero. Crisis y Descontento. XII Congreso AECPA, 2015</dc:title>
  <dc:subject/>
  <dc:creator>Investigacion Maria</dc:creator>
  <cp:keywords/>
  <dc:description/>
  <cp:lastModifiedBy>Investigacion Maria</cp:lastModifiedBy>
  <cp:revision>43</cp:revision>
  <dcterms:created xsi:type="dcterms:W3CDTF">2015-06-03T09:18:00Z</dcterms:created>
  <dcterms:modified xsi:type="dcterms:W3CDTF">2015-06-22T08:05:00Z</dcterms:modified>
</cp:coreProperties>
</file>