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EA2" w:rsidRPr="00FD4EA2" w:rsidRDefault="00FD4EA2" w:rsidP="00FD4EA2">
      <w:pPr>
        <w:pStyle w:val="Ttulo2"/>
        <w:jc w:val="center"/>
        <w:rPr>
          <w:rFonts w:ascii="Times New Roman" w:eastAsia="Times New Roman" w:hAnsi="Times New Roman" w:cs="Times New Roman"/>
          <w:b/>
          <w:smallCaps/>
          <w:color w:val="auto"/>
          <w:sz w:val="32"/>
          <w:szCs w:val="28"/>
        </w:rPr>
      </w:pPr>
      <w:r w:rsidRPr="00FD4EA2">
        <w:rPr>
          <w:rFonts w:ascii="Times New Roman" w:eastAsia="Times New Roman" w:hAnsi="Times New Roman" w:cs="Times New Roman"/>
          <w:b/>
          <w:smallCaps/>
          <w:color w:val="auto"/>
          <w:sz w:val="32"/>
          <w:szCs w:val="28"/>
        </w:rPr>
        <w:t xml:space="preserve">La emergencia frente a la dominación. </w:t>
      </w:r>
    </w:p>
    <w:p w:rsidR="00FD4EA2" w:rsidRPr="00FD4EA2" w:rsidRDefault="00FD4EA2" w:rsidP="00FD4EA2">
      <w:pPr>
        <w:pStyle w:val="Ttulo2"/>
        <w:jc w:val="center"/>
        <w:rPr>
          <w:color w:val="auto"/>
          <w:sz w:val="28"/>
        </w:rPr>
      </w:pPr>
      <w:r w:rsidRPr="00FD4EA2">
        <w:rPr>
          <w:rFonts w:ascii="Times New Roman" w:eastAsia="Times New Roman" w:hAnsi="Times New Roman" w:cs="Times New Roman"/>
          <w:b/>
          <w:smallCaps/>
          <w:color w:val="auto"/>
          <w:sz w:val="28"/>
          <w:szCs w:val="28"/>
        </w:rPr>
        <w:t>Una crítica al feminismo cultural</w:t>
      </w:r>
    </w:p>
    <w:p w:rsidR="00FD4EA2" w:rsidRDefault="00FD4EA2" w:rsidP="004E0B2F">
      <w:pPr>
        <w:pStyle w:val="Ttulo2"/>
        <w:jc w:val="both"/>
        <w:rPr>
          <w:rFonts w:ascii="Times New Roman" w:eastAsia="Times New Roman" w:hAnsi="Times New Roman" w:cs="Times New Roman"/>
          <w:b/>
          <w:smallCaps/>
          <w:color w:val="auto"/>
          <w:sz w:val="28"/>
          <w:szCs w:val="28"/>
        </w:rPr>
      </w:pPr>
    </w:p>
    <w:p w:rsidR="00FD4EA2" w:rsidRDefault="00FD4EA2" w:rsidP="004E0B2F">
      <w:pPr>
        <w:pStyle w:val="Ttulo2"/>
        <w:jc w:val="both"/>
        <w:rPr>
          <w:rFonts w:ascii="Times New Roman" w:eastAsia="Times New Roman" w:hAnsi="Times New Roman" w:cs="Times New Roman"/>
          <w:b/>
          <w:smallCaps/>
          <w:color w:val="auto"/>
          <w:sz w:val="28"/>
          <w:szCs w:val="28"/>
        </w:rPr>
      </w:pPr>
    </w:p>
    <w:p w:rsidR="00FD4EA2" w:rsidRDefault="00FD4EA2" w:rsidP="00FD4EA2">
      <w:pPr>
        <w:pStyle w:val="Ttulo2"/>
        <w:jc w:val="center"/>
        <w:rPr>
          <w:rFonts w:ascii="Times New Roman" w:eastAsia="Times New Roman" w:hAnsi="Times New Roman" w:cs="Times New Roman"/>
          <w:smallCaps/>
          <w:color w:val="auto"/>
          <w:sz w:val="24"/>
          <w:szCs w:val="28"/>
        </w:rPr>
      </w:pPr>
      <w:r w:rsidRPr="00FD4EA2">
        <w:rPr>
          <w:rFonts w:ascii="Times New Roman" w:eastAsia="Times New Roman" w:hAnsi="Times New Roman" w:cs="Times New Roman"/>
          <w:smallCaps/>
          <w:color w:val="auto"/>
          <w:sz w:val="24"/>
          <w:szCs w:val="28"/>
        </w:rPr>
        <w:t>Francisco Camas García</w:t>
      </w:r>
    </w:p>
    <w:p w:rsidR="00FD4EA2" w:rsidRDefault="00FD4EA2" w:rsidP="00FD4EA2"/>
    <w:p w:rsidR="00FD4EA2" w:rsidRDefault="00FD4EA2" w:rsidP="00FD4EA2">
      <w:pPr>
        <w:jc w:val="center"/>
        <w:rPr>
          <w:rFonts w:ascii="Times New Roman" w:hAnsi="Times New Roman" w:cs="Times New Roman"/>
        </w:rPr>
      </w:pPr>
      <w:r w:rsidRPr="00FD4EA2">
        <w:rPr>
          <w:rFonts w:ascii="Times New Roman" w:hAnsi="Times New Roman" w:cs="Times New Roman"/>
        </w:rPr>
        <w:t>Universidad de Granada</w:t>
      </w:r>
    </w:p>
    <w:p w:rsidR="00FD4EA2" w:rsidRDefault="00D11A77" w:rsidP="00FD4EA2">
      <w:pPr>
        <w:jc w:val="center"/>
        <w:rPr>
          <w:rFonts w:ascii="Times New Roman" w:hAnsi="Times New Roman" w:cs="Times New Roman"/>
        </w:rPr>
      </w:pPr>
      <w:hyperlink r:id="rId7" w:history="1">
        <w:r w:rsidR="00FD4EA2" w:rsidRPr="00B546C7">
          <w:rPr>
            <w:rStyle w:val="Hipervnculo"/>
            <w:rFonts w:ascii="Times New Roman" w:hAnsi="Times New Roman" w:cs="Times New Roman"/>
          </w:rPr>
          <w:t>fcamasgarcia@gmail.com</w:t>
        </w:r>
      </w:hyperlink>
    </w:p>
    <w:p w:rsidR="00FD4EA2" w:rsidRDefault="00FD4EA2" w:rsidP="00FD4EA2">
      <w:pPr>
        <w:jc w:val="center"/>
        <w:rPr>
          <w:rFonts w:ascii="Times New Roman" w:hAnsi="Times New Roman" w:cs="Times New Roman"/>
        </w:rPr>
      </w:pPr>
    </w:p>
    <w:p w:rsidR="00FD4EA2" w:rsidRDefault="00FD4EA2" w:rsidP="00FD4EA2">
      <w:pPr>
        <w:jc w:val="center"/>
        <w:rPr>
          <w:rFonts w:ascii="Times New Roman" w:hAnsi="Times New Roman" w:cs="Times New Roman"/>
        </w:rPr>
      </w:pPr>
    </w:p>
    <w:p w:rsidR="00FD4EA2" w:rsidRPr="00FD4EA2" w:rsidRDefault="00FD4EA2" w:rsidP="00FD4EA2">
      <w:pPr>
        <w:jc w:val="center"/>
        <w:rPr>
          <w:rFonts w:ascii="Times New Roman" w:hAnsi="Times New Roman" w:cs="Times New Roman"/>
          <w:b/>
          <w:smallCaps/>
          <w:sz w:val="24"/>
          <w:szCs w:val="18"/>
          <w:shd w:val="clear" w:color="auto" w:fill="FFFFFF"/>
        </w:rPr>
      </w:pPr>
      <w:r w:rsidRPr="00FD4EA2">
        <w:rPr>
          <w:rFonts w:ascii="Times New Roman" w:hAnsi="Times New Roman" w:cs="Times New Roman"/>
          <w:b/>
          <w:smallCaps/>
          <w:sz w:val="24"/>
          <w:szCs w:val="18"/>
          <w:shd w:val="clear" w:color="auto" w:fill="FFFFFF"/>
        </w:rPr>
        <w:t>Resumen</w:t>
      </w:r>
    </w:p>
    <w:p w:rsidR="00FD4EA2" w:rsidRDefault="00FD4EA2" w:rsidP="00FD4EA2">
      <w:pPr>
        <w:jc w:val="both"/>
        <w:rPr>
          <w:rFonts w:ascii="Times New Roman" w:hAnsi="Times New Roman" w:cs="Times New Roman"/>
          <w:sz w:val="24"/>
          <w:szCs w:val="18"/>
          <w:shd w:val="clear" w:color="auto" w:fill="FFFFFF"/>
        </w:rPr>
      </w:pPr>
      <w:r w:rsidRPr="00FD4EA2">
        <w:rPr>
          <w:rFonts w:ascii="Times New Roman" w:hAnsi="Times New Roman" w:cs="Times New Roman"/>
          <w:sz w:val="24"/>
          <w:szCs w:val="18"/>
          <w:shd w:val="clear" w:color="auto" w:fill="FFFFFF"/>
        </w:rPr>
        <w:t>Esta comunicación aborda una aproximación teórica a la igualdad de género desde una óptica novedosa: los modelos emergentes. Se trata de una perspectiva teórica y analítica que permite estudiar el surgimiento de la igualdad de género con un enfoque crítico y plural en las sociedades democráticas contemporáneas. A través de su contraposición con la perspectiva de la dominación masculina, sostenida fundamentalmente por el denominado feminismo cultural, esta ponencia propone </w:t>
      </w:r>
      <w:r w:rsidR="002869EF">
        <w:rPr>
          <w:rFonts w:ascii="Times New Roman" w:hAnsi="Times New Roman" w:cs="Times New Roman"/>
          <w:sz w:val="24"/>
          <w:szCs w:val="18"/>
          <w:shd w:val="clear" w:color="auto" w:fill="FFFFFF"/>
        </w:rPr>
        <w:t>una perspectiva abierta de las identidades para la construcción de la ciudadanía democrática</w:t>
      </w:r>
      <w:r w:rsidRPr="00FD4EA2">
        <w:rPr>
          <w:rFonts w:ascii="Times New Roman" w:hAnsi="Times New Roman" w:cs="Times New Roman"/>
          <w:sz w:val="24"/>
          <w:szCs w:val="18"/>
          <w:shd w:val="clear" w:color="auto" w:fill="FFFFFF"/>
        </w:rPr>
        <w:t>.</w:t>
      </w:r>
    </w:p>
    <w:p w:rsidR="00FD4EA2" w:rsidRDefault="00FD4EA2" w:rsidP="00FD4EA2">
      <w:pPr>
        <w:jc w:val="center"/>
        <w:rPr>
          <w:rFonts w:ascii="Times New Roman" w:hAnsi="Times New Roman" w:cs="Times New Roman"/>
          <w:b/>
          <w:smallCaps/>
          <w:sz w:val="24"/>
          <w:szCs w:val="18"/>
          <w:shd w:val="clear" w:color="auto" w:fill="FFFFFF"/>
        </w:rPr>
      </w:pPr>
    </w:p>
    <w:p w:rsidR="00FD4EA2" w:rsidRDefault="00FD4EA2" w:rsidP="00FD4EA2">
      <w:pPr>
        <w:jc w:val="center"/>
        <w:rPr>
          <w:rFonts w:ascii="Times New Roman" w:hAnsi="Times New Roman" w:cs="Times New Roman"/>
          <w:b/>
          <w:smallCaps/>
          <w:sz w:val="24"/>
          <w:szCs w:val="18"/>
          <w:shd w:val="clear" w:color="auto" w:fill="FFFFFF"/>
        </w:rPr>
      </w:pPr>
      <w:r>
        <w:rPr>
          <w:rFonts w:ascii="Times New Roman" w:hAnsi="Times New Roman" w:cs="Times New Roman"/>
          <w:b/>
          <w:smallCaps/>
          <w:sz w:val="24"/>
          <w:szCs w:val="18"/>
          <w:shd w:val="clear" w:color="auto" w:fill="FFFFFF"/>
        </w:rPr>
        <w:t>Palabras Clave</w:t>
      </w:r>
    </w:p>
    <w:p w:rsidR="00FD4EA2" w:rsidRPr="00FD4EA2" w:rsidRDefault="00FD4EA2" w:rsidP="00FD4EA2">
      <w:pPr>
        <w:jc w:val="center"/>
        <w:rPr>
          <w:rFonts w:ascii="Times New Roman" w:hAnsi="Times New Roman" w:cs="Times New Roman"/>
          <w:b/>
          <w:smallCaps/>
          <w:sz w:val="24"/>
          <w:szCs w:val="18"/>
          <w:shd w:val="clear" w:color="auto" w:fill="FFFFFF"/>
        </w:rPr>
      </w:pPr>
      <w:r>
        <w:rPr>
          <w:rFonts w:ascii="Times New Roman" w:hAnsi="Times New Roman" w:cs="Times New Roman"/>
          <w:sz w:val="24"/>
          <w:szCs w:val="18"/>
          <w:shd w:val="clear" w:color="auto" w:fill="FFFFFF"/>
        </w:rPr>
        <w:t>Teoría política, feminismo, igualdad de género.</w:t>
      </w:r>
    </w:p>
    <w:p w:rsidR="00FD4EA2" w:rsidRDefault="00FD4EA2" w:rsidP="00FD4EA2">
      <w:pPr>
        <w:jc w:val="center"/>
        <w:rPr>
          <w:rFonts w:ascii="Times New Roman" w:hAnsi="Times New Roman" w:cs="Times New Roman"/>
          <w:b/>
          <w:smallCaps/>
          <w:sz w:val="24"/>
          <w:szCs w:val="18"/>
          <w:shd w:val="clear" w:color="auto" w:fill="FFFFFF"/>
        </w:rPr>
      </w:pPr>
    </w:p>
    <w:p w:rsidR="00FD4EA2" w:rsidRDefault="00FD4EA2" w:rsidP="00FD4EA2">
      <w:pPr>
        <w:jc w:val="center"/>
        <w:rPr>
          <w:rFonts w:ascii="Times New Roman" w:hAnsi="Times New Roman" w:cs="Times New Roman"/>
          <w:b/>
          <w:smallCaps/>
          <w:sz w:val="24"/>
          <w:szCs w:val="18"/>
          <w:shd w:val="clear" w:color="auto" w:fill="FFFFFF"/>
        </w:rPr>
      </w:pPr>
      <w:r>
        <w:rPr>
          <w:rFonts w:ascii="Times New Roman" w:hAnsi="Times New Roman" w:cs="Times New Roman"/>
          <w:b/>
          <w:smallCaps/>
          <w:sz w:val="24"/>
          <w:szCs w:val="18"/>
          <w:shd w:val="clear" w:color="auto" w:fill="FFFFFF"/>
        </w:rPr>
        <w:t>Nota Biográfica</w:t>
      </w:r>
    </w:p>
    <w:p w:rsidR="00FD4EA2" w:rsidRPr="00FD4EA2" w:rsidRDefault="00FD4EA2" w:rsidP="00FD4EA2">
      <w:pPr>
        <w:jc w:val="both"/>
        <w:rPr>
          <w:rFonts w:ascii="Times New Roman" w:hAnsi="Times New Roman" w:cs="Times New Roman"/>
          <w:sz w:val="32"/>
        </w:rPr>
      </w:pPr>
      <w:r>
        <w:rPr>
          <w:rFonts w:ascii="Times New Roman" w:hAnsi="Times New Roman" w:cs="Times New Roman"/>
          <w:sz w:val="24"/>
          <w:szCs w:val="18"/>
          <w:shd w:val="clear" w:color="auto" w:fill="FFFFFF"/>
        </w:rPr>
        <w:t xml:space="preserve">Doctor en Ciencias Sociales por la Universidad de Granada. </w:t>
      </w:r>
      <w:r w:rsidR="00A20109">
        <w:rPr>
          <w:rFonts w:ascii="Times New Roman" w:hAnsi="Times New Roman" w:cs="Times New Roman"/>
          <w:sz w:val="24"/>
          <w:szCs w:val="18"/>
          <w:shd w:val="clear" w:color="auto" w:fill="FFFFFF"/>
        </w:rPr>
        <w:t xml:space="preserve">Actualmente analista político en Metroscopia S.A. Áreas de investigación: teoría política, comportamiento político, género, igualdad, jóvenes. </w:t>
      </w:r>
    </w:p>
    <w:p w:rsidR="00FD4EA2" w:rsidRDefault="00193907" w:rsidP="00FD4EA2">
      <w:pPr>
        <w:pStyle w:val="Ttulo2"/>
        <w:jc w:val="both"/>
        <w:rPr>
          <w:rFonts w:ascii="Times New Roman" w:eastAsia="Times New Roman" w:hAnsi="Times New Roman" w:cs="Times New Roman"/>
          <w:color w:val="auto"/>
          <w:sz w:val="36"/>
          <w:szCs w:val="24"/>
        </w:rPr>
      </w:pPr>
      <w:r w:rsidRPr="00FD4EA2">
        <w:rPr>
          <w:rFonts w:ascii="Times New Roman" w:eastAsia="Times New Roman" w:hAnsi="Times New Roman" w:cs="Times New Roman"/>
          <w:color w:val="auto"/>
          <w:sz w:val="36"/>
          <w:szCs w:val="24"/>
        </w:rPr>
        <w:br w:type="page"/>
      </w:r>
    </w:p>
    <w:p w:rsidR="00FD4EA2" w:rsidRPr="00FD4EA2" w:rsidRDefault="00FD4EA2" w:rsidP="00FD4EA2"/>
    <w:p w:rsidR="004E0B2F" w:rsidRPr="00CA291C" w:rsidRDefault="004E0B2F" w:rsidP="004E0B2F">
      <w:pPr>
        <w:spacing w:after="0" w:line="360" w:lineRule="auto"/>
        <w:ind w:firstLine="708"/>
        <w:jc w:val="both"/>
        <w:rPr>
          <w:rFonts w:ascii="Times New Roman" w:eastAsia="Times New Roman" w:hAnsi="Times New Roman" w:cs="Times New Roman"/>
          <w:color w:val="auto"/>
          <w:sz w:val="24"/>
          <w:szCs w:val="24"/>
        </w:rPr>
      </w:pP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Las palabras igualdad, diferencia, género y sexo son pensadas y tratadas de distintas maneras y, a menudo, suelen evocar ciertas confusiones o usos desacertados. Quizás esto pueda explicarse porque se trata de términos muy amplios que están sujetos a procesos de reconstrucción continuos. También porque las perspectivas teóricas e ideológicas que les dan vida no suelen coincidir ni en su d</w:t>
      </w:r>
      <w:r w:rsidR="00EC58BA" w:rsidRPr="00CA291C">
        <w:rPr>
          <w:rFonts w:ascii="Times New Roman" w:eastAsia="Times New Roman" w:hAnsi="Times New Roman" w:cs="Times New Roman"/>
          <w:color w:val="auto"/>
          <w:sz w:val="24"/>
          <w:szCs w:val="24"/>
        </w:rPr>
        <w:t xml:space="preserve">efinición ni en su utilización </w:t>
      </w:r>
      <w:r w:rsidRPr="00CA291C">
        <w:rPr>
          <w:rFonts w:ascii="Times New Roman" w:eastAsia="Times New Roman" w:hAnsi="Times New Roman" w:cs="Times New Roman"/>
          <w:color w:val="auto"/>
          <w:sz w:val="24"/>
          <w:szCs w:val="24"/>
        </w:rPr>
        <w:t xml:space="preserve"> </w:t>
      </w:r>
      <w:r w:rsidR="00EC58BA" w:rsidRPr="00CA291C">
        <w:rPr>
          <w:rFonts w:ascii="Times New Roman" w:eastAsia="Times New Roman" w:hAnsi="Times New Roman" w:cs="Times New Roman"/>
          <w:color w:val="auto"/>
          <w:sz w:val="24"/>
          <w:szCs w:val="24"/>
        </w:rPr>
        <w:t xml:space="preserve">para la descripción, </w:t>
      </w:r>
      <w:r w:rsidRPr="00CA291C">
        <w:rPr>
          <w:rFonts w:ascii="Times New Roman" w:eastAsia="Times New Roman" w:hAnsi="Times New Roman" w:cs="Times New Roman"/>
          <w:color w:val="auto"/>
          <w:sz w:val="24"/>
          <w:szCs w:val="24"/>
        </w:rPr>
        <w:t xml:space="preserve">la explicación y el cambio de las relaciones de hombres y mujeres.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Por eso, sigue siendo necesario un esclarecimiento de las relaciones que existen entre ellos y qué es lo que los distingue. </w:t>
      </w:r>
      <w:r w:rsidR="00EC703E" w:rsidRPr="00CA291C">
        <w:rPr>
          <w:rFonts w:ascii="Times New Roman" w:eastAsia="Times New Roman" w:hAnsi="Times New Roman" w:cs="Times New Roman"/>
          <w:color w:val="auto"/>
          <w:sz w:val="24"/>
          <w:szCs w:val="24"/>
        </w:rPr>
        <w:t xml:space="preserve">Aquí se trata de </w:t>
      </w:r>
      <w:r w:rsidRPr="00CA291C">
        <w:rPr>
          <w:rFonts w:ascii="Times New Roman" w:eastAsia="Times New Roman" w:hAnsi="Times New Roman" w:cs="Times New Roman"/>
          <w:color w:val="auto"/>
          <w:sz w:val="24"/>
          <w:szCs w:val="24"/>
        </w:rPr>
        <w:t xml:space="preserve">reflexionar sobre lo </w:t>
      </w:r>
      <w:r w:rsidR="00EC703E" w:rsidRPr="00CA291C">
        <w:rPr>
          <w:rFonts w:ascii="Times New Roman" w:eastAsia="Times New Roman" w:hAnsi="Times New Roman" w:cs="Times New Roman"/>
          <w:color w:val="auto"/>
          <w:sz w:val="24"/>
          <w:szCs w:val="24"/>
        </w:rPr>
        <w:t>que</w:t>
      </w:r>
      <w:r w:rsidRPr="00CA291C">
        <w:rPr>
          <w:rFonts w:ascii="Times New Roman" w:eastAsia="Times New Roman" w:hAnsi="Times New Roman" w:cs="Times New Roman"/>
          <w:color w:val="auto"/>
          <w:sz w:val="24"/>
          <w:szCs w:val="24"/>
        </w:rPr>
        <w:t xml:space="preserve"> se entiende como una tensión entre dos modelos teóricos acerca de la realidad política y social del género</w:t>
      </w:r>
      <w:r w:rsidR="00EC58BA" w:rsidRPr="00CA291C">
        <w:rPr>
          <w:rFonts w:ascii="Times New Roman" w:eastAsia="Times New Roman" w:hAnsi="Times New Roman" w:cs="Times New Roman"/>
          <w:color w:val="auto"/>
          <w:sz w:val="24"/>
          <w:szCs w:val="24"/>
        </w:rPr>
        <w:t>: el de la dominación y el de la emergencia</w:t>
      </w:r>
      <w:r w:rsidRPr="00CA291C">
        <w:rPr>
          <w:rFonts w:ascii="Times New Roman" w:eastAsia="Times New Roman" w:hAnsi="Times New Roman" w:cs="Times New Roman"/>
          <w:color w:val="auto"/>
          <w:sz w:val="24"/>
          <w:szCs w:val="24"/>
        </w:rPr>
        <w:t xml:space="preserve">. Dos modelos que provienen de tradiciones teórico feministas distintas y que derivan en propuestas políticas diferentes precisamente por sus particularidades a la hora de concebir el género, el sexo </w:t>
      </w:r>
      <w:r w:rsidR="00EC58BA" w:rsidRPr="00CA291C">
        <w:rPr>
          <w:rFonts w:ascii="Times New Roman" w:eastAsia="Times New Roman" w:hAnsi="Times New Roman" w:cs="Times New Roman"/>
          <w:color w:val="auto"/>
          <w:sz w:val="24"/>
          <w:szCs w:val="24"/>
        </w:rPr>
        <w:t>o la identidad. A partir de la</w:t>
      </w:r>
      <w:r w:rsidRPr="00CA291C">
        <w:rPr>
          <w:rFonts w:ascii="Times New Roman" w:eastAsia="Times New Roman" w:hAnsi="Times New Roman" w:cs="Times New Roman"/>
          <w:color w:val="auto"/>
          <w:sz w:val="24"/>
          <w:szCs w:val="24"/>
        </w:rPr>
        <w:t xml:space="preserve"> crítica</w:t>
      </w:r>
      <w:r w:rsidR="00EC58BA" w:rsidRPr="00CA291C">
        <w:rPr>
          <w:rFonts w:ascii="Times New Roman" w:eastAsia="Times New Roman" w:hAnsi="Times New Roman" w:cs="Times New Roman"/>
          <w:color w:val="auto"/>
          <w:sz w:val="24"/>
          <w:szCs w:val="24"/>
        </w:rPr>
        <w:t xml:space="preserve"> al modelo de la dominación, en este trabajo </w:t>
      </w:r>
      <w:r w:rsidRPr="00CA291C">
        <w:rPr>
          <w:rFonts w:ascii="Times New Roman" w:eastAsia="Times New Roman" w:hAnsi="Times New Roman" w:cs="Times New Roman"/>
          <w:color w:val="auto"/>
          <w:sz w:val="24"/>
          <w:szCs w:val="24"/>
        </w:rPr>
        <w:t xml:space="preserve">se aboga por </w:t>
      </w:r>
      <w:r w:rsidR="00EC58BA" w:rsidRPr="00CA291C">
        <w:rPr>
          <w:rFonts w:ascii="Times New Roman" w:eastAsia="Times New Roman" w:hAnsi="Times New Roman" w:cs="Times New Roman"/>
          <w:color w:val="auto"/>
          <w:sz w:val="24"/>
          <w:szCs w:val="24"/>
        </w:rPr>
        <w:t>el modelo de</w:t>
      </w:r>
      <w:r w:rsidRPr="00CA291C">
        <w:rPr>
          <w:rFonts w:ascii="Times New Roman" w:eastAsia="Times New Roman" w:hAnsi="Times New Roman" w:cs="Times New Roman"/>
          <w:color w:val="auto"/>
          <w:sz w:val="24"/>
          <w:szCs w:val="24"/>
        </w:rPr>
        <w:t xml:space="preserve"> la emergencia o</w:t>
      </w:r>
      <w:r w:rsidR="00EC58BA" w:rsidRPr="00CA291C">
        <w:rPr>
          <w:rFonts w:ascii="Times New Roman" w:eastAsia="Times New Roman" w:hAnsi="Times New Roman" w:cs="Times New Roman"/>
          <w:color w:val="auto"/>
          <w:sz w:val="24"/>
          <w:szCs w:val="24"/>
        </w:rPr>
        <w:t>, mejor dicho,</w:t>
      </w:r>
      <w:r w:rsidRPr="00CA291C">
        <w:rPr>
          <w:rFonts w:ascii="Times New Roman" w:eastAsia="Times New Roman" w:hAnsi="Times New Roman" w:cs="Times New Roman"/>
          <w:color w:val="auto"/>
          <w:sz w:val="24"/>
          <w:szCs w:val="24"/>
        </w:rPr>
        <w:t xml:space="preserve"> de los modelos emergentes. </w:t>
      </w:r>
    </w:p>
    <w:p w:rsidR="00EC58BA" w:rsidRPr="00CA291C" w:rsidRDefault="00EC58BA" w:rsidP="00EC58BA">
      <w:pPr>
        <w:rPr>
          <w:color w:val="auto"/>
        </w:rPr>
      </w:pPr>
    </w:p>
    <w:p w:rsidR="004E0B2F" w:rsidRPr="00B77C01" w:rsidRDefault="004E0B2F" w:rsidP="004E0B2F">
      <w:pPr>
        <w:pStyle w:val="Ttulo3"/>
        <w:tabs>
          <w:tab w:val="left" w:pos="709"/>
        </w:tabs>
        <w:rPr>
          <w:rFonts w:ascii="Times New Roman" w:eastAsia="Calibri" w:hAnsi="Times New Roman" w:cs="Times New Roman"/>
          <w:b/>
          <w:smallCaps/>
          <w:color w:val="auto"/>
          <w:sz w:val="28"/>
        </w:rPr>
      </w:pPr>
      <w:r w:rsidRPr="00B77C01">
        <w:rPr>
          <w:rFonts w:ascii="Times New Roman" w:eastAsia="Calibri" w:hAnsi="Times New Roman" w:cs="Times New Roman"/>
          <w:b/>
          <w:smallCaps/>
          <w:color w:val="auto"/>
          <w:sz w:val="28"/>
        </w:rPr>
        <w:t>El género y el feminismo cultural</w:t>
      </w:r>
    </w:p>
    <w:p w:rsidR="004E0B2F" w:rsidRPr="00CA291C" w:rsidRDefault="004E0B2F" w:rsidP="004E0B2F">
      <w:pPr>
        <w:spacing w:after="0" w:line="360" w:lineRule="auto"/>
        <w:jc w:val="both"/>
        <w:rPr>
          <w:color w:val="auto"/>
        </w:rPr>
      </w:pP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Las descripciones y las explicaciones de la opresión de género en la sociedad han tomado diferentes perspectivas y formas a lo largo de la historia de los feminismos. De forma general, las relaciones y la legitimación del poder y de la cultura en la sociedad se han comprendido a partir de un sistema patriarcal o sexista. Este sistema se entiende fundamentalmente como una jerarquía social, institucional y moral sostenida sobre la diferencia sexual, en la cual los hombres y lo masculino son superiores a las mujeres y lo femenino. La opresión, discriminación y desigualdad de las mujeres se comprende, pues, como una situación </w:t>
      </w:r>
      <w:r w:rsidRPr="00CA291C">
        <w:rPr>
          <w:rFonts w:ascii="Times New Roman" w:eastAsia="Times New Roman" w:hAnsi="Times New Roman" w:cs="Times New Roman"/>
          <w:i/>
          <w:color w:val="auto"/>
          <w:sz w:val="24"/>
          <w:szCs w:val="24"/>
        </w:rPr>
        <w:t>coherente</w:t>
      </w:r>
      <w:r w:rsidRPr="00CA291C">
        <w:rPr>
          <w:rFonts w:ascii="Times New Roman" w:eastAsia="Times New Roman" w:hAnsi="Times New Roman" w:cs="Times New Roman"/>
          <w:color w:val="auto"/>
          <w:sz w:val="24"/>
          <w:szCs w:val="24"/>
        </w:rPr>
        <w:t xml:space="preserve"> con los dictados de la naturaleza, que ha asignado una morfología y unas capacidades derivadas de la misma, absolutamente opuestas y asimétricas para hombres y mujeres</w:t>
      </w:r>
      <w:r w:rsidR="00EC58BA"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color w:val="auto"/>
          <w:sz w:val="24"/>
          <w:szCs w:val="24"/>
        </w:rPr>
        <w:t xml:space="preserve"> la legitimación de la desigualdad de género. </w:t>
      </w:r>
    </w:p>
    <w:p w:rsidR="004E0B2F" w:rsidRPr="00CA291C" w:rsidRDefault="00EC58BA"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w:t>
      </w:r>
      <w:r w:rsidR="004E0B2F" w:rsidRPr="00CA291C">
        <w:rPr>
          <w:rFonts w:ascii="Times New Roman" w:eastAsia="Times New Roman" w:hAnsi="Times New Roman" w:cs="Times New Roman"/>
          <w:color w:val="auto"/>
          <w:sz w:val="24"/>
          <w:szCs w:val="24"/>
        </w:rPr>
        <w:t>s en las mujeres sobre quienes ha recaído frecuentemente el peso legitimador de la desigualdad. Desde la propia mitología de la Antigua Grecia, donde la primera mujer, Pandora, por curiosidad destapó el ánfora que encerraba todos los males del mundo</w:t>
      </w:r>
      <w:r w:rsidR="007F625D" w:rsidRPr="00CA291C">
        <w:rPr>
          <w:rFonts w:ascii="Times New Roman" w:eastAsia="Times New Roman" w:hAnsi="Times New Roman" w:cs="Times New Roman"/>
          <w:color w:val="auto"/>
          <w:sz w:val="24"/>
          <w:szCs w:val="24"/>
        </w:rPr>
        <w:t xml:space="preserve"> (Puleo, 2008: 16)</w:t>
      </w:r>
      <w:r w:rsidR="004E0B2F" w:rsidRPr="00CA291C">
        <w:rPr>
          <w:rFonts w:ascii="Times New Roman" w:eastAsia="Times New Roman" w:hAnsi="Times New Roman" w:cs="Times New Roman"/>
          <w:color w:val="auto"/>
          <w:sz w:val="24"/>
          <w:szCs w:val="24"/>
        </w:rPr>
        <w:t xml:space="preserve">, pasando por el Cristianismo, en el que otra </w:t>
      </w:r>
      <w:r w:rsidR="004E0B2F" w:rsidRPr="00CA291C">
        <w:rPr>
          <w:rFonts w:ascii="Times New Roman" w:eastAsia="Times New Roman" w:hAnsi="Times New Roman" w:cs="Times New Roman"/>
          <w:i/>
          <w:color w:val="auto"/>
          <w:sz w:val="24"/>
          <w:szCs w:val="24"/>
        </w:rPr>
        <w:t xml:space="preserve">primera y curiosa </w:t>
      </w:r>
      <w:r w:rsidR="004E0B2F" w:rsidRPr="00CA291C">
        <w:rPr>
          <w:rFonts w:ascii="Times New Roman" w:eastAsia="Times New Roman" w:hAnsi="Times New Roman" w:cs="Times New Roman"/>
          <w:color w:val="auto"/>
          <w:sz w:val="24"/>
          <w:szCs w:val="24"/>
        </w:rPr>
        <w:t xml:space="preserve">mujer, Eva, igualmente introdujo el mal en este mundo mordiendo la manzana prohibida, la culpa </w:t>
      </w:r>
      <w:r w:rsidR="004E0B2F" w:rsidRPr="00CA291C">
        <w:rPr>
          <w:rFonts w:ascii="Times New Roman" w:eastAsia="Times New Roman" w:hAnsi="Times New Roman" w:cs="Times New Roman"/>
          <w:color w:val="auto"/>
          <w:sz w:val="24"/>
          <w:szCs w:val="24"/>
        </w:rPr>
        <w:lastRenderedPageBreak/>
        <w:t xml:space="preserve">se sube a los hombros de las mujeres. Se justifica que, en base a la sospecha, la desconfianza y la </w:t>
      </w:r>
      <w:r w:rsidR="004E0B2F" w:rsidRPr="00CA291C">
        <w:rPr>
          <w:rFonts w:ascii="Times New Roman" w:eastAsia="Times New Roman" w:hAnsi="Times New Roman" w:cs="Times New Roman"/>
          <w:i/>
          <w:color w:val="auto"/>
          <w:sz w:val="24"/>
          <w:szCs w:val="24"/>
        </w:rPr>
        <w:t xml:space="preserve">diferencia </w:t>
      </w:r>
      <w:r w:rsidR="004E0B2F" w:rsidRPr="00CA291C">
        <w:rPr>
          <w:rFonts w:ascii="Times New Roman" w:eastAsia="Times New Roman" w:hAnsi="Times New Roman" w:cs="Times New Roman"/>
          <w:color w:val="auto"/>
          <w:sz w:val="24"/>
          <w:szCs w:val="24"/>
        </w:rPr>
        <w:t xml:space="preserve">de las mujeres, la desigualdad resulta ser un hecho natural y, por ello, sagrado. Su culpa es el hecho evidente e incuestionable de que no solo Jesús tuviera que morir por </w:t>
      </w:r>
      <w:r w:rsidR="004E0B2F" w:rsidRPr="00CA291C">
        <w:rPr>
          <w:rFonts w:ascii="Times New Roman" w:eastAsia="Times New Roman" w:hAnsi="Times New Roman" w:cs="Times New Roman"/>
          <w:i/>
          <w:color w:val="auto"/>
          <w:sz w:val="24"/>
          <w:szCs w:val="24"/>
        </w:rPr>
        <w:t xml:space="preserve">nuestros </w:t>
      </w:r>
      <w:r w:rsidR="004E0B2F" w:rsidRPr="00CA291C">
        <w:rPr>
          <w:rFonts w:ascii="Times New Roman" w:eastAsia="Times New Roman" w:hAnsi="Times New Roman" w:cs="Times New Roman"/>
          <w:color w:val="auto"/>
          <w:sz w:val="24"/>
          <w:szCs w:val="24"/>
        </w:rPr>
        <w:t xml:space="preserve">pecados, sino de que las mujeres son fisiológica y psíquicamente inferiores a los hombres y, por lo tanto, deben subordinarse a estos. </w:t>
      </w:r>
    </w:p>
    <w:p w:rsidR="004E0B2F" w:rsidRPr="00CA291C" w:rsidRDefault="004E0B2F" w:rsidP="00EC58BA">
      <w:pPr>
        <w:spacing w:after="0" w:line="360" w:lineRule="auto"/>
        <w:ind w:firstLine="708"/>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 xml:space="preserve"> El reconocimiento de esta desigualdad sistemática no solo ha dado lugar a múltiples perspectivas de descripción, análisis y explicación de este gran miserable fenómeno, sino también a distintos enfoques políticos dirigidos hacia el revertir esta situación</w:t>
      </w:r>
      <w:r w:rsidR="00802A18" w:rsidRPr="00CA291C">
        <w:rPr>
          <w:rFonts w:ascii="Times New Roman" w:eastAsia="Times New Roman" w:hAnsi="Times New Roman" w:cs="Times New Roman"/>
          <w:color w:val="auto"/>
          <w:sz w:val="24"/>
          <w:szCs w:val="24"/>
        </w:rPr>
        <w:t>. E</w:t>
      </w:r>
      <w:r w:rsidRPr="00CA291C">
        <w:rPr>
          <w:rFonts w:ascii="Times New Roman" w:eastAsia="Times New Roman" w:hAnsi="Times New Roman" w:cs="Times New Roman"/>
          <w:color w:val="auto"/>
          <w:sz w:val="24"/>
          <w:szCs w:val="24"/>
        </w:rPr>
        <w:t xml:space="preserve">l foco de atención que este trabajo pone en la idea de la emergencia o de los modelos emergentes frente a otros postulados, se sitúa precisamente aquí, en la problemática sobre la concepción del género y en la sustancia política de determinados enfoques feministas. Más concretamente, se trata de apostar por un enfoque contrario a la perspectiva del feminismo cultural, </w:t>
      </w:r>
      <w:r w:rsidR="00EC58BA" w:rsidRPr="00CA291C">
        <w:rPr>
          <w:rFonts w:ascii="Times New Roman" w:eastAsia="Times New Roman" w:hAnsi="Times New Roman" w:cs="Times New Roman"/>
          <w:color w:val="auto"/>
          <w:sz w:val="24"/>
          <w:szCs w:val="24"/>
        </w:rPr>
        <w:t xml:space="preserve">una corriente dentro del feminismo que se adhiere al modelo de la dominación y </w:t>
      </w:r>
      <w:r w:rsidRPr="00CA291C">
        <w:rPr>
          <w:rFonts w:ascii="Times New Roman" w:eastAsia="Times New Roman" w:hAnsi="Times New Roman" w:cs="Times New Roman"/>
          <w:color w:val="auto"/>
          <w:sz w:val="24"/>
          <w:szCs w:val="24"/>
        </w:rPr>
        <w:t xml:space="preserve">cuyos planteamientos siguen vigentes. </w:t>
      </w:r>
      <w:r w:rsidR="00EC58BA" w:rsidRPr="00CA291C">
        <w:rPr>
          <w:rFonts w:ascii="Times New Roman" w:eastAsia="Times New Roman" w:hAnsi="Times New Roman" w:cs="Times New Roman"/>
          <w:color w:val="auto"/>
          <w:sz w:val="24"/>
          <w:szCs w:val="24"/>
        </w:rPr>
        <w:t>Para el feminismo cultural</w:t>
      </w:r>
      <w:r w:rsidRPr="00CA291C">
        <w:rPr>
          <w:rFonts w:ascii="Times New Roman" w:eastAsia="Times New Roman" w:hAnsi="Times New Roman" w:cs="Times New Roman"/>
          <w:color w:val="auto"/>
          <w:sz w:val="24"/>
          <w:szCs w:val="24"/>
        </w:rPr>
        <w:t xml:space="preserve"> el género se concibe </w:t>
      </w:r>
      <w:r w:rsidR="00EC58BA" w:rsidRPr="00CA291C">
        <w:rPr>
          <w:rFonts w:ascii="Times New Roman" w:eastAsia="Times New Roman" w:hAnsi="Times New Roman" w:cs="Times New Roman"/>
          <w:color w:val="auto"/>
          <w:sz w:val="24"/>
          <w:szCs w:val="24"/>
        </w:rPr>
        <w:t>de forma dependiente al sexo y el sexismo s</w:t>
      </w:r>
      <w:r w:rsidRPr="00CA291C">
        <w:rPr>
          <w:rFonts w:ascii="Times New Roman" w:eastAsia="Times New Roman" w:hAnsi="Times New Roman" w:cs="Times New Roman"/>
          <w:color w:val="auto"/>
          <w:sz w:val="24"/>
          <w:szCs w:val="24"/>
        </w:rPr>
        <w:t xml:space="preserve">e analiza y se explica </w:t>
      </w:r>
      <w:r w:rsidR="00EC58BA" w:rsidRPr="00CA291C">
        <w:rPr>
          <w:rFonts w:ascii="Times New Roman" w:eastAsia="Times New Roman" w:hAnsi="Times New Roman" w:cs="Times New Roman"/>
          <w:color w:val="auto"/>
          <w:sz w:val="24"/>
          <w:szCs w:val="24"/>
        </w:rPr>
        <w:t>como</w:t>
      </w:r>
      <w:r w:rsidRPr="00CA291C">
        <w:rPr>
          <w:rFonts w:ascii="Times New Roman" w:eastAsia="Times New Roman" w:hAnsi="Times New Roman" w:cs="Times New Roman"/>
          <w:color w:val="auto"/>
          <w:sz w:val="24"/>
          <w:szCs w:val="24"/>
        </w:rPr>
        <w:t xml:space="preserve"> un sistema de dominación sexual masculina. En cambio, la perspectiva de los modelos emergentes no solo teoriza de forma independiente el género del sexo sino que cree que esta separación es necesaria si se quiere evitar caer en </w:t>
      </w:r>
      <w:r w:rsidR="00802A18" w:rsidRPr="00CA291C">
        <w:rPr>
          <w:rFonts w:ascii="Times New Roman" w:eastAsia="Times New Roman" w:hAnsi="Times New Roman" w:cs="Times New Roman"/>
          <w:color w:val="auto"/>
          <w:sz w:val="24"/>
          <w:szCs w:val="24"/>
        </w:rPr>
        <w:t>una</w:t>
      </w:r>
      <w:r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i/>
          <w:color w:val="auto"/>
          <w:sz w:val="24"/>
          <w:szCs w:val="24"/>
        </w:rPr>
        <w:t>sexualización</w:t>
      </w:r>
      <w:r w:rsidRPr="00CA291C">
        <w:rPr>
          <w:rFonts w:ascii="Times New Roman" w:eastAsia="Times New Roman" w:hAnsi="Times New Roman" w:cs="Times New Roman"/>
          <w:color w:val="auto"/>
          <w:sz w:val="24"/>
          <w:szCs w:val="24"/>
        </w:rPr>
        <w:t xml:space="preserve"> de la </w:t>
      </w:r>
      <w:r w:rsidR="00802A18" w:rsidRPr="00CA291C">
        <w:rPr>
          <w:rFonts w:ascii="Times New Roman" w:eastAsia="Times New Roman" w:hAnsi="Times New Roman" w:cs="Times New Roman"/>
          <w:color w:val="auto"/>
          <w:sz w:val="24"/>
          <w:szCs w:val="24"/>
        </w:rPr>
        <w:t>desigualdad</w:t>
      </w:r>
      <w:r w:rsidRPr="00CA291C">
        <w:rPr>
          <w:rFonts w:ascii="Times New Roman" w:eastAsia="Times New Roman" w:hAnsi="Times New Roman" w:cs="Times New Roman"/>
          <w:color w:val="auto"/>
          <w:sz w:val="24"/>
          <w:szCs w:val="24"/>
        </w:rPr>
        <w:t>. Sobre ellos se incidirá a lo largo de estas páginas.</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El género se suele entender como la construcción e interpretación social y cultural de la diferencia sexual. Se asume como natural la existencia única de dos sexos, femenino y masculino, a los que se les atribuyen rasgos, capacidades, espacios y roles de forma jerárquica y dicotómica, en calidad de polos opuestos o mutuamente excluyentes (hombres y mujeres). Esto, en los términos que Gayle Rubin utilizó en su relevante y ya citado ensayo «El tráfico de mujeres», se traduce en un </w:t>
      </w:r>
      <w:r w:rsidRPr="00CA291C">
        <w:rPr>
          <w:rFonts w:ascii="Times New Roman" w:eastAsia="Times New Roman" w:hAnsi="Times New Roman" w:cs="Times New Roman"/>
          <w:i/>
          <w:color w:val="auto"/>
          <w:sz w:val="24"/>
          <w:szCs w:val="24"/>
        </w:rPr>
        <w:t>sistema sexo/género</w:t>
      </w:r>
      <w:r w:rsidRPr="00CA291C">
        <w:rPr>
          <w:rFonts w:ascii="Times New Roman" w:eastAsia="Times New Roman" w:hAnsi="Times New Roman" w:cs="Times New Roman"/>
          <w:color w:val="auto"/>
          <w:sz w:val="24"/>
          <w:szCs w:val="24"/>
        </w:rPr>
        <w:t>, es decir, “el conjunto de disposiciones por el que una sociedad transforma la sexualidad biológica en productos de la actividad humana”</w:t>
      </w:r>
      <w:r w:rsidR="007F625D" w:rsidRPr="00CA291C">
        <w:rPr>
          <w:rFonts w:ascii="Times New Roman" w:eastAsia="Times New Roman" w:hAnsi="Times New Roman" w:cs="Times New Roman"/>
          <w:color w:val="auto"/>
          <w:sz w:val="24"/>
          <w:szCs w:val="24"/>
        </w:rPr>
        <w:t xml:space="preserve"> (Rubin, 1986: 97)</w:t>
      </w:r>
      <w:r w:rsidRPr="00CA291C">
        <w:rPr>
          <w:rFonts w:ascii="Times New Roman" w:eastAsia="Times New Roman" w:hAnsi="Times New Roman" w:cs="Times New Roman"/>
          <w:color w:val="auto"/>
          <w:sz w:val="24"/>
          <w:szCs w:val="24"/>
        </w:rPr>
        <w:t xml:space="preserve">. </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Tanto el sexo, entendido como producto social del deseo y de la identidad sexual, como el género, como producto social en base al sexo biológico, son construcciones y realidades sociales y culturales distintas sobre las que se articula el sistema sexista. Por ello, es imprescindible analizar el género y el sexo de forma separada, ya que las cuestiones estrictamente de sexualidad no pueden explicarse con las mismas herramientas conceptuales del género ni viceversa. Como lo ve Carole Vance, “la sexualidad no es una categoría residual, una subcategoría del género, ni las teorías del género son totalmente </w:t>
      </w:r>
      <w:r w:rsidRPr="00CA291C">
        <w:rPr>
          <w:rFonts w:ascii="Times New Roman" w:eastAsia="Times New Roman" w:hAnsi="Times New Roman" w:cs="Times New Roman"/>
          <w:color w:val="auto"/>
          <w:sz w:val="24"/>
          <w:szCs w:val="24"/>
        </w:rPr>
        <w:lastRenderedPageBreak/>
        <w:t>capaces de explicar la sexualidad”</w:t>
      </w:r>
      <w:r w:rsidR="007F625D" w:rsidRPr="00CA291C">
        <w:rPr>
          <w:rFonts w:ascii="Times New Roman" w:eastAsia="Times New Roman" w:hAnsi="Times New Roman" w:cs="Times New Roman"/>
          <w:color w:val="auto"/>
          <w:sz w:val="24"/>
          <w:szCs w:val="24"/>
        </w:rPr>
        <w:t xml:space="preserve"> (Vance, 1989: 23)</w:t>
      </w:r>
      <w:r w:rsidRPr="00CA291C">
        <w:rPr>
          <w:rFonts w:ascii="Times New Roman" w:eastAsia="Times New Roman" w:hAnsi="Times New Roman" w:cs="Times New Roman"/>
          <w:color w:val="auto"/>
          <w:sz w:val="24"/>
          <w:szCs w:val="24"/>
        </w:rPr>
        <w:t>. Por tanto, aunque la teoría sobre la opresión de género y la teoría de la opresión sexual como dimensiones cardinales del sistema sexista son similares, requieren ser distinguidas para su análisis.</w:t>
      </w:r>
    </w:p>
    <w:p w:rsidR="004E0B2F" w:rsidRPr="00CA291C" w:rsidRDefault="004E0B2F" w:rsidP="004E0B2F">
      <w:pPr>
        <w:spacing w:after="0" w:line="360" w:lineRule="auto"/>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Esta forma de concebir el género es fundamental para sostener la perspectiva teórica de los modelos emergentes ya que, de acuerdo con Alice Echols, “nuestra forma de entender el género da forma a nuestro análisis de la sexualidad”</w:t>
      </w:r>
      <w:r w:rsidR="007F625D" w:rsidRPr="00CA291C">
        <w:rPr>
          <w:rFonts w:ascii="Times New Roman" w:eastAsia="Times New Roman" w:hAnsi="Times New Roman" w:cs="Times New Roman"/>
          <w:color w:val="auto"/>
          <w:sz w:val="24"/>
          <w:szCs w:val="24"/>
        </w:rPr>
        <w:t xml:space="preserve"> (Echols, 1989: 80)</w:t>
      </w:r>
      <w:r w:rsidRPr="00CA291C">
        <w:rPr>
          <w:rFonts w:ascii="Times New Roman" w:eastAsia="Times New Roman" w:hAnsi="Times New Roman" w:cs="Times New Roman"/>
          <w:color w:val="auto"/>
          <w:sz w:val="24"/>
          <w:szCs w:val="24"/>
        </w:rPr>
        <w:t>. Así, entender el género de forma independiente al sexo es un primer paso que supone una declaración de intenciones sobre los caminos por los que va a transitar la presente crítica. De hecho, acudir a la expresión sistema sexo</w:t>
      </w:r>
      <w:r w:rsidR="00EC58BA" w:rsidRPr="00CA291C">
        <w:rPr>
          <w:rFonts w:ascii="Times New Roman" w:eastAsia="Times New Roman" w:hAnsi="Times New Roman" w:cs="Times New Roman"/>
          <w:color w:val="auto"/>
          <w:sz w:val="24"/>
          <w:szCs w:val="24"/>
        </w:rPr>
        <w:t>/género o sexista en lugar del</w:t>
      </w:r>
      <w:r w:rsidRPr="00CA291C">
        <w:rPr>
          <w:rFonts w:ascii="Times New Roman" w:eastAsia="Times New Roman" w:hAnsi="Times New Roman" w:cs="Times New Roman"/>
          <w:color w:val="auto"/>
          <w:sz w:val="24"/>
          <w:szCs w:val="24"/>
        </w:rPr>
        <w:t xml:space="preserve"> patriarcado, por ejemplo, implica ya entender la opresión de género y la opresión sexual no como fenómenos inevitables fruto de un estado de dominación masculina sino como producto de las relaciones sociales sexistas específicas que las organizan</w:t>
      </w:r>
      <w:r w:rsidR="007F625D" w:rsidRPr="00CA291C">
        <w:rPr>
          <w:rFonts w:ascii="Times New Roman" w:eastAsia="Times New Roman" w:hAnsi="Times New Roman" w:cs="Times New Roman"/>
          <w:color w:val="auto"/>
          <w:sz w:val="24"/>
          <w:szCs w:val="24"/>
        </w:rPr>
        <w:t xml:space="preserve"> (Rubin, 1986: 105)</w:t>
      </w:r>
      <w:r w:rsidRPr="00CA291C">
        <w:rPr>
          <w:rFonts w:ascii="Times New Roman" w:eastAsia="Times New Roman" w:hAnsi="Times New Roman" w:cs="Times New Roman"/>
          <w:color w:val="auto"/>
          <w:sz w:val="24"/>
          <w:szCs w:val="24"/>
        </w:rPr>
        <w:t>. Este es el elemento clave que lleva a situar el punto de partida en el feminismo radical, el precursor del feminismo cultural, que en este trabajo se contextualiza en Estados Unidos y cuya vigencia se suele establecer entre finales de los años sesenta hasta mediados de los años setenta.</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ab/>
        <w:t xml:space="preserve"> Según Echols, el feminismo radical entendía que la dominación y la opresión de las mujeres era una derivación de la construcción del género, por lo que su eliminación vendría dada por la propia eliminación del género como “categoría social significativa”</w:t>
      </w:r>
      <w:r w:rsidR="007F625D" w:rsidRPr="00CA291C">
        <w:rPr>
          <w:rFonts w:ascii="Times New Roman" w:eastAsia="Times New Roman" w:hAnsi="Times New Roman" w:cs="Times New Roman"/>
          <w:color w:val="auto"/>
          <w:sz w:val="24"/>
          <w:szCs w:val="24"/>
        </w:rPr>
        <w:t xml:space="preserve"> (Echols, 1989:</w:t>
      </w:r>
      <w:r w:rsidR="005E03AC" w:rsidRPr="00CA291C">
        <w:rPr>
          <w:rFonts w:ascii="Times New Roman" w:eastAsia="Times New Roman" w:hAnsi="Times New Roman" w:cs="Times New Roman"/>
          <w:color w:val="auto"/>
          <w:sz w:val="24"/>
          <w:szCs w:val="24"/>
        </w:rPr>
        <w:t xml:space="preserve"> </w:t>
      </w:r>
      <w:r w:rsidR="007F625D" w:rsidRPr="00CA291C">
        <w:rPr>
          <w:rFonts w:ascii="Times New Roman" w:eastAsia="Times New Roman" w:hAnsi="Times New Roman" w:cs="Times New Roman"/>
          <w:color w:val="auto"/>
          <w:sz w:val="24"/>
          <w:szCs w:val="24"/>
        </w:rPr>
        <w:t>80)</w:t>
      </w:r>
      <w:r w:rsidRPr="00CA291C">
        <w:rPr>
          <w:rFonts w:ascii="Times New Roman" w:eastAsia="Times New Roman" w:hAnsi="Times New Roman" w:cs="Times New Roman"/>
          <w:color w:val="auto"/>
          <w:sz w:val="24"/>
          <w:szCs w:val="24"/>
        </w:rPr>
        <w:t xml:space="preserve">. El feminismo radical planteaba que la situación en la que se encuentran las mujeres responde a un sistema de dominación masculina en el que los hombres ostentan el poder en todos los ámbitos de la vida y en el que las mujeres se encuentran, por ende, subordinadas. </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Así pues, el término patriarcado se alzaba como la expresión más adecuada para describir este sistema en el que los hombres y lo masculino dominan y oprimen a las mujeres y lo femenino. No obstante, no se trataba de sustentar una explicación biologicista</w:t>
      </w:r>
      <w:r w:rsidRPr="00CA291C">
        <w:rPr>
          <w:rFonts w:ascii="Times New Roman" w:eastAsia="Times New Roman" w:hAnsi="Times New Roman" w:cs="Times New Roman"/>
          <w:color w:val="auto"/>
          <w:sz w:val="24"/>
          <w:szCs w:val="24"/>
          <w:vertAlign w:val="superscript"/>
        </w:rPr>
        <w:footnoteReference w:id="1"/>
      </w:r>
      <w:r w:rsidRPr="00CA291C">
        <w:rPr>
          <w:rFonts w:ascii="Times New Roman" w:eastAsia="Times New Roman" w:hAnsi="Times New Roman" w:cs="Times New Roman"/>
          <w:color w:val="auto"/>
          <w:sz w:val="24"/>
          <w:szCs w:val="24"/>
        </w:rPr>
        <w:t xml:space="preserve"> de la dominación, sino de comprender el género como la categoría que da forma a “estructuras de dominación patriarcales, creadas y encarnadas por los hombres y que conducen a unas relaciones de desiguales de poder”</w:t>
      </w:r>
      <w:r w:rsidR="007F625D" w:rsidRPr="00CA291C">
        <w:rPr>
          <w:rFonts w:ascii="Times New Roman" w:eastAsia="Times New Roman" w:hAnsi="Times New Roman" w:cs="Times New Roman"/>
          <w:color w:val="auto"/>
          <w:sz w:val="24"/>
          <w:szCs w:val="24"/>
        </w:rPr>
        <w:t xml:space="preserve"> (Osborne, 2002: 24)</w:t>
      </w:r>
      <w:r w:rsidRPr="00CA291C">
        <w:rPr>
          <w:rFonts w:ascii="Times New Roman" w:eastAsia="Times New Roman" w:hAnsi="Times New Roman" w:cs="Times New Roman"/>
          <w:color w:val="auto"/>
          <w:sz w:val="24"/>
          <w:szCs w:val="24"/>
        </w:rPr>
        <w:t xml:space="preserve">. Como señala Echols en otra parte, la mayoría de las feministas radicales tenían cuidado al definir la estructura patriarcal de dominación distinguiendo el rol masculino de la masculinidad. Esto es, los </w:t>
      </w:r>
      <w:r w:rsidRPr="00CA291C">
        <w:rPr>
          <w:rFonts w:ascii="Times New Roman" w:eastAsia="Times New Roman" w:hAnsi="Times New Roman" w:cs="Times New Roman"/>
          <w:color w:val="auto"/>
          <w:sz w:val="24"/>
          <w:szCs w:val="24"/>
        </w:rPr>
        <w:lastRenderedPageBreak/>
        <w:t>hombres eran los enemigos siempre y cuando se les identificara con el rol masculino dominante</w:t>
      </w:r>
      <w:r w:rsidR="007F625D" w:rsidRPr="00CA291C">
        <w:rPr>
          <w:rFonts w:ascii="Times New Roman" w:eastAsia="Times New Roman" w:hAnsi="Times New Roman" w:cs="Times New Roman"/>
          <w:color w:val="auto"/>
          <w:sz w:val="24"/>
          <w:szCs w:val="24"/>
        </w:rPr>
        <w:t xml:space="preserve"> (Echols, 1983: 443)</w:t>
      </w:r>
      <w:r w:rsidRPr="00CA291C">
        <w:rPr>
          <w:rFonts w:ascii="Times New Roman" w:eastAsia="Times New Roman" w:hAnsi="Times New Roman" w:cs="Times New Roman"/>
          <w:color w:val="auto"/>
          <w:sz w:val="24"/>
          <w:szCs w:val="24"/>
        </w:rPr>
        <w:t xml:space="preserve">, no por una supuesta predisposición innata o una precondición biológica hacia la dominación. </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En palabras de Anne Koedt, el feminismo radical no pretendía abogar por otra cosa que no fuera la eliminación de los roles sexuales</w:t>
      </w:r>
      <w:r w:rsidR="00D555F9" w:rsidRPr="00CA291C">
        <w:rPr>
          <w:rFonts w:ascii="Times New Roman" w:eastAsia="Times New Roman" w:hAnsi="Times New Roman" w:cs="Times New Roman"/>
          <w:color w:val="auto"/>
          <w:sz w:val="24"/>
          <w:szCs w:val="24"/>
        </w:rPr>
        <w:t xml:space="preserve"> (Koedt, 1973)</w:t>
      </w:r>
      <w:r w:rsidRPr="00CA291C">
        <w:rPr>
          <w:rFonts w:ascii="Times New Roman" w:eastAsia="Times New Roman" w:hAnsi="Times New Roman" w:cs="Times New Roman"/>
          <w:color w:val="auto"/>
          <w:sz w:val="24"/>
          <w:szCs w:val="24"/>
        </w:rPr>
        <w:t>. Desde su óptica, es básico comprender que el feminismo radical no entendía la biología como destino, sino que los roles que se asocian a la anatomía sexual son construcciones sociales y culturales aprendidas. Aunque estos roles efectivamente son constructos políticos masculinos que sirven para asegurar el poder y la superioridad de los hombres, para esta autora, es erróneo acuñarlo a una innata biología masculina</w:t>
      </w:r>
      <w:r w:rsidR="007E4C10"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i/>
          <w:color w:val="auto"/>
          <w:sz w:val="24"/>
          <w:szCs w:val="24"/>
        </w:rPr>
        <w:t xml:space="preserve"> </w:t>
      </w:r>
      <w:r w:rsidRPr="00CA291C">
        <w:rPr>
          <w:rFonts w:ascii="Times New Roman" w:eastAsia="Times New Roman" w:hAnsi="Times New Roman" w:cs="Times New Roman"/>
          <w:color w:val="auto"/>
          <w:sz w:val="24"/>
          <w:szCs w:val="24"/>
        </w:rPr>
        <w:t>Por lo tanto, no es la biología la que determina los roles de género, dice Koedt, pues al tratarse de constructos aprendidos no hay nada inherentemente masculino o femenino en el comportamiento</w:t>
      </w:r>
      <w:r w:rsidR="00D555F9" w:rsidRPr="00CA291C">
        <w:rPr>
          <w:rFonts w:ascii="Times New Roman" w:eastAsia="Times New Roman" w:hAnsi="Times New Roman" w:cs="Times New Roman"/>
          <w:color w:val="auto"/>
          <w:sz w:val="24"/>
          <w:szCs w:val="24"/>
        </w:rPr>
        <w:t xml:space="preserve"> (Koedt, 1973: 249)</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Sin embargo, siguiendo a Echols, las derivas de las feministas radicales se fueron alejando respecto de los planteamientos recién descritos. Desde finales de los años setenta, los razonamientos radicales comienzan a transformarse hasta tal punto de que las diferencias entre el </w:t>
      </w:r>
      <w:r w:rsidRPr="00CA291C">
        <w:rPr>
          <w:rFonts w:ascii="Times New Roman" w:eastAsia="Times New Roman" w:hAnsi="Times New Roman" w:cs="Times New Roman"/>
          <w:i/>
          <w:color w:val="auto"/>
          <w:sz w:val="24"/>
          <w:szCs w:val="24"/>
        </w:rPr>
        <w:t>viejo</w:t>
      </w:r>
      <w:r w:rsidRPr="00CA291C">
        <w:rPr>
          <w:rFonts w:ascii="Times New Roman" w:eastAsia="Times New Roman" w:hAnsi="Times New Roman" w:cs="Times New Roman"/>
          <w:color w:val="auto"/>
          <w:sz w:val="24"/>
          <w:szCs w:val="24"/>
        </w:rPr>
        <w:t xml:space="preserve"> radicalismo y el </w:t>
      </w:r>
      <w:r w:rsidRPr="00CA291C">
        <w:rPr>
          <w:rFonts w:ascii="Times New Roman" w:eastAsia="Times New Roman" w:hAnsi="Times New Roman" w:cs="Times New Roman"/>
          <w:i/>
          <w:color w:val="auto"/>
          <w:sz w:val="24"/>
          <w:szCs w:val="24"/>
        </w:rPr>
        <w:t xml:space="preserve">nuevo </w:t>
      </w:r>
      <w:r w:rsidRPr="00CA291C">
        <w:rPr>
          <w:rFonts w:ascii="Times New Roman" w:eastAsia="Times New Roman" w:hAnsi="Times New Roman" w:cs="Times New Roman"/>
          <w:color w:val="auto"/>
          <w:sz w:val="24"/>
          <w:szCs w:val="24"/>
        </w:rPr>
        <w:t xml:space="preserve">radicalismo eran tan fundamentales que, para esta autora, necesitaban un nuevo nombre. Este nuevo radicalismo más que feminismo radical pasaba ser un feminismo cultural.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De entre las muchas razones para esta diferenciación</w:t>
      </w:r>
      <w:r w:rsidR="007E4C10"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hay una que es definitoria. Si bien el feminismo radical concentraba sus energías en la eliminación de la estructura de dominación patriarcal para la liberación de las mujeres, el feminismo cultural equipara esta liberación con el desarrollo y la preservación de una “contracultura femenina”</w:t>
      </w:r>
      <w:r w:rsidR="00D555F9" w:rsidRPr="00CA291C">
        <w:rPr>
          <w:rFonts w:ascii="Times New Roman" w:eastAsia="Times New Roman" w:hAnsi="Times New Roman" w:cs="Times New Roman"/>
          <w:color w:val="auto"/>
          <w:sz w:val="24"/>
          <w:szCs w:val="24"/>
        </w:rPr>
        <w:t xml:space="preserve"> (Echols, 1983: 441)</w:t>
      </w:r>
      <w:r w:rsidRPr="00CA291C">
        <w:rPr>
          <w:rFonts w:ascii="Times New Roman" w:eastAsia="Times New Roman" w:hAnsi="Times New Roman" w:cs="Times New Roman"/>
          <w:color w:val="auto"/>
          <w:sz w:val="24"/>
          <w:szCs w:val="24"/>
        </w:rPr>
        <w:t xml:space="preserve">. El objetivo no es ya hacer desaparecer el género como categoría social significativa que impone los roles sexuales, sino reafirmar lo que denominan como el «principio femenino». Este «principio femenino» consagraría la bondad de los valores femeninos frente a los denigrantes valores masculinos. La clave es la constitución de un contrapoder, basado en los valores femeninos, que desafíe el poder dominante, sostenido en los valores masculinos.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La atención se desvía de la estructura de dominación patriarcal hacia la estructura biológica y comportamental masculina</w:t>
      </w:r>
      <w:r w:rsidR="00D555F9" w:rsidRPr="00CA291C">
        <w:rPr>
          <w:rFonts w:ascii="Times New Roman" w:eastAsia="Times New Roman" w:hAnsi="Times New Roman" w:cs="Times New Roman"/>
          <w:color w:val="auto"/>
          <w:sz w:val="24"/>
          <w:szCs w:val="24"/>
        </w:rPr>
        <w:t xml:space="preserve"> (Echols, 1983: 442)</w:t>
      </w:r>
      <w:r w:rsidRPr="00CA291C">
        <w:rPr>
          <w:rFonts w:ascii="Times New Roman" w:eastAsia="Times New Roman" w:hAnsi="Times New Roman" w:cs="Times New Roman"/>
          <w:color w:val="auto"/>
          <w:sz w:val="24"/>
          <w:szCs w:val="24"/>
        </w:rPr>
        <w:t>. Desde el punto de vista de Raque</w:t>
      </w:r>
      <w:r w:rsidR="007E4C10" w:rsidRPr="00CA291C">
        <w:rPr>
          <w:rFonts w:ascii="Times New Roman" w:eastAsia="Times New Roman" w:hAnsi="Times New Roman" w:cs="Times New Roman"/>
          <w:color w:val="auto"/>
          <w:sz w:val="24"/>
          <w:szCs w:val="24"/>
        </w:rPr>
        <w:t xml:space="preserve">l Osborne, esto se resume en una </w:t>
      </w:r>
      <w:r w:rsidRPr="00CA291C">
        <w:rPr>
          <w:rFonts w:ascii="Times New Roman" w:eastAsia="Times New Roman" w:hAnsi="Times New Roman" w:cs="Times New Roman"/>
          <w:color w:val="auto"/>
          <w:sz w:val="24"/>
          <w:szCs w:val="24"/>
        </w:rPr>
        <w:t xml:space="preserve">reasignación de la </w:t>
      </w:r>
      <w:r w:rsidRPr="00CA291C">
        <w:rPr>
          <w:rFonts w:ascii="Times New Roman" w:eastAsia="Times New Roman" w:hAnsi="Times New Roman" w:cs="Times New Roman"/>
          <w:i/>
          <w:color w:val="auto"/>
          <w:sz w:val="24"/>
          <w:szCs w:val="24"/>
        </w:rPr>
        <w:t xml:space="preserve">culpa </w:t>
      </w:r>
      <w:r w:rsidR="007E4C10" w:rsidRPr="00CA291C">
        <w:rPr>
          <w:rFonts w:ascii="Times New Roman" w:eastAsia="Times New Roman" w:hAnsi="Times New Roman" w:cs="Times New Roman"/>
          <w:color w:val="auto"/>
          <w:sz w:val="24"/>
          <w:szCs w:val="24"/>
        </w:rPr>
        <w:t>por</w:t>
      </w:r>
      <w:r w:rsidRPr="00CA291C">
        <w:rPr>
          <w:rFonts w:ascii="Times New Roman" w:eastAsia="Times New Roman" w:hAnsi="Times New Roman" w:cs="Times New Roman"/>
          <w:color w:val="auto"/>
          <w:sz w:val="24"/>
          <w:szCs w:val="24"/>
        </w:rPr>
        <w:t xml:space="preserve"> la opresión de las mujeres que, en lugar de localizarse en el patriarcado, ahora</w:t>
      </w:r>
      <w:r w:rsidR="007E4C10" w:rsidRPr="00CA291C">
        <w:rPr>
          <w:rFonts w:ascii="Times New Roman" w:eastAsia="Times New Roman" w:hAnsi="Times New Roman" w:cs="Times New Roman"/>
          <w:color w:val="auto"/>
          <w:sz w:val="24"/>
          <w:szCs w:val="24"/>
        </w:rPr>
        <w:t xml:space="preserve"> se ciñe directamente en</w:t>
      </w:r>
      <w:r w:rsidRPr="00CA291C">
        <w:rPr>
          <w:rFonts w:ascii="Times New Roman" w:eastAsia="Times New Roman" w:hAnsi="Times New Roman" w:cs="Times New Roman"/>
          <w:color w:val="auto"/>
          <w:sz w:val="24"/>
          <w:szCs w:val="24"/>
        </w:rPr>
        <w:t xml:space="preserve"> los hombres: “Se pasó de culpabilizar al patriarcado –en tanto que sistema que concede el </w:t>
      </w:r>
      <w:r w:rsidRPr="00CA291C">
        <w:rPr>
          <w:rFonts w:ascii="Times New Roman" w:eastAsia="Times New Roman" w:hAnsi="Times New Roman" w:cs="Times New Roman"/>
          <w:color w:val="auto"/>
          <w:sz w:val="24"/>
          <w:szCs w:val="24"/>
        </w:rPr>
        <w:lastRenderedPageBreak/>
        <w:t>poder a los varones- a atacar directamente a los hombres, individual o colectivamente, por el mero hecho de serlo”</w:t>
      </w:r>
      <w:r w:rsidR="00D555F9" w:rsidRPr="00CA291C">
        <w:rPr>
          <w:rFonts w:ascii="Times New Roman" w:eastAsia="Times New Roman" w:hAnsi="Times New Roman" w:cs="Times New Roman"/>
          <w:color w:val="auto"/>
          <w:sz w:val="24"/>
          <w:szCs w:val="24"/>
        </w:rPr>
        <w:t xml:space="preserve"> (Osborne, 2002: 22)</w:t>
      </w:r>
      <w:r w:rsidRPr="00CA291C">
        <w:rPr>
          <w:rFonts w:ascii="Times New Roman" w:eastAsia="Times New Roman" w:hAnsi="Times New Roman" w:cs="Times New Roman"/>
          <w:color w:val="auto"/>
          <w:sz w:val="24"/>
          <w:szCs w:val="24"/>
        </w:rPr>
        <w:t xml:space="preserve">.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definitiva, el feminismo cultural comprende que la solución ante tal dominación masculina es, entonces, su reemplazamiento por el contrapoder cultural femenino</w:t>
      </w:r>
      <w:r w:rsidR="005E03AC" w:rsidRPr="00CA291C">
        <w:rPr>
          <w:rFonts w:ascii="Times New Roman" w:eastAsia="Times New Roman" w:hAnsi="Times New Roman" w:cs="Times New Roman"/>
          <w:color w:val="auto"/>
          <w:sz w:val="24"/>
          <w:szCs w:val="24"/>
        </w:rPr>
        <w:t xml:space="preserve"> (Echols, 1989: 81)</w:t>
      </w:r>
      <w:r w:rsidRPr="00CA291C">
        <w:rPr>
          <w:rFonts w:ascii="Times New Roman" w:eastAsia="Times New Roman" w:hAnsi="Times New Roman" w:cs="Times New Roman"/>
          <w:color w:val="auto"/>
          <w:sz w:val="24"/>
          <w:szCs w:val="24"/>
        </w:rPr>
        <w:t>. Se trata de una corriente feminista que, a través de una visión dicotómica del mundo, propone una lucha dialéctica a todas luces cuya síntesis final no puede ser otra que la destrucción del sexismo entendido como dominación masculina. Esto significa entender el género como una “categoría absoluta”</w:t>
      </w:r>
      <w:r w:rsidR="00D555F9" w:rsidRPr="00CA291C">
        <w:rPr>
          <w:rFonts w:ascii="Times New Roman" w:eastAsia="Times New Roman" w:hAnsi="Times New Roman" w:cs="Times New Roman"/>
          <w:color w:val="auto"/>
          <w:sz w:val="24"/>
          <w:szCs w:val="24"/>
        </w:rPr>
        <w:t xml:space="preserve"> (Echols, 1983: 440)</w:t>
      </w:r>
      <w:r w:rsidRPr="00CA291C">
        <w:rPr>
          <w:rFonts w:ascii="Times New Roman" w:eastAsia="Times New Roman" w:hAnsi="Times New Roman" w:cs="Times New Roman"/>
          <w:color w:val="auto"/>
          <w:sz w:val="24"/>
          <w:szCs w:val="24"/>
        </w:rPr>
        <w:t xml:space="preserve"> que híper-enfatiza y sobredimensiona forzosamente las diferencias sexuales y que silencia y subestima la igualdad de mujeres y hombres. Este “maniqueísmo absoluto y sin contradicciones”</w:t>
      </w:r>
      <w:r w:rsidR="00D555F9" w:rsidRPr="00CA291C">
        <w:rPr>
          <w:rFonts w:ascii="Times New Roman" w:eastAsia="Times New Roman" w:hAnsi="Times New Roman" w:cs="Times New Roman"/>
          <w:color w:val="auto"/>
          <w:sz w:val="24"/>
          <w:szCs w:val="24"/>
        </w:rPr>
        <w:t xml:space="preserve"> (Osborne, 2002: 52)</w:t>
      </w:r>
      <w:r w:rsidRPr="00CA291C">
        <w:rPr>
          <w:rFonts w:ascii="Times New Roman" w:eastAsia="Times New Roman" w:hAnsi="Times New Roman" w:cs="Times New Roman"/>
          <w:color w:val="auto"/>
          <w:sz w:val="24"/>
          <w:szCs w:val="24"/>
        </w:rPr>
        <w:t>, requiere pues de un repaso crítico si lo que se pretende es acercarnos a la igualdad de género, foco de esta comunicación, desde la perspectiva de los modelos emergentes.</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ab/>
      </w:r>
    </w:p>
    <w:p w:rsidR="004E0B2F" w:rsidRPr="00B77C01" w:rsidRDefault="004E0B2F" w:rsidP="004E0B2F">
      <w:pPr>
        <w:pStyle w:val="Ttulo3"/>
        <w:tabs>
          <w:tab w:val="left" w:pos="709"/>
        </w:tabs>
        <w:rPr>
          <w:rFonts w:ascii="Times New Roman" w:eastAsia="Calibri" w:hAnsi="Times New Roman" w:cs="Times New Roman"/>
          <w:b/>
          <w:smallCaps/>
          <w:color w:val="auto"/>
          <w:sz w:val="28"/>
        </w:rPr>
      </w:pPr>
      <w:bookmarkStart w:id="0" w:name="h.1fob9te" w:colFirst="0" w:colLast="0"/>
      <w:bookmarkEnd w:id="0"/>
      <w:r w:rsidRPr="00B77C01">
        <w:rPr>
          <w:rFonts w:ascii="Times New Roman" w:eastAsia="Calibri" w:hAnsi="Times New Roman" w:cs="Times New Roman"/>
          <w:b/>
          <w:smallCaps/>
          <w:color w:val="auto"/>
          <w:sz w:val="28"/>
        </w:rPr>
        <w:t>La dominación masculina, un concepto obstáculo</w:t>
      </w:r>
    </w:p>
    <w:p w:rsidR="004E0B2F" w:rsidRPr="00CA291C" w:rsidRDefault="004E0B2F" w:rsidP="004E0B2F">
      <w:pPr>
        <w:rPr>
          <w:color w:val="auto"/>
        </w:rPr>
      </w:pPr>
    </w:p>
    <w:p w:rsidR="004E0B2F" w:rsidRPr="00CA291C" w:rsidRDefault="007E4C10" w:rsidP="00C168DE">
      <w:pPr>
        <w:spacing w:after="0" w:line="360" w:lineRule="auto"/>
        <w:jc w:val="both"/>
        <w:rPr>
          <w:color w:val="auto"/>
        </w:rPr>
      </w:pPr>
      <w:r w:rsidRPr="00CA291C">
        <w:rPr>
          <w:rFonts w:ascii="Times New Roman" w:eastAsia="Times New Roman" w:hAnsi="Times New Roman" w:cs="Times New Roman"/>
          <w:color w:val="auto"/>
          <w:sz w:val="24"/>
          <w:szCs w:val="24"/>
        </w:rPr>
        <w:t>E</w:t>
      </w:r>
      <w:r w:rsidR="004E0B2F" w:rsidRPr="00CA291C">
        <w:rPr>
          <w:rFonts w:ascii="Times New Roman" w:eastAsia="Times New Roman" w:hAnsi="Times New Roman" w:cs="Times New Roman"/>
          <w:color w:val="auto"/>
          <w:sz w:val="24"/>
          <w:szCs w:val="24"/>
        </w:rPr>
        <w:t xml:space="preserve">l feminismo radical propugnaba </w:t>
      </w:r>
      <w:r w:rsidRPr="00CA291C">
        <w:rPr>
          <w:rFonts w:ascii="Times New Roman" w:eastAsia="Times New Roman" w:hAnsi="Times New Roman" w:cs="Times New Roman"/>
          <w:color w:val="auto"/>
          <w:sz w:val="24"/>
          <w:szCs w:val="24"/>
        </w:rPr>
        <w:t xml:space="preserve"> que</w:t>
      </w:r>
      <w:r w:rsidR="004E0B2F" w:rsidRPr="00CA291C">
        <w:rPr>
          <w:rFonts w:ascii="Times New Roman" w:eastAsia="Times New Roman" w:hAnsi="Times New Roman" w:cs="Times New Roman"/>
          <w:color w:val="auto"/>
          <w:sz w:val="24"/>
          <w:szCs w:val="24"/>
        </w:rPr>
        <w:t xml:space="preserve"> el patriarcado</w:t>
      </w:r>
      <w:r w:rsidRPr="00CA291C">
        <w:rPr>
          <w:rFonts w:ascii="Times New Roman" w:eastAsia="Times New Roman" w:hAnsi="Times New Roman" w:cs="Times New Roman"/>
          <w:color w:val="auto"/>
          <w:sz w:val="24"/>
          <w:szCs w:val="24"/>
        </w:rPr>
        <w:t xml:space="preserve"> como sistema de dominación </w:t>
      </w:r>
      <w:r w:rsidR="004E0B2F" w:rsidRPr="00CA291C">
        <w:rPr>
          <w:rFonts w:ascii="Times New Roman" w:eastAsia="Times New Roman" w:hAnsi="Times New Roman" w:cs="Times New Roman"/>
          <w:color w:val="auto"/>
          <w:sz w:val="24"/>
          <w:szCs w:val="24"/>
        </w:rPr>
        <w:t xml:space="preserve">debía ser destruido. Sin embargo, el camino tomado </w:t>
      </w:r>
      <w:r w:rsidRPr="00CA291C">
        <w:rPr>
          <w:rFonts w:ascii="Times New Roman" w:eastAsia="Times New Roman" w:hAnsi="Times New Roman" w:cs="Times New Roman"/>
          <w:color w:val="auto"/>
          <w:sz w:val="24"/>
          <w:szCs w:val="24"/>
        </w:rPr>
        <w:t>por el feminismo cultural parecía apuntar</w:t>
      </w:r>
      <w:r w:rsidR="004E0B2F" w:rsidRPr="00CA291C">
        <w:rPr>
          <w:rFonts w:ascii="Times New Roman" w:eastAsia="Times New Roman" w:hAnsi="Times New Roman" w:cs="Times New Roman"/>
          <w:color w:val="auto"/>
          <w:sz w:val="24"/>
          <w:szCs w:val="24"/>
        </w:rPr>
        <w:t xml:space="preserve"> más hacia la </w:t>
      </w:r>
      <w:r w:rsidR="004E0B2F" w:rsidRPr="00CA291C">
        <w:rPr>
          <w:rFonts w:ascii="Times New Roman" w:eastAsia="Times New Roman" w:hAnsi="Times New Roman" w:cs="Times New Roman"/>
          <w:i/>
          <w:color w:val="auto"/>
          <w:sz w:val="24"/>
          <w:szCs w:val="24"/>
        </w:rPr>
        <w:t>eliminación</w:t>
      </w:r>
      <w:r w:rsidR="004E0B2F" w:rsidRPr="00CA291C">
        <w:rPr>
          <w:rFonts w:ascii="Times New Roman" w:eastAsia="Times New Roman" w:hAnsi="Times New Roman" w:cs="Times New Roman"/>
          <w:color w:val="auto"/>
          <w:sz w:val="24"/>
          <w:szCs w:val="24"/>
        </w:rPr>
        <w:t xml:space="preserve"> de los hombres que del sistema patriarcal. No es descabellado llegar a esta conclusión a raíz de sus planteamientos, </w:t>
      </w:r>
      <w:r w:rsidRPr="00CA291C">
        <w:rPr>
          <w:rFonts w:ascii="Times New Roman" w:eastAsia="Times New Roman" w:hAnsi="Times New Roman" w:cs="Times New Roman"/>
          <w:color w:val="auto"/>
          <w:sz w:val="24"/>
          <w:szCs w:val="24"/>
        </w:rPr>
        <w:t>aunque</w:t>
      </w:r>
      <w:r w:rsidR="004E0B2F" w:rsidRPr="00CA291C">
        <w:rPr>
          <w:rFonts w:ascii="Times New Roman" w:eastAsia="Times New Roman" w:hAnsi="Times New Roman" w:cs="Times New Roman"/>
          <w:color w:val="auto"/>
          <w:sz w:val="24"/>
          <w:szCs w:val="24"/>
        </w:rPr>
        <w:t xml:space="preserve"> sí matizable. </w:t>
      </w:r>
      <w:r w:rsidRPr="00CA291C">
        <w:rPr>
          <w:rFonts w:ascii="Times New Roman" w:eastAsia="Times New Roman" w:hAnsi="Times New Roman" w:cs="Times New Roman"/>
          <w:color w:val="auto"/>
          <w:sz w:val="24"/>
          <w:szCs w:val="24"/>
        </w:rPr>
        <w:t xml:space="preserve">A </w:t>
      </w:r>
      <w:r w:rsidR="004E0B2F" w:rsidRPr="00CA291C">
        <w:rPr>
          <w:rFonts w:ascii="Times New Roman" w:eastAsia="Times New Roman" w:hAnsi="Times New Roman" w:cs="Times New Roman"/>
          <w:color w:val="auto"/>
          <w:sz w:val="24"/>
          <w:szCs w:val="24"/>
        </w:rPr>
        <w:t>continuación se trata de describir qué es y qué repercusiones tiene el uso de la dominación masculina por parte del feminismo cultural a través de dos autoras clave en esta corriente: Andrea Dworkin y Catherine MacKinnon.</w:t>
      </w:r>
      <w:r w:rsidR="00C168DE" w:rsidRPr="00CA291C">
        <w:rPr>
          <w:rFonts w:ascii="Times New Roman" w:eastAsia="Times New Roman" w:hAnsi="Times New Roman" w:cs="Times New Roman"/>
          <w:color w:val="auto"/>
          <w:sz w:val="24"/>
          <w:szCs w:val="24"/>
        </w:rPr>
        <w:t xml:space="preserve"> </w:t>
      </w:r>
      <w:r w:rsidR="004E0B2F" w:rsidRPr="00CA291C">
        <w:rPr>
          <w:rFonts w:ascii="Times New Roman" w:eastAsia="Times New Roman" w:hAnsi="Times New Roman" w:cs="Times New Roman"/>
          <w:color w:val="auto"/>
          <w:sz w:val="24"/>
          <w:szCs w:val="24"/>
        </w:rPr>
        <w:t>Como ya señalara Echols, el feminismo cultural dista mucho de ser una corriente de pensamiento y acción monolítica</w:t>
      </w:r>
      <w:r w:rsidR="005E03AC" w:rsidRPr="00CA291C">
        <w:rPr>
          <w:rFonts w:ascii="Times New Roman" w:eastAsia="Times New Roman" w:hAnsi="Times New Roman" w:cs="Times New Roman"/>
          <w:color w:val="auto"/>
          <w:sz w:val="24"/>
          <w:szCs w:val="24"/>
        </w:rPr>
        <w:t xml:space="preserve"> (Echols, 1989: 104)</w:t>
      </w:r>
      <w:r w:rsidR="004E0B2F" w:rsidRPr="00CA291C">
        <w:rPr>
          <w:rFonts w:ascii="Times New Roman" w:eastAsia="Times New Roman" w:hAnsi="Times New Roman" w:cs="Times New Roman"/>
          <w:color w:val="auto"/>
          <w:sz w:val="24"/>
          <w:szCs w:val="24"/>
        </w:rPr>
        <w:t xml:space="preserve">. No obstante, tanto Dworkin como MacKinnon son dos autoras que reflejan con mucha nitidez las ideas esenciales de este feminismo ya que defienden tanto un concepto de dominación masculina como de sexualidad muy representativos. </w:t>
      </w:r>
    </w:p>
    <w:p w:rsidR="004E0B2F" w:rsidRPr="00CA291C" w:rsidRDefault="004E0B2F" w:rsidP="004E0B2F">
      <w:pPr>
        <w:spacing w:after="0" w:line="360" w:lineRule="auto"/>
        <w:ind w:firstLine="708"/>
        <w:jc w:val="both"/>
        <w:rPr>
          <w:color w:val="auto"/>
          <w:lang w:val="en-US"/>
        </w:rPr>
      </w:pPr>
      <w:r w:rsidRPr="00CA291C">
        <w:rPr>
          <w:rFonts w:ascii="Times New Roman" w:eastAsia="Times New Roman" w:hAnsi="Times New Roman" w:cs="Times New Roman"/>
          <w:color w:val="auto"/>
          <w:sz w:val="24"/>
          <w:szCs w:val="24"/>
        </w:rPr>
        <w:t>Para Dworkin el sexismo es el sistema de dominación masculina, es decir, la inequívoca realidad psicológica, política y cultural de la vida en este mundo tal y como es</w:t>
      </w:r>
      <w:r w:rsidR="00312BAF" w:rsidRPr="00CA291C">
        <w:rPr>
          <w:rFonts w:ascii="Times New Roman" w:eastAsia="Times New Roman" w:hAnsi="Times New Roman" w:cs="Times New Roman"/>
          <w:color w:val="auto"/>
          <w:sz w:val="24"/>
          <w:szCs w:val="24"/>
        </w:rPr>
        <w:t xml:space="preserve"> (Dworkin, 1974: 17)</w:t>
      </w:r>
      <w:r w:rsidRPr="00CA291C">
        <w:rPr>
          <w:rFonts w:ascii="Times New Roman" w:eastAsia="Times New Roman" w:hAnsi="Times New Roman" w:cs="Times New Roman"/>
          <w:color w:val="auto"/>
          <w:sz w:val="24"/>
          <w:szCs w:val="24"/>
        </w:rPr>
        <w:t xml:space="preserve">. Esta dominación masculina claramente significa la opresión de las mujeres por el mero hecho de serlo, lo que está enraizado tanto en la psique como en la cultura (en una relación que se entiende recíproca). No es extraño que Echols denominara culturales a estas feministas cuando su premisa fundamental es que </w:t>
      </w:r>
      <w:r w:rsidRPr="00CA291C">
        <w:rPr>
          <w:rFonts w:ascii="Times New Roman" w:eastAsia="Times New Roman" w:hAnsi="Times New Roman" w:cs="Times New Roman"/>
          <w:i/>
          <w:color w:val="auto"/>
          <w:sz w:val="24"/>
          <w:szCs w:val="24"/>
        </w:rPr>
        <w:t xml:space="preserve">todo es </w:t>
      </w:r>
      <w:r w:rsidRPr="00CA291C">
        <w:rPr>
          <w:rFonts w:ascii="Times New Roman" w:eastAsia="Times New Roman" w:hAnsi="Times New Roman" w:cs="Times New Roman"/>
          <w:i/>
          <w:color w:val="auto"/>
          <w:sz w:val="24"/>
          <w:szCs w:val="24"/>
        </w:rPr>
        <w:lastRenderedPageBreak/>
        <w:t>cultura</w:t>
      </w:r>
      <w:r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lang w:val="en-US"/>
        </w:rPr>
        <w:t>Como expresa claramente Dworkin, “the culture predetermines who we are, how we behave, what we are willing to know, what we are able to feel”</w:t>
      </w:r>
      <w:r w:rsidR="00312BAF" w:rsidRPr="00CA291C">
        <w:rPr>
          <w:rFonts w:ascii="Times New Roman" w:eastAsia="Times New Roman" w:hAnsi="Times New Roman" w:cs="Times New Roman"/>
          <w:color w:val="auto"/>
          <w:sz w:val="24"/>
          <w:szCs w:val="24"/>
          <w:lang w:val="en-US"/>
        </w:rPr>
        <w:t xml:space="preserve"> (Dworkin, 1974: 17)</w:t>
      </w:r>
      <w:r w:rsidRPr="00CA291C">
        <w:rPr>
          <w:rFonts w:ascii="Times New Roman" w:eastAsia="Times New Roman" w:hAnsi="Times New Roman" w:cs="Times New Roman"/>
          <w:color w:val="auto"/>
          <w:sz w:val="24"/>
          <w:szCs w:val="24"/>
          <w:lang w:val="en-US"/>
        </w:rPr>
        <w:t xml:space="preserve">.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A este respecto, Dworkin no se centra en el determinismo biológico para explicar la dominación masculina, aunque muchos de sus planteamientos son cuanto menos ambiguos en este sentido ya que su contenido es fuertemente esencialista. Desde mi punto de vista, la expresión larga y agudamente utilizada por la autora “men, as we know them” (los hombres, tal y como los conocemos), representa de forma diáfana esta ambigüedad. En lugar de los «hombres </w:t>
      </w:r>
      <w:r w:rsidRPr="00CA291C">
        <w:rPr>
          <w:rFonts w:ascii="Times New Roman" w:eastAsia="Times New Roman" w:hAnsi="Times New Roman" w:cs="Times New Roman"/>
          <w:i/>
          <w:color w:val="auto"/>
          <w:sz w:val="24"/>
          <w:szCs w:val="24"/>
        </w:rPr>
        <w:t>son»</w:t>
      </w:r>
      <w:r w:rsidRPr="00CA291C">
        <w:rPr>
          <w:rFonts w:ascii="Times New Roman" w:eastAsia="Times New Roman" w:hAnsi="Times New Roman" w:cs="Times New Roman"/>
          <w:color w:val="auto"/>
          <w:sz w:val="24"/>
          <w:szCs w:val="24"/>
        </w:rPr>
        <w:t xml:space="preserve">, lo que podría tener tintes claramente biologicistas, Dworkin emplea «los hombres </w:t>
      </w:r>
      <w:r w:rsidRPr="00CA291C">
        <w:rPr>
          <w:rFonts w:ascii="Times New Roman" w:eastAsia="Times New Roman" w:hAnsi="Times New Roman" w:cs="Times New Roman"/>
          <w:i/>
          <w:color w:val="auto"/>
          <w:sz w:val="24"/>
          <w:szCs w:val="24"/>
        </w:rPr>
        <w:t>son,</w:t>
      </w:r>
      <w:r w:rsidRPr="00CA291C">
        <w:rPr>
          <w:rFonts w:ascii="Times New Roman" w:eastAsia="Times New Roman" w:hAnsi="Times New Roman" w:cs="Times New Roman"/>
          <w:color w:val="auto"/>
          <w:sz w:val="24"/>
          <w:szCs w:val="24"/>
        </w:rPr>
        <w:t xml:space="preserve"> tal y como los conocemos», porque parece </w:t>
      </w:r>
      <w:r w:rsidRPr="00CA291C">
        <w:rPr>
          <w:rFonts w:ascii="Times New Roman" w:eastAsia="Times New Roman" w:hAnsi="Times New Roman" w:cs="Times New Roman"/>
          <w:i/>
          <w:color w:val="auto"/>
          <w:sz w:val="24"/>
          <w:szCs w:val="24"/>
        </w:rPr>
        <w:t xml:space="preserve">no </w:t>
      </w:r>
      <w:r w:rsidRPr="00CA291C">
        <w:rPr>
          <w:rFonts w:ascii="Times New Roman" w:eastAsia="Times New Roman" w:hAnsi="Times New Roman" w:cs="Times New Roman"/>
          <w:color w:val="auto"/>
          <w:sz w:val="24"/>
          <w:szCs w:val="24"/>
        </w:rPr>
        <w:t xml:space="preserve">existir constancia de hombres que </w:t>
      </w:r>
      <w:r w:rsidRPr="00CA291C">
        <w:rPr>
          <w:rFonts w:ascii="Times New Roman" w:eastAsia="Times New Roman" w:hAnsi="Times New Roman" w:cs="Times New Roman"/>
          <w:i/>
          <w:color w:val="auto"/>
          <w:sz w:val="24"/>
          <w:szCs w:val="24"/>
        </w:rPr>
        <w:t>sean</w:t>
      </w:r>
      <w:r w:rsidRPr="00CA291C">
        <w:rPr>
          <w:rFonts w:ascii="Times New Roman" w:eastAsia="Times New Roman" w:hAnsi="Times New Roman" w:cs="Times New Roman"/>
          <w:color w:val="auto"/>
          <w:sz w:val="24"/>
          <w:szCs w:val="24"/>
        </w:rPr>
        <w:t xml:space="preserve"> algo distinto</w:t>
      </w:r>
      <w:r w:rsidRPr="00CA291C">
        <w:rPr>
          <w:rFonts w:ascii="Times New Roman" w:eastAsia="Times New Roman" w:hAnsi="Times New Roman" w:cs="Times New Roman"/>
          <w:color w:val="auto"/>
          <w:sz w:val="24"/>
          <w:szCs w:val="24"/>
          <w:vertAlign w:val="superscript"/>
        </w:rPr>
        <w:footnoteReference w:id="2"/>
      </w:r>
      <w:r w:rsidRPr="00CA291C">
        <w:rPr>
          <w:rFonts w:ascii="Times New Roman" w:eastAsia="Times New Roman" w:hAnsi="Times New Roman" w:cs="Times New Roman"/>
          <w:color w:val="auto"/>
          <w:sz w:val="24"/>
          <w:szCs w:val="24"/>
        </w:rPr>
        <w:t xml:space="preserve">. La retórica de Dworkin deja entrever una línea poco clara entre la naturaleza y la cultura. Un esencialismo patente, en todo caso. De cualquier manera, lo que caracteriza esta dominación de los «hombres tal y como los conocemos» es una cultura del odio y la opresión de las mujeres. </w:t>
      </w:r>
    </w:p>
    <w:p w:rsidR="00C168DE" w:rsidRDefault="004E0B2F" w:rsidP="00C168DE">
      <w:pPr>
        <w:spacing w:after="0" w:line="360" w:lineRule="auto"/>
        <w:ind w:firstLine="708"/>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 xml:space="preserve">Dworkin a menudo irradia destellos foucaultianos, ya que su perspectiva de la cultura aparece como si fuera una cárcel laberíntica. Desde su óptica, la sustancia de los modelos sexuales que impone la cultura de dominación masculina se instituye en estancias psicológicas y patrones de interacción social que circunscriben la vida de las personas según su anatomía biológica. Así pues, dice la feminista estadounidense, la cultura nos hace funcionar </w:t>
      </w:r>
    </w:p>
    <w:p w:rsidR="0003009C" w:rsidRPr="00CA291C" w:rsidRDefault="0003009C" w:rsidP="00C168DE">
      <w:pPr>
        <w:spacing w:after="0" w:line="360" w:lineRule="auto"/>
        <w:ind w:firstLine="708"/>
        <w:jc w:val="both"/>
        <w:rPr>
          <w:rFonts w:ascii="Times New Roman" w:eastAsia="Times New Roman" w:hAnsi="Times New Roman" w:cs="Times New Roman"/>
          <w:color w:val="auto"/>
          <w:sz w:val="24"/>
          <w:szCs w:val="24"/>
        </w:rPr>
      </w:pPr>
    </w:p>
    <w:p w:rsidR="00C168DE" w:rsidRPr="00CA291C" w:rsidRDefault="00C168DE" w:rsidP="008A5E1E">
      <w:pPr>
        <w:spacing w:after="0" w:line="360" w:lineRule="auto"/>
        <w:ind w:left="709"/>
        <w:jc w:val="both"/>
        <w:rPr>
          <w:rFonts w:ascii="Times New Roman" w:eastAsia="Times New Roman" w:hAnsi="Times New Roman" w:cs="Times New Roman"/>
          <w:color w:val="auto"/>
          <w:sz w:val="20"/>
          <w:szCs w:val="24"/>
        </w:rPr>
      </w:pPr>
      <w:r w:rsidRPr="00CA291C">
        <w:rPr>
          <w:rFonts w:ascii="Times New Roman" w:eastAsia="Times New Roman" w:hAnsi="Times New Roman" w:cs="Times New Roman"/>
          <w:color w:val="auto"/>
          <w:sz w:val="20"/>
          <w:szCs w:val="24"/>
        </w:rPr>
        <w:t>“D</w:t>
      </w:r>
      <w:r w:rsidR="004E0B2F" w:rsidRPr="00CA291C">
        <w:rPr>
          <w:rFonts w:ascii="Times New Roman" w:eastAsia="Times New Roman" w:hAnsi="Times New Roman" w:cs="Times New Roman"/>
          <w:color w:val="auto"/>
          <w:sz w:val="20"/>
          <w:szCs w:val="24"/>
        </w:rPr>
        <w:t>entro de un escenario socioreligioso de lo correcto y lo incorrecto, lo bueno y lo malo, lo lícito e ilícito, lo legal e ilegal, todo saturado de vergüenza y culpa. Estamos programados por la cultura seguramente igual que las ratas están programadas para realizar el arduo camino por el laberinto que pone el científico, y esa programación, opera en todos los niveles de elección y acción”</w:t>
      </w:r>
      <w:r w:rsidR="00312BAF" w:rsidRPr="00CA291C">
        <w:rPr>
          <w:rFonts w:ascii="Times New Roman" w:eastAsia="Times New Roman" w:hAnsi="Times New Roman" w:cs="Times New Roman"/>
          <w:color w:val="auto"/>
          <w:sz w:val="24"/>
          <w:szCs w:val="24"/>
        </w:rPr>
        <w:t xml:space="preserve"> </w:t>
      </w:r>
      <w:r w:rsidR="00312BAF" w:rsidRPr="00CA291C">
        <w:rPr>
          <w:rFonts w:ascii="Times New Roman" w:eastAsia="Times New Roman" w:hAnsi="Times New Roman" w:cs="Times New Roman"/>
          <w:color w:val="auto"/>
          <w:sz w:val="20"/>
          <w:szCs w:val="24"/>
        </w:rPr>
        <w:t>(Dworkin, 1974: 155)</w:t>
      </w:r>
      <w:r w:rsidR="004E0B2F" w:rsidRPr="00CA291C">
        <w:rPr>
          <w:rFonts w:ascii="Times New Roman" w:eastAsia="Times New Roman" w:hAnsi="Times New Roman" w:cs="Times New Roman"/>
          <w:color w:val="auto"/>
          <w:sz w:val="20"/>
          <w:szCs w:val="24"/>
        </w:rPr>
        <w:t xml:space="preserve">. </w:t>
      </w:r>
    </w:p>
    <w:p w:rsidR="00C168DE" w:rsidRPr="00CA291C" w:rsidRDefault="00C168DE" w:rsidP="00C168DE">
      <w:pPr>
        <w:spacing w:after="0" w:line="240" w:lineRule="auto"/>
        <w:ind w:left="709"/>
        <w:jc w:val="both"/>
        <w:rPr>
          <w:rFonts w:ascii="Times New Roman" w:eastAsia="Times New Roman" w:hAnsi="Times New Roman" w:cs="Times New Roman"/>
          <w:color w:val="auto"/>
          <w:sz w:val="20"/>
          <w:szCs w:val="24"/>
        </w:rPr>
      </w:pPr>
    </w:p>
    <w:p w:rsidR="004E0B2F" w:rsidRPr="00CA291C" w:rsidRDefault="004E0B2F" w:rsidP="00C168DE">
      <w:pPr>
        <w:spacing w:after="0" w:line="360" w:lineRule="auto"/>
        <w:ind w:left="709"/>
        <w:jc w:val="both"/>
        <w:rPr>
          <w:color w:val="auto"/>
        </w:rPr>
      </w:pPr>
      <w:r w:rsidRPr="00CA291C">
        <w:rPr>
          <w:rFonts w:ascii="Times New Roman" w:eastAsia="Times New Roman" w:hAnsi="Times New Roman" w:cs="Times New Roman"/>
          <w:color w:val="auto"/>
          <w:sz w:val="24"/>
          <w:szCs w:val="24"/>
        </w:rPr>
        <w:t>Como la cultura está en todas partes, la opresión también lo está.</w:t>
      </w:r>
    </w:p>
    <w:p w:rsidR="004E0B2F" w:rsidRPr="00CA291C" w:rsidRDefault="004E0B2F" w:rsidP="00C168DE">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En efecto, la dominación de los «hombres tal y como los conocemos» parece llevar a un separatismo inevitable. Al concebirse el género en calidad de categoría absoluta, se produce una contraposición categórica de los valores femeninos y los valores masculinos. Las feministas culturales, como el caso de Dworkin, proponen un separatismo de tales valores masculinos a partir del desarrollo de la </w:t>
      </w:r>
      <w:r w:rsidRPr="00CA291C">
        <w:rPr>
          <w:rFonts w:ascii="Times New Roman" w:eastAsia="Times New Roman" w:hAnsi="Times New Roman" w:cs="Times New Roman"/>
          <w:i/>
          <w:color w:val="auto"/>
          <w:sz w:val="24"/>
          <w:szCs w:val="24"/>
        </w:rPr>
        <w:t xml:space="preserve">verdadera </w:t>
      </w:r>
      <w:r w:rsidRPr="00CA291C">
        <w:rPr>
          <w:rFonts w:ascii="Times New Roman" w:eastAsia="Times New Roman" w:hAnsi="Times New Roman" w:cs="Times New Roman"/>
          <w:color w:val="auto"/>
          <w:sz w:val="24"/>
          <w:szCs w:val="24"/>
        </w:rPr>
        <w:t xml:space="preserve">naturaleza </w:t>
      </w:r>
      <w:r w:rsidRPr="00CA291C">
        <w:rPr>
          <w:rFonts w:ascii="Times New Roman" w:eastAsia="Times New Roman" w:hAnsi="Times New Roman" w:cs="Times New Roman"/>
          <w:color w:val="auto"/>
          <w:sz w:val="24"/>
          <w:szCs w:val="24"/>
        </w:rPr>
        <w:lastRenderedPageBreak/>
        <w:t>femenina, el «principio femenino», que no es por supuesto el impuesto por el patriarcado.</w:t>
      </w:r>
      <w:r w:rsidR="00611087" w:rsidRPr="00CA291C">
        <w:rPr>
          <w:rFonts w:ascii="Times New Roman" w:eastAsia="Times New Roman" w:hAnsi="Times New Roman" w:cs="Times New Roman"/>
          <w:color w:val="auto"/>
          <w:sz w:val="24"/>
          <w:szCs w:val="24"/>
        </w:rPr>
        <w:t xml:space="preserve"> La tarea para romper con la feminidad impuesta por el patriarcado pasa por potenciar esa nueva feminidad de forma que se desarrollen alternativas radicales, algo así como aprender a “matar cerdos sin convertirse en cerdos”</w:t>
      </w:r>
      <w:r w:rsidR="00312BAF" w:rsidRPr="00CA291C">
        <w:rPr>
          <w:rFonts w:ascii="Times New Roman" w:eastAsia="Times New Roman" w:hAnsi="Times New Roman" w:cs="Times New Roman"/>
          <w:color w:val="auto"/>
          <w:sz w:val="24"/>
          <w:szCs w:val="24"/>
        </w:rPr>
        <w:t xml:space="preserve"> (Dworkin, 1974: 76)</w:t>
      </w:r>
      <w:r w:rsidR="00611087"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color w:val="auto"/>
          <w:sz w:val="24"/>
          <w:szCs w:val="24"/>
        </w:rPr>
        <w:t xml:space="preserve"> </w:t>
      </w:r>
    </w:p>
    <w:p w:rsidR="004E0B2F" w:rsidRPr="00CA291C" w:rsidRDefault="00611087"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Pero p</w:t>
      </w:r>
      <w:r w:rsidR="004E0B2F" w:rsidRPr="00CA291C">
        <w:rPr>
          <w:rFonts w:ascii="Times New Roman" w:eastAsia="Times New Roman" w:hAnsi="Times New Roman" w:cs="Times New Roman"/>
          <w:color w:val="auto"/>
          <w:sz w:val="24"/>
          <w:szCs w:val="24"/>
        </w:rPr>
        <w:t>uede resultar paradójico que el objetivo más importante que plantea Dworkin sea negarse a permitir el reforzamiento cultural de los patrones y las conciencias duales que imponen los roles sexistas, cuando su propia estrategia se basa en la contraposición de una cultura dominante masculina a una contracultura alternativa basada en el «principio femenino»</w:t>
      </w:r>
      <w:r w:rsidR="00312BAF" w:rsidRPr="00CA291C">
        <w:rPr>
          <w:rFonts w:ascii="Times New Roman" w:eastAsia="Times New Roman" w:hAnsi="Times New Roman" w:cs="Times New Roman"/>
          <w:color w:val="auto"/>
          <w:sz w:val="24"/>
          <w:szCs w:val="24"/>
        </w:rPr>
        <w:t xml:space="preserve"> (Dworkin, 1974: 78)</w:t>
      </w:r>
      <w:r w:rsidR="004E0B2F" w:rsidRPr="00CA291C">
        <w:rPr>
          <w:rFonts w:ascii="Times New Roman" w:eastAsia="Times New Roman" w:hAnsi="Times New Roman" w:cs="Times New Roman"/>
          <w:color w:val="auto"/>
          <w:sz w:val="24"/>
          <w:szCs w:val="24"/>
        </w:rPr>
        <w:t>. Para la activista estadounidense, el propósito fundamental es la destrucción del sexismo, es decir,</w:t>
      </w:r>
      <w:r w:rsidRPr="00CA291C">
        <w:rPr>
          <w:rFonts w:ascii="Times New Roman" w:eastAsia="Times New Roman" w:hAnsi="Times New Roman" w:cs="Times New Roman"/>
          <w:color w:val="auto"/>
          <w:sz w:val="24"/>
          <w:szCs w:val="24"/>
        </w:rPr>
        <w:t xml:space="preserve"> acabar con</w:t>
      </w:r>
      <w:r w:rsidR="004E0B2F" w:rsidRPr="00CA291C">
        <w:rPr>
          <w:rFonts w:ascii="Times New Roman" w:eastAsia="Times New Roman" w:hAnsi="Times New Roman" w:cs="Times New Roman"/>
          <w:color w:val="auto"/>
          <w:sz w:val="24"/>
          <w:szCs w:val="24"/>
        </w:rPr>
        <w:t xml:space="preserve"> las definiciones de los roles polarizados de lo masculino y lo femenino, del hombre y de la mujer; es la destrucción del poder patriarcal sobre todas sus fuentes</w:t>
      </w:r>
      <w:r w:rsidR="00312BAF" w:rsidRPr="00CA291C">
        <w:rPr>
          <w:rFonts w:ascii="Times New Roman" w:eastAsia="Times New Roman" w:hAnsi="Times New Roman" w:cs="Times New Roman"/>
          <w:color w:val="auto"/>
          <w:sz w:val="24"/>
          <w:szCs w:val="24"/>
        </w:rPr>
        <w:t xml:space="preserve"> (Dworkin, 1974: 153)</w:t>
      </w:r>
      <w:r w:rsidR="004E0B2F"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Con lo cual,</w:t>
      </w:r>
      <w:r w:rsidR="004E0B2F" w:rsidRPr="00CA291C">
        <w:rPr>
          <w:rFonts w:ascii="Times New Roman" w:eastAsia="Times New Roman" w:hAnsi="Times New Roman" w:cs="Times New Roman"/>
          <w:color w:val="auto"/>
          <w:sz w:val="24"/>
          <w:szCs w:val="24"/>
        </w:rPr>
        <w:t xml:space="preserve"> la alternativa a la dominación es la erradicación de los roles de género impuestos en las psiques por la cultura patriarcal. La clave está en encontrar las formas de relacionarse y de comportarse que sean compatibles con “nuestras inherentes posibilidades naturales”</w:t>
      </w:r>
      <w:r w:rsidR="00312BAF" w:rsidRPr="00CA291C">
        <w:rPr>
          <w:rFonts w:ascii="Times New Roman" w:eastAsia="Times New Roman" w:hAnsi="Times New Roman" w:cs="Times New Roman"/>
          <w:color w:val="auto"/>
          <w:sz w:val="24"/>
          <w:szCs w:val="24"/>
        </w:rPr>
        <w:t xml:space="preserve"> (Dworkin, 1974: 157)</w:t>
      </w:r>
      <w:r w:rsidR="004E0B2F" w:rsidRPr="00CA291C">
        <w:rPr>
          <w:rFonts w:ascii="Times New Roman" w:eastAsia="Times New Roman" w:hAnsi="Times New Roman" w:cs="Times New Roman"/>
          <w:color w:val="auto"/>
          <w:sz w:val="24"/>
          <w:szCs w:val="24"/>
        </w:rPr>
        <w:t xml:space="preserve">. Aunque, en definitiva, podría pensarse que rebatir la polarización con polarización parece sonar más bien a </w:t>
      </w:r>
      <w:r w:rsidR="004E0B2F" w:rsidRPr="00CA291C">
        <w:rPr>
          <w:rFonts w:ascii="Times New Roman" w:eastAsia="Times New Roman" w:hAnsi="Times New Roman" w:cs="Times New Roman"/>
          <w:i/>
          <w:color w:val="auto"/>
          <w:sz w:val="24"/>
          <w:szCs w:val="24"/>
        </w:rPr>
        <w:t>matar cerdos convirtiéndose en cerdos</w:t>
      </w:r>
      <w:r w:rsidR="004E0B2F"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una línea similar, aunque en un estilo literario más académico, Catherine MacKinnon sostiene que la cuestión de género debe entenderse igualmente como una cuestión de poder, lo cual se traduce en un análisis político de la dominación a través la diferenciación sexual. Para esta autora, muy al contrario de lo que señala Gayle Rubin, los términos sexo y género sí son intercambiables. La sexualidad es un fenómeno social que responde a una dinámica de los sexos incrustada en una estructura social y donde el placer es “la experiencia del poder en su forma generizada”</w:t>
      </w:r>
      <w:r w:rsidR="00A337C0" w:rsidRPr="00CA291C">
        <w:rPr>
          <w:rFonts w:ascii="Times New Roman" w:eastAsia="Times New Roman" w:hAnsi="Times New Roman" w:cs="Times New Roman"/>
          <w:color w:val="auto"/>
          <w:sz w:val="24"/>
          <w:szCs w:val="24"/>
        </w:rPr>
        <w:t xml:space="preserve"> (MacKinnon, 1991: XIII)</w:t>
      </w:r>
      <w:r w:rsidRPr="00CA291C">
        <w:rPr>
          <w:rFonts w:ascii="Times New Roman" w:eastAsia="Times New Roman" w:hAnsi="Times New Roman" w:cs="Times New Roman"/>
          <w:color w:val="auto"/>
          <w:sz w:val="24"/>
          <w:szCs w:val="24"/>
        </w:rPr>
        <w:t>. A su modo de ver, “el sexo es una división del poder social, un principio social insaparable del género de los individuos, reforzado para detrimento de las mujeres, ya que sirve a los intereses de los poderosos, esto es, los hombres”</w:t>
      </w:r>
      <w:r w:rsidR="00A337C0" w:rsidRPr="00CA291C">
        <w:rPr>
          <w:rFonts w:ascii="Times New Roman" w:eastAsia="Times New Roman" w:hAnsi="Times New Roman" w:cs="Times New Roman"/>
          <w:color w:val="auto"/>
          <w:sz w:val="24"/>
          <w:szCs w:val="24"/>
        </w:rPr>
        <w:t xml:space="preserve"> (MacKinnon, 1991: 40)</w:t>
      </w:r>
      <w:r w:rsidRPr="00CA291C">
        <w:rPr>
          <w:rFonts w:ascii="Times New Roman" w:eastAsia="Times New Roman" w:hAnsi="Times New Roman" w:cs="Times New Roman"/>
          <w:color w:val="auto"/>
          <w:sz w:val="24"/>
          <w:szCs w:val="24"/>
        </w:rPr>
        <w:t>. Así pues, el sexismo no puede contemplarse como una disparidad a expensas de ser reequilibrada sino como un sistema de subordinación que debe ser derrocado.</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Al igual que Dworkin, MacKinnon entiende que existe un modelo de feminidad patriarcal por el cual lo </w:t>
      </w:r>
      <w:r w:rsidR="00611087" w:rsidRPr="00CA291C">
        <w:rPr>
          <w:rFonts w:ascii="Times New Roman" w:eastAsia="Times New Roman" w:hAnsi="Times New Roman" w:cs="Times New Roman"/>
          <w:color w:val="auto"/>
          <w:sz w:val="24"/>
          <w:szCs w:val="24"/>
        </w:rPr>
        <w:t>que las mujeres son y piensan se debe a</w:t>
      </w:r>
      <w:r w:rsidRPr="00CA291C">
        <w:rPr>
          <w:rFonts w:ascii="Times New Roman" w:eastAsia="Times New Roman" w:hAnsi="Times New Roman" w:cs="Times New Roman"/>
          <w:color w:val="auto"/>
          <w:sz w:val="24"/>
          <w:szCs w:val="24"/>
        </w:rPr>
        <w:t xml:space="preserve"> lo que se les ha permitido ser y pensar: no se trata de una identidad femenina escogida ni poseída por las mujeres. Esta es, además, una feminidad relacionalmente dependiente porque en general su rol de mujer ha sido definido a expensas de los hombres. Por ello, </w:t>
      </w:r>
      <w:r w:rsidR="00611087" w:rsidRPr="00CA291C">
        <w:rPr>
          <w:rFonts w:ascii="Times New Roman" w:eastAsia="Times New Roman" w:hAnsi="Times New Roman" w:cs="Times New Roman"/>
          <w:color w:val="auto"/>
          <w:sz w:val="24"/>
          <w:szCs w:val="24"/>
        </w:rPr>
        <w:t xml:space="preserve">no </w:t>
      </w:r>
      <w:r w:rsidRPr="00CA291C">
        <w:rPr>
          <w:rFonts w:ascii="Times New Roman" w:eastAsia="Times New Roman" w:hAnsi="Times New Roman" w:cs="Times New Roman"/>
          <w:color w:val="auto"/>
          <w:sz w:val="24"/>
          <w:szCs w:val="24"/>
        </w:rPr>
        <w:t xml:space="preserve">es que la biología de la </w:t>
      </w:r>
      <w:r w:rsidRPr="00CA291C">
        <w:rPr>
          <w:rFonts w:ascii="Times New Roman" w:eastAsia="Times New Roman" w:hAnsi="Times New Roman" w:cs="Times New Roman"/>
          <w:color w:val="auto"/>
          <w:sz w:val="24"/>
          <w:szCs w:val="24"/>
        </w:rPr>
        <w:lastRenderedPageBreak/>
        <w:t>mujer defina su feminidad, sino que la opresión sobre ella es un hecho derivado de esa condición biológica, de manera que se universaliza un “hecho existencial de su psicología: la anatomía es el destino”</w:t>
      </w:r>
      <w:r w:rsidR="00A337C0" w:rsidRPr="00CA291C">
        <w:rPr>
          <w:rFonts w:ascii="Times New Roman" w:eastAsia="Times New Roman" w:hAnsi="Times New Roman" w:cs="Times New Roman"/>
          <w:color w:val="auto"/>
          <w:sz w:val="24"/>
          <w:szCs w:val="24"/>
        </w:rPr>
        <w:t xml:space="preserve"> (MacKinnon, 1991: 54)</w:t>
      </w:r>
      <w:r w:rsidRPr="00CA291C">
        <w:rPr>
          <w:rFonts w:ascii="Times New Roman" w:eastAsia="Times New Roman" w:hAnsi="Times New Roman" w:cs="Times New Roman"/>
          <w:color w:val="auto"/>
          <w:sz w:val="24"/>
          <w:szCs w:val="24"/>
        </w:rPr>
        <w:t xml:space="preserve">. </w:t>
      </w:r>
    </w:p>
    <w:p w:rsidR="004E0B2F" w:rsidRPr="00CA291C" w:rsidRDefault="004E0B2F" w:rsidP="00611087">
      <w:pPr>
        <w:spacing w:after="0" w:line="360" w:lineRule="auto"/>
        <w:ind w:firstLine="708"/>
        <w:jc w:val="both"/>
        <w:rPr>
          <w:color w:val="auto"/>
        </w:rPr>
      </w:pPr>
      <w:r w:rsidRPr="00CA291C">
        <w:rPr>
          <w:rFonts w:ascii="Times New Roman" w:eastAsia="Times New Roman" w:hAnsi="Times New Roman" w:cs="Times New Roman"/>
          <w:color w:val="auto"/>
          <w:sz w:val="24"/>
          <w:szCs w:val="24"/>
        </w:rPr>
        <w:t>A este respecto, cabe decir que una corriente importante del feminismo cultural responde abierta y afirmativamente a esta cuestión a partir de un tremendo biologicismo esencialista. Susan Brownmiller, por ejemplo, no duda en defender que la violencia es algo intrínseco al hombre: “la violación es una función de la biología masculina”</w:t>
      </w:r>
      <w:r w:rsidR="00D555F9" w:rsidRPr="00CA291C">
        <w:rPr>
          <w:rFonts w:ascii="Times New Roman" w:eastAsia="Times New Roman" w:hAnsi="Times New Roman" w:cs="Times New Roman"/>
          <w:color w:val="auto"/>
          <w:sz w:val="24"/>
          <w:szCs w:val="24"/>
        </w:rPr>
        <w:t xml:space="preserve"> (Echols, 1983: 442)</w:t>
      </w:r>
      <w:r w:rsidRPr="00CA291C">
        <w:rPr>
          <w:rFonts w:ascii="Times New Roman" w:eastAsia="Times New Roman" w:hAnsi="Times New Roman" w:cs="Times New Roman"/>
          <w:color w:val="auto"/>
          <w:sz w:val="24"/>
          <w:szCs w:val="24"/>
          <w:vertAlign w:val="superscript"/>
        </w:rPr>
        <w:footnoteReference w:id="3"/>
      </w:r>
      <w:r w:rsidRPr="00CA291C">
        <w:rPr>
          <w:rFonts w:ascii="Times New Roman" w:eastAsia="Times New Roman" w:hAnsi="Times New Roman" w:cs="Times New Roman"/>
          <w:color w:val="auto"/>
          <w:sz w:val="24"/>
          <w:szCs w:val="24"/>
        </w:rPr>
        <w:t>. Mary Daly da por supuesto que existe un «vacío» en la biología masculina que explica la dominación masculina. A su modo de ver, el cuerpo femenino dispone de un potencial interno del que el masculino carece</w:t>
      </w:r>
      <w:r w:rsidRPr="00CA291C">
        <w:rPr>
          <w:rFonts w:ascii="Times New Roman" w:eastAsia="Times New Roman" w:hAnsi="Times New Roman" w:cs="Times New Roman"/>
          <w:color w:val="auto"/>
          <w:sz w:val="24"/>
          <w:szCs w:val="24"/>
          <w:vertAlign w:val="superscript"/>
        </w:rPr>
        <w:footnoteReference w:id="4"/>
      </w:r>
      <w:r w:rsidRPr="00CA291C">
        <w:rPr>
          <w:rFonts w:ascii="Times New Roman" w:eastAsia="Times New Roman" w:hAnsi="Times New Roman" w:cs="Times New Roman"/>
          <w:color w:val="auto"/>
          <w:sz w:val="24"/>
          <w:szCs w:val="24"/>
        </w:rPr>
        <w:t xml:space="preserve">, por lo cual cabe pensar que la frustración por motivos de su inferioridad hace que los hombres se </w:t>
      </w:r>
      <w:r w:rsidRPr="00CA291C">
        <w:rPr>
          <w:rFonts w:ascii="Times New Roman" w:eastAsia="Times New Roman" w:hAnsi="Times New Roman" w:cs="Times New Roman"/>
          <w:i/>
          <w:color w:val="auto"/>
          <w:sz w:val="24"/>
          <w:szCs w:val="24"/>
        </w:rPr>
        <w:t>antepongan</w:t>
      </w:r>
      <w:r w:rsidRPr="00CA291C">
        <w:rPr>
          <w:rFonts w:ascii="Times New Roman" w:eastAsia="Times New Roman" w:hAnsi="Times New Roman" w:cs="Times New Roman"/>
          <w:color w:val="auto"/>
          <w:sz w:val="24"/>
          <w:szCs w:val="24"/>
        </w:rPr>
        <w:t xml:space="preserve"> a la superioridad de las mujeres y ejerzan una </w:t>
      </w:r>
      <w:r w:rsidRPr="00CA291C">
        <w:rPr>
          <w:rFonts w:ascii="Times New Roman" w:eastAsia="Times New Roman" w:hAnsi="Times New Roman" w:cs="Times New Roman"/>
          <w:i/>
          <w:color w:val="auto"/>
          <w:sz w:val="24"/>
          <w:szCs w:val="24"/>
        </w:rPr>
        <w:t xml:space="preserve">falsa superioridad </w:t>
      </w:r>
      <w:r w:rsidRPr="00CA291C">
        <w:rPr>
          <w:rFonts w:ascii="Times New Roman" w:eastAsia="Times New Roman" w:hAnsi="Times New Roman" w:cs="Times New Roman"/>
          <w:color w:val="auto"/>
          <w:sz w:val="24"/>
          <w:szCs w:val="24"/>
        </w:rPr>
        <w:t>mediante su dominante opresión.</w:t>
      </w:r>
      <w:r w:rsidR="00611087" w:rsidRPr="00CA291C">
        <w:rPr>
          <w:color w:val="auto"/>
        </w:rPr>
        <w:t xml:space="preserve"> </w:t>
      </w:r>
      <w:r w:rsidRPr="00CA291C">
        <w:rPr>
          <w:rFonts w:ascii="Times New Roman" w:eastAsia="Times New Roman" w:hAnsi="Times New Roman" w:cs="Times New Roman"/>
          <w:color w:val="auto"/>
          <w:sz w:val="24"/>
          <w:szCs w:val="24"/>
        </w:rPr>
        <w:t xml:space="preserve">MacKinnon va incluso más allá acuñando la violencia de los hombres a la institución de la heterosexualidad. La violencia no es violencia de algunos hombres, ni es separable del coito. La violencia, exclama, es intrínseca tanto al hombre como a las relaciones heterosexuales.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Esta normalización de la violencia contra las mujeres es precisamente uno de los componentes fundamentales de la relación de dependencia a la que hace referencia MacKinnon cuando dice que el rol femenino y, por ende, la condición biológica femenina determinan su destino: satisfacer a los hombres. La mujer no </w:t>
      </w:r>
      <w:r w:rsidRPr="00CA291C">
        <w:rPr>
          <w:rFonts w:ascii="Times New Roman" w:eastAsia="Times New Roman" w:hAnsi="Times New Roman" w:cs="Times New Roman"/>
          <w:i/>
          <w:color w:val="auto"/>
          <w:sz w:val="24"/>
          <w:szCs w:val="24"/>
        </w:rPr>
        <w:t xml:space="preserve">es, </w:t>
      </w:r>
      <w:r w:rsidRPr="00CA291C">
        <w:rPr>
          <w:rFonts w:ascii="Times New Roman" w:eastAsia="Times New Roman" w:hAnsi="Times New Roman" w:cs="Times New Roman"/>
          <w:color w:val="auto"/>
          <w:sz w:val="24"/>
          <w:szCs w:val="24"/>
        </w:rPr>
        <w:t>sino no es</w:t>
      </w:r>
      <w:r w:rsidRPr="00CA291C">
        <w:rPr>
          <w:rFonts w:ascii="Times New Roman" w:eastAsia="Times New Roman" w:hAnsi="Times New Roman" w:cs="Times New Roman"/>
          <w:i/>
          <w:color w:val="auto"/>
          <w:sz w:val="24"/>
          <w:szCs w:val="24"/>
        </w:rPr>
        <w:t xml:space="preserve"> </w:t>
      </w:r>
      <w:r w:rsidRPr="00CA291C">
        <w:rPr>
          <w:rFonts w:ascii="Times New Roman" w:eastAsia="Times New Roman" w:hAnsi="Times New Roman" w:cs="Times New Roman"/>
          <w:color w:val="auto"/>
          <w:sz w:val="24"/>
          <w:szCs w:val="24"/>
        </w:rPr>
        <w:t>por y para el hombre. Las mujeres son dependientes básicamente porque sin los hombres no son nada. Para MacKinnon esta dependencia hace que se condicione hasta tal punto el rol y la vida de las mujeres que dejan de pensar por ellas mismas: “Piensan que sin un hombre ellas no son nada, o piensan que son menos «mujer» cuando están sin uno. La clave no está en cómo de bien las mujeres se ajustan a este estándar sino cómo es que existe semejante estándar que las mujeres no han creado”</w:t>
      </w:r>
      <w:r w:rsidR="00A337C0" w:rsidRPr="00CA291C">
        <w:rPr>
          <w:rFonts w:ascii="Times New Roman" w:eastAsia="Times New Roman" w:hAnsi="Times New Roman" w:cs="Times New Roman"/>
          <w:color w:val="auto"/>
          <w:sz w:val="24"/>
          <w:szCs w:val="24"/>
        </w:rPr>
        <w:t xml:space="preserve"> (MacKinnon, 1991: 92)</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Esta relación de dominación, para MacKinnon, al final no requiere  consentimiento ni puede ser explicada. La institucionalización del patriarcado, según afirma, hace que el poder de los hombres sobre las mujeres nunca fuera realmente algo problemático</w:t>
      </w:r>
      <w:r w:rsidR="00A337C0" w:rsidRPr="00CA291C">
        <w:rPr>
          <w:rFonts w:ascii="Times New Roman" w:eastAsia="Times New Roman" w:hAnsi="Times New Roman" w:cs="Times New Roman"/>
          <w:color w:val="auto"/>
          <w:sz w:val="24"/>
          <w:szCs w:val="24"/>
        </w:rPr>
        <w:t xml:space="preserve"> (MacKinnon, 1991: 55)</w:t>
      </w:r>
      <w:r w:rsidRPr="00CA291C">
        <w:rPr>
          <w:rFonts w:ascii="Times New Roman" w:eastAsia="Times New Roman" w:hAnsi="Times New Roman" w:cs="Times New Roman"/>
          <w:color w:val="auto"/>
          <w:sz w:val="24"/>
          <w:szCs w:val="24"/>
        </w:rPr>
        <w:t xml:space="preserve">. Al ser algo dado, normal, el sistema goza de una </w:t>
      </w:r>
      <w:r w:rsidRPr="00CA291C">
        <w:rPr>
          <w:rFonts w:ascii="Times New Roman" w:eastAsia="Times New Roman" w:hAnsi="Times New Roman" w:cs="Times New Roman"/>
          <w:color w:val="auto"/>
          <w:sz w:val="24"/>
          <w:szCs w:val="24"/>
        </w:rPr>
        <w:lastRenderedPageBreak/>
        <w:t xml:space="preserve">neutralidad perversa a partir de la cual se legitima la dominación masculina en nombre de la naturaleza, algo así como que el sexo determina la realidad.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Al igual que Dworkin, MacKinnon no se muestra favorable a los argumentos biologicistas, aunque, como ya se ha podido entrever, sus planteamientos también r</w:t>
      </w:r>
      <w:r w:rsidR="002B25C1" w:rsidRPr="00CA291C">
        <w:rPr>
          <w:rFonts w:ascii="Times New Roman" w:eastAsia="Times New Roman" w:hAnsi="Times New Roman" w:cs="Times New Roman"/>
          <w:color w:val="auto"/>
          <w:sz w:val="24"/>
          <w:szCs w:val="24"/>
        </w:rPr>
        <w:t>ozan</w:t>
      </w:r>
      <w:r w:rsidRPr="00CA291C">
        <w:rPr>
          <w:rFonts w:ascii="Times New Roman" w:eastAsia="Times New Roman" w:hAnsi="Times New Roman" w:cs="Times New Roman"/>
          <w:color w:val="auto"/>
          <w:sz w:val="24"/>
          <w:szCs w:val="24"/>
        </w:rPr>
        <w:t xml:space="preserve"> esencialismo. No obstante, reconoce que las mujeres </w:t>
      </w:r>
      <w:r w:rsidRPr="00CA291C">
        <w:rPr>
          <w:rFonts w:ascii="Times New Roman" w:eastAsia="Times New Roman" w:hAnsi="Times New Roman" w:cs="Times New Roman"/>
          <w:i/>
          <w:color w:val="auto"/>
          <w:sz w:val="24"/>
          <w:szCs w:val="24"/>
        </w:rPr>
        <w:t>son lo que son</w:t>
      </w:r>
      <w:r w:rsidRPr="00CA291C">
        <w:rPr>
          <w:rFonts w:ascii="Times New Roman" w:eastAsia="Times New Roman" w:hAnsi="Times New Roman" w:cs="Times New Roman"/>
          <w:color w:val="auto"/>
          <w:sz w:val="24"/>
          <w:szCs w:val="24"/>
        </w:rPr>
        <w:t xml:space="preserve"> dada la forma en la que han sido tratadas y no dando crédito a supuestas cualidades apoyadas en la biología</w:t>
      </w:r>
      <w:r w:rsidR="00A337C0" w:rsidRPr="00CA291C">
        <w:rPr>
          <w:rFonts w:ascii="Times New Roman" w:eastAsia="Times New Roman" w:hAnsi="Times New Roman" w:cs="Times New Roman"/>
          <w:color w:val="auto"/>
          <w:sz w:val="24"/>
          <w:szCs w:val="24"/>
        </w:rPr>
        <w:t xml:space="preserve"> (MacKinnon, 1991: 90)</w:t>
      </w:r>
      <w:r w:rsidRPr="00CA291C">
        <w:rPr>
          <w:rFonts w:ascii="Times New Roman" w:eastAsia="Times New Roman" w:hAnsi="Times New Roman" w:cs="Times New Roman"/>
          <w:color w:val="auto"/>
          <w:sz w:val="24"/>
          <w:szCs w:val="24"/>
        </w:rPr>
        <w:t>. Por su parte, es tajante en que la masculinidad es un concepto social y político y no un atributo biológico, es decir, no tiene nada que ver con la inherencia, la preexistencia, la naturaleza, la esencia, la inevitabilidad o el cuerpo</w:t>
      </w:r>
      <w:r w:rsidR="00A337C0" w:rsidRPr="00CA291C">
        <w:rPr>
          <w:rFonts w:ascii="Times New Roman" w:eastAsia="Times New Roman" w:hAnsi="Times New Roman" w:cs="Times New Roman"/>
          <w:color w:val="auto"/>
          <w:sz w:val="24"/>
          <w:szCs w:val="24"/>
        </w:rPr>
        <w:t xml:space="preserve"> (MacKinnon, 1991: 114)</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Lo indudablemente importante</w:t>
      </w:r>
      <w:r w:rsidR="00D3297E"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es la cuestión del poder. El poder es la mayo</w:t>
      </w:r>
      <w:r w:rsidR="00D3297E" w:rsidRPr="00CA291C">
        <w:rPr>
          <w:rFonts w:ascii="Times New Roman" w:eastAsia="Times New Roman" w:hAnsi="Times New Roman" w:cs="Times New Roman"/>
          <w:color w:val="auto"/>
          <w:sz w:val="24"/>
          <w:szCs w:val="24"/>
        </w:rPr>
        <w:t>r ventaja de los hombres:</w:t>
      </w:r>
      <w:r w:rsidRPr="00CA291C">
        <w:rPr>
          <w:rFonts w:ascii="Times New Roman" w:eastAsia="Times New Roman" w:hAnsi="Times New Roman" w:cs="Times New Roman"/>
          <w:color w:val="auto"/>
          <w:sz w:val="24"/>
          <w:szCs w:val="24"/>
        </w:rPr>
        <w:t xml:space="preserve"> es el proceso, el valor, el mecanismo por el cual sus propios intereses se refuerzan, sostienen y perpetúan</w:t>
      </w:r>
      <w:r w:rsidR="00A337C0" w:rsidRPr="00CA291C">
        <w:rPr>
          <w:rFonts w:ascii="Times New Roman" w:eastAsia="Times New Roman" w:hAnsi="Times New Roman" w:cs="Times New Roman"/>
          <w:color w:val="auto"/>
          <w:sz w:val="24"/>
          <w:szCs w:val="24"/>
        </w:rPr>
        <w:t xml:space="preserve"> (MacKinnon, 1991: 94)</w:t>
      </w:r>
      <w:r w:rsidRPr="00CA291C">
        <w:rPr>
          <w:rFonts w:ascii="Times New Roman" w:eastAsia="Times New Roman" w:hAnsi="Times New Roman" w:cs="Times New Roman"/>
          <w:color w:val="auto"/>
          <w:sz w:val="24"/>
          <w:szCs w:val="24"/>
        </w:rPr>
        <w:t>. Una vez que las relaciones entre los sexos se</w:t>
      </w:r>
      <w:r w:rsidR="00D3297E" w:rsidRPr="00CA291C">
        <w:rPr>
          <w:rFonts w:ascii="Times New Roman" w:eastAsia="Times New Roman" w:hAnsi="Times New Roman" w:cs="Times New Roman"/>
          <w:color w:val="auto"/>
          <w:sz w:val="24"/>
          <w:szCs w:val="24"/>
        </w:rPr>
        <w:t xml:space="preserve"> ven como relaciones de poder, dice MacKinnon,</w:t>
      </w:r>
      <w:r w:rsidRPr="00CA291C">
        <w:rPr>
          <w:rFonts w:ascii="Times New Roman" w:eastAsia="Times New Roman" w:hAnsi="Times New Roman" w:cs="Times New Roman"/>
          <w:color w:val="auto"/>
          <w:sz w:val="24"/>
          <w:szCs w:val="24"/>
        </w:rPr>
        <w:t xml:space="preserve"> llega a ser imposible ver la dominación de otra forma que no sea mal intencionada y a conciencia.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Esta dominación, además, es tanto interna como externa, pues el poder masculino es una estructura social a la vez que “está dentro de las mujeres”</w:t>
      </w:r>
      <w:r w:rsidR="00A337C0" w:rsidRPr="00CA291C">
        <w:rPr>
          <w:rFonts w:ascii="Times New Roman" w:eastAsia="Times New Roman" w:hAnsi="Times New Roman" w:cs="Times New Roman"/>
          <w:color w:val="auto"/>
          <w:sz w:val="24"/>
          <w:szCs w:val="24"/>
        </w:rPr>
        <w:t xml:space="preserve"> (MacKinnon, 1991: 99)</w:t>
      </w:r>
      <w:r w:rsidRPr="00CA291C">
        <w:rPr>
          <w:rFonts w:ascii="Times New Roman" w:eastAsia="Times New Roman" w:hAnsi="Times New Roman" w:cs="Times New Roman"/>
          <w:color w:val="auto"/>
          <w:sz w:val="24"/>
          <w:szCs w:val="24"/>
        </w:rPr>
        <w:t>. Así pues</w:t>
      </w:r>
      <w:r w:rsidR="00D3297E"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el poder masculino es simbólico pero, por supuesto, a la vez real. Es simbólico o ilusorio, como escribe la autora, ya que se justifica a sí mismo en calidad de poder natural, universal, inalterable, dado y moralmente correcto; pero el hecho es que es real y poderoso, una relación social</w:t>
      </w:r>
      <w:r w:rsidR="00A337C0" w:rsidRPr="00CA291C">
        <w:rPr>
          <w:rFonts w:ascii="Times New Roman" w:eastAsia="Times New Roman" w:hAnsi="Times New Roman" w:cs="Times New Roman"/>
          <w:color w:val="auto"/>
          <w:sz w:val="24"/>
          <w:szCs w:val="24"/>
        </w:rPr>
        <w:t xml:space="preserve"> (MacKinnon, 1991: 100)</w:t>
      </w:r>
      <w:r w:rsidRPr="00CA291C">
        <w:rPr>
          <w:rFonts w:ascii="Times New Roman" w:eastAsia="Times New Roman" w:hAnsi="Times New Roman" w:cs="Times New Roman"/>
          <w:color w:val="auto"/>
          <w:sz w:val="24"/>
          <w:szCs w:val="24"/>
        </w:rPr>
        <w:t xml:space="preserve">. </w:t>
      </w:r>
    </w:p>
    <w:p w:rsidR="00D3297E" w:rsidRDefault="004E0B2F" w:rsidP="0003009C">
      <w:pPr>
        <w:spacing w:after="0" w:line="360" w:lineRule="auto"/>
        <w:ind w:firstLine="708"/>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En el fondo, “el poder masculino es un mito que se hace a sí mismo verdad”</w:t>
      </w:r>
      <w:r w:rsidR="00A337C0" w:rsidRPr="00CA291C">
        <w:rPr>
          <w:rFonts w:ascii="Times New Roman" w:eastAsia="Times New Roman" w:hAnsi="Times New Roman" w:cs="Times New Roman"/>
          <w:color w:val="auto"/>
          <w:sz w:val="24"/>
          <w:szCs w:val="24"/>
        </w:rPr>
        <w:t xml:space="preserve"> (MacKinnon, 1991: 104)</w:t>
      </w:r>
      <w:r w:rsidRPr="00CA291C">
        <w:rPr>
          <w:rFonts w:ascii="Times New Roman" w:eastAsia="Times New Roman" w:hAnsi="Times New Roman" w:cs="Times New Roman"/>
          <w:color w:val="auto"/>
          <w:sz w:val="24"/>
          <w:szCs w:val="24"/>
        </w:rPr>
        <w:t>. Porque el poder en la sociedad incluye tanto la fuerza legítima como la decisiva determinación de los procesos de socialización, el poder produce la realidad. Esto l</w:t>
      </w:r>
      <w:r w:rsidR="00D3297E" w:rsidRPr="00CA291C">
        <w:rPr>
          <w:rFonts w:ascii="Times New Roman" w:eastAsia="Times New Roman" w:hAnsi="Times New Roman" w:cs="Times New Roman"/>
          <w:color w:val="auto"/>
          <w:sz w:val="24"/>
          <w:szCs w:val="24"/>
        </w:rPr>
        <w:t>leva a la autora a concluir que</w:t>
      </w:r>
      <w:r w:rsidRPr="00CA291C">
        <w:rPr>
          <w:rFonts w:ascii="Times New Roman" w:eastAsia="Times New Roman" w:hAnsi="Times New Roman" w:cs="Times New Roman"/>
          <w:color w:val="auto"/>
          <w:sz w:val="24"/>
          <w:szCs w:val="24"/>
        </w:rPr>
        <w:t xml:space="preserve"> </w:t>
      </w:r>
    </w:p>
    <w:p w:rsidR="0003009C" w:rsidRPr="00CA291C" w:rsidRDefault="0003009C" w:rsidP="0003009C">
      <w:pPr>
        <w:spacing w:after="0" w:line="360" w:lineRule="auto"/>
        <w:ind w:firstLine="708"/>
        <w:jc w:val="both"/>
        <w:rPr>
          <w:rFonts w:ascii="Times New Roman" w:eastAsia="Times New Roman" w:hAnsi="Times New Roman" w:cs="Times New Roman"/>
          <w:color w:val="auto"/>
          <w:sz w:val="24"/>
          <w:szCs w:val="24"/>
        </w:rPr>
      </w:pPr>
    </w:p>
    <w:p w:rsidR="004E0B2F" w:rsidRPr="00CA291C" w:rsidRDefault="004E0B2F" w:rsidP="00DB59B7">
      <w:pPr>
        <w:spacing w:after="0" w:line="360" w:lineRule="auto"/>
        <w:ind w:left="709"/>
        <w:jc w:val="both"/>
        <w:rPr>
          <w:rFonts w:ascii="Times New Roman" w:eastAsia="Times New Roman" w:hAnsi="Times New Roman" w:cs="Times New Roman"/>
          <w:color w:val="auto"/>
          <w:sz w:val="20"/>
          <w:szCs w:val="24"/>
        </w:rPr>
      </w:pPr>
      <w:r w:rsidRPr="00CA291C">
        <w:rPr>
          <w:rFonts w:ascii="Times New Roman" w:eastAsia="Times New Roman" w:hAnsi="Times New Roman" w:cs="Times New Roman"/>
          <w:color w:val="auto"/>
          <w:sz w:val="20"/>
          <w:szCs w:val="24"/>
        </w:rPr>
        <w:t>“La dominación masculina es quizás el sistema de poder más perverso y tenaz en la historia, porque metafísicamente roza la perfección. Su punto de vista es el estándar de la ausencia de un punto de vista, su particular definición de universalidad. Su fuerza se ejerce como consentimiento, su autoridad como participación, su supremacía como el paradigma del orden, su control como la definición de legitimidad”</w:t>
      </w:r>
      <w:r w:rsidR="00A337C0" w:rsidRPr="00CA291C">
        <w:rPr>
          <w:rFonts w:ascii="Times New Roman" w:eastAsia="Times New Roman" w:hAnsi="Times New Roman" w:cs="Times New Roman"/>
          <w:color w:val="auto"/>
          <w:sz w:val="20"/>
          <w:szCs w:val="24"/>
        </w:rPr>
        <w:t xml:space="preserve"> (MacKinnon, 1991: 116-117)</w:t>
      </w:r>
      <w:r w:rsidRPr="00CA291C">
        <w:rPr>
          <w:rFonts w:ascii="Times New Roman" w:eastAsia="Times New Roman" w:hAnsi="Times New Roman" w:cs="Times New Roman"/>
          <w:color w:val="auto"/>
          <w:sz w:val="20"/>
          <w:szCs w:val="24"/>
        </w:rPr>
        <w:t>.</w:t>
      </w:r>
    </w:p>
    <w:p w:rsidR="00D3297E" w:rsidRPr="00CA291C" w:rsidRDefault="00D3297E" w:rsidP="00D3297E">
      <w:pPr>
        <w:spacing w:after="0" w:line="240" w:lineRule="auto"/>
        <w:ind w:left="709"/>
        <w:jc w:val="both"/>
        <w:rPr>
          <w:color w:val="auto"/>
          <w:sz w:val="18"/>
        </w:rPr>
      </w:pP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un texto conjunto, Dworkin y MacKinnon coinciden en que, efectivamente, el poder es la llave del cambio</w:t>
      </w:r>
      <w:r w:rsidR="005738E8" w:rsidRPr="00CA291C">
        <w:rPr>
          <w:rFonts w:ascii="Times New Roman" w:eastAsia="Times New Roman" w:hAnsi="Times New Roman" w:cs="Times New Roman"/>
          <w:color w:val="auto"/>
          <w:sz w:val="24"/>
          <w:szCs w:val="24"/>
        </w:rPr>
        <w:t xml:space="preserve"> (Dworkin y MacKinnon, 1989)</w:t>
      </w:r>
      <w:r w:rsidRPr="00CA291C">
        <w:rPr>
          <w:rFonts w:ascii="Times New Roman" w:eastAsia="Times New Roman" w:hAnsi="Times New Roman" w:cs="Times New Roman"/>
          <w:color w:val="auto"/>
          <w:sz w:val="24"/>
          <w:szCs w:val="24"/>
        </w:rPr>
        <w:t xml:space="preserve">. Desde el momento en el que el poder da por supuesta la dominación, esta convierte sutilmente su fuerza y su </w:t>
      </w:r>
      <w:r w:rsidRPr="00CA291C">
        <w:rPr>
          <w:rFonts w:ascii="Times New Roman" w:eastAsia="Times New Roman" w:hAnsi="Times New Roman" w:cs="Times New Roman"/>
          <w:color w:val="auto"/>
          <w:sz w:val="24"/>
          <w:szCs w:val="24"/>
        </w:rPr>
        <w:lastRenderedPageBreak/>
        <w:t>legitimidad en la normalidad. El cambio solo llegará, para estas autoras, a partir de un contrapoder que no solo revele tal dominación a menudo disfrazada como derechos, sino quitándoles el poder a aquellos que lo tienen. De lo contrario, la dominación seguirá su curso “como la gravedad, no sentida en absoluto como fuerza, simplemente aceptada como la única forma en que son las cosas, cada cosa estando en su lugar”</w:t>
      </w:r>
      <w:r w:rsidR="00A337C0" w:rsidRPr="00CA291C">
        <w:rPr>
          <w:rFonts w:ascii="Times New Roman" w:eastAsia="Times New Roman" w:hAnsi="Times New Roman" w:cs="Times New Roman"/>
          <w:color w:val="auto"/>
          <w:sz w:val="24"/>
          <w:szCs w:val="24"/>
        </w:rPr>
        <w:t xml:space="preserve"> (Dworkin y MacKinnon, 1989: 18-22)</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No conviene olvidar que este concepto de dominación masculina en las voces de las feministas culturales, como Dworkin y MacKinnon, ha encontrado cauces hasta la actualidad. Un concepto de dominación masculina desde una perspectiva estructuralista puede encontrarse mismamente en Pierre Bourdieu</w:t>
      </w:r>
      <w:r w:rsidR="005738E8" w:rsidRPr="00CA291C">
        <w:rPr>
          <w:rFonts w:ascii="Times New Roman" w:eastAsia="Times New Roman" w:hAnsi="Times New Roman" w:cs="Times New Roman"/>
          <w:color w:val="auto"/>
          <w:sz w:val="24"/>
          <w:szCs w:val="24"/>
        </w:rPr>
        <w:t xml:space="preserve"> (Bourdieu, 2000)</w:t>
      </w:r>
      <w:r w:rsidR="00D3297E"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el fondo, este tipo de modelo de dominación m</w:t>
      </w:r>
      <w:r w:rsidR="00DE274F">
        <w:rPr>
          <w:rFonts w:ascii="Times New Roman" w:eastAsia="Times New Roman" w:hAnsi="Times New Roman" w:cs="Times New Roman"/>
          <w:color w:val="auto"/>
          <w:sz w:val="24"/>
          <w:szCs w:val="24"/>
        </w:rPr>
        <w:t>asculina genera un constreñimie</w:t>
      </w:r>
      <w:r w:rsidRPr="00CA291C">
        <w:rPr>
          <w:rFonts w:ascii="Times New Roman" w:eastAsia="Times New Roman" w:hAnsi="Times New Roman" w:cs="Times New Roman"/>
          <w:color w:val="auto"/>
          <w:sz w:val="24"/>
          <w:szCs w:val="24"/>
        </w:rPr>
        <w:t>nto del género de raíces teóricas más profundas, que tienen que ver con la negación de poder ser y hacer distintas cosas a la vez o estar en distintos lugares simultáneamente. Me refiero a que</w:t>
      </w:r>
      <w:r w:rsidR="00D3297E"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color w:val="auto"/>
          <w:sz w:val="24"/>
          <w:szCs w:val="24"/>
        </w:rPr>
        <w:t xml:space="preserve"> si se entiende el género y el sexo como sinónimos</w:t>
      </w:r>
      <w:r w:rsidR="00D3297E"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color w:val="auto"/>
          <w:sz w:val="24"/>
          <w:szCs w:val="24"/>
        </w:rPr>
        <w:t xml:space="preserve"> se genera una sexualización del poder que impide separar, por ejemplo, la recreación erótica o los juegos sexuales de la estructura de dominación patriarcal. Al negar esta capacidad de la mente humana, efectivamente toda posesión será un acto de dominación. Es, en definitiva, un razonamiento confuso que, como bien señala Fernando Fernández-Llebrez, parte de la identificación de la dominación con la desigualdad</w:t>
      </w:r>
      <w:r w:rsidR="005738E8" w:rsidRPr="00CA291C">
        <w:rPr>
          <w:rFonts w:ascii="Times New Roman" w:eastAsia="Times New Roman" w:hAnsi="Times New Roman" w:cs="Times New Roman"/>
          <w:color w:val="auto"/>
          <w:sz w:val="24"/>
          <w:szCs w:val="24"/>
        </w:rPr>
        <w:t xml:space="preserve"> (Fernández-Llebrez, 2004: 36)</w:t>
      </w:r>
      <w:r w:rsidRPr="00CA291C">
        <w:rPr>
          <w:rFonts w:ascii="Times New Roman" w:eastAsia="Times New Roman" w:hAnsi="Times New Roman" w:cs="Times New Roman"/>
          <w:color w:val="auto"/>
          <w:sz w:val="24"/>
          <w:szCs w:val="24"/>
        </w:rPr>
        <w:t>. Con argumentos de este tipo no se está haciendo otra cosa que explicar la sexualidad directamente a través de las herramientas conceptuales del géner</w:t>
      </w:r>
      <w:r w:rsidR="00D3297E" w:rsidRPr="00CA291C">
        <w:rPr>
          <w:rFonts w:ascii="Times New Roman" w:eastAsia="Times New Roman" w:hAnsi="Times New Roman" w:cs="Times New Roman"/>
          <w:color w:val="auto"/>
          <w:sz w:val="24"/>
          <w:szCs w:val="24"/>
        </w:rPr>
        <w:t>o. Se trata de una fusión que</w:t>
      </w:r>
      <w:r w:rsidRPr="00CA291C">
        <w:rPr>
          <w:rFonts w:ascii="Times New Roman" w:eastAsia="Times New Roman" w:hAnsi="Times New Roman" w:cs="Times New Roman"/>
          <w:color w:val="auto"/>
          <w:sz w:val="24"/>
          <w:szCs w:val="24"/>
        </w:rPr>
        <w:t xml:space="preserve"> patriarcado allí donde lo que </w:t>
      </w:r>
      <w:r w:rsidR="00D3297E" w:rsidRPr="00CA291C">
        <w:rPr>
          <w:rFonts w:ascii="Times New Roman" w:eastAsia="Times New Roman" w:hAnsi="Times New Roman" w:cs="Times New Roman"/>
          <w:color w:val="auto"/>
          <w:sz w:val="24"/>
          <w:szCs w:val="24"/>
        </w:rPr>
        <w:t>puede haber</w:t>
      </w:r>
      <w:r w:rsidRPr="00CA291C">
        <w:rPr>
          <w:rFonts w:ascii="Times New Roman" w:eastAsia="Times New Roman" w:hAnsi="Times New Roman" w:cs="Times New Roman"/>
          <w:color w:val="auto"/>
          <w:sz w:val="24"/>
          <w:szCs w:val="24"/>
        </w:rPr>
        <w:t xml:space="preserve"> es fantasía y</w:t>
      </w:r>
      <w:r w:rsidR="00D3297E" w:rsidRPr="00CA291C">
        <w:rPr>
          <w:rFonts w:ascii="Times New Roman" w:eastAsia="Times New Roman" w:hAnsi="Times New Roman" w:cs="Times New Roman"/>
          <w:color w:val="auto"/>
          <w:sz w:val="24"/>
          <w:szCs w:val="24"/>
        </w:rPr>
        <w:t xml:space="preserve"> ve dominación allí donde puede haber</w:t>
      </w:r>
      <w:r w:rsidRPr="00CA291C">
        <w:rPr>
          <w:rFonts w:ascii="Times New Roman" w:eastAsia="Times New Roman" w:hAnsi="Times New Roman" w:cs="Times New Roman"/>
          <w:color w:val="auto"/>
          <w:sz w:val="24"/>
          <w:szCs w:val="24"/>
        </w:rPr>
        <w:t xml:space="preserve"> diversidad sexual. Se tra</w:t>
      </w:r>
      <w:r w:rsidR="00D3297E" w:rsidRPr="00CA291C">
        <w:rPr>
          <w:rFonts w:ascii="Times New Roman" w:eastAsia="Times New Roman" w:hAnsi="Times New Roman" w:cs="Times New Roman"/>
          <w:color w:val="auto"/>
          <w:sz w:val="24"/>
          <w:szCs w:val="24"/>
        </w:rPr>
        <w:t>ta de un concepto de dominación q</w:t>
      </w:r>
      <w:r w:rsidRPr="00CA291C">
        <w:rPr>
          <w:rFonts w:ascii="Times New Roman" w:eastAsia="Times New Roman" w:hAnsi="Times New Roman" w:cs="Times New Roman"/>
          <w:color w:val="auto"/>
          <w:sz w:val="24"/>
          <w:szCs w:val="24"/>
        </w:rPr>
        <w:t>ue excluye toda consideración de placer</w:t>
      </w:r>
      <w:r w:rsidR="005E03AC" w:rsidRPr="00CA291C">
        <w:rPr>
          <w:rFonts w:ascii="Times New Roman" w:eastAsia="Times New Roman" w:hAnsi="Times New Roman" w:cs="Times New Roman"/>
          <w:color w:val="auto"/>
          <w:sz w:val="24"/>
          <w:szCs w:val="24"/>
        </w:rPr>
        <w:t xml:space="preserve"> (Echols, 1989: 95)</w:t>
      </w:r>
      <w:r w:rsidRPr="00CA291C">
        <w:rPr>
          <w:rFonts w:ascii="Times New Roman" w:eastAsia="Times New Roman" w:hAnsi="Times New Roman" w:cs="Times New Roman"/>
          <w:color w:val="auto"/>
          <w:sz w:val="24"/>
          <w:szCs w:val="24"/>
        </w:rPr>
        <w:t>. Un concepto, como señala Elisabeth Badinter, que es un «obstáculo» de cara a la igualdad de mujeres y hombres</w:t>
      </w:r>
      <w:r w:rsidR="005738E8" w:rsidRPr="00CA291C">
        <w:rPr>
          <w:rFonts w:ascii="Times New Roman" w:eastAsia="Times New Roman" w:hAnsi="Times New Roman" w:cs="Times New Roman"/>
          <w:color w:val="auto"/>
          <w:sz w:val="24"/>
          <w:szCs w:val="24"/>
        </w:rPr>
        <w:t xml:space="preserve"> (Badinter, 2004: 71)</w:t>
      </w:r>
      <w:r w:rsidR="00DE274F">
        <w:rPr>
          <w:rFonts w:ascii="Times New Roman" w:eastAsia="Times New Roman" w:hAnsi="Times New Roman" w:cs="Times New Roman"/>
          <w:color w:val="auto"/>
          <w:sz w:val="24"/>
          <w:szCs w:val="24"/>
        </w:rPr>
        <w:t>. Es un impedim</w:t>
      </w:r>
      <w:r w:rsidRPr="00CA291C">
        <w:rPr>
          <w:rFonts w:ascii="Times New Roman" w:eastAsia="Times New Roman" w:hAnsi="Times New Roman" w:cs="Times New Roman"/>
          <w:color w:val="auto"/>
          <w:sz w:val="24"/>
          <w:szCs w:val="24"/>
        </w:rPr>
        <w:t>ento, sobre todo, porque entiende el sexo directamente como dominación. La sexualidad se vuelve el fundamento cardinal del poder y del sistema de dominación masculina.</w:t>
      </w:r>
    </w:p>
    <w:p w:rsidR="004E0B2F" w:rsidRPr="00CA291C" w:rsidRDefault="004E0B2F" w:rsidP="004E0B2F">
      <w:pPr>
        <w:widowControl w:val="0"/>
        <w:spacing w:after="0" w:line="276" w:lineRule="auto"/>
        <w:rPr>
          <w:color w:val="auto"/>
        </w:rPr>
      </w:pPr>
    </w:p>
    <w:p w:rsidR="004E0B2F" w:rsidRPr="00B77C01" w:rsidRDefault="004E0B2F" w:rsidP="004E0B2F">
      <w:pPr>
        <w:pStyle w:val="Ttulo3"/>
        <w:tabs>
          <w:tab w:val="left" w:pos="709"/>
        </w:tabs>
        <w:rPr>
          <w:rFonts w:ascii="Times New Roman" w:eastAsia="Calibri" w:hAnsi="Times New Roman" w:cs="Times New Roman"/>
          <w:b/>
          <w:smallCaps/>
          <w:color w:val="auto"/>
          <w:sz w:val="28"/>
        </w:rPr>
      </w:pPr>
      <w:bookmarkStart w:id="1" w:name="h.3znysh7" w:colFirst="0" w:colLast="0"/>
      <w:bookmarkEnd w:id="1"/>
      <w:r w:rsidRPr="00B77C01">
        <w:rPr>
          <w:rFonts w:ascii="Times New Roman" w:eastAsia="Calibri" w:hAnsi="Times New Roman" w:cs="Times New Roman"/>
          <w:b/>
          <w:smallCaps/>
          <w:color w:val="auto"/>
          <w:sz w:val="28"/>
        </w:rPr>
        <w:t>Feminismo cultural y sexo: la sexualidad constreñida</w:t>
      </w:r>
    </w:p>
    <w:p w:rsidR="004E0B2F" w:rsidRPr="00CA291C" w:rsidRDefault="004E0B2F" w:rsidP="004E0B2F">
      <w:pPr>
        <w:rPr>
          <w:color w:val="auto"/>
        </w:rPr>
      </w:pP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La explicación de la asimetría de género por la perspectiva teórica del modelo de dominación masculina basado en la esencia, biología y comportamientos masculinos, en ninguna cosa se ve más clara que en la caracterización de la sexualidad de hombres y </w:t>
      </w:r>
      <w:r w:rsidRPr="00CA291C">
        <w:rPr>
          <w:rFonts w:ascii="Times New Roman" w:eastAsia="Times New Roman" w:hAnsi="Times New Roman" w:cs="Times New Roman"/>
          <w:color w:val="auto"/>
          <w:sz w:val="24"/>
          <w:szCs w:val="24"/>
        </w:rPr>
        <w:lastRenderedPageBreak/>
        <w:t>mujeres. Para los hombres, la sexualidad es siempre violenta, compulsiva, obstinada, incontrolable, no emocional, exclusivamente genital. Para las mujeres, es sentimental, apagada, débil, silenciosa, etérea, insustancial, tierna, delicada, refinada</w:t>
      </w:r>
      <w:r w:rsidR="005E03AC" w:rsidRPr="00CA291C">
        <w:rPr>
          <w:rFonts w:ascii="Times New Roman" w:eastAsia="Times New Roman" w:hAnsi="Times New Roman" w:cs="Times New Roman"/>
          <w:color w:val="auto"/>
          <w:sz w:val="24"/>
          <w:szCs w:val="24"/>
        </w:rPr>
        <w:t xml:space="preserve"> (Echols, 1983: 442)</w:t>
      </w:r>
      <w:r w:rsidRPr="00CA291C">
        <w:rPr>
          <w:rFonts w:ascii="Times New Roman" w:eastAsia="Times New Roman" w:hAnsi="Times New Roman" w:cs="Times New Roman"/>
          <w:color w:val="auto"/>
          <w:sz w:val="24"/>
          <w:szCs w:val="24"/>
        </w:rPr>
        <w:t xml:space="preserve">. El sexo, se defiende, es la esencia de la dominación, es el poder masculino en su máxima expresión.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Para las feministas culturales, la liberación sexual y la liberación de las mujeres son dos propósitos que se excluyen mutuamente</w:t>
      </w:r>
      <w:r w:rsidR="005E03AC" w:rsidRPr="00CA291C">
        <w:rPr>
          <w:rFonts w:ascii="Times New Roman" w:eastAsia="Times New Roman" w:hAnsi="Times New Roman" w:cs="Times New Roman"/>
          <w:color w:val="auto"/>
          <w:sz w:val="24"/>
          <w:szCs w:val="24"/>
        </w:rPr>
        <w:t xml:space="preserve"> (Echols, 1989: 92)</w:t>
      </w:r>
      <w:r w:rsidRPr="00CA291C">
        <w:rPr>
          <w:rFonts w:ascii="Times New Roman" w:eastAsia="Times New Roman" w:hAnsi="Times New Roman" w:cs="Times New Roman"/>
          <w:color w:val="auto"/>
          <w:sz w:val="24"/>
          <w:szCs w:val="24"/>
        </w:rPr>
        <w:t xml:space="preserve">. La liberación sexual se entiende como un vía libre a los hombres para seguir ejerciendo su dominación sexual sobre las mujeres. Por su parte, la liberación de las mujeres consiste en alcanzar el total desapego del sistema patriarcal que excluye toda consideración de placer </w:t>
      </w:r>
      <w:r w:rsidRPr="00CA291C">
        <w:rPr>
          <w:rFonts w:ascii="Times New Roman" w:eastAsia="Times New Roman" w:hAnsi="Times New Roman" w:cs="Times New Roman"/>
          <w:i/>
          <w:color w:val="auto"/>
          <w:sz w:val="24"/>
          <w:szCs w:val="24"/>
        </w:rPr>
        <w:t xml:space="preserve">auténticamente </w:t>
      </w:r>
      <w:r w:rsidRPr="00CA291C">
        <w:rPr>
          <w:rFonts w:ascii="Times New Roman" w:eastAsia="Times New Roman" w:hAnsi="Times New Roman" w:cs="Times New Roman"/>
          <w:color w:val="auto"/>
          <w:sz w:val="24"/>
          <w:szCs w:val="24"/>
        </w:rPr>
        <w:t>femenino. De ahí que la sexualidad masculina y la sexualidad femenina se definan como dos polos opuestos: “los hombres ansían el poder y el orgasmo, mientras que las mujeres la intimidad y la reciprocidad”</w:t>
      </w:r>
      <w:r w:rsidR="005E03AC" w:rsidRPr="00CA291C">
        <w:rPr>
          <w:rFonts w:ascii="Times New Roman" w:eastAsia="Times New Roman" w:hAnsi="Times New Roman" w:cs="Times New Roman"/>
          <w:color w:val="auto"/>
          <w:sz w:val="24"/>
          <w:szCs w:val="24"/>
        </w:rPr>
        <w:t xml:space="preserve"> (Echols, 1989: 97)</w:t>
      </w:r>
      <w:r w:rsidRPr="00CA291C">
        <w:rPr>
          <w:rFonts w:ascii="Times New Roman" w:eastAsia="Times New Roman" w:hAnsi="Times New Roman" w:cs="Times New Roman"/>
          <w:color w:val="auto"/>
          <w:sz w:val="24"/>
          <w:szCs w:val="24"/>
        </w:rPr>
        <w:t>. La inmutabilidad de ambas sexualidades repercute en que la liberación de las mujeres no pueda producirse dentro del sistema de dominación masculina. Y es que si el sexo es la esencia de la dominación, no es de extrañar que la dominación sexual masculina se consagre como el factor principal de la opresión de las mujeres</w:t>
      </w:r>
      <w:r w:rsidR="00D555F9" w:rsidRPr="00CA291C">
        <w:rPr>
          <w:rFonts w:ascii="Times New Roman" w:eastAsia="Times New Roman" w:hAnsi="Times New Roman" w:cs="Times New Roman"/>
          <w:color w:val="auto"/>
          <w:sz w:val="24"/>
          <w:szCs w:val="24"/>
        </w:rPr>
        <w:t xml:space="preserve"> (Osborne, 2002: 117)</w:t>
      </w:r>
      <w:r w:rsidRPr="00CA291C">
        <w:rPr>
          <w:rFonts w:ascii="Times New Roman" w:eastAsia="Times New Roman" w:hAnsi="Times New Roman" w:cs="Times New Roman"/>
          <w:color w:val="auto"/>
          <w:sz w:val="24"/>
          <w:szCs w:val="24"/>
        </w:rPr>
        <w:t xml:space="preserve">. </w:t>
      </w:r>
    </w:p>
    <w:p w:rsidR="004E0B2F" w:rsidRPr="00CA291C" w:rsidRDefault="00D3297E"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Que la</w:t>
      </w:r>
      <w:r w:rsidR="004E0B2F" w:rsidRPr="00CA291C">
        <w:rPr>
          <w:rFonts w:ascii="Times New Roman" w:eastAsia="Times New Roman" w:hAnsi="Times New Roman" w:cs="Times New Roman"/>
          <w:color w:val="auto"/>
          <w:sz w:val="24"/>
          <w:szCs w:val="24"/>
        </w:rPr>
        <w:t xml:space="preserve"> dominación masculina sea una dominación sexual, hace que la sexualidad se defina en términos de dominación. La erótica sexual en un sistema de dominación masculina es la erótica de la dominación y la sumisión</w:t>
      </w:r>
      <w:r w:rsidR="005E03AC" w:rsidRPr="00CA291C">
        <w:rPr>
          <w:rFonts w:ascii="Times New Roman" w:eastAsia="Times New Roman" w:hAnsi="Times New Roman" w:cs="Times New Roman"/>
          <w:color w:val="auto"/>
          <w:sz w:val="24"/>
          <w:szCs w:val="24"/>
        </w:rPr>
        <w:t xml:space="preserve"> (MacKinnon</w:t>
      </w:r>
      <w:r w:rsidR="005738E8" w:rsidRPr="00CA291C">
        <w:rPr>
          <w:rFonts w:ascii="Times New Roman" w:eastAsia="Times New Roman" w:hAnsi="Times New Roman" w:cs="Times New Roman"/>
          <w:color w:val="auto"/>
          <w:sz w:val="24"/>
          <w:szCs w:val="24"/>
        </w:rPr>
        <w:t>, 1991</w:t>
      </w:r>
      <w:r w:rsidR="005E03AC" w:rsidRPr="00CA291C">
        <w:rPr>
          <w:rFonts w:ascii="Times New Roman" w:eastAsia="Times New Roman" w:hAnsi="Times New Roman" w:cs="Times New Roman"/>
          <w:color w:val="auto"/>
          <w:sz w:val="24"/>
          <w:szCs w:val="24"/>
        </w:rPr>
        <w:t>: 113)</w:t>
      </w:r>
      <w:r w:rsidR="004E0B2F" w:rsidRPr="00CA291C">
        <w:rPr>
          <w:rFonts w:ascii="Times New Roman" w:eastAsia="Times New Roman" w:hAnsi="Times New Roman" w:cs="Times New Roman"/>
          <w:color w:val="auto"/>
          <w:sz w:val="24"/>
          <w:szCs w:val="24"/>
        </w:rPr>
        <w:t xml:space="preserve">. Así, la jerarquía de género que establece el sistema patriarcal hace que el hombre domine sexualmente y la mujer se someta sexualmente. </w:t>
      </w:r>
    </w:p>
    <w:p w:rsidR="00D3297E" w:rsidRPr="00CA291C" w:rsidRDefault="004E0B2F" w:rsidP="004E0B2F">
      <w:pPr>
        <w:spacing w:after="0" w:line="360" w:lineRule="auto"/>
        <w:ind w:firstLine="708"/>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 xml:space="preserve">El feminismo cultural determina que la manifestación cultural directa de esta ideología de la dominación sexual masculina es la pornografía. La pornografía es el reflejo más claro de la dominación, representa todos los males que la jerarquía de género patriarcal puede desplegar. Su máxima es que todo acto sexual es un acto de dominación mediante el cual los hombres satisfacen su deseo erótico y violento sometiendo a las mujeres. </w:t>
      </w:r>
    </w:p>
    <w:p w:rsidR="004E0B2F" w:rsidRPr="00CA291C" w:rsidRDefault="0013740C"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Estos</w:t>
      </w:r>
      <w:r w:rsidR="004E0B2F" w:rsidRPr="00CA291C">
        <w:rPr>
          <w:rFonts w:ascii="Times New Roman" w:eastAsia="Times New Roman" w:hAnsi="Times New Roman" w:cs="Times New Roman"/>
          <w:color w:val="auto"/>
          <w:sz w:val="24"/>
          <w:szCs w:val="24"/>
        </w:rPr>
        <w:t xml:space="preserve"> razonamientos</w:t>
      </w:r>
      <w:r w:rsidR="00D3297E" w:rsidRPr="00CA291C">
        <w:rPr>
          <w:rFonts w:ascii="Times New Roman" w:eastAsia="Times New Roman" w:hAnsi="Times New Roman" w:cs="Times New Roman"/>
          <w:color w:val="auto"/>
          <w:sz w:val="24"/>
          <w:szCs w:val="24"/>
        </w:rPr>
        <w:t xml:space="preserve"> se pueden </w:t>
      </w:r>
      <w:r w:rsidRPr="00CA291C">
        <w:rPr>
          <w:rFonts w:ascii="Times New Roman" w:eastAsia="Times New Roman" w:hAnsi="Times New Roman" w:cs="Times New Roman"/>
          <w:color w:val="auto"/>
          <w:sz w:val="24"/>
          <w:szCs w:val="24"/>
        </w:rPr>
        <w:t xml:space="preserve">ejemplificar con dos de los </w:t>
      </w:r>
      <w:r w:rsidR="00D3297E" w:rsidRPr="00CA291C">
        <w:rPr>
          <w:rFonts w:ascii="Times New Roman" w:eastAsia="Times New Roman" w:hAnsi="Times New Roman" w:cs="Times New Roman"/>
          <w:color w:val="auto"/>
          <w:sz w:val="24"/>
          <w:szCs w:val="24"/>
        </w:rPr>
        <w:t>elementos básicos del feminismo cultural y sobre los que me detendré ahora</w:t>
      </w:r>
      <w:r w:rsidR="004E0B2F" w:rsidRPr="00CA291C">
        <w:rPr>
          <w:rFonts w:ascii="Times New Roman" w:eastAsia="Times New Roman" w:hAnsi="Times New Roman" w:cs="Times New Roman"/>
          <w:color w:val="auto"/>
          <w:sz w:val="24"/>
          <w:szCs w:val="24"/>
        </w:rPr>
        <w:t>: el esencialismo cultural y/o biológico de la sexualidad masculina</w:t>
      </w:r>
      <w:r w:rsidR="00FD4A55" w:rsidRPr="00CA291C">
        <w:rPr>
          <w:rFonts w:ascii="Times New Roman" w:eastAsia="Times New Roman" w:hAnsi="Times New Roman" w:cs="Times New Roman"/>
          <w:color w:val="auto"/>
          <w:sz w:val="24"/>
          <w:szCs w:val="24"/>
        </w:rPr>
        <w:t xml:space="preserve"> y</w:t>
      </w:r>
      <w:r w:rsidR="004E0B2F" w:rsidRPr="00CA291C">
        <w:rPr>
          <w:rFonts w:ascii="Times New Roman" w:eastAsia="Times New Roman" w:hAnsi="Times New Roman" w:cs="Times New Roman"/>
          <w:color w:val="auto"/>
          <w:sz w:val="24"/>
          <w:szCs w:val="24"/>
        </w:rPr>
        <w:t xml:space="preserve"> el puritan</w:t>
      </w:r>
      <w:r w:rsidR="00FD4A55" w:rsidRPr="00CA291C">
        <w:rPr>
          <w:rFonts w:ascii="Times New Roman" w:eastAsia="Times New Roman" w:hAnsi="Times New Roman" w:cs="Times New Roman"/>
          <w:color w:val="auto"/>
          <w:sz w:val="24"/>
          <w:szCs w:val="24"/>
        </w:rPr>
        <w:t>ismo y conservadurismo sexuales.</w:t>
      </w:r>
    </w:p>
    <w:p w:rsidR="004E0B2F" w:rsidRPr="00CA291C" w:rsidRDefault="004E0B2F" w:rsidP="004E0B2F">
      <w:pPr>
        <w:pStyle w:val="Ttulo5"/>
        <w:rPr>
          <w:color w:val="auto"/>
        </w:rPr>
      </w:pPr>
      <w:bookmarkStart w:id="2" w:name="h.ca1az0ljv8j0" w:colFirst="0" w:colLast="0"/>
      <w:bookmarkEnd w:id="2"/>
    </w:p>
    <w:p w:rsidR="00B77C01" w:rsidRDefault="00B77C01" w:rsidP="004E0B2F">
      <w:pPr>
        <w:pStyle w:val="Ttulo5"/>
        <w:rPr>
          <w:rFonts w:ascii="Times New Roman" w:eastAsia="Times New Roman" w:hAnsi="Times New Roman" w:cs="Times New Roman"/>
          <w:b/>
          <w:color w:val="auto"/>
          <w:sz w:val="24"/>
          <w:szCs w:val="24"/>
          <w:u w:val="single"/>
        </w:rPr>
      </w:pPr>
      <w:bookmarkStart w:id="3" w:name="h.2et92p0" w:colFirst="0" w:colLast="0"/>
      <w:bookmarkEnd w:id="3"/>
      <w:r>
        <w:rPr>
          <w:rFonts w:ascii="Times New Roman" w:eastAsia="Times New Roman" w:hAnsi="Times New Roman" w:cs="Times New Roman"/>
          <w:b/>
          <w:color w:val="auto"/>
          <w:sz w:val="24"/>
          <w:szCs w:val="24"/>
          <w:u w:val="single"/>
        </w:rPr>
        <w:br w:type="page"/>
      </w:r>
    </w:p>
    <w:p w:rsidR="004E0B2F" w:rsidRPr="00B77C01" w:rsidRDefault="004E0B2F" w:rsidP="004E0B2F">
      <w:pPr>
        <w:pStyle w:val="Ttulo5"/>
        <w:rPr>
          <w:b/>
          <w:color w:val="auto"/>
        </w:rPr>
      </w:pPr>
      <w:r w:rsidRPr="00B77C01">
        <w:rPr>
          <w:rFonts w:ascii="Times New Roman" w:eastAsia="Times New Roman" w:hAnsi="Times New Roman" w:cs="Times New Roman"/>
          <w:b/>
          <w:color w:val="auto"/>
          <w:sz w:val="24"/>
          <w:szCs w:val="24"/>
          <w:u w:val="single"/>
        </w:rPr>
        <w:lastRenderedPageBreak/>
        <w:t>El esencialismo cultural y/o biológico de la sexualidad masculina</w:t>
      </w:r>
    </w:p>
    <w:p w:rsidR="004E0B2F" w:rsidRPr="00CA291C" w:rsidRDefault="004E0B2F" w:rsidP="004E0B2F">
      <w:pPr>
        <w:rPr>
          <w:color w:val="auto"/>
        </w:rPr>
      </w:pP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El feminismo cultural entiende que la pornografía representa todos los males de </w:t>
      </w:r>
      <w:r w:rsidR="00ED1B17" w:rsidRPr="00CA291C">
        <w:rPr>
          <w:rFonts w:ascii="Times New Roman" w:eastAsia="Times New Roman" w:hAnsi="Times New Roman" w:cs="Times New Roman"/>
          <w:color w:val="auto"/>
          <w:sz w:val="24"/>
          <w:szCs w:val="24"/>
        </w:rPr>
        <w:t xml:space="preserve">la dominación masculina. Según lo analiza </w:t>
      </w:r>
      <w:r w:rsidRPr="00CA291C">
        <w:rPr>
          <w:rFonts w:ascii="Times New Roman" w:eastAsia="Times New Roman" w:hAnsi="Times New Roman" w:cs="Times New Roman"/>
          <w:color w:val="auto"/>
          <w:sz w:val="24"/>
          <w:szCs w:val="24"/>
        </w:rPr>
        <w:t>Osborne, todos estos males se resumen en que los hombres basan su poder en la violencia psíquica y física. Para ellos el sexo es sinónimo de violación y el pene es un instrumento de poder y terror</w:t>
      </w:r>
      <w:r w:rsidR="00D555F9" w:rsidRPr="00CA291C">
        <w:rPr>
          <w:rFonts w:ascii="Times New Roman" w:eastAsia="Times New Roman" w:hAnsi="Times New Roman" w:cs="Times New Roman"/>
          <w:color w:val="auto"/>
          <w:sz w:val="24"/>
          <w:szCs w:val="24"/>
        </w:rPr>
        <w:t xml:space="preserve"> (Osborne, 2002: 48)</w:t>
      </w:r>
      <w:r w:rsidRPr="00CA291C">
        <w:rPr>
          <w:rFonts w:ascii="Times New Roman" w:eastAsia="Times New Roman" w:hAnsi="Times New Roman" w:cs="Times New Roman"/>
          <w:color w:val="auto"/>
          <w:sz w:val="24"/>
          <w:szCs w:val="24"/>
        </w:rPr>
        <w:t>. Las feministas culturales rechazan diametralmente al «hombre tal y como lo conocemos» por su esencia violenta que articula la opresión indiscriminada de las mujeres. Florece, así, un argumento misándrico centrado en la anatemización de la masculinidad y de la heterosexualidad</w:t>
      </w:r>
      <w:r w:rsidR="005E03AC" w:rsidRPr="00CA291C">
        <w:rPr>
          <w:rFonts w:ascii="Times New Roman" w:eastAsia="Times New Roman" w:hAnsi="Times New Roman" w:cs="Times New Roman"/>
          <w:color w:val="auto"/>
          <w:sz w:val="24"/>
          <w:szCs w:val="24"/>
        </w:rPr>
        <w:t xml:space="preserve"> (Echols, 1989: 104)</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Independientemente del origen de las «cualidades» masculinas, estas se conciben por las feministas culturales como valores absolutos que constituyen oronda la esencia del hombre</w:t>
      </w:r>
      <w:r w:rsidR="005E03AC" w:rsidRPr="00CA291C">
        <w:rPr>
          <w:rFonts w:ascii="Times New Roman" w:eastAsia="Times New Roman" w:hAnsi="Times New Roman" w:cs="Times New Roman"/>
          <w:color w:val="auto"/>
          <w:sz w:val="24"/>
          <w:szCs w:val="24"/>
        </w:rPr>
        <w:t xml:space="preserve"> (Osborne, 2002: 46)</w:t>
      </w:r>
      <w:r w:rsidRPr="00CA291C">
        <w:rPr>
          <w:rFonts w:ascii="Times New Roman" w:eastAsia="Times New Roman" w:hAnsi="Times New Roman" w:cs="Times New Roman"/>
          <w:color w:val="auto"/>
          <w:sz w:val="24"/>
          <w:szCs w:val="24"/>
        </w:rPr>
        <w:t xml:space="preserve">. Esta esencia hace que el ideal de la sexualidad masculina sea el sexo ocasional, sin compromiso, violento, sin amor, orientado exclusivamente a la satisfacción genital, pornográfico y discriminante, irrespetuoso, indigno y degradante para las mujeres. Así pues, el desarrollo de la sexualidad masculina está irremediablemente ligado al desequilibrio de poder y a la devaluación, al estigma y la depravación de las mujeres.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El poder sexual masculino es la erótica de la jerarquía de género, que es “la sustancia de la cultura”</w:t>
      </w:r>
      <w:r w:rsidR="005738E8" w:rsidRPr="00CA291C">
        <w:rPr>
          <w:rFonts w:ascii="Times New Roman" w:eastAsia="Times New Roman" w:hAnsi="Times New Roman" w:cs="Times New Roman"/>
          <w:color w:val="auto"/>
          <w:sz w:val="24"/>
          <w:szCs w:val="24"/>
        </w:rPr>
        <w:t xml:space="preserve"> (Dworkin, 1989: 23)</w:t>
      </w:r>
      <w:r w:rsidRPr="00CA291C">
        <w:rPr>
          <w:rFonts w:ascii="Times New Roman" w:eastAsia="Times New Roman" w:hAnsi="Times New Roman" w:cs="Times New Roman"/>
          <w:color w:val="auto"/>
          <w:sz w:val="24"/>
          <w:szCs w:val="24"/>
        </w:rPr>
        <w:t>. La excitación se encuentra precisamente en el carácter no consensuado del evento sexual</w:t>
      </w:r>
      <w:r w:rsidR="001B5193"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El uso de la fuerza con propósitos violentos es “el propósito esencial del pene”</w:t>
      </w:r>
      <w:r w:rsidR="005738E8" w:rsidRPr="00CA291C">
        <w:rPr>
          <w:rFonts w:ascii="Times New Roman" w:eastAsia="Times New Roman" w:hAnsi="Times New Roman" w:cs="Times New Roman"/>
          <w:color w:val="auto"/>
          <w:sz w:val="24"/>
          <w:szCs w:val="24"/>
        </w:rPr>
        <w:t xml:space="preserve"> (Dworkin, 1989: 55)</w:t>
      </w:r>
      <w:r w:rsidRPr="00CA291C">
        <w:rPr>
          <w:rFonts w:ascii="Times New Roman" w:eastAsia="Times New Roman" w:hAnsi="Times New Roman" w:cs="Times New Roman"/>
          <w:color w:val="auto"/>
          <w:sz w:val="24"/>
          <w:szCs w:val="24"/>
        </w:rPr>
        <w:t>. No es extraño, entonces, que la sexualidad masculina se considere “la materia prima del asesinato, no del amor”</w:t>
      </w:r>
      <w:r w:rsidR="005738E8" w:rsidRPr="00CA291C">
        <w:rPr>
          <w:rFonts w:ascii="Times New Roman" w:eastAsia="Times New Roman" w:hAnsi="Times New Roman" w:cs="Times New Roman"/>
          <w:color w:val="auto"/>
          <w:sz w:val="24"/>
          <w:szCs w:val="24"/>
        </w:rPr>
        <w:t xml:space="preserve"> (Dworkin, 1980: 152)</w:t>
      </w:r>
      <w:r w:rsidRPr="00CA291C">
        <w:rPr>
          <w:rFonts w:ascii="Times New Roman" w:eastAsia="Times New Roman" w:hAnsi="Times New Roman" w:cs="Times New Roman"/>
          <w:color w:val="auto"/>
          <w:sz w:val="24"/>
          <w:szCs w:val="24"/>
        </w:rPr>
        <w:t xml:space="preserve">.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definitiva, esta visión del feminismo cultural no es más que un empecinamiento en demostrar a toda costa que la sexualidad del hombre es egoísta, violenta y misógina</w:t>
      </w:r>
      <w:r w:rsidR="005E03AC" w:rsidRPr="00CA291C">
        <w:rPr>
          <w:rFonts w:ascii="Times New Roman" w:eastAsia="Times New Roman" w:hAnsi="Times New Roman" w:cs="Times New Roman"/>
          <w:color w:val="auto"/>
          <w:sz w:val="24"/>
          <w:szCs w:val="24"/>
        </w:rPr>
        <w:t xml:space="preserve"> (Osborne, 2002, 105)</w:t>
      </w:r>
      <w:r w:rsidRPr="00CA291C">
        <w:rPr>
          <w:rFonts w:ascii="Times New Roman" w:eastAsia="Times New Roman" w:hAnsi="Times New Roman" w:cs="Times New Roman"/>
          <w:color w:val="auto"/>
          <w:sz w:val="24"/>
          <w:szCs w:val="24"/>
        </w:rPr>
        <w:t>. Por eso, si el principal propósito de las feministas culturales es la eliminación o, en una versión suave, la restricción de la pornografía, cabría preguntarse qué es lo que realmente se lograría después de eso, dada la caracterización tan “uniformemente desfavorable y tan absolutamente desolada” de la sexualidad masculina</w:t>
      </w:r>
      <w:r w:rsidR="005E03AC" w:rsidRPr="00CA291C">
        <w:rPr>
          <w:rFonts w:ascii="Times New Roman" w:eastAsia="Times New Roman" w:hAnsi="Times New Roman" w:cs="Times New Roman"/>
          <w:color w:val="auto"/>
          <w:sz w:val="24"/>
          <w:szCs w:val="24"/>
        </w:rPr>
        <w:t xml:space="preserve"> (Osborne, 2002: 105)</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ab/>
        <w:t>Si la teoría de la dominación masculina es la pornografía, la violación sería la práctica</w:t>
      </w:r>
      <w:r w:rsidR="00312BAF" w:rsidRPr="00CA291C">
        <w:rPr>
          <w:rFonts w:ascii="Times New Roman" w:eastAsia="Times New Roman" w:hAnsi="Times New Roman" w:cs="Times New Roman"/>
          <w:color w:val="auto"/>
          <w:sz w:val="24"/>
          <w:szCs w:val="24"/>
        </w:rPr>
        <w:t xml:space="preserve"> (Echols, 1989: 97)</w:t>
      </w:r>
      <w:r w:rsidRPr="00CA291C">
        <w:rPr>
          <w:rFonts w:ascii="Times New Roman" w:eastAsia="Times New Roman" w:hAnsi="Times New Roman" w:cs="Times New Roman"/>
          <w:color w:val="auto"/>
          <w:sz w:val="24"/>
          <w:szCs w:val="24"/>
        </w:rPr>
        <w:t xml:space="preserve">. La esencia sexual masculina se encuentra en la pornografía: la que permite a los hombres hacer sexualmente lo que quieren; la que muestra cómo los </w:t>
      </w:r>
      <w:r w:rsidRPr="00CA291C">
        <w:rPr>
          <w:rFonts w:ascii="Times New Roman" w:eastAsia="Times New Roman" w:hAnsi="Times New Roman" w:cs="Times New Roman"/>
          <w:color w:val="auto"/>
          <w:sz w:val="24"/>
          <w:szCs w:val="24"/>
        </w:rPr>
        <w:lastRenderedPageBreak/>
        <w:t>hombres ven el mundo; cómo, viéndolo así, ellos acceden y lo poseen en calidad de “acto de dominación sobre él”</w:t>
      </w:r>
      <w:r w:rsidR="00A337C0" w:rsidRPr="00CA291C">
        <w:rPr>
          <w:rFonts w:ascii="Times New Roman" w:eastAsia="Times New Roman" w:hAnsi="Times New Roman" w:cs="Times New Roman"/>
          <w:color w:val="auto"/>
          <w:sz w:val="24"/>
          <w:szCs w:val="24"/>
        </w:rPr>
        <w:t xml:space="preserve"> (MacKinnon, 1991: 138)</w:t>
      </w:r>
      <w:r w:rsidRPr="00CA291C">
        <w:rPr>
          <w:rFonts w:ascii="Times New Roman" w:eastAsia="Times New Roman" w:hAnsi="Times New Roman" w:cs="Times New Roman"/>
          <w:color w:val="auto"/>
          <w:sz w:val="24"/>
          <w:szCs w:val="24"/>
        </w:rPr>
        <w:t>. Así, la sexualidad se vuelve la construcción social de la dominación: definida por los hombres, forzada sobre las mujeres y constitutiva del significado del género. La violencia masculina, a través de la erotización de la dominación, supone el imperativo de la masculinidad.</w:t>
      </w:r>
    </w:p>
    <w:p w:rsidR="004E0B2F" w:rsidRPr="00CA291C" w:rsidRDefault="001B5193" w:rsidP="004E0B2F">
      <w:pPr>
        <w:spacing w:after="0" w:line="360" w:lineRule="auto"/>
        <w:jc w:val="both"/>
        <w:rPr>
          <w:color w:val="auto"/>
        </w:rPr>
      </w:pPr>
      <w:r w:rsidRPr="00CA291C">
        <w:rPr>
          <w:rFonts w:ascii="Times New Roman" w:eastAsia="Times New Roman" w:hAnsi="Times New Roman" w:cs="Times New Roman"/>
          <w:color w:val="auto"/>
          <w:sz w:val="24"/>
          <w:szCs w:val="24"/>
        </w:rPr>
        <w:t xml:space="preserve">Entre otras cosas, esto se analiza a través de un elemento clave de la dominación sexual pornográfica: como la cosificación o deshumanización de las mujeres. Mediante la conversión de las mujeres en objetos sexuales se da vida a la </w:t>
      </w:r>
      <w:r w:rsidR="004E0B2F" w:rsidRPr="00CA291C">
        <w:rPr>
          <w:rFonts w:ascii="Times New Roman" w:eastAsia="Times New Roman" w:hAnsi="Times New Roman" w:cs="Times New Roman"/>
          <w:color w:val="auto"/>
          <w:sz w:val="24"/>
          <w:szCs w:val="24"/>
        </w:rPr>
        <w:t>«trinidad» de la dominación masculina: sexo, violencia y muerte</w:t>
      </w:r>
      <w:r w:rsidR="00312BAF" w:rsidRPr="00CA291C">
        <w:rPr>
          <w:rFonts w:ascii="Times New Roman" w:eastAsia="Times New Roman" w:hAnsi="Times New Roman" w:cs="Times New Roman"/>
          <w:color w:val="auto"/>
          <w:sz w:val="24"/>
          <w:szCs w:val="24"/>
        </w:rPr>
        <w:t xml:space="preserve"> (Dworkin, 1974: 30)</w:t>
      </w:r>
      <w:r w:rsidR="004E0B2F"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L</w:t>
      </w:r>
      <w:r w:rsidR="004E0B2F" w:rsidRPr="00CA291C">
        <w:rPr>
          <w:rFonts w:ascii="Times New Roman" w:eastAsia="Times New Roman" w:hAnsi="Times New Roman" w:cs="Times New Roman"/>
          <w:color w:val="auto"/>
          <w:sz w:val="24"/>
          <w:szCs w:val="24"/>
        </w:rPr>
        <w:t>a puesta en práctica del deseo masculino necesita de la sumisión y negación de la mujer. Según MacKinnon, los hombres son el yo (</w:t>
      </w:r>
      <w:r w:rsidR="004E0B2F" w:rsidRPr="00CA291C">
        <w:rPr>
          <w:rFonts w:ascii="Times New Roman" w:eastAsia="Times New Roman" w:hAnsi="Times New Roman" w:cs="Times New Roman"/>
          <w:i/>
          <w:color w:val="auto"/>
          <w:sz w:val="24"/>
          <w:szCs w:val="24"/>
        </w:rPr>
        <w:t>self</w:t>
      </w:r>
      <w:r w:rsidR="004E0B2F" w:rsidRPr="00CA291C">
        <w:rPr>
          <w:rFonts w:ascii="Times New Roman" w:eastAsia="Times New Roman" w:hAnsi="Times New Roman" w:cs="Times New Roman"/>
          <w:color w:val="auto"/>
          <w:sz w:val="24"/>
          <w:szCs w:val="24"/>
        </w:rPr>
        <w:t>) y las mujeres son las cosas: “el hombre folla a la mujer; sujeto, verbo, objeto”</w:t>
      </w:r>
      <w:r w:rsidR="00A337C0" w:rsidRPr="00CA291C">
        <w:rPr>
          <w:rFonts w:ascii="Times New Roman" w:eastAsia="Times New Roman" w:hAnsi="Times New Roman" w:cs="Times New Roman"/>
          <w:color w:val="auto"/>
          <w:sz w:val="24"/>
          <w:szCs w:val="24"/>
        </w:rPr>
        <w:t xml:space="preserve"> (MacKinnon, 1991: 123-124)</w:t>
      </w:r>
      <w:r w:rsidR="004E0B2F" w:rsidRPr="00CA291C">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Se trata de la</w:t>
      </w:r>
      <w:r w:rsidR="004E0B2F" w:rsidRPr="00CA291C">
        <w:rPr>
          <w:rFonts w:ascii="Times New Roman" w:eastAsia="Times New Roman" w:hAnsi="Times New Roman" w:cs="Times New Roman"/>
          <w:color w:val="auto"/>
          <w:sz w:val="24"/>
          <w:szCs w:val="24"/>
        </w:rPr>
        <w:t xml:space="preserve"> predeterminación de la mujer como seres para ser usados sexualmente. La fuerza de la dominación masculina reside, pues, en la excitación de un hombre por una mujer a través de su reducción de persona a cosa.</w:t>
      </w:r>
      <w:r w:rsidR="004E0B2F" w:rsidRPr="00CA291C">
        <w:rPr>
          <w:rFonts w:ascii="Times New Roman" w:eastAsia="Times New Roman" w:hAnsi="Times New Roman" w:cs="Times New Roman"/>
          <w:color w:val="auto"/>
          <w:sz w:val="24"/>
          <w:szCs w:val="24"/>
        </w:rPr>
        <w:tab/>
      </w:r>
      <w:r w:rsidRPr="00CA291C">
        <w:rPr>
          <w:rFonts w:ascii="Times New Roman" w:eastAsia="Times New Roman" w:hAnsi="Times New Roman" w:cs="Times New Roman"/>
          <w:color w:val="auto"/>
          <w:sz w:val="24"/>
          <w:szCs w:val="24"/>
        </w:rPr>
        <w:t>Y s</w:t>
      </w:r>
      <w:r w:rsidR="004E0B2F" w:rsidRPr="00CA291C">
        <w:rPr>
          <w:rFonts w:ascii="Times New Roman" w:eastAsia="Times New Roman" w:hAnsi="Times New Roman" w:cs="Times New Roman"/>
          <w:color w:val="auto"/>
          <w:sz w:val="24"/>
          <w:szCs w:val="24"/>
        </w:rPr>
        <w:t xml:space="preserve">i el disfrute sexual del hombre se basa en la negación de la mujer como persona humana (dominación), el </w:t>
      </w:r>
      <w:r w:rsidR="004E0B2F" w:rsidRPr="00CA291C">
        <w:rPr>
          <w:rFonts w:ascii="Times New Roman" w:eastAsia="Times New Roman" w:hAnsi="Times New Roman" w:cs="Times New Roman"/>
          <w:i/>
          <w:color w:val="auto"/>
          <w:sz w:val="24"/>
          <w:szCs w:val="24"/>
        </w:rPr>
        <w:t>disfrute</w:t>
      </w:r>
      <w:r w:rsidR="004E0B2F" w:rsidRPr="00CA291C">
        <w:rPr>
          <w:rFonts w:ascii="Times New Roman" w:eastAsia="Times New Roman" w:hAnsi="Times New Roman" w:cs="Times New Roman"/>
          <w:color w:val="auto"/>
          <w:sz w:val="24"/>
          <w:szCs w:val="24"/>
        </w:rPr>
        <w:t xml:space="preserve"> sexual de la mujer se basa obviamente en dar vida a esa negación (sumisión). En los términos masculinos, pues, la sexualidad masculina es esencialmente sádica y la sexualidad femenina es esencialmente masoquista</w:t>
      </w:r>
      <w:r w:rsidRPr="00CA291C">
        <w:rPr>
          <w:rFonts w:ascii="Times New Roman" w:eastAsia="Times New Roman" w:hAnsi="Times New Roman" w:cs="Times New Roman"/>
          <w:color w:val="auto"/>
          <w:sz w:val="24"/>
          <w:szCs w:val="24"/>
        </w:rPr>
        <w:t>.</w:t>
      </w:r>
      <w:r w:rsidR="004E0B2F" w:rsidRPr="00CA291C">
        <w:rPr>
          <w:rFonts w:ascii="Times New Roman" w:eastAsia="Times New Roman" w:hAnsi="Times New Roman" w:cs="Times New Roman"/>
          <w:color w:val="auto"/>
          <w:sz w:val="24"/>
          <w:szCs w:val="24"/>
        </w:rPr>
        <w:t xml:space="preserve"> </w:t>
      </w:r>
    </w:p>
    <w:p w:rsidR="004E0B2F" w:rsidRPr="00CA291C" w:rsidRDefault="004E0B2F" w:rsidP="004E0B2F">
      <w:pPr>
        <w:spacing w:after="0" w:line="360" w:lineRule="auto"/>
        <w:ind w:firstLine="708"/>
        <w:jc w:val="both"/>
        <w:rPr>
          <w:color w:val="auto"/>
        </w:rPr>
      </w:pPr>
      <w:r w:rsidRPr="00CA291C">
        <w:rPr>
          <w:rFonts w:ascii="Times New Roman" w:eastAsia="Times New Roman" w:hAnsi="Times New Roman" w:cs="Times New Roman"/>
          <w:color w:val="auto"/>
          <w:sz w:val="24"/>
          <w:szCs w:val="24"/>
        </w:rPr>
        <w:t>En realidad, lo que el feminismo cultural propugna es que la sexualidad en sí misma es peligro y nunca placer para las mujeres en sus propios términos</w:t>
      </w:r>
      <w:r w:rsidR="00312BAF" w:rsidRPr="00CA291C">
        <w:rPr>
          <w:rFonts w:ascii="Times New Roman" w:eastAsia="Times New Roman" w:hAnsi="Times New Roman" w:cs="Times New Roman"/>
          <w:color w:val="auto"/>
          <w:sz w:val="24"/>
          <w:szCs w:val="24"/>
        </w:rPr>
        <w:t xml:space="preserve"> (Echols, 1989: 95)</w:t>
      </w:r>
      <w:r w:rsidR="00A337C0" w:rsidRPr="00CA291C">
        <w:rPr>
          <w:rFonts w:ascii="Times New Roman" w:eastAsia="Times New Roman" w:hAnsi="Times New Roman" w:cs="Times New Roman"/>
          <w:color w:val="auto"/>
          <w:sz w:val="24"/>
          <w:szCs w:val="24"/>
        </w:rPr>
        <w:t>.</w:t>
      </w:r>
      <w:r w:rsidRPr="00CA291C">
        <w:rPr>
          <w:rFonts w:ascii="Times New Roman" w:eastAsia="Times New Roman" w:hAnsi="Times New Roman" w:cs="Times New Roman"/>
          <w:color w:val="auto"/>
          <w:sz w:val="24"/>
          <w:szCs w:val="24"/>
        </w:rPr>
        <w:t xml:space="preserve"> Como dice Adrienne Rich, el odio de las mujeres está tan incrustado en la cultura, tan normal parece, tan profundamente es negado como fenómeno social, que muchas mujeres erran en identificarlo</w:t>
      </w:r>
      <w:r w:rsidR="005738E8" w:rsidRPr="00CA291C">
        <w:rPr>
          <w:rFonts w:ascii="Times New Roman" w:eastAsia="Times New Roman" w:hAnsi="Times New Roman" w:cs="Times New Roman"/>
          <w:color w:val="auto"/>
          <w:sz w:val="24"/>
          <w:szCs w:val="24"/>
        </w:rPr>
        <w:t xml:space="preserve"> (Rich, 1983: 200)</w:t>
      </w:r>
      <w:r w:rsidRPr="00CA291C">
        <w:rPr>
          <w:rFonts w:ascii="Times New Roman" w:eastAsia="Times New Roman" w:hAnsi="Times New Roman" w:cs="Times New Roman"/>
          <w:color w:val="auto"/>
          <w:sz w:val="24"/>
          <w:szCs w:val="24"/>
        </w:rPr>
        <w:t xml:space="preserve">. Pero no solo erran, sino que constituye su propia feminidad, lo que lleva a aceptarla, legitimarla y disfrutarla, aunque eso suponga su negación como personas y como seres sexuales. </w:t>
      </w:r>
    </w:p>
    <w:p w:rsidR="004E0B2F" w:rsidRPr="00CA291C" w:rsidRDefault="004E0B2F" w:rsidP="004E0B2F">
      <w:pPr>
        <w:spacing w:after="0" w:line="360" w:lineRule="auto"/>
        <w:jc w:val="center"/>
        <w:rPr>
          <w:color w:val="auto"/>
        </w:rPr>
      </w:pPr>
    </w:p>
    <w:p w:rsidR="004E0B2F" w:rsidRPr="00193907" w:rsidRDefault="004E0B2F" w:rsidP="004E0B2F">
      <w:pPr>
        <w:pStyle w:val="Ttulo5"/>
        <w:rPr>
          <w:b/>
          <w:color w:val="auto"/>
        </w:rPr>
      </w:pPr>
      <w:bookmarkStart w:id="4" w:name="h.3dy6vkm" w:colFirst="0" w:colLast="0"/>
      <w:bookmarkEnd w:id="4"/>
      <w:r w:rsidRPr="00193907">
        <w:rPr>
          <w:rFonts w:ascii="Times New Roman" w:eastAsia="Times New Roman" w:hAnsi="Times New Roman" w:cs="Times New Roman"/>
          <w:b/>
          <w:color w:val="auto"/>
          <w:sz w:val="24"/>
          <w:szCs w:val="24"/>
          <w:u w:val="single"/>
        </w:rPr>
        <w:t>El puritanismo y conservadurismo sexuales</w:t>
      </w:r>
    </w:p>
    <w:p w:rsidR="004E0B2F" w:rsidRPr="00CA291C" w:rsidRDefault="004E0B2F" w:rsidP="004E0B2F">
      <w:pPr>
        <w:rPr>
          <w:color w:val="auto"/>
        </w:rPr>
      </w:pP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En el marco de análisis desarrollado por las feministas culturales subyace un pensamiento puritano y conservador, o «neovictoriano»</w:t>
      </w:r>
      <w:r w:rsidR="00312BAF" w:rsidRPr="00CA291C">
        <w:rPr>
          <w:rFonts w:ascii="Times New Roman" w:eastAsia="Times New Roman" w:hAnsi="Times New Roman" w:cs="Times New Roman"/>
          <w:color w:val="auto"/>
          <w:sz w:val="24"/>
          <w:szCs w:val="24"/>
        </w:rPr>
        <w:t xml:space="preserve"> (Osborne, 2002: 51)</w:t>
      </w:r>
      <w:r w:rsidRPr="00CA291C">
        <w:rPr>
          <w:rFonts w:ascii="Times New Roman" w:eastAsia="Times New Roman" w:hAnsi="Times New Roman" w:cs="Times New Roman"/>
          <w:color w:val="auto"/>
          <w:sz w:val="24"/>
          <w:szCs w:val="24"/>
        </w:rPr>
        <w:t xml:space="preserve">, donde el hombre rebosa agresividad y maldad y la mujer es la esencia del encanto y la bondad. Esto les lleva a aceptar más o menos explícitamente que los deseos masculinos son irremediables e irreprimibles y que los deseos sexuales femeninos son inexistentes. Pero como bien recoge Carole Vance, el razonamiento dictado por la cultura dominante de que la </w:t>
      </w:r>
      <w:r w:rsidRPr="00CA291C">
        <w:rPr>
          <w:rFonts w:ascii="Times New Roman" w:eastAsia="Times New Roman" w:hAnsi="Times New Roman" w:cs="Times New Roman"/>
          <w:color w:val="auto"/>
          <w:sz w:val="24"/>
          <w:szCs w:val="24"/>
        </w:rPr>
        <w:lastRenderedPageBreak/>
        <w:t>naturaleza sexual de los hombres es siempre lujuriosa, agresiva e impredecible y que por ello las mujeres aprenden a “mantener la falda bajada, las bragas subidas y el cuerpo lejos de extraños”</w:t>
      </w:r>
      <w:r w:rsidR="005738E8" w:rsidRPr="00CA291C">
        <w:rPr>
          <w:rFonts w:ascii="Times New Roman" w:eastAsia="Times New Roman" w:hAnsi="Times New Roman" w:cs="Times New Roman"/>
          <w:color w:val="auto"/>
          <w:sz w:val="24"/>
          <w:szCs w:val="24"/>
        </w:rPr>
        <w:t xml:space="preserve"> (Vance, </w:t>
      </w:r>
      <w:r w:rsidR="00AA480A" w:rsidRPr="00CA291C">
        <w:rPr>
          <w:rFonts w:ascii="Times New Roman" w:eastAsia="Times New Roman" w:hAnsi="Times New Roman" w:cs="Times New Roman"/>
          <w:color w:val="auto"/>
          <w:sz w:val="24"/>
          <w:szCs w:val="24"/>
        </w:rPr>
        <w:t>1989: 14)</w:t>
      </w:r>
      <w:r w:rsidRPr="00CA291C">
        <w:rPr>
          <w:rFonts w:ascii="Times New Roman" w:eastAsia="Times New Roman" w:hAnsi="Times New Roman" w:cs="Times New Roman"/>
          <w:color w:val="auto"/>
          <w:sz w:val="24"/>
          <w:szCs w:val="24"/>
        </w:rPr>
        <w:t>, hace que las mujeres se conviertan en “custodios morales del comportamiento masculino que se supone que ellas instigan y desencadenan”</w:t>
      </w:r>
      <w:r w:rsidR="00AA480A" w:rsidRPr="00CA291C">
        <w:rPr>
          <w:rFonts w:ascii="Times New Roman" w:eastAsia="Times New Roman" w:hAnsi="Times New Roman" w:cs="Times New Roman"/>
          <w:color w:val="auto"/>
          <w:sz w:val="24"/>
          <w:szCs w:val="24"/>
        </w:rPr>
        <w:t xml:space="preserve"> (Ibídem)</w:t>
      </w:r>
      <w:r w:rsidRPr="00CA291C">
        <w:rPr>
          <w:rFonts w:ascii="Times New Roman" w:eastAsia="Times New Roman" w:hAnsi="Times New Roman" w:cs="Times New Roman"/>
          <w:color w:val="auto"/>
          <w:sz w:val="24"/>
          <w:szCs w:val="24"/>
        </w:rPr>
        <w:t>. Así pues, evidentemente, no es que las mujeres carezcan de deseos sexuales sino que existe una imposición para el control férreo de los mismos y de su expresión pública.</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ab/>
        <w:t>La liberación y diversidad sexuales son vistas por el feminismo cultural, entonces, no como la oportunidad de desenterrar y apoyar en suelo firme los deseos femeninos (lo cual puede acarrear tanto placeres como peligros) sino como una legitimación más y una vía abierta a la puesta en práctica de los instintos agresivos y opresivos masculinos. Centrarse exclusivamente en los aspectos explotadores de la sexualidad, como hacen las feministas culturales, significa negar la propia liberación sexual de la mujer, lo que paradójicamente vendría a dificultar el florecimiento de tan aclamado «principio femenino».</w:t>
      </w:r>
    </w:p>
    <w:p w:rsidR="004C5D68" w:rsidRDefault="004E0B2F" w:rsidP="004C5D68">
      <w:pPr>
        <w:spacing w:after="0" w:line="360" w:lineRule="auto"/>
        <w:jc w:val="both"/>
        <w:rPr>
          <w:rFonts w:ascii="Times New Roman" w:eastAsia="Times New Roman" w:hAnsi="Times New Roman" w:cs="Times New Roman"/>
          <w:color w:val="auto"/>
          <w:sz w:val="24"/>
          <w:szCs w:val="24"/>
        </w:rPr>
      </w:pPr>
      <w:r w:rsidRPr="00CA291C">
        <w:rPr>
          <w:rFonts w:ascii="Times New Roman" w:eastAsia="Times New Roman" w:hAnsi="Times New Roman" w:cs="Times New Roman"/>
          <w:color w:val="auto"/>
          <w:sz w:val="24"/>
          <w:szCs w:val="24"/>
        </w:rPr>
        <w:t xml:space="preserve">Un punto clave de este conservadurismo apoyado en la polarización de las sexualidades masculina y femenina es la forma en que se asocian los deseos y las prácticas sexuales con la desigualdad de género. Este puritanismo analizar las fantasías sexuales en un </w:t>
      </w:r>
      <w:r w:rsidRPr="00CA291C">
        <w:rPr>
          <w:rFonts w:ascii="Times New Roman" w:eastAsia="Times New Roman" w:hAnsi="Times New Roman" w:cs="Times New Roman"/>
          <w:i/>
          <w:color w:val="auto"/>
          <w:sz w:val="24"/>
          <w:szCs w:val="24"/>
        </w:rPr>
        <w:t>continuum</w:t>
      </w:r>
      <w:r w:rsidRPr="00CA291C">
        <w:rPr>
          <w:rFonts w:ascii="Times New Roman" w:eastAsia="Times New Roman" w:hAnsi="Times New Roman" w:cs="Times New Roman"/>
          <w:color w:val="auto"/>
          <w:sz w:val="24"/>
          <w:szCs w:val="24"/>
        </w:rPr>
        <w:t xml:space="preserve"> con la realidad jerárquica y opresiva del género. Como observa Echols,</w:t>
      </w:r>
    </w:p>
    <w:p w:rsidR="0003009C" w:rsidRPr="00CA291C" w:rsidRDefault="0003009C" w:rsidP="004C5D68">
      <w:pPr>
        <w:spacing w:after="0" w:line="360" w:lineRule="auto"/>
        <w:jc w:val="both"/>
        <w:rPr>
          <w:rFonts w:ascii="Times New Roman" w:eastAsia="Times New Roman" w:hAnsi="Times New Roman" w:cs="Times New Roman"/>
          <w:color w:val="auto"/>
          <w:sz w:val="24"/>
          <w:szCs w:val="24"/>
        </w:rPr>
      </w:pPr>
    </w:p>
    <w:p w:rsidR="004C5D68" w:rsidRPr="00CA291C" w:rsidRDefault="004E0B2F" w:rsidP="004C5D68">
      <w:pPr>
        <w:spacing w:after="0" w:line="360" w:lineRule="auto"/>
        <w:ind w:left="709"/>
        <w:jc w:val="both"/>
        <w:rPr>
          <w:rFonts w:ascii="Times New Roman" w:eastAsia="Times New Roman" w:hAnsi="Times New Roman" w:cs="Times New Roman"/>
          <w:color w:val="auto"/>
          <w:sz w:val="20"/>
          <w:szCs w:val="24"/>
        </w:rPr>
      </w:pPr>
      <w:r w:rsidRPr="00CA291C">
        <w:rPr>
          <w:rFonts w:ascii="Times New Roman" w:eastAsia="Times New Roman" w:hAnsi="Times New Roman" w:cs="Times New Roman"/>
          <w:color w:val="auto"/>
          <w:sz w:val="20"/>
          <w:szCs w:val="24"/>
        </w:rPr>
        <w:t>“las feministas culturales han desarrollado un análisis altamente conductivista y mecanicista que aúna la fantasía con la realidad y la pornografía con la violencia […] Este punto de vista da por hecho que se nos puede y se nos debe considerar responsables de nuestros deseos”</w:t>
      </w:r>
      <w:r w:rsidR="00312BAF" w:rsidRPr="00CA291C">
        <w:rPr>
          <w:rFonts w:ascii="Times New Roman" w:eastAsia="Times New Roman" w:hAnsi="Times New Roman" w:cs="Times New Roman"/>
          <w:color w:val="auto"/>
          <w:sz w:val="24"/>
          <w:szCs w:val="24"/>
        </w:rPr>
        <w:t xml:space="preserve"> </w:t>
      </w:r>
      <w:r w:rsidR="00312BAF" w:rsidRPr="00CA291C">
        <w:rPr>
          <w:rFonts w:ascii="Times New Roman" w:eastAsia="Times New Roman" w:hAnsi="Times New Roman" w:cs="Times New Roman"/>
          <w:color w:val="auto"/>
          <w:sz w:val="20"/>
          <w:szCs w:val="24"/>
        </w:rPr>
        <w:t>(Echols, 1989: 96)</w:t>
      </w:r>
      <w:r w:rsidRPr="00CA291C">
        <w:rPr>
          <w:rFonts w:ascii="Times New Roman" w:eastAsia="Times New Roman" w:hAnsi="Times New Roman" w:cs="Times New Roman"/>
          <w:color w:val="auto"/>
          <w:sz w:val="20"/>
          <w:szCs w:val="24"/>
        </w:rPr>
        <w:t xml:space="preserve">. </w:t>
      </w:r>
    </w:p>
    <w:p w:rsidR="004C5D68" w:rsidRPr="00CA291C" w:rsidRDefault="004C5D68" w:rsidP="004C5D68">
      <w:pPr>
        <w:spacing w:after="0" w:line="360" w:lineRule="auto"/>
        <w:jc w:val="both"/>
        <w:rPr>
          <w:rFonts w:ascii="Times New Roman" w:eastAsia="Times New Roman" w:hAnsi="Times New Roman" w:cs="Times New Roman"/>
          <w:color w:val="auto"/>
          <w:sz w:val="24"/>
          <w:szCs w:val="24"/>
        </w:rPr>
      </w:pPr>
    </w:p>
    <w:p w:rsidR="004E0B2F" w:rsidRPr="00CA291C" w:rsidRDefault="004E0B2F" w:rsidP="004C5D68">
      <w:pPr>
        <w:spacing w:after="0" w:line="360" w:lineRule="auto"/>
        <w:jc w:val="both"/>
        <w:rPr>
          <w:color w:val="auto"/>
        </w:rPr>
      </w:pPr>
      <w:r w:rsidRPr="00CA291C">
        <w:rPr>
          <w:rFonts w:ascii="Times New Roman" w:eastAsia="Times New Roman" w:hAnsi="Times New Roman" w:cs="Times New Roman"/>
          <w:color w:val="auto"/>
          <w:sz w:val="24"/>
          <w:szCs w:val="24"/>
        </w:rPr>
        <w:t>Un ejemplo de ello se aprecia en Dworkin y MacKinnon, para quienes la pornografía no puede ser considerada como una fantasía inofensiva sino que, a través de ella como de otras prácticas, la desigualdad de género se convierte en realidad tanto sexual como social</w:t>
      </w:r>
      <w:r w:rsidR="00C7794E" w:rsidRPr="00CA291C">
        <w:rPr>
          <w:rFonts w:ascii="Times New Roman" w:eastAsia="Times New Roman" w:hAnsi="Times New Roman" w:cs="Times New Roman"/>
          <w:color w:val="auto"/>
          <w:sz w:val="24"/>
          <w:szCs w:val="24"/>
        </w:rPr>
        <w:t>mente</w:t>
      </w:r>
      <w:r w:rsidR="00A337C0" w:rsidRPr="00CA291C">
        <w:rPr>
          <w:rFonts w:ascii="Times New Roman" w:eastAsia="Times New Roman" w:hAnsi="Times New Roman" w:cs="Times New Roman"/>
          <w:color w:val="auto"/>
          <w:sz w:val="24"/>
          <w:szCs w:val="24"/>
        </w:rPr>
        <w:t xml:space="preserve"> (MacKinnon, 1991: 139-140)</w:t>
      </w:r>
      <w:r w:rsidRPr="00CA291C">
        <w:rPr>
          <w:rFonts w:ascii="Times New Roman" w:eastAsia="Times New Roman" w:hAnsi="Times New Roman" w:cs="Times New Roman"/>
          <w:color w:val="auto"/>
          <w:sz w:val="24"/>
          <w:szCs w:val="24"/>
        </w:rPr>
        <w:t>. La experiencia de la pornografía permite fantasear con la libertad cuando la realidad es una falsa libertad. Con ella se consigue realizar la fantasía de todo hombre y, paralelamente, también la de toda mujer porque, al final, lo que las mujeres quieren resulta ser lo que los hombres quieren</w:t>
      </w:r>
      <w:r w:rsidR="005738E8" w:rsidRPr="00CA291C">
        <w:rPr>
          <w:rFonts w:ascii="Times New Roman" w:eastAsia="Times New Roman" w:hAnsi="Times New Roman" w:cs="Times New Roman"/>
          <w:color w:val="auto"/>
          <w:sz w:val="24"/>
          <w:szCs w:val="24"/>
        </w:rPr>
        <w:t xml:space="preserve"> (Dworkin, 1989: 136)</w:t>
      </w:r>
      <w:r w:rsidRPr="00CA291C">
        <w:rPr>
          <w:rFonts w:ascii="Times New Roman" w:eastAsia="Times New Roman" w:hAnsi="Times New Roman" w:cs="Times New Roman"/>
          <w:color w:val="auto"/>
          <w:sz w:val="24"/>
          <w:szCs w:val="24"/>
        </w:rPr>
        <w:t>. La pornografía “hace sexy el sexismo”</w:t>
      </w:r>
      <w:r w:rsidR="005738E8" w:rsidRPr="00CA291C">
        <w:rPr>
          <w:rFonts w:ascii="Times New Roman" w:eastAsia="Times New Roman" w:hAnsi="Times New Roman" w:cs="Times New Roman"/>
          <w:color w:val="auto"/>
          <w:sz w:val="24"/>
          <w:szCs w:val="24"/>
        </w:rPr>
        <w:t xml:space="preserve"> (Dworkin y MacKinnon, 1989: 47)</w:t>
      </w:r>
      <w:r w:rsidRPr="00CA291C">
        <w:rPr>
          <w:rFonts w:ascii="Times New Roman" w:eastAsia="Times New Roman" w:hAnsi="Times New Roman" w:cs="Times New Roman"/>
          <w:color w:val="auto"/>
          <w:sz w:val="24"/>
          <w:szCs w:val="24"/>
        </w:rPr>
        <w:t>.</w:t>
      </w:r>
    </w:p>
    <w:p w:rsidR="004E0B2F" w:rsidRPr="00CA291C" w:rsidRDefault="004E0B2F" w:rsidP="004E0B2F">
      <w:pPr>
        <w:spacing w:after="0" w:line="360" w:lineRule="auto"/>
        <w:ind w:firstLine="708"/>
        <w:jc w:val="both"/>
        <w:rPr>
          <w:color w:val="auto"/>
        </w:rPr>
      </w:pPr>
      <w:bookmarkStart w:id="5" w:name="h.1t3h5sf" w:colFirst="0" w:colLast="0"/>
      <w:bookmarkEnd w:id="5"/>
      <w:r w:rsidRPr="00CA291C">
        <w:rPr>
          <w:rFonts w:ascii="Times New Roman" w:eastAsia="Times New Roman" w:hAnsi="Times New Roman" w:cs="Times New Roman"/>
          <w:color w:val="auto"/>
          <w:sz w:val="24"/>
          <w:szCs w:val="24"/>
        </w:rPr>
        <w:lastRenderedPageBreak/>
        <w:t>Se trata de una constricción de la sexualidad por motivos de género. El concepto de dominación masculina según el feminismo cultural es rotundo y no deja espacio a alternativas. Por ello, la idea de emergencia frente al concepto de dominación desecha éste como concepto válido para la apertura de la sexualidad, la lucha contra el sistema sexista y la construcción de relaciones igualitarias de mujeres y hombres.</w:t>
      </w:r>
    </w:p>
    <w:p w:rsidR="004E0B2F" w:rsidRPr="00CA291C" w:rsidRDefault="004E0B2F" w:rsidP="004E0B2F">
      <w:pPr>
        <w:pStyle w:val="Ttulo3"/>
        <w:tabs>
          <w:tab w:val="left" w:pos="709"/>
        </w:tabs>
        <w:spacing w:line="240" w:lineRule="auto"/>
        <w:ind w:left="709" w:hanging="709"/>
        <w:jc w:val="both"/>
        <w:rPr>
          <w:color w:val="auto"/>
        </w:rPr>
      </w:pPr>
      <w:bookmarkStart w:id="6" w:name="h.ekey6t6c29l1" w:colFirst="0" w:colLast="0"/>
      <w:bookmarkEnd w:id="6"/>
    </w:p>
    <w:p w:rsidR="004E0B2F" w:rsidRPr="00B77C01" w:rsidRDefault="004E0B2F" w:rsidP="00193907">
      <w:pPr>
        <w:pStyle w:val="Ttulo3"/>
        <w:tabs>
          <w:tab w:val="left" w:pos="0"/>
        </w:tabs>
        <w:spacing w:line="240" w:lineRule="auto"/>
        <w:jc w:val="both"/>
        <w:rPr>
          <w:rFonts w:ascii="Times New Roman" w:eastAsia="Calibri" w:hAnsi="Times New Roman" w:cs="Times New Roman"/>
          <w:b/>
          <w:smallCaps/>
          <w:color w:val="auto"/>
          <w:sz w:val="28"/>
        </w:rPr>
      </w:pPr>
      <w:bookmarkStart w:id="7" w:name="h.2s8eyo1" w:colFirst="0" w:colLast="0"/>
      <w:bookmarkEnd w:id="7"/>
      <w:r w:rsidRPr="00B77C01">
        <w:rPr>
          <w:rFonts w:ascii="Times New Roman" w:eastAsia="Calibri" w:hAnsi="Times New Roman" w:cs="Times New Roman"/>
          <w:b/>
          <w:smallCaps/>
          <w:color w:val="auto"/>
          <w:sz w:val="28"/>
        </w:rPr>
        <w:t>La igualdad es la teoría; la igualdad es la práctica: la perspectiva de los modelos emergentes</w:t>
      </w:r>
    </w:p>
    <w:p w:rsidR="004E0B2F" w:rsidRPr="00CA291C" w:rsidRDefault="004E0B2F" w:rsidP="004E0B2F">
      <w:pPr>
        <w:spacing w:after="0" w:line="360" w:lineRule="auto"/>
        <w:jc w:val="both"/>
        <w:rPr>
          <w:color w:val="auto"/>
        </w:rPr>
      </w:pPr>
    </w:p>
    <w:p w:rsidR="004E0B2F" w:rsidRPr="00CA291C" w:rsidRDefault="004E0B2F" w:rsidP="007C30CF">
      <w:pPr>
        <w:spacing w:after="0" w:line="360" w:lineRule="auto"/>
        <w:ind w:firstLine="708"/>
        <w:jc w:val="both"/>
        <w:rPr>
          <w:color w:val="auto"/>
        </w:rPr>
      </w:pPr>
      <w:r w:rsidRPr="00CA291C">
        <w:rPr>
          <w:rFonts w:ascii="Times New Roman" w:eastAsia="Times New Roman" w:hAnsi="Times New Roman" w:cs="Times New Roman"/>
          <w:color w:val="auto"/>
          <w:sz w:val="24"/>
          <w:szCs w:val="24"/>
        </w:rPr>
        <w:t xml:space="preserve">Los razonamientos de las feministas culturales les llevan a plantear que la superación de la opresión de las mujeres pasa por el </w:t>
      </w:r>
      <w:r w:rsidRPr="00CA291C">
        <w:rPr>
          <w:rFonts w:ascii="Times New Roman" w:eastAsia="Times New Roman" w:hAnsi="Times New Roman" w:cs="Times New Roman"/>
          <w:i/>
          <w:color w:val="auto"/>
          <w:sz w:val="24"/>
          <w:szCs w:val="24"/>
        </w:rPr>
        <w:t>cambio</w:t>
      </w:r>
      <w:r w:rsidRPr="00CA291C">
        <w:rPr>
          <w:rFonts w:ascii="Times New Roman" w:eastAsia="Times New Roman" w:hAnsi="Times New Roman" w:cs="Times New Roman"/>
          <w:color w:val="auto"/>
          <w:sz w:val="24"/>
          <w:szCs w:val="24"/>
        </w:rPr>
        <w:t xml:space="preserve"> o la </w:t>
      </w:r>
      <w:r w:rsidRPr="00CA291C">
        <w:rPr>
          <w:rFonts w:ascii="Times New Roman" w:eastAsia="Times New Roman" w:hAnsi="Times New Roman" w:cs="Times New Roman"/>
          <w:i/>
          <w:color w:val="auto"/>
          <w:sz w:val="24"/>
          <w:szCs w:val="24"/>
        </w:rPr>
        <w:t xml:space="preserve">eliminación </w:t>
      </w:r>
      <w:r w:rsidRPr="00CA291C">
        <w:rPr>
          <w:rFonts w:ascii="Times New Roman" w:eastAsia="Times New Roman" w:hAnsi="Times New Roman" w:cs="Times New Roman"/>
          <w:color w:val="auto"/>
          <w:sz w:val="24"/>
          <w:szCs w:val="24"/>
        </w:rPr>
        <w:t xml:space="preserve">del «hombre tal y como lo conocemos» más que el cambio o la eliminación del sistema sexista como estructura cultural y social. Desde la perspectiva de </w:t>
      </w:r>
      <w:r w:rsidR="0013740C" w:rsidRPr="00CA291C">
        <w:rPr>
          <w:rFonts w:ascii="Times New Roman" w:eastAsia="Times New Roman" w:hAnsi="Times New Roman" w:cs="Times New Roman"/>
          <w:color w:val="auto"/>
          <w:sz w:val="24"/>
          <w:szCs w:val="24"/>
        </w:rPr>
        <w:t>este trabajo</w:t>
      </w:r>
      <w:r w:rsidRPr="00CA291C">
        <w:rPr>
          <w:rFonts w:ascii="Times New Roman" w:eastAsia="Times New Roman" w:hAnsi="Times New Roman" w:cs="Times New Roman"/>
          <w:color w:val="auto"/>
          <w:sz w:val="24"/>
          <w:szCs w:val="24"/>
        </w:rPr>
        <w:t xml:space="preserve">, el concepto de dominación masculina, mediante la constricción de hombres y mujeres en dos esferas opuestas e irreconciliables, impide atender no solo a la complejidad de las desigualdades de género sino también el decisivo elemento relacional que atañe a las influencias recíprocas de mujeres y hombres. La </w:t>
      </w:r>
      <w:r w:rsidRPr="00CA291C">
        <w:rPr>
          <w:rFonts w:ascii="Times New Roman" w:eastAsia="Times New Roman" w:hAnsi="Times New Roman" w:cs="Times New Roman"/>
          <w:i/>
          <w:color w:val="auto"/>
          <w:sz w:val="24"/>
          <w:szCs w:val="24"/>
        </w:rPr>
        <w:t xml:space="preserve">vuelta </w:t>
      </w:r>
      <w:r w:rsidRPr="00CA291C">
        <w:rPr>
          <w:rFonts w:ascii="Times New Roman" w:eastAsia="Times New Roman" w:hAnsi="Times New Roman" w:cs="Times New Roman"/>
          <w:color w:val="auto"/>
          <w:sz w:val="24"/>
          <w:szCs w:val="24"/>
        </w:rPr>
        <w:t xml:space="preserve">a la naturaleza, lo biológico, lo primitivo, lo esencial… como método y solución a la problemática de género parece más bien un planteamiento reduccionista y simplista </w:t>
      </w:r>
      <w:r w:rsidR="000D2E36">
        <w:rPr>
          <w:rFonts w:ascii="Times New Roman" w:eastAsia="Times New Roman" w:hAnsi="Times New Roman" w:cs="Times New Roman"/>
          <w:color w:val="auto"/>
          <w:sz w:val="24"/>
          <w:szCs w:val="24"/>
        </w:rPr>
        <w:t>que fuerza la salida hacia la hí</w:t>
      </w:r>
      <w:r w:rsidRPr="00CA291C">
        <w:rPr>
          <w:rFonts w:ascii="Times New Roman" w:eastAsia="Times New Roman" w:hAnsi="Times New Roman" w:cs="Times New Roman"/>
          <w:color w:val="auto"/>
          <w:sz w:val="24"/>
          <w:szCs w:val="24"/>
        </w:rPr>
        <w:t>pervaloración de las diferencias sexuales como categorías sociales y culturales explicativas tanto de la opresión y la desigualdad –masculino- como de la liberación y la igualdad –femenino-.</w:t>
      </w:r>
    </w:p>
    <w:p w:rsidR="004E0B2F" w:rsidRPr="00CA291C" w:rsidRDefault="004E0B2F" w:rsidP="004E0B2F">
      <w:pPr>
        <w:spacing w:after="0" w:line="360" w:lineRule="auto"/>
        <w:jc w:val="both"/>
        <w:rPr>
          <w:color w:val="auto"/>
        </w:rPr>
      </w:pPr>
      <w:r w:rsidRPr="00CA291C">
        <w:rPr>
          <w:rFonts w:ascii="Times New Roman" w:eastAsia="Times New Roman" w:hAnsi="Times New Roman" w:cs="Times New Roman"/>
          <w:color w:val="auto"/>
          <w:sz w:val="24"/>
          <w:szCs w:val="24"/>
        </w:rPr>
        <w:t>Sin embargo, si la jerarquía de los géneros que impone el sistema de dominación masculina pretende combatirse desde el enfoque de las diferencias, se corre el riesgo de potenciar más aún esa jerarquía, aunque se pretenda lo contrario</w:t>
      </w:r>
      <w:r w:rsidR="00D555F9" w:rsidRPr="00CA291C">
        <w:rPr>
          <w:rFonts w:ascii="Times New Roman" w:eastAsia="Times New Roman" w:hAnsi="Times New Roman" w:cs="Times New Roman"/>
          <w:color w:val="auto"/>
          <w:sz w:val="24"/>
          <w:szCs w:val="24"/>
        </w:rPr>
        <w:t xml:space="preserve"> (Osborne, 2002: 92)</w:t>
      </w:r>
      <w:r w:rsidRPr="00CA291C">
        <w:rPr>
          <w:rFonts w:ascii="Times New Roman" w:eastAsia="Times New Roman" w:hAnsi="Times New Roman" w:cs="Times New Roman"/>
          <w:color w:val="auto"/>
          <w:sz w:val="24"/>
          <w:szCs w:val="24"/>
        </w:rPr>
        <w:t>. Como señalan Carole Vance y Ann Snitnow, plantear que existe un abismo entre las naturalezas de los hombres y las mujeres y que esas diferencias son la clave para la explicación de la opresión de las mujeres, supone la aceptación implícita de algunas de las formulaciones más importantes del propio sistema de géneros: la división del trabajo sexual y del deseo</w:t>
      </w:r>
      <w:r w:rsidR="00AA480A" w:rsidRPr="00CA291C">
        <w:rPr>
          <w:rFonts w:ascii="Times New Roman" w:eastAsia="Times New Roman" w:hAnsi="Times New Roman" w:cs="Times New Roman"/>
          <w:color w:val="auto"/>
          <w:sz w:val="24"/>
          <w:szCs w:val="24"/>
        </w:rPr>
        <w:t xml:space="preserve"> (Vance y Snitnow, 1990; en Osborne, 2002: 50)</w:t>
      </w:r>
      <w:r w:rsidRPr="00CA291C">
        <w:rPr>
          <w:rFonts w:ascii="Times New Roman" w:eastAsia="Times New Roman" w:hAnsi="Times New Roman" w:cs="Times New Roman"/>
          <w:color w:val="auto"/>
          <w:sz w:val="24"/>
          <w:szCs w:val="24"/>
        </w:rPr>
        <w:t xml:space="preserve">. Según estas autoras, el resultado que se obtiene de este tipo de análisis es, pues, la derivación restrictiva de la crítica más importante, la del género y la desigualdad, hacia la crítica culturalista y/o biologicista de la sexualidad masculina como fuente de </w:t>
      </w:r>
      <w:r w:rsidRPr="00CA291C">
        <w:rPr>
          <w:rFonts w:ascii="Times New Roman" w:eastAsia="Times New Roman" w:hAnsi="Times New Roman" w:cs="Times New Roman"/>
          <w:i/>
          <w:color w:val="auto"/>
          <w:sz w:val="24"/>
          <w:szCs w:val="24"/>
        </w:rPr>
        <w:t>todos los males</w:t>
      </w:r>
      <w:r w:rsidRPr="00CA291C">
        <w:rPr>
          <w:rFonts w:ascii="Times New Roman" w:eastAsia="Times New Roman" w:hAnsi="Times New Roman" w:cs="Times New Roman"/>
          <w:color w:val="auto"/>
          <w:sz w:val="24"/>
          <w:szCs w:val="24"/>
        </w:rPr>
        <w:t xml:space="preserve">. </w:t>
      </w:r>
    </w:p>
    <w:p w:rsidR="004E0B2F" w:rsidRPr="000D2E36" w:rsidRDefault="004E0B2F" w:rsidP="004E0B2F">
      <w:pPr>
        <w:spacing w:after="0" w:line="360" w:lineRule="auto"/>
        <w:jc w:val="both"/>
        <w:rPr>
          <w:rFonts w:ascii="Times New Roman" w:eastAsia="Times New Roman" w:hAnsi="Times New Roman" w:cs="Times New Roman"/>
          <w:color w:val="000000" w:themeColor="text1"/>
          <w:sz w:val="24"/>
          <w:szCs w:val="24"/>
        </w:rPr>
      </w:pPr>
      <w:r w:rsidRPr="00CA291C">
        <w:rPr>
          <w:rFonts w:ascii="Times New Roman" w:eastAsia="Times New Roman" w:hAnsi="Times New Roman" w:cs="Times New Roman"/>
          <w:color w:val="auto"/>
          <w:sz w:val="24"/>
          <w:szCs w:val="24"/>
        </w:rPr>
        <w:t xml:space="preserve">Por tanto, no puede tenerse más paciencia con la recurrente </w:t>
      </w:r>
      <w:r w:rsidRPr="00CA291C">
        <w:rPr>
          <w:rFonts w:ascii="Times New Roman" w:eastAsia="Times New Roman" w:hAnsi="Times New Roman" w:cs="Times New Roman"/>
          <w:i/>
          <w:color w:val="auto"/>
          <w:sz w:val="24"/>
          <w:szCs w:val="24"/>
        </w:rPr>
        <w:t>diferencia trascendental</w:t>
      </w:r>
      <w:r w:rsidRPr="00CA291C">
        <w:rPr>
          <w:rFonts w:ascii="Times New Roman" w:eastAsia="Times New Roman" w:hAnsi="Times New Roman" w:cs="Times New Roman"/>
          <w:color w:val="auto"/>
          <w:sz w:val="24"/>
          <w:szCs w:val="24"/>
        </w:rPr>
        <w:t xml:space="preserve"> que despliega la dialéctica de la dominación y la victimización, que ciñe la desigualdad a la </w:t>
      </w:r>
      <w:r w:rsidRPr="00CA291C">
        <w:rPr>
          <w:rFonts w:ascii="Times New Roman" w:eastAsia="Times New Roman" w:hAnsi="Times New Roman" w:cs="Times New Roman"/>
          <w:color w:val="auto"/>
          <w:sz w:val="24"/>
          <w:szCs w:val="24"/>
        </w:rPr>
        <w:lastRenderedPageBreak/>
        <w:t xml:space="preserve">naturaleza y la cultura de los hombres y la igualdad a la naturaleza y la cultura de las mujeres. La óptica de la dominación y la opresión de los potenciales verdugos (hombres) y de la liberación y la igualdad de las potenciales víctimas (mujeres) debería apagarse y dar paso a una teoría y práctica de la igualdad que abarque la problemática de género en toda su complejidad. </w:t>
      </w:r>
      <w:r w:rsidR="000D2E36">
        <w:rPr>
          <w:rFonts w:ascii="Times New Roman" w:eastAsia="Times New Roman" w:hAnsi="Times New Roman" w:cs="Times New Roman"/>
          <w:color w:val="auto"/>
          <w:sz w:val="24"/>
          <w:szCs w:val="24"/>
        </w:rPr>
        <w:t>Como bien ha señalado Fernández-LLebrez, es decisivo ahondar en una concepción de la identidad (</w:t>
      </w:r>
      <w:r w:rsidR="000D2E36" w:rsidRPr="000D2E36">
        <w:rPr>
          <w:rFonts w:ascii="Times New Roman" w:eastAsia="Times New Roman" w:hAnsi="Times New Roman" w:cs="Times New Roman"/>
          <w:i/>
          <w:color w:val="auto"/>
          <w:sz w:val="24"/>
          <w:szCs w:val="24"/>
        </w:rPr>
        <w:t>self</w:t>
      </w:r>
      <w:r w:rsidR="000D2E36">
        <w:rPr>
          <w:rFonts w:ascii="Times New Roman" w:eastAsia="Times New Roman" w:hAnsi="Times New Roman" w:cs="Times New Roman"/>
          <w:color w:val="auto"/>
          <w:sz w:val="24"/>
          <w:szCs w:val="24"/>
        </w:rPr>
        <w:t xml:space="preserve">) en la que los estereotipos de género y sexual no quepan (o encajen mal), ya que solo así estaremos en condición de construir una verdadera </w:t>
      </w:r>
      <w:r w:rsidR="007C30CF">
        <w:rPr>
          <w:rFonts w:ascii="Times New Roman" w:eastAsia="Times New Roman" w:hAnsi="Times New Roman" w:cs="Times New Roman"/>
          <w:color w:val="auto"/>
          <w:sz w:val="24"/>
          <w:szCs w:val="24"/>
        </w:rPr>
        <w:t xml:space="preserve">“vida con géneros” </w:t>
      </w:r>
      <w:r w:rsidR="000D2E36">
        <w:rPr>
          <w:rFonts w:ascii="Times New Roman" w:eastAsia="Times New Roman" w:hAnsi="Times New Roman" w:cs="Times New Roman"/>
          <w:color w:val="auto"/>
          <w:sz w:val="24"/>
          <w:szCs w:val="24"/>
        </w:rPr>
        <w:t xml:space="preserve">en igualdad </w:t>
      </w:r>
      <w:r w:rsidR="000D2E36" w:rsidRPr="000D2E36">
        <w:rPr>
          <w:rFonts w:ascii="Times New Roman" w:eastAsia="Times New Roman" w:hAnsi="Times New Roman" w:cs="Times New Roman"/>
          <w:color w:val="000000" w:themeColor="text1"/>
          <w:sz w:val="24"/>
          <w:szCs w:val="24"/>
        </w:rPr>
        <w:t>(Fernández-Llebrez, 2015</w:t>
      </w:r>
      <w:r w:rsidR="007C30CF">
        <w:rPr>
          <w:rFonts w:ascii="Times New Roman" w:eastAsia="Times New Roman" w:hAnsi="Times New Roman" w:cs="Times New Roman"/>
          <w:color w:val="000000" w:themeColor="text1"/>
          <w:sz w:val="24"/>
          <w:szCs w:val="24"/>
        </w:rPr>
        <w:t>:111</w:t>
      </w:r>
      <w:r w:rsidR="000D2E36" w:rsidRPr="000D2E36">
        <w:rPr>
          <w:rFonts w:ascii="Times New Roman" w:eastAsia="Times New Roman" w:hAnsi="Times New Roman" w:cs="Times New Roman"/>
          <w:color w:val="000000" w:themeColor="text1"/>
          <w:sz w:val="24"/>
          <w:szCs w:val="24"/>
        </w:rPr>
        <w:t xml:space="preserve">). </w:t>
      </w:r>
    </w:p>
    <w:p w:rsidR="007C30CF" w:rsidRPr="00CA291C" w:rsidRDefault="007C30CF" w:rsidP="007C30CF">
      <w:pPr>
        <w:spacing w:after="0" w:line="360" w:lineRule="auto"/>
        <w:jc w:val="both"/>
        <w:rPr>
          <w:color w:val="auto"/>
        </w:rPr>
      </w:pPr>
      <w:r w:rsidRPr="00CA291C">
        <w:rPr>
          <w:rFonts w:ascii="Times New Roman" w:eastAsia="Times New Roman" w:hAnsi="Times New Roman" w:cs="Times New Roman"/>
          <w:color w:val="auto"/>
          <w:sz w:val="24"/>
          <w:szCs w:val="24"/>
        </w:rPr>
        <w:t xml:space="preserve">La igualdad no supone la negación de las diferencias ni subestima la importancia de las identidades, pero de ahí a incluirlas en el discurso y en la agencia feministas de la manera en que lo hacen las feministas culturales hay un salto demasiado grande. Un buen comienzo sería la necesaria desidentificación de la diferencia con la desigualdad. La intercambiabilidad que las culturalistas sostienen entre el sexo y el género da pie a una inadecuada y no inocente identificación entre la diferencia sexual y la desigualdad de género. </w:t>
      </w:r>
    </w:p>
    <w:p w:rsidR="007C30CF" w:rsidRPr="00CA291C" w:rsidRDefault="007C30CF" w:rsidP="007C30CF">
      <w:pPr>
        <w:spacing w:after="0" w:line="360" w:lineRule="auto"/>
        <w:jc w:val="both"/>
        <w:rPr>
          <w:color w:val="auto"/>
        </w:rPr>
      </w:pPr>
      <w:r w:rsidRPr="00CA291C">
        <w:rPr>
          <w:rFonts w:ascii="Times New Roman" w:eastAsia="Times New Roman" w:hAnsi="Times New Roman" w:cs="Times New Roman"/>
          <w:color w:val="auto"/>
          <w:sz w:val="24"/>
          <w:szCs w:val="24"/>
        </w:rPr>
        <w:t xml:space="preserve">Como se observa con transparencia en el argumento «sexualista» de MacKinnon: “Si el género se entiende como una jerarquía, quizás los sexos son desiguales para que los hombres puedan excitarse sexualmente […] Quizás el género debe ser mantenido como una jerarquía social para que los hombres sean capaces de tener erecciones […] Puede ser por eso que el feminismo sea catalogado de castrador ya que la igualdad no es sexy” (MacKinnon, 1991: 145). Ante argumentos de este tipo debe decirse que, una cosa es que las diferencias o las similitudes de los cuerpos sean una realidad que produce atracción o deseo, y otra las desigualdades de género que se traducen de esos cuerpos. El reconocimiento del poder en las relaciones personales, ya sean sexuales o no, no implica necesariamente la existencia de una jerarquía para el sostenimiento de esas relaciones. </w:t>
      </w:r>
    </w:p>
    <w:p w:rsidR="007C30CF" w:rsidRPr="00CA291C" w:rsidRDefault="007C30CF" w:rsidP="007C30CF">
      <w:pPr>
        <w:spacing w:after="0" w:line="360" w:lineRule="auto"/>
        <w:jc w:val="both"/>
        <w:rPr>
          <w:color w:val="auto"/>
        </w:rPr>
      </w:pPr>
      <w:r w:rsidRPr="00CA291C">
        <w:rPr>
          <w:rFonts w:ascii="Times New Roman" w:eastAsia="Times New Roman" w:hAnsi="Times New Roman" w:cs="Times New Roman"/>
          <w:color w:val="auto"/>
          <w:sz w:val="24"/>
          <w:szCs w:val="24"/>
        </w:rPr>
        <w:t>La problemática de género y el proceso de la igualdad no pueden depender, pues, de una teoría de la diferencia sexual. Si la biología y/o la cultura de la sexualidad humanas explican el género, se produce una yuxtaposición confusa de espacios tanto para el análisis como para la agencia feministas. Por ello, siguiendo de nuevo a Rubin, debe incidirse en la distinción del género y el sexo de cara a evitar este tipo de confusiones que pueden afectar a los propios objetivos feministas, ya paradójicos de por sí</w:t>
      </w:r>
      <w:r w:rsidRPr="00CA291C">
        <w:rPr>
          <w:rFonts w:ascii="Times New Roman" w:eastAsia="Times New Roman" w:hAnsi="Times New Roman" w:cs="Times New Roman"/>
          <w:color w:val="auto"/>
          <w:sz w:val="24"/>
          <w:szCs w:val="24"/>
          <w:vertAlign w:val="superscript"/>
        </w:rPr>
        <w:footnoteReference w:id="5"/>
      </w:r>
      <w:r w:rsidRPr="00CA291C">
        <w:rPr>
          <w:rFonts w:ascii="Times New Roman" w:eastAsia="Times New Roman" w:hAnsi="Times New Roman" w:cs="Times New Roman"/>
          <w:color w:val="auto"/>
          <w:sz w:val="24"/>
          <w:szCs w:val="24"/>
        </w:rPr>
        <w:t xml:space="preserve">. Para encauzar </w:t>
      </w:r>
      <w:r w:rsidRPr="00CA291C">
        <w:rPr>
          <w:rFonts w:ascii="Times New Roman" w:eastAsia="Times New Roman" w:hAnsi="Times New Roman" w:cs="Times New Roman"/>
          <w:color w:val="auto"/>
          <w:sz w:val="24"/>
          <w:szCs w:val="24"/>
        </w:rPr>
        <w:lastRenderedPageBreak/>
        <w:t xml:space="preserve">los discursos y las acciones de la igualdad debe evitarse el maniqueísmo de la diferencia sexual. </w:t>
      </w:r>
    </w:p>
    <w:p w:rsidR="007C30CF" w:rsidRPr="00CA291C" w:rsidRDefault="007C30CF" w:rsidP="007C30CF">
      <w:pPr>
        <w:spacing w:after="0" w:line="360" w:lineRule="auto"/>
        <w:jc w:val="both"/>
        <w:rPr>
          <w:color w:val="auto"/>
        </w:rPr>
      </w:pPr>
      <w:bookmarkStart w:id="8" w:name="h.17dp8vu" w:colFirst="0" w:colLast="0"/>
      <w:bookmarkEnd w:id="8"/>
      <w:r w:rsidRPr="00CA291C">
        <w:rPr>
          <w:rFonts w:ascii="Times New Roman" w:eastAsia="Times New Roman" w:hAnsi="Times New Roman" w:cs="Times New Roman"/>
          <w:color w:val="auto"/>
          <w:sz w:val="24"/>
          <w:szCs w:val="24"/>
        </w:rPr>
        <w:t>La igualdad desde la perspectiva de los modelos emergentes sugiere desc</w:t>
      </w:r>
      <w:r>
        <w:rPr>
          <w:rFonts w:ascii="Times New Roman" w:eastAsia="Times New Roman" w:hAnsi="Times New Roman" w:cs="Times New Roman"/>
          <w:color w:val="auto"/>
          <w:sz w:val="24"/>
          <w:szCs w:val="24"/>
        </w:rPr>
        <w:t>artar el concepto de dominación</w:t>
      </w:r>
      <w:r w:rsidRPr="00CA291C">
        <w:rPr>
          <w:rFonts w:ascii="Times New Roman" w:eastAsia="Times New Roman" w:hAnsi="Times New Roman" w:cs="Times New Roman"/>
          <w:color w:val="auto"/>
          <w:sz w:val="24"/>
          <w:szCs w:val="24"/>
        </w:rPr>
        <w:t xml:space="preserve"> masculina. La igualdad es la teoría y la práctica. Para la construcción de identidades y relaciones más democráticas, abiertas y flexibles y para combatir el sistema sexista no ayuda la cerrazón de la masculinidad y la feminidad como estancias diametralmente opuestas y esculpidas en piedra. Tampoco lo hace una demonización de los hombres y una santificación de las mujeres, ni una concepción de la sexualidad inevitablemente conformada y constreñida por el género. Resulta insuficiente combatir las desigualdades desde una postura insonorizada ante la palabra y la agencia de los hombres. </w:t>
      </w:r>
    </w:p>
    <w:p w:rsidR="007C30CF" w:rsidRPr="00CA291C" w:rsidRDefault="007C30CF" w:rsidP="007C30CF">
      <w:pPr>
        <w:spacing w:after="0" w:line="360" w:lineRule="auto"/>
        <w:jc w:val="both"/>
        <w:rPr>
          <w:color w:val="auto"/>
        </w:rPr>
      </w:pPr>
      <w:r w:rsidRPr="00CA291C">
        <w:rPr>
          <w:rFonts w:ascii="Times New Roman" w:eastAsia="Times New Roman" w:hAnsi="Times New Roman" w:cs="Times New Roman"/>
          <w:color w:val="auto"/>
          <w:sz w:val="24"/>
          <w:szCs w:val="24"/>
        </w:rPr>
        <w:t xml:space="preserve">La existencia de dominación no convierte a las personas en meros sujetos pasivos de los modelos culturales, sin más posibilidad de escapar que la </w:t>
      </w:r>
      <w:r w:rsidRPr="00CA291C">
        <w:rPr>
          <w:rFonts w:ascii="Times New Roman" w:eastAsia="Times New Roman" w:hAnsi="Times New Roman" w:cs="Times New Roman"/>
          <w:i/>
          <w:color w:val="auto"/>
          <w:sz w:val="24"/>
          <w:szCs w:val="24"/>
        </w:rPr>
        <w:t xml:space="preserve">vuelta </w:t>
      </w:r>
      <w:r w:rsidRPr="00CA291C">
        <w:rPr>
          <w:rFonts w:ascii="Times New Roman" w:eastAsia="Times New Roman" w:hAnsi="Times New Roman" w:cs="Times New Roman"/>
          <w:color w:val="auto"/>
          <w:sz w:val="24"/>
          <w:szCs w:val="24"/>
        </w:rPr>
        <w:t xml:space="preserve">a la naturaleza, a la condición biológica o al </w:t>
      </w:r>
      <w:r w:rsidRPr="00CA291C">
        <w:rPr>
          <w:rFonts w:ascii="Times New Roman" w:eastAsia="Times New Roman" w:hAnsi="Times New Roman" w:cs="Times New Roman"/>
          <w:i/>
          <w:color w:val="auto"/>
          <w:sz w:val="24"/>
          <w:szCs w:val="24"/>
        </w:rPr>
        <w:t>espíritu primitivo</w:t>
      </w:r>
      <w:r w:rsidRPr="00CA291C">
        <w:rPr>
          <w:rFonts w:ascii="Times New Roman" w:eastAsia="Times New Roman" w:hAnsi="Times New Roman" w:cs="Times New Roman"/>
          <w:color w:val="auto"/>
          <w:sz w:val="24"/>
          <w:szCs w:val="24"/>
        </w:rPr>
        <w:t>. Muy al contrario, los rasgos que componen o que se les atribuyen a hombres y mujeres no son ni naturales, ni esenciales ni mejores</w:t>
      </w:r>
      <w:r>
        <w:rPr>
          <w:rFonts w:ascii="Times New Roman" w:eastAsia="Times New Roman" w:hAnsi="Times New Roman" w:cs="Times New Roman"/>
          <w:color w:val="auto"/>
          <w:sz w:val="24"/>
          <w:szCs w:val="24"/>
        </w:rPr>
        <w:t xml:space="preserve"> </w:t>
      </w:r>
      <w:r w:rsidRPr="00CA291C">
        <w:rPr>
          <w:rFonts w:ascii="Times New Roman" w:eastAsia="Times New Roman" w:hAnsi="Times New Roman" w:cs="Times New Roman"/>
          <w:color w:val="auto"/>
          <w:sz w:val="24"/>
          <w:szCs w:val="24"/>
        </w:rPr>
        <w:t xml:space="preserve">(Osborne, 2002: 53). Que la heterosexualidad se haya constituido como una institución impuesta no quiere decir que toda condición heterosexual sea opresiva </w:t>
      </w:r>
      <w:r w:rsidRPr="00CA291C">
        <w:rPr>
          <w:rFonts w:ascii="Times New Roman" w:eastAsia="Times New Roman" w:hAnsi="Times New Roman" w:cs="Times New Roman"/>
          <w:i/>
          <w:color w:val="auto"/>
          <w:sz w:val="24"/>
          <w:szCs w:val="24"/>
        </w:rPr>
        <w:t>per se</w:t>
      </w:r>
      <w:r w:rsidRPr="00CA291C">
        <w:rPr>
          <w:rFonts w:ascii="Times New Roman" w:eastAsia="Times New Roman" w:hAnsi="Times New Roman" w:cs="Times New Roman"/>
          <w:color w:val="auto"/>
          <w:sz w:val="24"/>
          <w:szCs w:val="24"/>
        </w:rPr>
        <w:t xml:space="preserve">. Que ni el hombre y lo masculino son solo cultura ni la mujer y lo femenino son solo naturaleza… Esta es una dicotomía inútil no alejada de contradicciones y de fundamentos más que discutibles. Dar un significado unitario a los símbolos y modelos de la cultura dominante elimina la capacidad individual de transformarlos y manipularlos, quedando las personas como meras receptoras pasivas. </w:t>
      </w:r>
    </w:p>
    <w:p w:rsidR="007C30CF" w:rsidRDefault="007C30CF" w:rsidP="007C30CF">
      <w:pPr>
        <w:autoSpaceDE w:val="0"/>
        <w:autoSpaceDN w:val="0"/>
        <w:adjustRightInd w:val="0"/>
        <w:spacing w:after="0" w:line="360" w:lineRule="auto"/>
        <w:jc w:val="both"/>
        <w:rPr>
          <w:rFonts w:ascii="Times New Roman" w:eastAsiaTheme="minorHAnsi" w:hAnsi="Times New Roman" w:cs="Times New Roman"/>
          <w:color w:val="auto"/>
          <w:sz w:val="24"/>
          <w:szCs w:val="24"/>
          <w:lang w:eastAsia="en-US"/>
        </w:rPr>
      </w:pPr>
      <w:r w:rsidRPr="007C30CF">
        <w:rPr>
          <w:rFonts w:ascii="Times New Roman" w:eastAsiaTheme="minorHAnsi" w:hAnsi="Times New Roman" w:cs="Times New Roman"/>
          <w:color w:val="auto"/>
          <w:sz w:val="24"/>
          <w:szCs w:val="24"/>
          <w:lang w:eastAsia="en-US"/>
        </w:rPr>
        <w:t xml:space="preserve">Es preciso de dotarse de un planteamiento teórico de modelos emergentes que abran el campo de las posibilidades democráticas que permitan el florecimiento de identidades dinámicas, complejas y fluidas. </w:t>
      </w:r>
      <w:r>
        <w:rPr>
          <w:rFonts w:ascii="Times New Roman" w:eastAsiaTheme="minorHAnsi" w:hAnsi="Times New Roman" w:cs="Times New Roman"/>
          <w:color w:val="auto"/>
          <w:sz w:val="24"/>
          <w:szCs w:val="24"/>
          <w:lang w:eastAsia="en-US"/>
        </w:rPr>
        <w:t xml:space="preserve">Los modelos emergentes, como referentes del surgimiento y la construcción de </w:t>
      </w:r>
      <w:r w:rsidRPr="007C30CF">
        <w:rPr>
          <w:rFonts w:ascii="Times New Roman" w:eastAsiaTheme="minorHAnsi" w:hAnsi="Times New Roman" w:cs="Times New Roman"/>
          <w:i/>
          <w:color w:val="auto"/>
          <w:sz w:val="24"/>
          <w:szCs w:val="24"/>
          <w:lang w:eastAsia="en-US"/>
        </w:rPr>
        <w:t>vidas con géneros</w:t>
      </w:r>
      <w:r>
        <w:rPr>
          <w:rFonts w:ascii="Times New Roman" w:eastAsiaTheme="minorHAnsi" w:hAnsi="Times New Roman" w:cs="Times New Roman"/>
          <w:color w:val="auto"/>
          <w:sz w:val="24"/>
          <w:szCs w:val="24"/>
          <w:lang w:eastAsia="en-US"/>
        </w:rPr>
        <w:t xml:space="preserve">, son herramientas teóricas y analíticas que acogen el reto de democratizar las identidades. El reconocimiento de contradicciones en este proceso le otorga ese carácter de emergencia (que no consolidación) pues en él coinciden múltiples, complejos y dinámicos procesos de cambio. El desarrollo de identidades no excluyentes  y alejadas de dogmatismos </w:t>
      </w:r>
      <w:r w:rsidR="00335F70">
        <w:rPr>
          <w:rFonts w:ascii="Times New Roman" w:eastAsiaTheme="minorHAnsi" w:hAnsi="Times New Roman" w:cs="Times New Roman"/>
          <w:color w:val="auto"/>
          <w:sz w:val="24"/>
          <w:szCs w:val="24"/>
          <w:lang w:eastAsia="en-US"/>
        </w:rPr>
        <w:t xml:space="preserve">fomenta una concepción abierta de las identidades; identidades contingentes, en construcción, que surgen en un mar de contradicciones y de músicas que, en su camino, termina ampliando la democracia. </w:t>
      </w:r>
    </w:p>
    <w:p w:rsidR="007C30CF" w:rsidRDefault="007C30CF" w:rsidP="007C30CF">
      <w:pPr>
        <w:autoSpaceDE w:val="0"/>
        <w:autoSpaceDN w:val="0"/>
        <w:adjustRightInd w:val="0"/>
        <w:spacing w:after="0" w:line="360" w:lineRule="auto"/>
        <w:jc w:val="both"/>
        <w:rPr>
          <w:rFonts w:ascii="Times New Roman" w:eastAsiaTheme="minorHAnsi" w:hAnsi="Times New Roman" w:cs="Times New Roman"/>
          <w:color w:val="auto"/>
          <w:sz w:val="24"/>
          <w:szCs w:val="24"/>
          <w:lang w:eastAsia="en-US"/>
        </w:rPr>
      </w:pPr>
    </w:p>
    <w:p w:rsidR="007F625D" w:rsidRPr="00CA291C" w:rsidRDefault="007F625D">
      <w:pPr>
        <w:rPr>
          <w:color w:val="auto"/>
          <w:sz w:val="24"/>
          <w:szCs w:val="24"/>
        </w:rPr>
      </w:pPr>
    </w:p>
    <w:p w:rsidR="007F625D" w:rsidRPr="00B77C01" w:rsidRDefault="007F625D" w:rsidP="00B77C01">
      <w:pPr>
        <w:spacing w:after="120"/>
        <w:rPr>
          <w:rFonts w:ascii="Times New Roman" w:hAnsi="Times New Roman" w:cs="Times New Roman"/>
          <w:b/>
          <w:smallCaps/>
          <w:color w:val="auto"/>
          <w:sz w:val="28"/>
          <w:szCs w:val="24"/>
        </w:rPr>
      </w:pPr>
      <w:r w:rsidRPr="00B77C01">
        <w:rPr>
          <w:rFonts w:ascii="Times New Roman" w:hAnsi="Times New Roman" w:cs="Times New Roman"/>
          <w:b/>
          <w:smallCaps/>
          <w:color w:val="auto"/>
          <w:sz w:val="28"/>
          <w:szCs w:val="24"/>
        </w:rPr>
        <w:lastRenderedPageBreak/>
        <w:t>Bibliografía</w:t>
      </w:r>
    </w:p>
    <w:p w:rsidR="00CA291C" w:rsidRPr="00CA291C" w:rsidRDefault="00CA291C" w:rsidP="00CA291C">
      <w:pPr>
        <w:spacing w:after="48" w:line="240" w:lineRule="auto"/>
        <w:ind w:left="426" w:hanging="426"/>
        <w:jc w:val="both"/>
        <w:rPr>
          <w:rFonts w:ascii="Times New Roman" w:hAnsi="Times New Roman" w:cs="Times New Roman"/>
          <w:color w:val="auto"/>
          <w:sz w:val="28"/>
        </w:rPr>
      </w:pPr>
      <w:bookmarkStart w:id="9" w:name="_GoBack"/>
      <w:r w:rsidRPr="00CA291C">
        <w:rPr>
          <w:rFonts w:ascii="Times New Roman" w:eastAsia="Times New Roman" w:hAnsi="Times New Roman" w:cs="Times New Roman"/>
          <w:color w:val="auto"/>
          <w:sz w:val="24"/>
          <w:szCs w:val="20"/>
        </w:rPr>
        <w:t>Badinter</w:t>
      </w:r>
      <w:bookmarkEnd w:id="9"/>
      <w:r w:rsidRPr="00CA291C">
        <w:rPr>
          <w:rFonts w:ascii="Times New Roman" w:eastAsia="Times New Roman" w:hAnsi="Times New Roman" w:cs="Times New Roman"/>
          <w:color w:val="auto"/>
          <w:sz w:val="24"/>
          <w:szCs w:val="20"/>
        </w:rPr>
        <w:t xml:space="preserve">, Elisabeth. 2004: </w:t>
      </w:r>
      <w:r w:rsidRPr="00CA291C">
        <w:rPr>
          <w:rFonts w:ascii="Times New Roman" w:eastAsia="Times New Roman" w:hAnsi="Times New Roman" w:cs="Times New Roman"/>
          <w:i/>
          <w:color w:val="auto"/>
          <w:sz w:val="24"/>
          <w:szCs w:val="20"/>
        </w:rPr>
        <w:t>Por mal camino,</w:t>
      </w:r>
      <w:r w:rsidRPr="00CA291C">
        <w:rPr>
          <w:rFonts w:ascii="Times New Roman" w:eastAsia="Times New Roman" w:hAnsi="Times New Roman" w:cs="Times New Roman"/>
          <w:color w:val="auto"/>
          <w:sz w:val="24"/>
          <w:szCs w:val="20"/>
        </w:rPr>
        <w:t xml:space="preserve"> Madrid</w:t>
      </w:r>
      <w:r w:rsidRPr="00CA291C">
        <w:rPr>
          <w:rFonts w:ascii="Times New Roman" w:eastAsia="Times New Roman" w:hAnsi="Times New Roman" w:cs="Times New Roman"/>
          <w:i/>
          <w:color w:val="auto"/>
          <w:sz w:val="24"/>
          <w:szCs w:val="20"/>
        </w:rPr>
        <w:t xml:space="preserve">, </w:t>
      </w:r>
      <w:r w:rsidRPr="00CA291C">
        <w:rPr>
          <w:rFonts w:ascii="Times New Roman" w:eastAsia="Times New Roman" w:hAnsi="Times New Roman" w:cs="Times New Roman"/>
          <w:color w:val="auto"/>
          <w:sz w:val="24"/>
          <w:szCs w:val="20"/>
        </w:rPr>
        <w:t>Alianza.</w:t>
      </w:r>
    </w:p>
    <w:p w:rsidR="00CA291C" w:rsidRPr="00CA291C" w:rsidRDefault="00CA291C" w:rsidP="00CA291C">
      <w:pPr>
        <w:pStyle w:val="Textonotapie"/>
        <w:ind w:left="426" w:hanging="426"/>
        <w:rPr>
          <w:rFonts w:ascii="Times New Roman" w:hAnsi="Times New Roman" w:cs="Times New Roman"/>
          <w:color w:val="auto"/>
          <w:sz w:val="24"/>
        </w:rPr>
      </w:pPr>
      <w:r w:rsidRPr="00CA291C">
        <w:rPr>
          <w:rFonts w:ascii="Times New Roman" w:hAnsi="Times New Roman" w:cs="Times New Roman"/>
          <w:color w:val="auto"/>
          <w:sz w:val="24"/>
        </w:rPr>
        <w:t xml:space="preserve">Bourdieu, Pierre. 2000.: </w:t>
      </w:r>
      <w:r w:rsidRPr="00CA291C">
        <w:rPr>
          <w:rFonts w:ascii="Times New Roman" w:hAnsi="Times New Roman" w:cs="Times New Roman"/>
          <w:i/>
          <w:color w:val="auto"/>
          <w:sz w:val="24"/>
        </w:rPr>
        <w:t xml:space="preserve">La dominación masculina, </w:t>
      </w:r>
      <w:r w:rsidRPr="00CA291C">
        <w:rPr>
          <w:rFonts w:ascii="Times New Roman" w:hAnsi="Times New Roman" w:cs="Times New Roman"/>
          <w:color w:val="auto"/>
          <w:sz w:val="24"/>
        </w:rPr>
        <w:t>Barcelona, Anagrama.</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Brownmiller, Susan. 1975. </w:t>
      </w:r>
      <w:r w:rsidRPr="00CA291C">
        <w:rPr>
          <w:rFonts w:ascii="Times New Roman" w:eastAsia="Times New Roman" w:hAnsi="Times New Roman" w:cs="Times New Roman"/>
          <w:i/>
          <w:color w:val="auto"/>
          <w:sz w:val="24"/>
          <w:szCs w:val="20"/>
          <w:lang w:val="en-US"/>
        </w:rPr>
        <w:t>Against Our Will. Men, Women and Rape</w:t>
      </w:r>
      <w:r w:rsidRPr="00CA291C">
        <w:rPr>
          <w:rFonts w:ascii="Times New Roman" w:eastAsia="Times New Roman" w:hAnsi="Times New Roman" w:cs="Times New Roman"/>
          <w:color w:val="auto"/>
          <w:sz w:val="24"/>
          <w:szCs w:val="20"/>
          <w:lang w:val="en-US"/>
        </w:rPr>
        <w:t>, Nueva York, Fawcett Columbine.</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Daly, Mary. 1990 [1978]. </w:t>
      </w:r>
      <w:r w:rsidRPr="00CA291C">
        <w:rPr>
          <w:rFonts w:ascii="Times New Roman" w:eastAsia="Times New Roman" w:hAnsi="Times New Roman" w:cs="Times New Roman"/>
          <w:i/>
          <w:color w:val="auto"/>
          <w:sz w:val="24"/>
          <w:szCs w:val="20"/>
          <w:lang w:val="en-US"/>
        </w:rPr>
        <w:t>Gyn/Ecology. The Metaethics of Radical Feminism</w:t>
      </w:r>
      <w:r w:rsidRPr="00CA291C">
        <w:rPr>
          <w:rFonts w:ascii="Times New Roman" w:eastAsia="Times New Roman" w:hAnsi="Times New Roman" w:cs="Times New Roman"/>
          <w:color w:val="auto"/>
          <w:sz w:val="24"/>
          <w:szCs w:val="20"/>
          <w:lang w:val="en-US"/>
        </w:rPr>
        <w:t>, Boston, Beacon Press.</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Dworkin, Andrea y MacKinnon, Catherine A. 1989. </w:t>
      </w:r>
      <w:r w:rsidRPr="00CA291C">
        <w:rPr>
          <w:rFonts w:ascii="Times New Roman" w:eastAsia="Times New Roman" w:hAnsi="Times New Roman" w:cs="Times New Roman"/>
          <w:i/>
          <w:color w:val="auto"/>
          <w:sz w:val="24"/>
          <w:szCs w:val="20"/>
          <w:lang w:val="en-US"/>
        </w:rPr>
        <w:t>Pornography and civil rights. A new day for women’s equality</w:t>
      </w:r>
      <w:r w:rsidRPr="00CA291C">
        <w:rPr>
          <w:rFonts w:ascii="Times New Roman" w:eastAsia="Times New Roman" w:hAnsi="Times New Roman" w:cs="Times New Roman"/>
          <w:color w:val="auto"/>
          <w:sz w:val="24"/>
          <w:szCs w:val="20"/>
          <w:lang w:val="en-US"/>
        </w:rPr>
        <w:t>, Minneapolis, Organizing Against Pornography.</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2869EF">
        <w:rPr>
          <w:rFonts w:ascii="Times New Roman" w:eastAsia="Times New Roman" w:hAnsi="Times New Roman" w:cs="Times New Roman"/>
          <w:color w:val="auto"/>
          <w:sz w:val="24"/>
          <w:szCs w:val="20"/>
          <w:lang w:val="en-US"/>
        </w:rPr>
        <w:t xml:space="preserve">Dworkin, Andrea. 1974. </w:t>
      </w:r>
      <w:r w:rsidRPr="00CA291C">
        <w:rPr>
          <w:rFonts w:ascii="Times New Roman" w:eastAsia="Times New Roman" w:hAnsi="Times New Roman" w:cs="Times New Roman"/>
          <w:i/>
          <w:color w:val="auto"/>
          <w:sz w:val="24"/>
          <w:szCs w:val="20"/>
          <w:lang w:val="en-US"/>
        </w:rPr>
        <w:t>Woman hating</w:t>
      </w:r>
      <w:r w:rsidRPr="00CA291C">
        <w:rPr>
          <w:rFonts w:ascii="Times New Roman" w:eastAsia="Times New Roman" w:hAnsi="Times New Roman" w:cs="Times New Roman"/>
          <w:color w:val="auto"/>
          <w:sz w:val="24"/>
          <w:szCs w:val="20"/>
          <w:lang w:val="en-US"/>
        </w:rPr>
        <w:t>, Nueva York, Plume.</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Dworkin, Andrea. 1980. “Why so-called radical men love and need pornography”, en Lederer, Laura (ed.) 1980. </w:t>
      </w:r>
      <w:r w:rsidRPr="00CA291C">
        <w:rPr>
          <w:rFonts w:ascii="Times New Roman" w:eastAsia="Times New Roman" w:hAnsi="Times New Roman" w:cs="Times New Roman"/>
          <w:i/>
          <w:color w:val="auto"/>
          <w:sz w:val="24"/>
          <w:szCs w:val="20"/>
          <w:lang w:val="en-US"/>
        </w:rPr>
        <w:t>Take Back the Night: Women on Pornography</w:t>
      </w:r>
      <w:r w:rsidRPr="00CA291C">
        <w:rPr>
          <w:rFonts w:ascii="Times New Roman" w:eastAsia="Times New Roman" w:hAnsi="Times New Roman" w:cs="Times New Roman"/>
          <w:color w:val="auto"/>
          <w:sz w:val="24"/>
          <w:szCs w:val="20"/>
          <w:lang w:val="en-US"/>
        </w:rPr>
        <w:t xml:space="preserve">, Nueva York, William Morrow; cita de </w:t>
      </w:r>
      <w:r w:rsidRPr="00CA291C">
        <w:rPr>
          <w:rFonts w:ascii="Times New Roman" w:eastAsia="Times New Roman" w:hAnsi="Times New Roman" w:cs="Times New Roman"/>
          <w:color w:val="auto"/>
          <w:sz w:val="24"/>
          <w:szCs w:val="24"/>
          <w:lang w:val="en-US"/>
        </w:rPr>
        <w:t>Echols, 1989: 98.</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Dworkin, Andrea. 1989. </w:t>
      </w:r>
      <w:r w:rsidRPr="00CA291C">
        <w:rPr>
          <w:rFonts w:ascii="Times New Roman" w:eastAsia="Times New Roman" w:hAnsi="Times New Roman" w:cs="Times New Roman"/>
          <w:i/>
          <w:color w:val="auto"/>
          <w:sz w:val="24"/>
          <w:szCs w:val="20"/>
          <w:lang w:val="en-US"/>
        </w:rPr>
        <w:t xml:space="preserve">Pornography. Men Possesing Women, </w:t>
      </w:r>
      <w:r w:rsidRPr="00CA291C">
        <w:rPr>
          <w:rFonts w:ascii="Times New Roman" w:eastAsia="Times New Roman" w:hAnsi="Times New Roman" w:cs="Times New Roman"/>
          <w:color w:val="auto"/>
          <w:sz w:val="24"/>
          <w:szCs w:val="20"/>
          <w:lang w:val="en-US"/>
        </w:rPr>
        <w:t>Nueva York, Plume.</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Echols, Alice. 1983. “The New Feminism of Yin and Yang”, en Snitnow, Ann, Stansell, Christine y Thompson, Sharon (eds.). 1983. </w:t>
      </w:r>
      <w:r w:rsidRPr="00CA291C">
        <w:rPr>
          <w:rFonts w:ascii="Times New Roman" w:eastAsia="Times New Roman" w:hAnsi="Times New Roman" w:cs="Times New Roman"/>
          <w:i/>
          <w:color w:val="auto"/>
          <w:sz w:val="24"/>
          <w:szCs w:val="20"/>
          <w:lang w:val="en-US"/>
        </w:rPr>
        <w:t xml:space="preserve">Powers of Desire, The Politics of Sexuality, </w:t>
      </w:r>
      <w:r w:rsidRPr="00CA291C">
        <w:rPr>
          <w:rFonts w:ascii="Times New Roman" w:eastAsia="Times New Roman" w:hAnsi="Times New Roman" w:cs="Times New Roman"/>
          <w:color w:val="auto"/>
          <w:sz w:val="24"/>
          <w:szCs w:val="20"/>
          <w:lang w:val="en-US"/>
        </w:rPr>
        <w:t>Nueva York, Monthly Review Press.</w:t>
      </w:r>
    </w:p>
    <w:p w:rsidR="00CA291C" w:rsidRPr="00CA291C" w:rsidRDefault="00CA291C" w:rsidP="00CA291C">
      <w:pPr>
        <w:pStyle w:val="Textonotapie"/>
        <w:ind w:left="426" w:hanging="426"/>
        <w:rPr>
          <w:rFonts w:ascii="Times New Roman" w:hAnsi="Times New Roman" w:cs="Times New Roman"/>
          <w:color w:val="auto"/>
          <w:sz w:val="24"/>
        </w:rPr>
      </w:pPr>
      <w:r w:rsidRPr="00CA291C">
        <w:rPr>
          <w:rFonts w:ascii="Times New Roman" w:eastAsia="Times New Roman" w:hAnsi="Times New Roman" w:cs="Times New Roman"/>
          <w:color w:val="auto"/>
          <w:sz w:val="24"/>
        </w:rPr>
        <w:t xml:space="preserve">Echols, Alice. 1989. “El ello domado: la política sexual feminista entre 1968-93”, en </w:t>
      </w:r>
      <w:r w:rsidRPr="00CA291C">
        <w:rPr>
          <w:rFonts w:ascii="Times New Roman" w:hAnsi="Times New Roman" w:cs="Times New Roman"/>
          <w:color w:val="auto"/>
          <w:sz w:val="24"/>
        </w:rPr>
        <w:t xml:space="preserve">Vance, Carole S. 1989. </w:t>
      </w:r>
      <w:r w:rsidRPr="00CA291C">
        <w:rPr>
          <w:rFonts w:ascii="Times New Roman" w:hAnsi="Times New Roman" w:cs="Times New Roman"/>
          <w:i/>
          <w:color w:val="auto"/>
          <w:sz w:val="24"/>
        </w:rPr>
        <w:t>Placer y peligro. Explorando la sexualidad femenina</w:t>
      </w:r>
      <w:r w:rsidRPr="00CA291C">
        <w:rPr>
          <w:rFonts w:ascii="Times New Roman" w:hAnsi="Times New Roman" w:cs="Times New Roman"/>
          <w:color w:val="auto"/>
          <w:sz w:val="24"/>
        </w:rPr>
        <w:t>, Madrid, Revolución</w:t>
      </w:r>
      <w:r w:rsidRPr="00CA291C">
        <w:rPr>
          <w:rFonts w:ascii="Times New Roman" w:eastAsia="Times New Roman" w:hAnsi="Times New Roman" w:cs="Times New Roman"/>
          <w:color w:val="auto"/>
          <w:sz w:val="24"/>
        </w:rPr>
        <w:t>.</w:t>
      </w:r>
    </w:p>
    <w:p w:rsidR="00CA291C" w:rsidRDefault="00CA291C" w:rsidP="00CA291C">
      <w:pPr>
        <w:spacing w:after="48" w:line="240" w:lineRule="auto"/>
        <w:ind w:left="426" w:hanging="426"/>
        <w:jc w:val="both"/>
        <w:rPr>
          <w:rFonts w:ascii="Times New Roman" w:eastAsia="Times New Roman" w:hAnsi="Times New Roman" w:cs="Times New Roman"/>
          <w:color w:val="auto"/>
          <w:spacing w:val="-1"/>
          <w:sz w:val="24"/>
          <w:szCs w:val="20"/>
        </w:rPr>
      </w:pPr>
      <w:r w:rsidRPr="00CA291C">
        <w:rPr>
          <w:rFonts w:ascii="Times New Roman" w:eastAsia="Times New Roman" w:hAnsi="Times New Roman" w:cs="Times New Roman"/>
          <w:color w:val="auto"/>
          <w:spacing w:val="-1"/>
          <w:sz w:val="24"/>
          <w:szCs w:val="20"/>
        </w:rPr>
        <w:t xml:space="preserve">Fernández-Llebrez, Fernando. 2004. “¿«Hombres de verdad»? Estereotipo masculino, relaciones entre los géneros y ciudadanía”, </w:t>
      </w:r>
      <w:r w:rsidRPr="00CA291C">
        <w:rPr>
          <w:rFonts w:ascii="Times New Roman" w:eastAsia="Times New Roman" w:hAnsi="Times New Roman" w:cs="Times New Roman"/>
          <w:i/>
          <w:color w:val="auto"/>
          <w:spacing w:val="-1"/>
          <w:sz w:val="24"/>
          <w:szCs w:val="20"/>
        </w:rPr>
        <w:t xml:space="preserve">Foro Interno, </w:t>
      </w:r>
      <w:r w:rsidRPr="00CA291C">
        <w:rPr>
          <w:rFonts w:ascii="Times New Roman" w:eastAsia="Times New Roman" w:hAnsi="Times New Roman" w:cs="Times New Roman"/>
          <w:color w:val="auto"/>
          <w:spacing w:val="-1"/>
          <w:sz w:val="24"/>
          <w:szCs w:val="20"/>
        </w:rPr>
        <w:t>4: 15-43.</w:t>
      </w:r>
    </w:p>
    <w:p w:rsidR="000D2E36" w:rsidRPr="00DE3719" w:rsidRDefault="000D2E36" w:rsidP="00CA291C">
      <w:pPr>
        <w:spacing w:after="48" w:line="240" w:lineRule="auto"/>
        <w:ind w:left="426" w:hanging="426"/>
        <w:jc w:val="both"/>
        <w:rPr>
          <w:rFonts w:ascii="Times New Roman" w:hAnsi="Times New Roman" w:cs="Times New Roman"/>
          <w:color w:val="auto"/>
          <w:sz w:val="28"/>
        </w:rPr>
      </w:pPr>
      <w:r w:rsidRPr="002869EF">
        <w:rPr>
          <w:rFonts w:ascii="Times New Roman" w:eastAsia="Times New Roman" w:hAnsi="Times New Roman" w:cs="Times New Roman"/>
          <w:color w:val="auto"/>
          <w:spacing w:val="-1"/>
          <w:sz w:val="24"/>
          <w:szCs w:val="20"/>
        </w:rPr>
        <w:t xml:space="preserve">Fernández-Llebrez, Fernando. 2015. </w:t>
      </w:r>
      <w:r w:rsidR="00DE3719" w:rsidRPr="00DE3719">
        <w:rPr>
          <w:rFonts w:ascii="Times New Roman" w:eastAsia="Times New Roman" w:hAnsi="Times New Roman" w:cs="Times New Roman"/>
          <w:color w:val="auto"/>
          <w:spacing w:val="-1"/>
          <w:sz w:val="24"/>
          <w:szCs w:val="20"/>
        </w:rPr>
        <w:t xml:space="preserve">“Democratización de las identidades, transgenerismo y malestares de género”, </w:t>
      </w:r>
      <w:r w:rsidR="00DE3719" w:rsidRPr="00DE3719">
        <w:rPr>
          <w:rFonts w:ascii="Times New Roman" w:eastAsia="Times New Roman" w:hAnsi="Times New Roman" w:cs="Times New Roman"/>
          <w:i/>
          <w:color w:val="auto"/>
          <w:spacing w:val="-1"/>
          <w:sz w:val="24"/>
          <w:szCs w:val="20"/>
        </w:rPr>
        <w:t>Desaf</w:t>
      </w:r>
      <w:r w:rsidR="00DE3719">
        <w:rPr>
          <w:rFonts w:ascii="Times New Roman" w:eastAsia="Times New Roman" w:hAnsi="Times New Roman" w:cs="Times New Roman"/>
          <w:i/>
          <w:color w:val="auto"/>
          <w:spacing w:val="-1"/>
          <w:sz w:val="24"/>
          <w:szCs w:val="20"/>
        </w:rPr>
        <w:t xml:space="preserve">íos, </w:t>
      </w:r>
      <w:r w:rsidR="00DE3719">
        <w:rPr>
          <w:rFonts w:ascii="Times New Roman" w:eastAsia="Times New Roman" w:hAnsi="Times New Roman" w:cs="Times New Roman"/>
          <w:color w:val="auto"/>
          <w:spacing w:val="-1"/>
          <w:sz w:val="24"/>
          <w:szCs w:val="20"/>
        </w:rPr>
        <w:t>27 (2): 99-143.</w:t>
      </w:r>
    </w:p>
    <w:p w:rsidR="00CA291C" w:rsidRPr="000D2E36"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Firestone, Shulamith. </w:t>
      </w:r>
      <w:r w:rsidRPr="000D2E36">
        <w:rPr>
          <w:rFonts w:ascii="Times New Roman" w:eastAsia="Times New Roman" w:hAnsi="Times New Roman" w:cs="Times New Roman"/>
          <w:color w:val="auto"/>
          <w:sz w:val="24"/>
          <w:szCs w:val="20"/>
          <w:lang w:val="en-US"/>
        </w:rPr>
        <w:t xml:space="preserve">1979. </w:t>
      </w:r>
      <w:r w:rsidRPr="000D2E36">
        <w:rPr>
          <w:rFonts w:ascii="Times New Roman" w:eastAsia="Times New Roman" w:hAnsi="Times New Roman" w:cs="Times New Roman"/>
          <w:i/>
          <w:color w:val="auto"/>
          <w:sz w:val="24"/>
          <w:szCs w:val="20"/>
          <w:lang w:val="en-US"/>
        </w:rPr>
        <w:t>The Dialectic of Sex</w:t>
      </w:r>
      <w:r w:rsidRPr="000D2E36">
        <w:rPr>
          <w:rFonts w:ascii="Times New Roman" w:eastAsia="Times New Roman" w:hAnsi="Times New Roman" w:cs="Times New Roman"/>
          <w:color w:val="auto"/>
          <w:sz w:val="24"/>
          <w:szCs w:val="20"/>
          <w:lang w:val="en-US"/>
        </w:rPr>
        <w:t>: The Case for Feminist Revolution, Londres, The Women’s Press.</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Koedt, Anne. 1973. “Lesbianism and Feminism”, en Koedt, Anne, Levine, Ellen y Rapone, Anita. 1973. </w:t>
      </w:r>
      <w:r w:rsidRPr="00CA291C">
        <w:rPr>
          <w:rFonts w:ascii="Times New Roman" w:eastAsia="Times New Roman" w:hAnsi="Times New Roman" w:cs="Times New Roman"/>
          <w:i/>
          <w:color w:val="auto"/>
          <w:sz w:val="24"/>
          <w:szCs w:val="20"/>
          <w:lang w:val="en-US"/>
        </w:rPr>
        <w:t>Radical Feminism</w:t>
      </w:r>
      <w:r w:rsidRPr="00CA291C">
        <w:rPr>
          <w:rFonts w:ascii="Times New Roman" w:eastAsia="Times New Roman" w:hAnsi="Times New Roman" w:cs="Times New Roman"/>
          <w:color w:val="auto"/>
          <w:sz w:val="24"/>
          <w:szCs w:val="20"/>
          <w:lang w:val="en-US"/>
        </w:rPr>
        <w:t>, Nueva York, Quadrangle Books.</w:t>
      </w:r>
    </w:p>
    <w:p w:rsidR="00CA291C" w:rsidRPr="00CA291C" w:rsidRDefault="00CA291C" w:rsidP="00CA291C">
      <w:pPr>
        <w:spacing w:after="48" w:line="240" w:lineRule="auto"/>
        <w:ind w:left="426" w:hanging="426"/>
        <w:jc w:val="both"/>
        <w:rPr>
          <w:rFonts w:ascii="Times New Roman" w:hAnsi="Times New Roman" w:cs="Times New Roman"/>
          <w:color w:val="auto"/>
          <w:sz w:val="28"/>
          <w:lang w:val="en-US"/>
        </w:rPr>
      </w:pPr>
      <w:r w:rsidRPr="00CA291C">
        <w:rPr>
          <w:rFonts w:ascii="Times New Roman" w:eastAsia="Times New Roman" w:hAnsi="Times New Roman" w:cs="Times New Roman"/>
          <w:color w:val="auto"/>
          <w:sz w:val="24"/>
          <w:szCs w:val="20"/>
          <w:lang w:val="en-US"/>
        </w:rPr>
        <w:t xml:space="preserve">MacKinnon, Catherine A. 1991. </w:t>
      </w:r>
      <w:r w:rsidRPr="00CA291C">
        <w:rPr>
          <w:rFonts w:ascii="Times New Roman" w:eastAsia="Times New Roman" w:hAnsi="Times New Roman" w:cs="Times New Roman"/>
          <w:i/>
          <w:color w:val="auto"/>
          <w:sz w:val="24"/>
          <w:szCs w:val="20"/>
          <w:lang w:val="en-US"/>
        </w:rPr>
        <w:t>Toward a feminist theory of the state</w:t>
      </w:r>
      <w:r w:rsidRPr="00CA291C">
        <w:rPr>
          <w:rFonts w:ascii="Times New Roman" w:eastAsia="Times New Roman" w:hAnsi="Times New Roman" w:cs="Times New Roman"/>
          <w:color w:val="auto"/>
          <w:sz w:val="24"/>
          <w:szCs w:val="20"/>
          <w:lang w:val="en-US"/>
        </w:rPr>
        <w:t>, Cambridge y Londres, Harvard University Press.</w:t>
      </w:r>
    </w:p>
    <w:p w:rsidR="00CA291C" w:rsidRPr="002869EF" w:rsidRDefault="00CA291C" w:rsidP="00CA291C">
      <w:pPr>
        <w:spacing w:after="48" w:line="240" w:lineRule="auto"/>
        <w:ind w:left="426" w:hanging="426"/>
        <w:jc w:val="both"/>
        <w:rPr>
          <w:rFonts w:ascii="Times New Roman" w:hAnsi="Times New Roman" w:cs="Times New Roman"/>
          <w:color w:val="auto"/>
          <w:sz w:val="28"/>
        </w:rPr>
      </w:pPr>
      <w:r w:rsidRPr="00CA291C">
        <w:rPr>
          <w:rFonts w:ascii="Times New Roman" w:eastAsia="Times New Roman" w:hAnsi="Times New Roman" w:cs="Times New Roman"/>
          <w:color w:val="auto"/>
          <w:sz w:val="24"/>
          <w:szCs w:val="20"/>
        </w:rPr>
        <w:t xml:space="preserve">Osborne, Raquel. 2002. </w:t>
      </w:r>
      <w:r w:rsidRPr="00CA291C">
        <w:rPr>
          <w:rFonts w:ascii="Times New Roman" w:eastAsia="Times New Roman" w:hAnsi="Times New Roman" w:cs="Times New Roman"/>
          <w:i/>
          <w:color w:val="auto"/>
          <w:sz w:val="24"/>
          <w:szCs w:val="20"/>
        </w:rPr>
        <w:t>La construcción sexual de la realidad</w:t>
      </w:r>
      <w:r w:rsidRPr="00CA291C">
        <w:rPr>
          <w:rFonts w:ascii="Times New Roman" w:eastAsia="Times New Roman" w:hAnsi="Times New Roman" w:cs="Times New Roman"/>
          <w:color w:val="auto"/>
          <w:sz w:val="24"/>
          <w:szCs w:val="20"/>
        </w:rPr>
        <w:t xml:space="preserve">. </w:t>
      </w:r>
      <w:r w:rsidRPr="00CA291C">
        <w:rPr>
          <w:rFonts w:ascii="Times New Roman" w:eastAsia="Times New Roman" w:hAnsi="Times New Roman" w:cs="Times New Roman"/>
          <w:i/>
          <w:color w:val="auto"/>
          <w:sz w:val="24"/>
          <w:szCs w:val="20"/>
        </w:rPr>
        <w:t>Un debate en la sociología contemporánea de la mujer</w:t>
      </w:r>
      <w:r w:rsidRPr="00CA291C">
        <w:rPr>
          <w:rFonts w:ascii="Times New Roman" w:eastAsia="Times New Roman" w:hAnsi="Times New Roman" w:cs="Times New Roman"/>
          <w:color w:val="auto"/>
          <w:sz w:val="24"/>
          <w:szCs w:val="20"/>
        </w:rPr>
        <w:t xml:space="preserve">. </w:t>
      </w:r>
      <w:r w:rsidRPr="002869EF">
        <w:rPr>
          <w:rFonts w:ascii="Times New Roman" w:eastAsia="Times New Roman" w:hAnsi="Times New Roman" w:cs="Times New Roman"/>
          <w:color w:val="auto"/>
          <w:sz w:val="24"/>
          <w:szCs w:val="20"/>
        </w:rPr>
        <w:t>Madrid, Cátedra.</w:t>
      </w:r>
    </w:p>
    <w:p w:rsidR="00CA291C" w:rsidRPr="00CA291C" w:rsidRDefault="00CA291C" w:rsidP="00CA291C">
      <w:pPr>
        <w:spacing w:after="48" w:line="240" w:lineRule="auto"/>
        <w:ind w:left="426" w:hanging="426"/>
        <w:jc w:val="both"/>
        <w:rPr>
          <w:rFonts w:ascii="Times New Roman" w:hAnsi="Times New Roman" w:cs="Times New Roman"/>
          <w:color w:val="auto"/>
          <w:sz w:val="28"/>
        </w:rPr>
      </w:pPr>
      <w:r w:rsidRPr="00CA291C">
        <w:rPr>
          <w:rFonts w:ascii="Times New Roman" w:eastAsia="Times New Roman" w:hAnsi="Times New Roman" w:cs="Times New Roman"/>
          <w:color w:val="auto"/>
          <w:sz w:val="24"/>
          <w:szCs w:val="20"/>
        </w:rPr>
        <w:t xml:space="preserve">Puleo, Alicia H. 2008. “Introducción. El concepto de «género» en la Filosofía”, en Puleo, Alicia H. 2008. </w:t>
      </w:r>
      <w:r w:rsidRPr="00CA291C">
        <w:rPr>
          <w:rFonts w:ascii="Times New Roman" w:eastAsia="Times New Roman" w:hAnsi="Times New Roman" w:cs="Times New Roman"/>
          <w:i/>
          <w:color w:val="auto"/>
          <w:sz w:val="24"/>
          <w:szCs w:val="20"/>
        </w:rPr>
        <w:t>El reto de la igualdad de género. Nuevas perspectivas en Ética y Filosofía Política</w:t>
      </w:r>
      <w:r w:rsidRPr="00CA291C">
        <w:rPr>
          <w:rFonts w:ascii="Times New Roman" w:eastAsia="Times New Roman" w:hAnsi="Times New Roman" w:cs="Times New Roman"/>
          <w:color w:val="auto"/>
          <w:sz w:val="24"/>
          <w:szCs w:val="20"/>
        </w:rPr>
        <w:t>, Madrid, Biblioteca Nueva.</w:t>
      </w:r>
    </w:p>
    <w:p w:rsidR="00CA291C" w:rsidRPr="00CA291C" w:rsidRDefault="00CA291C" w:rsidP="00CA291C">
      <w:pPr>
        <w:spacing w:after="48" w:line="240" w:lineRule="auto"/>
        <w:ind w:left="426" w:hanging="426"/>
        <w:jc w:val="both"/>
        <w:rPr>
          <w:rFonts w:ascii="Times New Roman" w:eastAsia="Times New Roman" w:hAnsi="Times New Roman" w:cs="Times New Roman"/>
          <w:color w:val="auto"/>
          <w:sz w:val="24"/>
          <w:szCs w:val="20"/>
          <w:lang w:val="en-US"/>
        </w:rPr>
      </w:pPr>
      <w:r w:rsidRPr="00CA291C">
        <w:rPr>
          <w:rFonts w:ascii="Times New Roman" w:eastAsia="Times New Roman" w:hAnsi="Times New Roman" w:cs="Times New Roman"/>
          <w:color w:val="auto"/>
          <w:sz w:val="24"/>
          <w:szCs w:val="20"/>
          <w:lang w:val="en-US"/>
        </w:rPr>
        <w:t xml:space="preserve">Rich, Adrienne. 1983. “Compulsory Heterosexuality and Lesbian Existence”, en Snitnow, Ann, Stansell, Christine y Thompson, Sharon (eds.). 1983. </w:t>
      </w:r>
      <w:r w:rsidRPr="00CA291C">
        <w:rPr>
          <w:rFonts w:ascii="Times New Roman" w:eastAsia="Times New Roman" w:hAnsi="Times New Roman" w:cs="Times New Roman"/>
          <w:i/>
          <w:color w:val="auto"/>
          <w:sz w:val="24"/>
          <w:szCs w:val="20"/>
          <w:lang w:val="en-US"/>
        </w:rPr>
        <w:t xml:space="preserve">Powers of Desire, The Politics of Sexuality, </w:t>
      </w:r>
      <w:r w:rsidRPr="00CA291C">
        <w:rPr>
          <w:rFonts w:ascii="Times New Roman" w:eastAsia="Times New Roman" w:hAnsi="Times New Roman" w:cs="Times New Roman"/>
          <w:color w:val="auto"/>
          <w:sz w:val="24"/>
          <w:szCs w:val="20"/>
          <w:lang w:val="en-US"/>
        </w:rPr>
        <w:t>Nueva York, Monthly Review Press.</w:t>
      </w:r>
    </w:p>
    <w:p w:rsidR="00CA291C" w:rsidRPr="00CA291C" w:rsidRDefault="00CA291C" w:rsidP="00CA291C">
      <w:pPr>
        <w:spacing w:after="48" w:line="240" w:lineRule="auto"/>
        <w:ind w:left="426" w:hanging="426"/>
        <w:jc w:val="both"/>
        <w:rPr>
          <w:rFonts w:ascii="Times New Roman" w:hAnsi="Times New Roman" w:cs="Times New Roman"/>
          <w:color w:val="auto"/>
          <w:sz w:val="28"/>
        </w:rPr>
      </w:pPr>
      <w:r w:rsidRPr="00CA291C">
        <w:rPr>
          <w:rFonts w:ascii="Times New Roman" w:eastAsia="Times New Roman" w:hAnsi="Times New Roman" w:cs="Times New Roman"/>
          <w:color w:val="auto"/>
          <w:sz w:val="24"/>
          <w:szCs w:val="20"/>
        </w:rPr>
        <w:t xml:space="preserve">Rubin, Gayle. 1986. “El tráfico de mujeres: notas sobre la «economía política» del sexo”, </w:t>
      </w:r>
      <w:r w:rsidRPr="00CA291C">
        <w:rPr>
          <w:rFonts w:ascii="Times New Roman" w:eastAsia="Times New Roman" w:hAnsi="Times New Roman" w:cs="Times New Roman"/>
          <w:i/>
          <w:color w:val="auto"/>
          <w:sz w:val="24"/>
          <w:szCs w:val="20"/>
        </w:rPr>
        <w:t>Nueva Antropología,</w:t>
      </w:r>
      <w:r w:rsidRPr="00CA291C">
        <w:rPr>
          <w:rFonts w:ascii="Times New Roman" w:eastAsia="Times New Roman" w:hAnsi="Times New Roman" w:cs="Times New Roman"/>
          <w:color w:val="auto"/>
          <w:sz w:val="24"/>
          <w:szCs w:val="20"/>
        </w:rPr>
        <w:t xml:space="preserve"> 30 (VIII): 95-145.</w:t>
      </w:r>
    </w:p>
    <w:p w:rsidR="00CA291C" w:rsidRPr="00CA291C" w:rsidRDefault="00CA291C" w:rsidP="00CA291C">
      <w:pPr>
        <w:pStyle w:val="Textonotapie"/>
        <w:ind w:left="426" w:hanging="426"/>
        <w:rPr>
          <w:rFonts w:ascii="Times New Roman" w:hAnsi="Times New Roman" w:cs="Times New Roman"/>
          <w:color w:val="auto"/>
          <w:sz w:val="24"/>
        </w:rPr>
      </w:pPr>
      <w:r w:rsidRPr="00CA291C">
        <w:rPr>
          <w:rFonts w:ascii="Times New Roman" w:hAnsi="Times New Roman" w:cs="Times New Roman"/>
          <w:color w:val="auto"/>
          <w:sz w:val="24"/>
        </w:rPr>
        <w:t xml:space="preserve">Vance, Carole S. 1989: “El placer y el peligro”, en Vance, Carole S. 1989. </w:t>
      </w:r>
      <w:r w:rsidRPr="00CA291C">
        <w:rPr>
          <w:rFonts w:ascii="Times New Roman" w:hAnsi="Times New Roman" w:cs="Times New Roman"/>
          <w:i/>
          <w:color w:val="auto"/>
          <w:sz w:val="24"/>
        </w:rPr>
        <w:t>Placer y peligro. Explorando la sexualidad femenina</w:t>
      </w:r>
      <w:r w:rsidRPr="00CA291C">
        <w:rPr>
          <w:rFonts w:ascii="Times New Roman" w:hAnsi="Times New Roman" w:cs="Times New Roman"/>
          <w:color w:val="auto"/>
          <w:sz w:val="24"/>
        </w:rPr>
        <w:t>, Madrid, Revolución</w:t>
      </w:r>
      <w:r w:rsidRPr="00CA291C">
        <w:rPr>
          <w:rFonts w:ascii="Times New Roman" w:eastAsia="Times New Roman" w:hAnsi="Times New Roman" w:cs="Times New Roman"/>
          <w:color w:val="auto"/>
          <w:sz w:val="24"/>
        </w:rPr>
        <w:t>.</w:t>
      </w:r>
    </w:p>
    <w:p w:rsidR="00CA291C" w:rsidRPr="00CA291C" w:rsidRDefault="00CA291C" w:rsidP="00CA291C">
      <w:pPr>
        <w:spacing w:after="48" w:line="240" w:lineRule="auto"/>
        <w:ind w:left="426" w:hanging="426"/>
        <w:jc w:val="both"/>
        <w:rPr>
          <w:rFonts w:ascii="Times New Roman" w:hAnsi="Times New Roman" w:cs="Times New Roman"/>
          <w:color w:val="auto"/>
          <w:sz w:val="28"/>
        </w:rPr>
      </w:pPr>
      <w:r w:rsidRPr="002869EF">
        <w:rPr>
          <w:rFonts w:ascii="Times New Roman" w:eastAsia="Times New Roman" w:hAnsi="Times New Roman" w:cs="Times New Roman"/>
          <w:color w:val="auto"/>
          <w:sz w:val="24"/>
          <w:szCs w:val="20"/>
        </w:rPr>
        <w:t xml:space="preserve">Vance, Carole S. y Snitnow, Ann. 1990. </w:t>
      </w:r>
      <w:r w:rsidRPr="00CA291C">
        <w:rPr>
          <w:rFonts w:ascii="Times New Roman" w:eastAsia="Times New Roman" w:hAnsi="Times New Roman" w:cs="Times New Roman"/>
          <w:color w:val="auto"/>
          <w:sz w:val="24"/>
          <w:szCs w:val="20"/>
        </w:rPr>
        <w:t>“Sobre la posibilidad de un debate acerca de la sexualidad dentro del feminismo: una modesta proposición”, en Calderón, Marisa y Osborne, Raquel (comps.). 1990.:</w:t>
      </w:r>
      <w:r w:rsidRPr="00CA291C">
        <w:rPr>
          <w:rFonts w:ascii="Times New Roman" w:eastAsia="Times New Roman" w:hAnsi="Times New Roman" w:cs="Times New Roman"/>
          <w:i/>
          <w:color w:val="auto"/>
          <w:sz w:val="24"/>
          <w:szCs w:val="20"/>
        </w:rPr>
        <w:t xml:space="preserve"> Mujer, sexo y poder. Aspectos del debate feminista en torno la sexualidad.</w:t>
      </w:r>
      <w:r w:rsidRPr="00CA291C">
        <w:rPr>
          <w:rFonts w:ascii="Times New Roman" w:eastAsia="Times New Roman" w:hAnsi="Times New Roman" w:cs="Times New Roman"/>
          <w:color w:val="auto"/>
          <w:sz w:val="24"/>
          <w:szCs w:val="20"/>
        </w:rPr>
        <w:t xml:space="preserve"> Madrid, Instituto de Filosofía del CSIC; cita de Osborne, 2002: 50.</w:t>
      </w:r>
    </w:p>
    <w:sectPr w:rsidR="00CA291C" w:rsidRPr="00CA291C">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A77" w:rsidRDefault="00D11A77" w:rsidP="004E0B2F">
      <w:pPr>
        <w:spacing w:after="0" w:line="240" w:lineRule="auto"/>
      </w:pPr>
      <w:r>
        <w:separator/>
      </w:r>
    </w:p>
  </w:endnote>
  <w:endnote w:type="continuationSeparator" w:id="0">
    <w:p w:rsidR="00D11A77" w:rsidRDefault="00D11A77" w:rsidP="004E0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1412290"/>
      <w:docPartObj>
        <w:docPartGallery w:val="Page Numbers (Bottom of Page)"/>
        <w:docPartUnique/>
      </w:docPartObj>
    </w:sdtPr>
    <w:sdtEndPr>
      <w:rPr>
        <w:noProof/>
      </w:rPr>
    </w:sdtEndPr>
    <w:sdtContent>
      <w:p w:rsidR="00DE3719" w:rsidRDefault="00DE3719">
        <w:pPr>
          <w:pStyle w:val="Piedepgina"/>
          <w:jc w:val="center"/>
        </w:pPr>
        <w:r>
          <w:fldChar w:fldCharType="begin"/>
        </w:r>
        <w:r>
          <w:instrText xml:space="preserve"> PAGE   \* MERGEFORMAT </w:instrText>
        </w:r>
        <w:r>
          <w:fldChar w:fldCharType="separate"/>
        </w:r>
        <w:r w:rsidR="00DE274F">
          <w:rPr>
            <w:noProof/>
          </w:rPr>
          <w:t>17</w:t>
        </w:r>
        <w:r>
          <w:rPr>
            <w:noProof/>
          </w:rPr>
          <w:fldChar w:fldCharType="end"/>
        </w:r>
      </w:p>
    </w:sdtContent>
  </w:sdt>
  <w:p w:rsidR="00DE3719" w:rsidRDefault="00DE371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A77" w:rsidRDefault="00D11A77" w:rsidP="004E0B2F">
      <w:pPr>
        <w:spacing w:after="0" w:line="240" w:lineRule="auto"/>
      </w:pPr>
      <w:r>
        <w:separator/>
      </w:r>
    </w:p>
  </w:footnote>
  <w:footnote w:type="continuationSeparator" w:id="0">
    <w:p w:rsidR="00D11A77" w:rsidRDefault="00D11A77" w:rsidP="004E0B2F">
      <w:pPr>
        <w:spacing w:after="0" w:line="240" w:lineRule="auto"/>
      </w:pPr>
      <w:r>
        <w:continuationSeparator/>
      </w:r>
    </w:p>
  </w:footnote>
  <w:footnote w:id="1">
    <w:p w:rsidR="00DE3719" w:rsidRPr="007F625D" w:rsidRDefault="00DE3719" w:rsidP="004E0B2F">
      <w:pPr>
        <w:spacing w:after="48" w:line="240" w:lineRule="auto"/>
        <w:jc w:val="both"/>
        <w:rPr>
          <w:rFonts w:ascii="Times New Roman" w:hAnsi="Times New Roman" w:cs="Times New Roman"/>
        </w:rPr>
      </w:pPr>
      <w:r w:rsidRPr="00D3297E">
        <w:rPr>
          <w:rFonts w:ascii="Times New Roman" w:hAnsi="Times New Roman" w:cs="Times New Roman"/>
          <w:vertAlign w:val="superscript"/>
        </w:rPr>
        <w:footnoteRef/>
      </w:r>
      <w:r w:rsidRPr="00D3297E">
        <w:rPr>
          <w:rFonts w:ascii="Times New Roman" w:eastAsia="Times New Roman" w:hAnsi="Times New Roman" w:cs="Times New Roman"/>
          <w:sz w:val="20"/>
          <w:szCs w:val="20"/>
        </w:rPr>
        <w:t xml:space="preserve"> Esto no quita que en el feminismo radical se le otorgue mucha importancia al sexo biológico como fuente de opresión. Un ejemplo de ello es la obra de Shulamith Firestone, en la cual se pone énfasis en la biología femenina desde el punto de vista de la función reprodu</w:t>
      </w:r>
      <w:r>
        <w:rPr>
          <w:rFonts w:ascii="Times New Roman" w:eastAsia="Times New Roman" w:hAnsi="Times New Roman" w:cs="Times New Roman"/>
          <w:sz w:val="20"/>
          <w:szCs w:val="20"/>
        </w:rPr>
        <w:t>ctora como factor de dominación (</w:t>
      </w:r>
      <w:r w:rsidRPr="007F625D">
        <w:rPr>
          <w:rFonts w:ascii="Times New Roman" w:eastAsia="Times New Roman" w:hAnsi="Times New Roman" w:cs="Times New Roman"/>
          <w:sz w:val="20"/>
          <w:szCs w:val="20"/>
        </w:rPr>
        <w:t>Firestone, 1979)</w:t>
      </w:r>
    </w:p>
  </w:footnote>
  <w:footnote w:id="2">
    <w:p w:rsidR="00DE3719" w:rsidRPr="002869EF" w:rsidRDefault="00DE3719" w:rsidP="004E0B2F">
      <w:pPr>
        <w:spacing w:after="48" w:line="240" w:lineRule="auto"/>
        <w:jc w:val="both"/>
        <w:rPr>
          <w:rFonts w:ascii="Times New Roman" w:hAnsi="Times New Roman" w:cs="Times New Roman"/>
        </w:rPr>
      </w:pPr>
      <w:r w:rsidRPr="00D3297E">
        <w:rPr>
          <w:rFonts w:ascii="Times New Roman" w:hAnsi="Times New Roman" w:cs="Times New Roman"/>
          <w:vertAlign w:val="superscript"/>
        </w:rPr>
        <w:footnoteRef/>
      </w:r>
      <w:r w:rsidRPr="00D3297E">
        <w:rPr>
          <w:rFonts w:ascii="Times New Roman" w:eastAsia="Times New Roman" w:hAnsi="Times New Roman" w:cs="Times New Roman"/>
          <w:sz w:val="20"/>
          <w:szCs w:val="20"/>
        </w:rPr>
        <w:t xml:space="preserve"> En algún momento Dworkin reconoce de pasada que puede haber excepciones tanto entre hombres homosexuales como heterosex</w:t>
      </w:r>
      <w:r>
        <w:rPr>
          <w:rFonts w:ascii="Times New Roman" w:eastAsia="Times New Roman" w:hAnsi="Times New Roman" w:cs="Times New Roman"/>
          <w:sz w:val="20"/>
          <w:szCs w:val="20"/>
        </w:rPr>
        <w:t>uales, pero es una minoría tan “excéntrica y minúscula”</w:t>
      </w:r>
      <w:r w:rsidRPr="00D3297E">
        <w:rPr>
          <w:rFonts w:ascii="Times New Roman" w:eastAsia="Times New Roman" w:hAnsi="Times New Roman" w:cs="Times New Roman"/>
          <w:sz w:val="20"/>
          <w:szCs w:val="20"/>
        </w:rPr>
        <w:t xml:space="preserve"> que para dar </w:t>
      </w:r>
      <w:r>
        <w:rPr>
          <w:rFonts w:ascii="Times New Roman" w:eastAsia="Times New Roman" w:hAnsi="Times New Roman" w:cs="Times New Roman"/>
          <w:sz w:val="20"/>
          <w:szCs w:val="20"/>
        </w:rPr>
        <w:t>con ellos sería como encontrar “una aguja en un pajar”</w:t>
      </w:r>
      <w:r w:rsidRPr="00D3297E">
        <w:rPr>
          <w:rFonts w:ascii="Times New Roman" w:eastAsia="Times New Roman" w:hAnsi="Times New Roman" w:cs="Times New Roman"/>
          <w:sz w:val="20"/>
          <w:szCs w:val="20"/>
        </w:rPr>
        <w:t xml:space="preserve">. </w:t>
      </w:r>
      <w:r w:rsidRPr="002869EF">
        <w:rPr>
          <w:rFonts w:ascii="Times New Roman" w:eastAsia="Times New Roman" w:hAnsi="Times New Roman" w:cs="Times New Roman"/>
          <w:sz w:val="20"/>
          <w:szCs w:val="20"/>
        </w:rPr>
        <w:t>(Dworkin, 1989: 57).</w:t>
      </w:r>
    </w:p>
  </w:footnote>
  <w:footnote w:id="3">
    <w:p w:rsidR="00DE3719" w:rsidRPr="00A337C0" w:rsidRDefault="00DE3719" w:rsidP="004E0B2F">
      <w:pPr>
        <w:spacing w:after="48" w:line="240" w:lineRule="auto"/>
        <w:jc w:val="both"/>
        <w:rPr>
          <w:rFonts w:ascii="Times New Roman" w:hAnsi="Times New Roman" w:cs="Times New Roman"/>
        </w:rPr>
      </w:pPr>
      <w:r w:rsidRPr="00D3297E">
        <w:rPr>
          <w:rFonts w:ascii="Times New Roman" w:hAnsi="Times New Roman" w:cs="Times New Roman"/>
          <w:vertAlign w:val="superscript"/>
        </w:rPr>
        <w:footnoteRef/>
      </w:r>
      <w:r w:rsidRPr="00A337C0">
        <w:rPr>
          <w:rFonts w:ascii="Times New Roman" w:eastAsia="Times New Roman" w:hAnsi="Times New Roman" w:cs="Times New Roman"/>
          <w:sz w:val="20"/>
          <w:szCs w:val="20"/>
        </w:rPr>
        <w:t xml:space="preserve"> Sobre </w:t>
      </w:r>
      <w:r>
        <w:rPr>
          <w:rFonts w:ascii="Times New Roman" w:eastAsia="Times New Roman" w:hAnsi="Times New Roman" w:cs="Times New Roman"/>
          <w:sz w:val="20"/>
          <w:szCs w:val="20"/>
        </w:rPr>
        <w:t>esta autora: (</w:t>
      </w:r>
      <w:r w:rsidRPr="00A337C0">
        <w:rPr>
          <w:rFonts w:ascii="Times New Roman" w:eastAsia="Times New Roman" w:hAnsi="Times New Roman" w:cs="Times New Roman"/>
          <w:sz w:val="20"/>
          <w:szCs w:val="20"/>
        </w:rPr>
        <w:t>Brownmiller, 1975).</w:t>
      </w:r>
    </w:p>
  </w:footnote>
  <w:footnote w:id="4">
    <w:p w:rsidR="00DE3719" w:rsidRPr="005738E8" w:rsidRDefault="00DE3719" w:rsidP="004E0B2F">
      <w:pPr>
        <w:spacing w:after="48" w:line="240" w:lineRule="auto"/>
        <w:jc w:val="both"/>
        <w:rPr>
          <w:rFonts w:ascii="Times New Roman" w:hAnsi="Times New Roman" w:cs="Times New Roman"/>
        </w:rPr>
      </w:pPr>
      <w:r w:rsidRPr="00D3297E">
        <w:rPr>
          <w:rFonts w:ascii="Times New Roman" w:hAnsi="Times New Roman" w:cs="Times New Roman"/>
          <w:vertAlign w:val="superscript"/>
        </w:rPr>
        <w:footnoteRef/>
      </w:r>
      <w:r w:rsidRPr="00A337C0">
        <w:rPr>
          <w:rFonts w:ascii="Times New Roman" w:eastAsia="Times New Roman" w:hAnsi="Times New Roman" w:cs="Times New Roman"/>
          <w:sz w:val="20"/>
          <w:szCs w:val="20"/>
        </w:rPr>
        <w:t xml:space="preserve"> Sobre </w:t>
      </w:r>
      <w:r>
        <w:rPr>
          <w:rFonts w:ascii="Times New Roman" w:eastAsia="Times New Roman" w:hAnsi="Times New Roman" w:cs="Times New Roman"/>
          <w:sz w:val="20"/>
          <w:szCs w:val="20"/>
        </w:rPr>
        <w:t>esta autora: (Daly, 1990).</w:t>
      </w:r>
    </w:p>
  </w:footnote>
  <w:footnote w:id="5">
    <w:p w:rsidR="007C30CF" w:rsidRPr="00D3297E" w:rsidRDefault="007C30CF" w:rsidP="007C30CF">
      <w:pPr>
        <w:spacing w:after="48" w:line="240" w:lineRule="auto"/>
        <w:jc w:val="both"/>
        <w:rPr>
          <w:rFonts w:ascii="Times New Roman" w:hAnsi="Times New Roman" w:cs="Times New Roman"/>
        </w:rPr>
      </w:pPr>
      <w:r w:rsidRPr="00D3297E">
        <w:rPr>
          <w:rFonts w:ascii="Times New Roman" w:hAnsi="Times New Roman" w:cs="Times New Roman"/>
          <w:vertAlign w:val="superscript"/>
        </w:rPr>
        <w:footnoteRef/>
      </w:r>
      <w:r w:rsidRPr="00D3297E">
        <w:rPr>
          <w:rFonts w:ascii="Times New Roman" w:eastAsia="Times New Roman" w:hAnsi="Times New Roman" w:cs="Times New Roman"/>
          <w:sz w:val="20"/>
          <w:szCs w:val="20"/>
        </w:rPr>
        <w:t xml:space="preserve"> “La paradoja del feminismo [...] radica en que el objeto de protección y defensa (la mujer) es también el objeto de examen y crítica; es decir, aquello que esp</w:t>
      </w:r>
      <w:r>
        <w:rPr>
          <w:rFonts w:ascii="Times New Roman" w:eastAsia="Times New Roman" w:hAnsi="Times New Roman" w:cs="Times New Roman"/>
          <w:sz w:val="20"/>
          <w:szCs w:val="20"/>
        </w:rPr>
        <w:t>eramos poder llegar a eliminar”.</w:t>
      </w:r>
      <w:r w:rsidRPr="00D3297E">
        <w:rPr>
          <w:rFonts w:ascii="Times New Roman" w:eastAsia="Times New Roman" w:hAnsi="Times New Roman" w:cs="Times New Roman"/>
          <w:sz w:val="20"/>
          <w:szCs w:val="20"/>
        </w:rPr>
        <w:t xml:space="preserve"> </w:t>
      </w:r>
      <w:r w:rsidRPr="00D555F9">
        <w:rPr>
          <w:rFonts w:ascii="Times New Roman" w:eastAsia="Times New Roman" w:hAnsi="Times New Roman" w:cs="Times New Roman"/>
          <w:sz w:val="20"/>
          <w:szCs w:val="24"/>
        </w:rPr>
        <w:t>(Osborne, 2002: 53).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B2F"/>
    <w:rsid w:val="0003009C"/>
    <w:rsid w:val="000C0D44"/>
    <w:rsid w:val="000D2E36"/>
    <w:rsid w:val="0013740C"/>
    <w:rsid w:val="00160C3C"/>
    <w:rsid w:val="00193907"/>
    <w:rsid w:val="001B5193"/>
    <w:rsid w:val="002048DB"/>
    <w:rsid w:val="002869EF"/>
    <w:rsid w:val="002B25C1"/>
    <w:rsid w:val="00312BAF"/>
    <w:rsid w:val="00335F70"/>
    <w:rsid w:val="00344BA0"/>
    <w:rsid w:val="004C5D68"/>
    <w:rsid w:val="004E0B2F"/>
    <w:rsid w:val="005738E8"/>
    <w:rsid w:val="00577E15"/>
    <w:rsid w:val="005E03AC"/>
    <w:rsid w:val="00611087"/>
    <w:rsid w:val="006161C2"/>
    <w:rsid w:val="007C30CF"/>
    <w:rsid w:val="007E4C10"/>
    <w:rsid w:val="007F625D"/>
    <w:rsid w:val="00802A18"/>
    <w:rsid w:val="008A5E1E"/>
    <w:rsid w:val="00A20109"/>
    <w:rsid w:val="00A319F6"/>
    <w:rsid w:val="00A337C0"/>
    <w:rsid w:val="00AA480A"/>
    <w:rsid w:val="00AB6965"/>
    <w:rsid w:val="00B04611"/>
    <w:rsid w:val="00B42D32"/>
    <w:rsid w:val="00B77C01"/>
    <w:rsid w:val="00C168DE"/>
    <w:rsid w:val="00C7794E"/>
    <w:rsid w:val="00CA291C"/>
    <w:rsid w:val="00CE32EE"/>
    <w:rsid w:val="00D00892"/>
    <w:rsid w:val="00D11A77"/>
    <w:rsid w:val="00D3297E"/>
    <w:rsid w:val="00D555F9"/>
    <w:rsid w:val="00D72CAF"/>
    <w:rsid w:val="00DB59B7"/>
    <w:rsid w:val="00DD3326"/>
    <w:rsid w:val="00DE274F"/>
    <w:rsid w:val="00DE3719"/>
    <w:rsid w:val="00EA76A3"/>
    <w:rsid w:val="00EC58BA"/>
    <w:rsid w:val="00EC703E"/>
    <w:rsid w:val="00ED1B17"/>
    <w:rsid w:val="00FD4A55"/>
    <w:rsid w:val="00FD4EA2"/>
    <w:rsid w:val="00FE4A84"/>
    <w:rsid w:val="00FE57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CF9AC-B47D-4C14-ACDB-1297C55B5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E0B2F"/>
    <w:rPr>
      <w:rFonts w:ascii="Calibri" w:eastAsia="Calibri" w:hAnsi="Calibri" w:cs="Calibri"/>
      <w:color w:val="000000"/>
      <w:sz w:val="22"/>
      <w:lang w:eastAsia="es-ES"/>
    </w:rPr>
  </w:style>
  <w:style w:type="paragraph" w:styleId="Ttulo2">
    <w:name w:val="heading 2"/>
    <w:basedOn w:val="Normal"/>
    <w:next w:val="Normal"/>
    <w:link w:val="Ttulo2Car"/>
    <w:rsid w:val="004E0B2F"/>
    <w:pPr>
      <w:keepNext/>
      <w:keepLines/>
      <w:spacing w:before="40" w:after="0"/>
      <w:outlineLvl w:val="1"/>
    </w:pPr>
    <w:rPr>
      <w:color w:val="2E75B5"/>
      <w:sz w:val="26"/>
      <w:szCs w:val="26"/>
    </w:rPr>
  </w:style>
  <w:style w:type="paragraph" w:styleId="Ttulo3">
    <w:name w:val="heading 3"/>
    <w:basedOn w:val="Normal"/>
    <w:next w:val="Normal"/>
    <w:link w:val="Ttulo3Car"/>
    <w:uiPriority w:val="9"/>
    <w:semiHidden/>
    <w:unhideWhenUsed/>
    <w:qFormat/>
    <w:rsid w:val="004E0B2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iPriority w:val="9"/>
    <w:semiHidden/>
    <w:unhideWhenUsed/>
    <w:qFormat/>
    <w:rsid w:val="004E0B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E0B2F"/>
    <w:pPr>
      <w:tabs>
        <w:tab w:val="center" w:pos="4252"/>
        <w:tab w:val="right" w:pos="8504"/>
      </w:tabs>
      <w:spacing w:after="0" w:line="240" w:lineRule="auto"/>
    </w:pPr>
    <w:rPr>
      <w:rFonts w:ascii="Times New Roman" w:eastAsiaTheme="minorHAnsi" w:hAnsi="Times New Roman" w:cstheme="minorBidi"/>
      <w:color w:val="auto"/>
      <w:sz w:val="24"/>
      <w:lang w:eastAsia="en-US"/>
    </w:rPr>
  </w:style>
  <w:style w:type="character" w:customStyle="1" w:styleId="EncabezadoCar">
    <w:name w:val="Encabezado Car"/>
    <w:basedOn w:val="Fuentedeprrafopredeter"/>
    <w:link w:val="Encabezado"/>
    <w:uiPriority w:val="99"/>
    <w:rsid w:val="004E0B2F"/>
  </w:style>
  <w:style w:type="paragraph" w:styleId="Piedepgina">
    <w:name w:val="footer"/>
    <w:basedOn w:val="Normal"/>
    <w:link w:val="PiedepginaCar"/>
    <w:uiPriority w:val="99"/>
    <w:unhideWhenUsed/>
    <w:rsid w:val="004E0B2F"/>
    <w:pPr>
      <w:tabs>
        <w:tab w:val="center" w:pos="4252"/>
        <w:tab w:val="right" w:pos="8504"/>
      </w:tabs>
      <w:spacing w:after="0" w:line="240" w:lineRule="auto"/>
    </w:pPr>
    <w:rPr>
      <w:rFonts w:ascii="Times New Roman" w:eastAsiaTheme="minorHAnsi" w:hAnsi="Times New Roman" w:cstheme="minorBidi"/>
      <w:color w:val="auto"/>
      <w:sz w:val="24"/>
      <w:lang w:eastAsia="en-US"/>
    </w:rPr>
  </w:style>
  <w:style w:type="character" w:customStyle="1" w:styleId="PiedepginaCar">
    <w:name w:val="Pie de página Car"/>
    <w:basedOn w:val="Fuentedeprrafopredeter"/>
    <w:link w:val="Piedepgina"/>
    <w:uiPriority w:val="99"/>
    <w:rsid w:val="004E0B2F"/>
  </w:style>
  <w:style w:type="character" w:customStyle="1" w:styleId="Ttulo2Car">
    <w:name w:val="Título 2 Car"/>
    <w:basedOn w:val="Fuentedeprrafopredeter"/>
    <w:link w:val="Ttulo2"/>
    <w:rsid w:val="004E0B2F"/>
    <w:rPr>
      <w:rFonts w:ascii="Calibri" w:eastAsia="Calibri" w:hAnsi="Calibri" w:cs="Calibri"/>
      <w:color w:val="2E75B5"/>
      <w:sz w:val="26"/>
      <w:szCs w:val="26"/>
      <w:lang w:eastAsia="es-ES"/>
    </w:rPr>
  </w:style>
  <w:style w:type="character" w:customStyle="1" w:styleId="Ttulo3Car">
    <w:name w:val="Título 3 Car"/>
    <w:basedOn w:val="Fuentedeprrafopredeter"/>
    <w:link w:val="Ttulo3"/>
    <w:uiPriority w:val="9"/>
    <w:semiHidden/>
    <w:rsid w:val="004E0B2F"/>
    <w:rPr>
      <w:rFonts w:asciiTheme="majorHAnsi" w:eastAsiaTheme="majorEastAsia" w:hAnsiTheme="majorHAnsi" w:cstheme="majorBidi"/>
      <w:color w:val="1F4D78" w:themeColor="accent1" w:themeShade="7F"/>
      <w:szCs w:val="24"/>
      <w:lang w:eastAsia="es-ES"/>
    </w:rPr>
  </w:style>
  <w:style w:type="character" w:customStyle="1" w:styleId="Ttulo5Car">
    <w:name w:val="Título 5 Car"/>
    <w:basedOn w:val="Fuentedeprrafopredeter"/>
    <w:link w:val="Ttulo5"/>
    <w:uiPriority w:val="9"/>
    <w:semiHidden/>
    <w:rsid w:val="004E0B2F"/>
    <w:rPr>
      <w:rFonts w:asciiTheme="majorHAnsi" w:eastAsiaTheme="majorEastAsia" w:hAnsiTheme="majorHAnsi" w:cstheme="majorBidi"/>
      <w:color w:val="2E74B5" w:themeColor="accent1" w:themeShade="BF"/>
      <w:sz w:val="22"/>
      <w:lang w:eastAsia="es-ES"/>
    </w:rPr>
  </w:style>
  <w:style w:type="paragraph" w:styleId="Textonotapie">
    <w:name w:val="footnote text"/>
    <w:basedOn w:val="Normal"/>
    <w:link w:val="TextonotapieCar"/>
    <w:uiPriority w:val="99"/>
    <w:unhideWhenUsed/>
    <w:rsid w:val="00611087"/>
    <w:pPr>
      <w:spacing w:after="0" w:line="240" w:lineRule="auto"/>
    </w:pPr>
    <w:rPr>
      <w:sz w:val="20"/>
      <w:szCs w:val="20"/>
    </w:rPr>
  </w:style>
  <w:style w:type="character" w:customStyle="1" w:styleId="TextonotapieCar">
    <w:name w:val="Texto nota pie Car"/>
    <w:basedOn w:val="Fuentedeprrafopredeter"/>
    <w:link w:val="Textonotapie"/>
    <w:uiPriority w:val="99"/>
    <w:rsid w:val="00611087"/>
    <w:rPr>
      <w:rFonts w:ascii="Calibri" w:eastAsia="Calibri" w:hAnsi="Calibri" w:cs="Calibri"/>
      <w:color w:val="000000"/>
      <w:sz w:val="20"/>
      <w:szCs w:val="20"/>
      <w:lang w:eastAsia="es-ES"/>
    </w:rPr>
  </w:style>
  <w:style w:type="character" w:styleId="Refdenotaalpie">
    <w:name w:val="footnote reference"/>
    <w:basedOn w:val="Fuentedeprrafopredeter"/>
    <w:uiPriority w:val="99"/>
    <w:semiHidden/>
    <w:unhideWhenUsed/>
    <w:rsid w:val="00611087"/>
    <w:rPr>
      <w:vertAlign w:val="superscript"/>
    </w:rPr>
  </w:style>
  <w:style w:type="character" w:styleId="Hipervnculo">
    <w:name w:val="Hyperlink"/>
    <w:basedOn w:val="Fuentedeprrafopredeter"/>
    <w:uiPriority w:val="99"/>
    <w:unhideWhenUsed/>
    <w:rsid w:val="00FD4EA2"/>
    <w:rPr>
      <w:color w:val="0563C1" w:themeColor="hyperlink"/>
      <w:u w:val="single"/>
    </w:rPr>
  </w:style>
  <w:style w:type="paragraph" w:styleId="Textodeglobo">
    <w:name w:val="Balloon Text"/>
    <w:basedOn w:val="Normal"/>
    <w:link w:val="TextodegloboCar"/>
    <w:uiPriority w:val="99"/>
    <w:semiHidden/>
    <w:unhideWhenUsed/>
    <w:rsid w:val="00B77C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7C01"/>
    <w:rPr>
      <w:rFonts w:ascii="Segoe UI" w:eastAsia="Calibri" w:hAnsi="Segoe UI" w:cs="Segoe UI"/>
      <w:color w:val="000000"/>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fcamasgarcia@gmail.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3ED89-0485-4351-BB3D-850302035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19</Pages>
  <Words>7416</Words>
  <Characters>40794</Characters>
  <Application>Microsoft Office Word</Application>
  <DocSecurity>0</DocSecurity>
  <Lines>339</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Paco</dc:creator>
  <cp:keywords/>
  <dc:description/>
  <cp:lastModifiedBy>Francisco Camas García</cp:lastModifiedBy>
  <cp:revision>29</cp:revision>
  <cp:lastPrinted>2015-06-22T07:29:00Z</cp:lastPrinted>
  <dcterms:created xsi:type="dcterms:W3CDTF">2015-06-19T20:01:00Z</dcterms:created>
  <dcterms:modified xsi:type="dcterms:W3CDTF">2015-06-22T14:24:00Z</dcterms:modified>
</cp:coreProperties>
</file>