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charts/chart6.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7A8" w:rsidRPr="006649F3" w:rsidRDefault="00D667A8" w:rsidP="00D667A8">
      <w:pPr>
        <w:jc w:val="center"/>
        <w:rPr>
          <w:b/>
        </w:rPr>
      </w:pPr>
      <w:r w:rsidRPr="006649F3">
        <w:rPr>
          <w:b/>
        </w:rPr>
        <w:t>LA APERTURA DE INFORMACIÓN COMO MECANISMO DE CONFIANZA EN LAS ADMINISTRACIONES PÚBLICAS SUBNACIONALES</w:t>
      </w:r>
    </w:p>
    <w:p w:rsidR="00D667A8" w:rsidRPr="006649F3" w:rsidRDefault="00D667A8" w:rsidP="00D667A8">
      <w:pPr>
        <w:jc w:val="center"/>
        <w:rPr>
          <w:sz w:val="20"/>
          <w:szCs w:val="20"/>
        </w:rPr>
      </w:pPr>
      <w:r w:rsidRPr="006649F3">
        <w:rPr>
          <w:sz w:val="20"/>
          <w:szCs w:val="20"/>
        </w:rPr>
        <w:t>-LA ESTRATEGIA DE GOBIERNO EN LÍNEA EN EL DEPARTAMENTO DE CUNDINAMARCA -COLOMBIA-</w:t>
      </w:r>
    </w:p>
    <w:p w:rsidR="00520D81" w:rsidRPr="00512E15" w:rsidRDefault="00520D81" w:rsidP="00520D81">
      <w:pPr>
        <w:jc w:val="center"/>
      </w:pPr>
    </w:p>
    <w:p w:rsidR="002E5FF0" w:rsidRDefault="00520D81" w:rsidP="002E5FF0">
      <w:pPr>
        <w:spacing w:after="0" w:line="240" w:lineRule="auto"/>
        <w:jc w:val="right"/>
      </w:pPr>
      <w:r w:rsidRPr="00512E15">
        <w:t>Edgar Enrique Martínez Cárdenas</w:t>
      </w:r>
      <w:r w:rsidRPr="00356BB9">
        <w:rPr>
          <w:sz w:val="20"/>
          <w:szCs w:val="20"/>
          <w:vertAlign w:val="superscript"/>
        </w:rPr>
        <w:footnoteReference w:id="1"/>
      </w:r>
    </w:p>
    <w:p w:rsidR="00520D81" w:rsidRPr="00D667A8" w:rsidRDefault="00520D81" w:rsidP="002E5FF0">
      <w:pPr>
        <w:spacing w:after="0" w:line="240" w:lineRule="auto"/>
        <w:jc w:val="right"/>
        <w:rPr>
          <w:sz w:val="16"/>
          <w:vertAlign w:val="superscript"/>
        </w:rPr>
      </w:pPr>
      <w:r w:rsidRPr="00512E15">
        <w:t>Harold David Pico García</w:t>
      </w:r>
      <w:r w:rsidRPr="00356BB9">
        <w:rPr>
          <w:sz w:val="20"/>
          <w:szCs w:val="20"/>
          <w:vertAlign w:val="superscript"/>
        </w:rPr>
        <w:footnoteReference w:id="2"/>
      </w:r>
    </w:p>
    <w:p w:rsidR="00520D81" w:rsidRPr="00512E15" w:rsidRDefault="00520D81" w:rsidP="00520D81">
      <w:pPr>
        <w:jc w:val="both"/>
      </w:pPr>
    </w:p>
    <w:p w:rsidR="00520D81" w:rsidRPr="00512E15" w:rsidRDefault="00520D81" w:rsidP="00520D81">
      <w:pPr>
        <w:jc w:val="both"/>
      </w:pPr>
      <w:r w:rsidRPr="00356BB9">
        <w:rPr>
          <w:b/>
        </w:rPr>
        <w:t>RESUMEN</w:t>
      </w:r>
    </w:p>
    <w:p w:rsidR="00BF020D" w:rsidRDefault="00BF020D" w:rsidP="00BF020D">
      <w:pPr>
        <w:pStyle w:val="Ttulo2"/>
        <w:shd w:val="clear" w:color="auto" w:fill="FFFFFF"/>
        <w:spacing w:before="0" w:after="15" w:line="300" w:lineRule="atLeast"/>
        <w:ind w:firstLine="709"/>
        <w:jc w:val="both"/>
        <w:rPr>
          <w:rFonts w:asciiTheme="minorHAnsi" w:eastAsiaTheme="minorHAnsi" w:hAnsiTheme="minorHAnsi" w:cstheme="minorBidi"/>
          <w:b w:val="0"/>
          <w:bCs w:val="0"/>
          <w:color w:val="auto"/>
          <w:sz w:val="22"/>
          <w:szCs w:val="22"/>
        </w:rPr>
      </w:pPr>
      <w:r w:rsidRPr="00BF020D">
        <w:rPr>
          <w:rFonts w:asciiTheme="minorHAnsi" w:eastAsiaTheme="minorHAnsi" w:hAnsiTheme="minorHAnsi" w:cstheme="minorBidi"/>
          <w:b w:val="0"/>
          <w:bCs w:val="0"/>
          <w:color w:val="auto"/>
          <w:sz w:val="22"/>
          <w:szCs w:val="22"/>
        </w:rPr>
        <w:t xml:space="preserve">Una de las estrategias que vienen implementando las entidades gubernamentales Colombianas es la denominada Gobierno en Línea, mediante la cual, a partir de la apertura de información, se pretende generar un escenario de confianza que garantice a los ciudadanos no solo la participación,  sino su influencia  en la toma de decisiones y en las políticas públicas. </w:t>
      </w:r>
    </w:p>
    <w:p w:rsidR="00BF020D" w:rsidRPr="00BF020D" w:rsidRDefault="00BF020D" w:rsidP="00BF020D"/>
    <w:p w:rsidR="00BF020D" w:rsidRDefault="00BF020D" w:rsidP="00BF020D">
      <w:pPr>
        <w:pStyle w:val="Ttulo2"/>
        <w:shd w:val="clear" w:color="auto" w:fill="FFFFFF"/>
        <w:spacing w:before="0" w:after="15" w:line="300" w:lineRule="atLeast"/>
        <w:ind w:firstLine="709"/>
        <w:jc w:val="both"/>
        <w:rPr>
          <w:rFonts w:asciiTheme="minorHAnsi" w:eastAsiaTheme="minorHAnsi" w:hAnsiTheme="minorHAnsi" w:cstheme="minorBidi"/>
          <w:b w:val="0"/>
          <w:bCs w:val="0"/>
          <w:color w:val="auto"/>
          <w:sz w:val="22"/>
          <w:szCs w:val="22"/>
        </w:rPr>
      </w:pPr>
      <w:r w:rsidRPr="00BF020D">
        <w:rPr>
          <w:rFonts w:asciiTheme="minorHAnsi" w:eastAsiaTheme="minorHAnsi" w:hAnsiTheme="minorHAnsi" w:cstheme="minorBidi"/>
          <w:b w:val="0"/>
          <w:bCs w:val="0"/>
          <w:color w:val="auto"/>
          <w:sz w:val="22"/>
          <w:szCs w:val="22"/>
        </w:rPr>
        <w:t xml:space="preserve">Transcurridos ya varios años, se hace necesario analizar cuáles han sido los avances obtenidos en la implementación de la estrategia de Gobierno en Línea a nivel subnacional como mecanismo de fortalecimiento de la confianza en el gobierno y en la democracia,  a partir de la evidencia empírica que aportan para este caso, 116 municipios del departamento de Cundinamarca, uno de los 32 que integran la división político-administrativa de Colombia. </w:t>
      </w:r>
    </w:p>
    <w:p w:rsidR="00BF020D" w:rsidRPr="00BF020D" w:rsidRDefault="00BF020D" w:rsidP="00BF020D"/>
    <w:p w:rsidR="00BF020D" w:rsidRPr="00BF020D" w:rsidRDefault="00BF020D" w:rsidP="00BF020D">
      <w:pPr>
        <w:pStyle w:val="Ttulo2"/>
        <w:shd w:val="clear" w:color="auto" w:fill="FFFFFF"/>
        <w:spacing w:before="0" w:after="15" w:line="300" w:lineRule="atLeast"/>
        <w:jc w:val="both"/>
        <w:rPr>
          <w:rFonts w:asciiTheme="minorHAnsi" w:eastAsiaTheme="minorHAnsi" w:hAnsiTheme="minorHAnsi" w:cstheme="minorBidi"/>
          <w:b w:val="0"/>
          <w:bCs w:val="0"/>
          <w:color w:val="auto"/>
          <w:sz w:val="22"/>
          <w:szCs w:val="22"/>
        </w:rPr>
      </w:pPr>
      <w:r w:rsidRPr="00BF020D">
        <w:rPr>
          <w:rFonts w:asciiTheme="minorHAnsi" w:eastAsiaTheme="minorHAnsi" w:hAnsiTheme="minorHAnsi" w:cstheme="minorBidi"/>
          <w:b w:val="0"/>
          <w:bCs w:val="0"/>
          <w:color w:val="auto"/>
          <w:sz w:val="22"/>
          <w:szCs w:val="22"/>
        </w:rPr>
        <w:t xml:space="preserve">                A partir del trabajo investigativo se puede concluir que aunque altos niveles de apertura de información están correlacionados con elevados niveles de participación electrónica no hay evidencia de una relación directa entre mayores niveles de apertura de información e interacción electrónica con mejor calidad de la democracia a nivel municipal</w:t>
      </w:r>
      <w:r>
        <w:rPr>
          <w:rFonts w:asciiTheme="minorHAnsi" w:eastAsiaTheme="minorHAnsi" w:hAnsiTheme="minorHAnsi" w:cstheme="minorBidi"/>
          <w:b w:val="0"/>
          <w:bCs w:val="0"/>
          <w:color w:val="auto"/>
          <w:sz w:val="22"/>
          <w:szCs w:val="22"/>
        </w:rPr>
        <w:t>, al parecer la desconfianza en las instituciones gubernamentales explica esta distancia real entre ciudadanos y administración.</w:t>
      </w:r>
    </w:p>
    <w:p w:rsidR="00520D81" w:rsidRDefault="00520D81" w:rsidP="00520D81">
      <w:pPr>
        <w:spacing w:line="360" w:lineRule="auto"/>
        <w:jc w:val="both"/>
        <w:rPr>
          <w:b/>
        </w:rPr>
      </w:pPr>
    </w:p>
    <w:p w:rsidR="00520D81" w:rsidRPr="00093EEF" w:rsidRDefault="00520D81" w:rsidP="00093EEF">
      <w:pPr>
        <w:spacing w:line="360" w:lineRule="auto"/>
        <w:jc w:val="both"/>
        <w:rPr>
          <w:b/>
        </w:rPr>
      </w:pPr>
      <w:r w:rsidRPr="00093EEF">
        <w:rPr>
          <w:b/>
        </w:rPr>
        <w:t>INTRODUCCIÓN</w:t>
      </w:r>
    </w:p>
    <w:p w:rsidR="00520D81" w:rsidRDefault="00520D81" w:rsidP="00520D81">
      <w:pPr>
        <w:pStyle w:val="Ttulo2"/>
        <w:shd w:val="clear" w:color="auto" w:fill="FFFFFF"/>
        <w:spacing w:before="0" w:after="15" w:line="300" w:lineRule="atLeast"/>
        <w:jc w:val="both"/>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Consolidar la democracia en América Latina, particularmente en Colombia, exige remover con éxito, obstáculos institucionales presentes desde su pasado colonial.  A pesar de la adopción formal de los principios y valores democráticos, su apropiación social y cultural, es aún bastante precaria; además, la desconfianza y la insatisfacción ciudadana con el nuevo orden político, se han convertido con el paso de los años, en los mayores desafíos para su consolidación.</w:t>
      </w:r>
    </w:p>
    <w:p w:rsidR="00520D81" w:rsidRPr="00B31E3D" w:rsidRDefault="00520D81" w:rsidP="00520D81">
      <w:pPr>
        <w:spacing w:after="0"/>
      </w:pPr>
    </w:p>
    <w:p w:rsidR="00520D81" w:rsidRDefault="00520D81" w:rsidP="002E5FF0">
      <w:pPr>
        <w:ind w:firstLine="709"/>
        <w:jc w:val="both"/>
      </w:pPr>
      <w:r>
        <w:t>Ciertamente, el escenario no contribuye a crear  satisfacción y confianza: El</w:t>
      </w:r>
      <w:r w:rsidRPr="0067007D">
        <w:t xml:space="preserve"> crecimiento económico </w:t>
      </w:r>
      <w:r>
        <w:t xml:space="preserve">es aún bastante precario; </w:t>
      </w:r>
      <w:r w:rsidRPr="0067007D">
        <w:t xml:space="preserve"> persisten altos </w:t>
      </w:r>
      <w:r>
        <w:t>niveles</w:t>
      </w:r>
      <w:r w:rsidRPr="0067007D">
        <w:t xml:space="preserve"> de pobreza y desigualdad social</w:t>
      </w:r>
      <w:r>
        <w:t>; permanecen los</w:t>
      </w:r>
      <w:r w:rsidRPr="0067007D">
        <w:t xml:space="preserve"> patrones de comportamiento tradicionales de la élite política, el clientelismo</w:t>
      </w:r>
      <w:r>
        <w:t xml:space="preserve"> y</w:t>
      </w:r>
      <w:r w:rsidRPr="0067007D">
        <w:t xml:space="preserve"> la </w:t>
      </w:r>
      <w:r w:rsidRPr="0067007D">
        <w:lastRenderedPageBreak/>
        <w:t>corrupción</w:t>
      </w:r>
      <w:r>
        <w:t xml:space="preserve">; los bloqueos políticos son constantes; la eficiencia del gobierno es aún una tarea pendiente;  y el </w:t>
      </w:r>
      <w:r w:rsidRPr="0067007D">
        <w:t xml:space="preserve">«capital social» </w:t>
      </w:r>
      <w:r>
        <w:t>es bastante precario.</w:t>
      </w:r>
    </w:p>
    <w:p w:rsidR="00520D81" w:rsidRDefault="00520D81" w:rsidP="002E5FF0">
      <w:pPr>
        <w:ind w:firstLine="709"/>
        <w:jc w:val="both"/>
      </w:pPr>
      <w:r>
        <w:t xml:space="preserve">Son muy variados entonces los ajustes que requiere </w:t>
      </w:r>
      <w:r w:rsidRPr="0067007D">
        <w:t>la arquitectura institucional del sistema político</w:t>
      </w:r>
      <w:r>
        <w:t>, así como la acción gubernamental y la dinámica social, no solo para la consolidación democrática, sino para l</w:t>
      </w:r>
      <w:r w:rsidRPr="0067007D">
        <w:t>a implementación exitosa de programas económicos y sociales</w:t>
      </w:r>
      <w:r>
        <w:t xml:space="preserve"> ya que para los ciudadanos, los bajos desempeños gubernamentales terminan minando su confianza no sólo en el gobierno, sino también en la democracia misma.</w:t>
      </w:r>
    </w:p>
    <w:p w:rsidR="00520D81" w:rsidRDefault="00520D81" w:rsidP="002E5FF0">
      <w:pPr>
        <w:ind w:firstLine="709"/>
        <w:jc w:val="both"/>
      </w:pPr>
      <w:r>
        <w:t xml:space="preserve">Estos ajustes comprometen los diferentes niveles de gobierno ya que son también variados, o por lo menos con intensidades diferentes, los desafíos del nivel nacional y de los niveles </w:t>
      </w:r>
      <w:r w:rsidRPr="00356BB9">
        <w:t xml:space="preserve">subnacionales.  </w:t>
      </w:r>
      <w:r w:rsidR="006C313A" w:rsidRPr="00356BB9">
        <w:t>¿</w:t>
      </w:r>
      <w:r w:rsidRPr="00356BB9">
        <w:t xml:space="preserve">Cuál ha sido la efectividad de la estrategia de gobierno abierto para recuperar confianza en las administraciones públicas municipales? </w:t>
      </w:r>
      <w:r w:rsidR="00356BB9" w:rsidRPr="00356BB9">
        <w:t>¿</w:t>
      </w:r>
      <w:r w:rsidR="002E5FF0" w:rsidRPr="00356BB9">
        <w:t>La</w:t>
      </w:r>
      <w:r w:rsidR="00356BB9" w:rsidRPr="00356BB9">
        <w:t xml:space="preserve"> apertura de información ha incentivado la participación electrónica? </w:t>
      </w:r>
      <w:r w:rsidRPr="00356BB9">
        <w:t xml:space="preserve"> </w:t>
      </w:r>
      <w:r w:rsidR="006C313A" w:rsidRPr="00356BB9">
        <w:t>¿</w:t>
      </w:r>
      <w:r w:rsidRPr="00356BB9">
        <w:t xml:space="preserve">La democracia en administraciones locales más abiertas </w:t>
      </w:r>
      <w:r w:rsidR="00356BB9" w:rsidRPr="00356BB9">
        <w:t>y participativas</w:t>
      </w:r>
      <w:r w:rsidR="00356BB9">
        <w:t xml:space="preserve"> </w:t>
      </w:r>
      <w:r>
        <w:t xml:space="preserve">es de mayor calidad? </w:t>
      </w:r>
    </w:p>
    <w:p w:rsidR="00520D81" w:rsidRDefault="00520D81" w:rsidP="002E5FF0">
      <w:pPr>
        <w:ind w:firstLine="709"/>
        <w:jc w:val="both"/>
      </w:pPr>
      <w:r>
        <w:t>Responder estos interrogantes fue el propósito de esta investigación realizada a partir de un tra</w:t>
      </w:r>
      <w:r w:rsidR="00A66404">
        <w:t xml:space="preserve">bajo de campo efectuado en </w:t>
      </w:r>
      <w:r w:rsidR="009F15E1">
        <w:t>116</w:t>
      </w:r>
      <w:r w:rsidR="009F15E1">
        <w:rPr>
          <w:rStyle w:val="Refdecomentario"/>
        </w:rPr>
        <w:t xml:space="preserve"> </w:t>
      </w:r>
      <w:r w:rsidR="009F15E1">
        <w:t>mu</w:t>
      </w:r>
      <w:r>
        <w:t>nicipios</w:t>
      </w:r>
      <w:r>
        <w:rPr>
          <w:rStyle w:val="Refdenotaalpie"/>
        </w:rPr>
        <w:footnoteReference w:id="3"/>
      </w:r>
      <w:r>
        <w:t xml:space="preserve"> que integran el departamento de Cundinamarca</w:t>
      </w:r>
      <w:r>
        <w:rPr>
          <w:rStyle w:val="Refdenotaalpie"/>
        </w:rPr>
        <w:footnoteReference w:id="4"/>
      </w:r>
      <w:r>
        <w:t xml:space="preserve">, </w:t>
      </w:r>
      <w:r w:rsidRPr="00356BB9">
        <w:t>con base en la evaluación de resultados de la implementación de la estrategia Gobierno en Línea. Esta</w:t>
      </w:r>
      <w:r>
        <w:t xml:space="preserve"> información fue complementada con el Índice de Calidad Democrática Municipal, primera aproximación que se hace en el país para medir la calidad de la democracia de los municipios colombianos </w:t>
      </w:r>
      <w:sdt>
        <w:sdtPr>
          <w:id w:val="11177616"/>
          <w:citation/>
        </w:sdtPr>
        <w:sdtContent>
          <w:r w:rsidR="00A736F3">
            <w:fldChar w:fldCharType="begin"/>
          </w:r>
          <w:r>
            <w:instrText xml:space="preserve"> CITATION Mar14 \l 9226 </w:instrText>
          </w:r>
          <w:r w:rsidR="00A736F3">
            <w:fldChar w:fldCharType="separate"/>
          </w:r>
          <w:r>
            <w:rPr>
              <w:noProof/>
            </w:rPr>
            <w:t>(Martínez, Ramírez, &amp; Pico, 2014)</w:t>
          </w:r>
          <w:r w:rsidR="00A736F3">
            <w:rPr>
              <w:noProof/>
            </w:rPr>
            <w:fldChar w:fldCharType="end"/>
          </w:r>
        </w:sdtContent>
      </w:sdt>
      <w:r>
        <w:t>.</w:t>
      </w:r>
    </w:p>
    <w:p w:rsidR="00905087" w:rsidRDefault="00520D81" w:rsidP="002E5FF0">
      <w:pPr>
        <w:ind w:firstLine="709"/>
        <w:jc w:val="both"/>
      </w:pPr>
      <w:r>
        <w:t xml:space="preserve">Se presenta inicialmente una  </w:t>
      </w:r>
      <w:r w:rsidR="00A66404">
        <w:t xml:space="preserve">fundamentación teórica sobre el problema abordado, desde la desconfianza e insatisfacción con la democracia, a la construcción de la confianza basada en la colaboración, objetivo al cual contribuye el gobierno abierto y </w:t>
      </w:r>
      <w:r>
        <w:t xml:space="preserve">la </w:t>
      </w:r>
      <w:r w:rsidR="00A66404">
        <w:t xml:space="preserve">apertura de información. Seguidamente se </w:t>
      </w:r>
      <w:r w:rsidR="00093EEF">
        <w:t xml:space="preserve">aborda </w:t>
      </w:r>
      <w:r w:rsidR="00A66404">
        <w:t xml:space="preserve">la metodología de investigación, </w:t>
      </w:r>
      <w:r w:rsidR="00356BB9">
        <w:t>los</w:t>
      </w:r>
      <w:r w:rsidR="00A66404">
        <w:t xml:space="preserve"> principales </w:t>
      </w:r>
      <w:r w:rsidR="00093EEF">
        <w:t>resultados del estudio, así como las conclusiones</w:t>
      </w:r>
      <w:r w:rsidR="00A66404">
        <w:t xml:space="preserve"> y referenciamiento bibliográfico correspondiente. </w:t>
      </w:r>
    </w:p>
    <w:p w:rsidR="00093EEF" w:rsidRPr="00034211" w:rsidRDefault="00093EEF" w:rsidP="00520D81">
      <w:pPr>
        <w:jc w:val="both"/>
        <w:rPr>
          <w:b/>
        </w:rPr>
      </w:pPr>
    </w:p>
    <w:p w:rsidR="00520D81" w:rsidRPr="00093EEF" w:rsidRDefault="00093EEF" w:rsidP="00093EEF">
      <w:pPr>
        <w:spacing w:line="240" w:lineRule="auto"/>
        <w:jc w:val="both"/>
        <w:rPr>
          <w:b/>
        </w:rPr>
      </w:pPr>
      <w:r>
        <w:rPr>
          <w:b/>
        </w:rPr>
        <w:t xml:space="preserve">1. </w:t>
      </w:r>
      <w:r w:rsidR="00520D81" w:rsidRPr="00093EEF">
        <w:rPr>
          <w:b/>
        </w:rPr>
        <w:t>FUNDAMENTOS TEORICOS.</w:t>
      </w:r>
    </w:p>
    <w:p w:rsidR="00905087" w:rsidRPr="00034211" w:rsidRDefault="00093EEF" w:rsidP="00905087">
      <w:pPr>
        <w:spacing w:line="360" w:lineRule="auto"/>
        <w:jc w:val="both"/>
        <w:rPr>
          <w:b/>
        </w:rPr>
      </w:pPr>
      <w:r>
        <w:rPr>
          <w:b/>
        </w:rPr>
        <w:t xml:space="preserve">1.1. </w:t>
      </w:r>
      <w:r w:rsidR="00905087" w:rsidRPr="00034211">
        <w:rPr>
          <w:b/>
        </w:rPr>
        <w:t>Indiferencia, desconfianza e insatisfacción: el frágil fundamento de la democracia</w:t>
      </w:r>
    </w:p>
    <w:p w:rsidR="00905087" w:rsidRDefault="00905087" w:rsidP="00905087">
      <w:pPr>
        <w:jc w:val="both"/>
      </w:pPr>
      <w:r>
        <w:t>La democracia en América Latina, tiene un gran desafío para consolidarse, dada la indiferencia que se tiene frente a las instituciones políticas, la insatisfacción con su desempeño y la desconfianz</w:t>
      </w:r>
      <w:r w:rsidR="00093EEF">
        <w:t>a interpersonal e institucional</w:t>
      </w:r>
      <w:r>
        <w:t xml:space="preserve">, que resultan esenciales para no  caer en procesos regresivos que impidan el afianzamiento democrático </w:t>
      </w:r>
      <w:sdt>
        <w:sdtPr>
          <w:id w:val="2268279"/>
          <w:citation/>
        </w:sdtPr>
        <w:sdtContent>
          <w:r w:rsidR="00A736F3">
            <w:fldChar w:fldCharType="begin"/>
          </w:r>
          <w:r>
            <w:instrText xml:space="preserve"> CITATION Noh11 \l 9226 </w:instrText>
          </w:r>
          <w:r w:rsidR="00A736F3">
            <w:fldChar w:fldCharType="separate"/>
          </w:r>
          <w:r>
            <w:rPr>
              <w:noProof/>
            </w:rPr>
            <w:t>(Nohlen, 2011)</w:t>
          </w:r>
          <w:r w:rsidR="00A736F3">
            <w:rPr>
              <w:noProof/>
            </w:rPr>
            <w:fldChar w:fldCharType="end"/>
          </w:r>
        </w:sdtContent>
      </w:sdt>
      <w:r>
        <w:t>.</w:t>
      </w:r>
    </w:p>
    <w:p w:rsidR="00905087" w:rsidRDefault="00905087" w:rsidP="002E5FF0">
      <w:pPr>
        <w:ind w:firstLine="709"/>
        <w:jc w:val="both"/>
      </w:pPr>
      <w:r w:rsidRPr="00713A96">
        <w:t>Desde el surgimiento de la democracia representativa</w:t>
      </w:r>
      <w:r>
        <w:t>, la ciencia política ha tenido como una de sus principales preocupaciones, analizar los desafíos que enfrenta éste régimen político. A pesar de los muy diversos contextos en que ésta ha florecido, parecieran existir unos problemas estructurales que se mantienen vigentes, cambiando en ocasiones sólo su importancia, y a los cuales se hace referencia usualmente como déficits, constituyéndose entonces en sus principales desafíos.</w:t>
      </w:r>
    </w:p>
    <w:p w:rsidR="00905087" w:rsidRDefault="00905087" w:rsidP="002E5FF0">
      <w:pPr>
        <w:ind w:firstLine="709"/>
        <w:jc w:val="both"/>
      </w:pPr>
      <w:r w:rsidRPr="0031451D">
        <w:lastRenderedPageBreak/>
        <w:t xml:space="preserve">Sin embargo, como agudamente observa </w:t>
      </w:r>
      <w:proofErr w:type="spellStart"/>
      <w:r w:rsidRPr="0031451D">
        <w:t>Nohlen</w:t>
      </w:r>
      <w:proofErr w:type="spellEnd"/>
      <w:r>
        <w:t xml:space="preserve"> </w:t>
      </w:r>
      <w:sdt>
        <w:sdtPr>
          <w:id w:val="2268280"/>
          <w:citation/>
        </w:sdtPr>
        <w:sdtContent>
          <w:r w:rsidR="00A736F3">
            <w:fldChar w:fldCharType="begin"/>
          </w:r>
          <w:r>
            <w:instrText xml:space="preserve"> CITATION Noh11 \p 75 \n  \t  \l 9226  </w:instrText>
          </w:r>
          <w:r w:rsidR="00A736F3">
            <w:fldChar w:fldCharType="separate"/>
          </w:r>
          <w:r>
            <w:rPr>
              <w:noProof/>
            </w:rPr>
            <w:t>(2011, pág. 75)</w:t>
          </w:r>
          <w:r w:rsidR="00A736F3">
            <w:rPr>
              <w:noProof/>
            </w:rPr>
            <w:fldChar w:fldCharType="end"/>
          </w:r>
        </w:sdtContent>
      </w:sdt>
      <w:r w:rsidRPr="0031451D">
        <w:t xml:space="preserve">, </w:t>
      </w:r>
      <w:r w:rsidRPr="007738D9">
        <w:rPr>
          <w:i/>
        </w:rPr>
        <w:t xml:space="preserve">“...esta relación no es unilineal. A menudo, los desafíos no resultan de los déficits sino de los éxitos de la democracia. Por ejemplo, la victoria de la democracia que hemos celebrado recién hace menos de quince años al </w:t>
      </w:r>
      <w:r w:rsidR="00C50EDF" w:rsidRPr="007738D9">
        <w:rPr>
          <w:i/>
        </w:rPr>
        <w:t>derrumbarse</w:t>
      </w:r>
      <w:r w:rsidRPr="007738D9">
        <w:rPr>
          <w:i/>
        </w:rPr>
        <w:t xml:space="preserve"> los sistemas comunistas, condujo al debilitamiento de su legitimación como alternativa más atractiva frente a los totalitarismos o autoritarismos. Como consecuencia, la democracia debe ahora legitimarse por sus propios méritos”</w:t>
      </w:r>
      <w:r w:rsidRPr="0031451D">
        <w:t xml:space="preserve">. </w:t>
      </w:r>
      <w:r>
        <w:t xml:space="preserve"> Similar circunstancia ocurre con el desarrollo del Estado de Bienestar, el que jugó un rol activo en el desarrollo económico y social, dando entonces fuerza a la democracia, pero con su crisis, surge nuevamente el </w:t>
      </w:r>
      <w:r w:rsidRPr="007738D9">
        <w:t>desafío que hace renacer el discurso sobre problemas estructurales y crisis de la democracia.</w:t>
      </w:r>
    </w:p>
    <w:p w:rsidR="00905087" w:rsidRDefault="00905087" w:rsidP="002E5FF0">
      <w:pPr>
        <w:ind w:firstLine="709"/>
        <w:jc w:val="both"/>
      </w:pPr>
      <w:r>
        <w:t xml:space="preserve">Resulta entonces evidente que los cambios en el contexto, como la caída del muro de Berlín o la crisis del Estado de Bienestar, aunque muy diversos, terminan produciendo el mismo efecto: </w:t>
      </w:r>
      <w:r w:rsidRPr="007434E6">
        <w:t>una postura</w:t>
      </w:r>
      <w:r>
        <w:t xml:space="preserve"> </w:t>
      </w:r>
      <w:r w:rsidRPr="007434E6">
        <w:t>crítica a la democracia respecto a su capacidad de corresponder a</w:t>
      </w:r>
      <w:r>
        <w:t xml:space="preserve"> </w:t>
      </w:r>
      <w:r w:rsidRPr="007434E6">
        <w:t xml:space="preserve">los desafíos que surgen del contexto, perdiendo algo de vista </w:t>
      </w:r>
      <w:r>
        <w:t>su</w:t>
      </w:r>
      <w:r w:rsidRPr="007434E6">
        <w:t>s virtudes</w:t>
      </w:r>
      <w:r>
        <w:t>.</w:t>
      </w:r>
    </w:p>
    <w:p w:rsidR="00905087" w:rsidRPr="00A76CA1" w:rsidRDefault="00905087" w:rsidP="002E5FF0">
      <w:pPr>
        <w:autoSpaceDE w:val="0"/>
        <w:autoSpaceDN w:val="0"/>
        <w:adjustRightInd w:val="0"/>
        <w:ind w:firstLine="709"/>
        <w:jc w:val="both"/>
        <w:rPr>
          <w:szCs w:val="24"/>
          <w:lang w:eastAsia="es-CO"/>
        </w:rPr>
      </w:pPr>
      <w:r w:rsidRPr="00A76CA1">
        <w:rPr>
          <w:szCs w:val="24"/>
          <w:lang w:eastAsia="es-CO"/>
        </w:rPr>
        <w:t xml:space="preserve">Hoy, es universalmente aceptado que </w:t>
      </w:r>
      <w:r>
        <w:rPr>
          <w:szCs w:val="24"/>
          <w:lang w:eastAsia="es-CO"/>
        </w:rPr>
        <w:t xml:space="preserve">hace más de tres décadas, América Latina entró en </w:t>
      </w:r>
      <w:r w:rsidRPr="00A76CA1">
        <w:rPr>
          <w:szCs w:val="24"/>
          <w:lang w:eastAsia="es-CO"/>
        </w:rPr>
        <w:t xml:space="preserve">ese proceso histórico que Samuel Huntington </w:t>
      </w:r>
      <w:sdt>
        <w:sdtPr>
          <w:rPr>
            <w:szCs w:val="24"/>
            <w:lang w:eastAsia="es-CO"/>
          </w:rPr>
          <w:id w:val="12011648"/>
          <w:citation/>
        </w:sdtPr>
        <w:sdtContent>
          <w:r w:rsidR="00A736F3" w:rsidRPr="00A76CA1">
            <w:rPr>
              <w:szCs w:val="24"/>
              <w:lang w:eastAsia="es-CO"/>
            </w:rPr>
            <w:fldChar w:fldCharType="begin"/>
          </w:r>
          <w:r w:rsidRPr="00A76CA1">
            <w:rPr>
              <w:szCs w:val="24"/>
              <w:lang w:eastAsia="es-CO"/>
            </w:rPr>
            <w:instrText xml:space="preserve"> CITATION Hun94 \n  \t  \l 9226  </w:instrText>
          </w:r>
          <w:r w:rsidR="00A736F3" w:rsidRPr="00A76CA1">
            <w:rPr>
              <w:szCs w:val="24"/>
              <w:lang w:eastAsia="es-CO"/>
            </w:rPr>
            <w:fldChar w:fldCharType="separate"/>
          </w:r>
          <w:r w:rsidRPr="00320209">
            <w:rPr>
              <w:noProof/>
              <w:szCs w:val="24"/>
              <w:lang w:eastAsia="es-CO"/>
            </w:rPr>
            <w:t>(1994)</w:t>
          </w:r>
          <w:r w:rsidR="00A736F3" w:rsidRPr="00A76CA1">
            <w:rPr>
              <w:szCs w:val="24"/>
              <w:lang w:eastAsia="es-CO"/>
            </w:rPr>
            <w:fldChar w:fldCharType="end"/>
          </w:r>
        </w:sdtContent>
      </w:sdt>
      <w:r w:rsidRPr="00A76CA1">
        <w:rPr>
          <w:szCs w:val="24"/>
          <w:lang w:eastAsia="es-CO"/>
        </w:rPr>
        <w:t xml:space="preserve">, ha descrito y denominado como </w:t>
      </w:r>
      <w:r>
        <w:rPr>
          <w:szCs w:val="24"/>
          <w:lang w:eastAsia="es-CO"/>
        </w:rPr>
        <w:t xml:space="preserve">la tercera ola democratizadora; aunque vale la pena recordar que </w:t>
      </w:r>
      <w:r w:rsidRPr="00A76CA1">
        <w:rPr>
          <w:szCs w:val="24"/>
          <w:lang w:eastAsia="es-CO"/>
        </w:rPr>
        <w:t>en doscientos años de vida independiente, la democracia nació y murió decenas de veces</w:t>
      </w:r>
      <w:r>
        <w:rPr>
          <w:szCs w:val="24"/>
          <w:lang w:eastAsia="es-CO"/>
        </w:rPr>
        <w:t xml:space="preserve"> en el continente</w:t>
      </w:r>
      <w:r w:rsidRPr="00A76CA1">
        <w:rPr>
          <w:szCs w:val="24"/>
          <w:lang w:eastAsia="es-CO"/>
        </w:rPr>
        <w:t>. Mientras se la consagraba en las constituciones, se la destruía en la práctica, “…hasta las violaciones a la democracia fueron hechas en su nombre”</w:t>
      </w:r>
      <w:r>
        <w:rPr>
          <w:szCs w:val="24"/>
          <w:lang w:eastAsia="es-CO"/>
        </w:rPr>
        <w:t xml:space="preserve"> </w:t>
      </w:r>
      <w:sdt>
        <w:sdtPr>
          <w:rPr>
            <w:szCs w:val="24"/>
            <w:lang w:eastAsia="es-CO"/>
          </w:rPr>
          <w:id w:val="3852316"/>
          <w:citation/>
        </w:sdtPr>
        <w:sdtContent>
          <w:r w:rsidR="00A736F3" w:rsidRPr="00A76CA1">
            <w:rPr>
              <w:szCs w:val="24"/>
              <w:lang w:eastAsia="es-CO"/>
            </w:rPr>
            <w:fldChar w:fldCharType="begin"/>
          </w:r>
          <w:r w:rsidRPr="00A76CA1">
            <w:rPr>
              <w:szCs w:val="24"/>
              <w:lang w:eastAsia="es-CO"/>
            </w:rPr>
            <w:instrText xml:space="preserve"> CITATION PNU04 \l 9226 </w:instrText>
          </w:r>
          <w:r w:rsidR="00A736F3" w:rsidRPr="00A76CA1">
            <w:rPr>
              <w:szCs w:val="24"/>
              <w:lang w:eastAsia="es-CO"/>
            </w:rPr>
            <w:fldChar w:fldCharType="separate"/>
          </w:r>
          <w:r w:rsidRPr="00320209">
            <w:rPr>
              <w:noProof/>
              <w:szCs w:val="24"/>
              <w:lang w:eastAsia="es-CO"/>
            </w:rPr>
            <w:t>(PNUD, 2004)</w:t>
          </w:r>
          <w:r w:rsidR="00A736F3" w:rsidRPr="00A76CA1">
            <w:rPr>
              <w:szCs w:val="24"/>
              <w:lang w:eastAsia="es-CO"/>
            </w:rPr>
            <w:fldChar w:fldCharType="end"/>
          </w:r>
        </w:sdtContent>
      </w:sdt>
      <w:r>
        <w:rPr>
          <w:szCs w:val="24"/>
          <w:lang w:eastAsia="es-CO"/>
        </w:rPr>
        <w:t>.</w:t>
      </w:r>
    </w:p>
    <w:p w:rsidR="00905087" w:rsidRDefault="00905087" w:rsidP="002E5FF0">
      <w:pPr>
        <w:autoSpaceDE w:val="0"/>
        <w:autoSpaceDN w:val="0"/>
        <w:adjustRightInd w:val="0"/>
        <w:ind w:firstLine="709"/>
        <w:jc w:val="both"/>
      </w:pPr>
      <w:r>
        <w:t>Ahora bien, a</w:t>
      </w:r>
      <w:r w:rsidRPr="0067007D">
        <w:t>gotada la transición, se ha hablado mucho de la profundización de la democracia en el camino hacia su consolidación en América latina</w:t>
      </w:r>
      <w:r>
        <w:t xml:space="preserve"> </w:t>
      </w:r>
      <w:sdt>
        <w:sdtPr>
          <w:rPr>
            <w:szCs w:val="24"/>
            <w:lang w:eastAsia="es-CO"/>
          </w:rPr>
          <w:id w:val="3852318"/>
          <w:citation/>
        </w:sdtPr>
        <w:sdtContent>
          <w:r w:rsidR="00A736F3">
            <w:rPr>
              <w:szCs w:val="24"/>
              <w:lang w:eastAsia="es-CO"/>
            </w:rPr>
            <w:fldChar w:fldCharType="begin"/>
          </w:r>
          <w:r>
            <w:rPr>
              <w:szCs w:val="24"/>
              <w:lang w:eastAsia="es-CO"/>
            </w:rPr>
            <w:instrText xml:space="preserve"> CITATION Lin96 \t  \l 9226  </w:instrText>
          </w:r>
          <w:r w:rsidR="00A736F3">
            <w:rPr>
              <w:szCs w:val="24"/>
              <w:lang w:eastAsia="es-CO"/>
            </w:rPr>
            <w:fldChar w:fldCharType="separate"/>
          </w:r>
          <w:r w:rsidRPr="00320209">
            <w:rPr>
              <w:noProof/>
              <w:szCs w:val="24"/>
              <w:lang w:eastAsia="es-CO"/>
            </w:rPr>
            <w:t>(Linz &amp; Stepan, 1996)</w:t>
          </w:r>
          <w:r w:rsidR="00A736F3">
            <w:rPr>
              <w:szCs w:val="24"/>
              <w:lang w:eastAsia="es-CO"/>
            </w:rPr>
            <w:fldChar w:fldCharType="end"/>
          </w:r>
        </w:sdtContent>
      </w:sdt>
      <w:r>
        <w:rPr>
          <w:szCs w:val="24"/>
          <w:lang w:eastAsia="es-CO"/>
        </w:rPr>
        <w:t xml:space="preserve"> </w:t>
      </w:r>
      <w:r w:rsidRPr="00A76CA1">
        <w:rPr>
          <w:szCs w:val="24"/>
          <w:lang w:eastAsia="es-CO"/>
        </w:rPr>
        <w:t xml:space="preserve">y, más recientemente, la calidad de las democracias en cuestión </w:t>
      </w:r>
      <w:sdt>
        <w:sdtPr>
          <w:rPr>
            <w:szCs w:val="24"/>
            <w:lang w:eastAsia="es-CO"/>
          </w:rPr>
          <w:id w:val="3852319"/>
          <w:citation/>
        </w:sdtPr>
        <w:sdtContent>
          <w:r w:rsidR="00A736F3">
            <w:rPr>
              <w:szCs w:val="24"/>
              <w:lang w:eastAsia="es-CO"/>
            </w:rPr>
            <w:fldChar w:fldCharType="begin"/>
          </w:r>
          <w:r>
            <w:rPr>
              <w:szCs w:val="24"/>
              <w:lang w:eastAsia="es-CO"/>
            </w:rPr>
            <w:instrText xml:space="preserve"> CITATION Dia041 \t  \l 9226  </w:instrText>
          </w:r>
          <w:r w:rsidR="00A736F3">
            <w:rPr>
              <w:szCs w:val="24"/>
              <w:lang w:eastAsia="es-CO"/>
            </w:rPr>
            <w:fldChar w:fldCharType="separate"/>
          </w:r>
          <w:r w:rsidRPr="00320209">
            <w:rPr>
              <w:noProof/>
              <w:szCs w:val="24"/>
              <w:lang w:eastAsia="es-CO"/>
            </w:rPr>
            <w:t>(Diamond &amp; Morlino, 2004)</w:t>
          </w:r>
          <w:r w:rsidR="00A736F3">
            <w:rPr>
              <w:szCs w:val="24"/>
              <w:lang w:eastAsia="es-CO"/>
            </w:rPr>
            <w:fldChar w:fldCharType="end"/>
          </w:r>
        </w:sdtContent>
      </w:sdt>
      <w:r>
        <w:t>, calificando algunos</w:t>
      </w:r>
      <w:r w:rsidRPr="0067007D">
        <w:t xml:space="preserve"> </w:t>
      </w:r>
      <w:r w:rsidRPr="00A76CA1">
        <w:rPr>
          <w:szCs w:val="24"/>
          <w:lang w:eastAsia="es-CO"/>
        </w:rPr>
        <w:t>los tipos de democracia que fueron surgiendo, señalando su carácter defectuoso, calificándolas o “de baja</w:t>
      </w:r>
      <w:r>
        <w:rPr>
          <w:szCs w:val="24"/>
          <w:lang w:eastAsia="es-CO"/>
        </w:rPr>
        <w:t xml:space="preserve"> intensidad” o de “delegativas” </w:t>
      </w:r>
      <w:sdt>
        <w:sdtPr>
          <w:rPr>
            <w:szCs w:val="24"/>
            <w:lang w:eastAsia="es-CO"/>
          </w:rPr>
          <w:id w:val="2268277"/>
          <w:citation/>
        </w:sdtPr>
        <w:sdtContent>
          <w:r w:rsidR="00A736F3">
            <w:rPr>
              <w:szCs w:val="24"/>
              <w:lang w:eastAsia="es-CO"/>
            </w:rPr>
            <w:fldChar w:fldCharType="begin"/>
          </w:r>
          <w:r>
            <w:rPr>
              <w:szCs w:val="24"/>
              <w:lang w:eastAsia="es-CO"/>
            </w:rPr>
            <w:instrText xml:space="preserve"> CITATION ODo \l 9226  </w:instrText>
          </w:r>
          <w:r w:rsidR="00A736F3">
            <w:rPr>
              <w:szCs w:val="24"/>
              <w:lang w:eastAsia="es-CO"/>
            </w:rPr>
            <w:fldChar w:fldCharType="separate"/>
          </w:r>
          <w:r w:rsidRPr="00320209">
            <w:rPr>
              <w:noProof/>
              <w:szCs w:val="24"/>
              <w:lang w:eastAsia="es-CO"/>
            </w:rPr>
            <w:t>(O'Donnell, Schinitter, &amp; Whitehead, 1988)</w:t>
          </w:r>
          <w:r w:rsidR="00A736F3">
            <w:rPr>
              <w:szCs w:val="24"/>
              <w:lang w:eastAsia="es-CO"/>
            </w:rPr>
            <w:fldChar w:fldCharType="end"/>
          </w:r>
        </w:sdtContent>
      </w:sdt>
      <w:r>
        <w:rPr>
          <w:szCs w:val="24"/>
          <w:lang w:eastAsia="es-CO"/>
        </w:rPr>
        <w:t>.</w:t>
      </w:r>
    </w:p>
    <w:p w:rsidR="00905087" w:rsidRPr="0067007D" w:rsidRDefault="00905087" w:rsidP="002E5FF0">
      <w:pPr>
        <w:ind w:firstLine="709"/>
        <w:jc w:val="both"/>
      </w:pPr>
      <w:r>
        <w:t>S</w:t>
      </w:r>
      <w:r w:rsidRPr="0067007D">
        <w:t>in embargo, no puede olvidarse el aprendizaje histórico que condujo a la transición y que hizo que las instituciones democráticas alcanzaran un gran respaldo cívico y legitimidad. A</w:t>
      </w:r>
      <w:r>
        <w:t>hora bien</w:t>
      </w:r>
      <w:r w:rsidRPr="0067007D">
        <w:t>, de acuerdo con las cifras</w:t>
      </w:r>
      <w:r>
        <w:t xml:space="preserve"> de </w:t>
      </w:r>
      <w:proofErr w:type="spellStart"/>
      <w:r>
        <w:t>Latinbarómetro</w:t>
      </w:r>
      <w:proofErr w:type="spellEnd"/>
      <w:r w:rsidRPr="0067007D">
        <w:t>,  aunque no existe el eminente peligro de una involución, es decir, de una sustitución de la democracia por un régimen autoritario como en tiempos anteriores, lo que sí es cierto, es que la democracia en la región no ha podido consolidarse; la aprobación de la democracia por parte de los latinoamericanos de hoy, alcanza niveles muy inferiores a los de años pasados.</w:t>
      </w:r>
    </w:p>
    <w:p w:rsidR="00905087" w:rsidRPr="0067007D" w:rsidRDefault="00905087" w:rsidP="002E5FF0">
      <w:pPr>
        <w:ind w:firstLine="709"/>
        <w:jc w:val="both"/>
      </w:pPr>
      <w:r w:rsidRPr="0067007D">
        <w:t xml:space="preserve">De acuerdo con </w:t>
      </w:r>
      <w:proofErr w:type="spellStart"/>
      <w:r w:rsidRPr="0067007D">
        <w:t>Nohlen</w:t>
      </w:r>
      <w:proofErr w:type="spellEnd"/>
      <w:r w:rsidRPr="0067007D">
        <w:t xml:space="preserve"> </w:t>
      </w:r>
      <w:sdt>
        <w:sdtPr>
          <w:id w:val="2268281"/>
          <w:citation/>
        </w:sdtPr>
        <w:sdtContent>
          <w:r w:rsidR="00A736F3">
            <w:fldChar w:fldCharType="begin"/>
          </w:r>
          <w:r>
            <w:instrText xml:space="preserve"> CITATION Noh11 \n  \t  \l 9226  </w:instrText>
          </w:r>
          <w:r w:rsidR="00A736F3">
            <w:fldChar w:fldCharType="separate"/>
          </w:r>
          <w:r>
            <w:rPr>
              <w:noProof/>
            </w:rPr>
            <w:t>(2011)</w:t>
          </w:r>
          <w:r w:rsidR="00A736F3">
            <w:rPr>
              <w:noProof/>
            </w:rPr>
            <w:fldChar w:fldCharType="end"/>
          </w:r>
        </w:sdtContent>
      </w:sdt>
      <w:r w:rsidRPr="0067007D">
        <w:t>, sobre el origen de tal comportamiento se han formulado varias causas, pudiendo identificar en diversas hipótesis explicativas, factores económicos, sociales, políticos, político-institucionales, político-culturales y socio-culturales.</w:t>
      </w:r>
    </w:p>
    <w:p w:rsidR="00905087" w:rsidRPr="0067007D" w:rsidRDefault="00905087" w:rsidP="002E5FF0">
      <w:pPr>
        <w:ind w:firstLine="709"/>
        <w:jc w:val="both"/>
      </w:pPr>
      <w:r w:rsidRPr="0067007D">
        <w:t>La hipótesis del déficit económico subraya el insuficiente desarrollo económico. Aquí se comparte el supuesto de la teoría de la modernización de que la democracia es un resultado del crecimiento y de la transformación social, excluyendo teóricamente así la posibilidad de una consolidación democrática previa a tal proceso. Se afirma que el crecimiento económico de los años pasados no ha sido suficiente para generar aquellos efectos que consoliden la democracia.</w:t>
      </w:r>
    </w:p>
    <w:p w:rsidR="00905087" w:rsidRPr="0067007D" w:rsidRDefault="00905087" w:rsidP="002E5FF0">
      <w:pPr>
        <w:ind w:firstLine="709"/>
        <w:jc w:val="both"/>
      </w:pPr>
      <w:r>
        <w:lastRenderedPageBreak/>
        <w:t>Desde l</w:t>
      </w:r>
      <w:r w:rsidRPr="0067007D">
        <w:t xml:space="preserve">a hipótesis del déficit social </w:t>
      </w:r>
      <w:r>
        <w:t xml:space="preserve">se </w:t>
      </w:r>
      <w:r w:rsidRPr="0067007D">
        <w:t xml:space="preserve">pone el acento en la persistencia de altos grados de pobreza y desigualdad social. Hay una «deuda social» que el neoliberalismo no ha podido saldar, por el contrario, los ricos son  más ricos y los pobres son aún más pobres, cayendo muchos en la miseria. </w:t>
      </w:r>
    </w:p>
    <w:p w:rsidR="00905087" w:rsidRPr="0067007D" w:rsidRDefault="00905087" w:rsidP="002E5FF0">
      <w:pPr>
        <w:ind w:firstLine="709"/>
        <w:jc w:val="both"/>
      </w:pPr>
      <w:r w:rsidRPr="0067007D">
        <w:t xml:space="preserve">Por otra parte, la hipótesis del déficit político señala la debilidad del Estado de Derecho, la insuficiente </w:t>
      </w:r>
      <w:proofErr w:type="spellStart"/>
      <w:r w:rsidRPr="009B2DE8">
        <w:rPr>
          <w:i/>
        </w:rPr>
        <w:t>accountability</w:t>
      </w:r>
      <w:proofErr w:type="spellEnd"/>
      <w:r w:rsidRPr="0067007D">
        <w:t>, el imperio de patrones de comportamiento tradicionales de la élite política, el clientelismo, la corrupción.</w:t>
      </w:r>
    </w:p>
    <w:p w:rsidR="00905087" w:rsidRPr="0067007D" w:rsidRDefault="00905087" w:rsidP="002E5FF0">
      <w:pPr>
        <w:ind w:firstLine="709"/>
        <w:jc w:val="both"/>
      </w:pPr>
      <w:r w:rsidRPr="0067007D">
        <w:t>Igualmente, desde la hipótesis del déficit político-institucional se evidencia la existencia de problemas estructurales de los sistemas políticos que conducirían a bloqueos políticos y a una disminución de la eficiencia del gobierno. En este sentido, la arquitectura institucional del sistema político, la forma de gobierno, el sistema electoral, el sistema de partidos, la articulación del disenso y la producción de consenso, son tareas pendientes para una implementación exitosa de programas económicos y sociales, necesarios para la resolución de los problemas de consolidación democrática.</w:t>
      </w:r>
    </w:p>
    <w:p w:rsidR="00905087" w:rsidRPr="0067007D" w:rsidRDefault="00905087" w:rsidP="002E5FF0">
      <w:pPr>
        <w:ind w:firstLine="709"/>
        <w:jc w:val="both"/>
      </w:pPr>
      <w:r w:rsidRPr="0067007D">
        <w:t xml:space="preserve">Por su parte, la hipótesis relativa a la «falta de confianza» </w:t>
      </w:r>
      <w:r>
        <w:t xml:space="preserve"> </w:t>
      </w:r>
      <w:r w:rsidRPr="0067007D">
        <w:t>ve la consolidación como dependiente de la confianza de la población en la democracia como orden político preferido y su satisfacción con los resultados de las políticas públicas, sin embargo, los niveles actuales de confianza en la democracia en América Latina son considerados insuficientes para una consolidación.</w:t>
      </w:r>
    </w:p>
    <w:p w:rsidR="00905087" w:rsidRDefault="00905087" w:rsidP="002E5FF0">
      <w:pPr>
        <w:ind w:firstLine="709"/>
        <w:jc w:val="both"/>
      </w:pPr>
      <w:r w:rsidRPr="0067007D">
        <w:t xml:space="preserve">Finalmente, La hipótesis del «capital social» focaliza la sociedad y su capacidad de generar confianza en el otro. En este caso, se parte de la tesis de que debe existir un cierto grado de confianza interpersonal a fin de generar una comunidad capaz de alcanzar objetivos y cuyo progreso económico y social produzca un sistema político consolidado. </w:t>
      </w:r>
    </w:p>
    <w:p w:rsidR="00905087" w:rsidRPr="0067007D" w:rsidRDefault="00905087" w:rsidP="002E5FF0">
      <w:pPr>
        <w:ind w:firstLine="709"/>
        <w:jc w:val="both"/>
      </w:pPr>
      <w:r w:rsidRPr="0067007D">
        <w:t xml:space="preserve">Debe resaltarse entonces que la cuestión de la consolidación de la democracia está íntimamente relacionada con la cuestión de su aprobación por parte de la población. ¿Qué sucede con la legitimación de la democracia en América Latina? Para responder a esta pregunta suele distinguirse entre la valoración (normativa) de la democracia (apoyo difuso) y la satisfacción con la democracia realmente existente (apoyo específico). Según los datos de </w:t>
      </w:r>
      <w:proofErr w:type="spellStart"/>
      <w:r w:rsidR="00C50EDF" w:rsidRPr="0067007D">
        <w:t>Latinbarómetro</w:t>
      </w:r>
      <w:proofErr w:type="spellEnd"/>
      <w:r>
        <w:t xml:space="preserve"> </w:t>
      </w:r>
      <w:sdt>
        <w:sdtPr>
          <w:id w:val="2268282"/>
          <w:citation/>
        </w:sdtPr>
        <w:sdtContent>
          <w:r w:rsidR="00A736F3">
            <w:fldChar w:fldCharType="begin"/>
          </w:r>
          <w:r>
            <w:instrText xml:space="preserve"> CITATION Cor15 \l 9226  </w:instrText>
          </w:r>
          <w:r w:rsidR="00A736F3">
            <w:fldChar w:fldCharType="separate"/>
          </w:r>
          <w:r>
            <w:rPr>
              <w:noProof/>
            </w:rPr>
            <w:t>(Corporación Latinbarómetro, 2015)</w:t>
          </w:r>
          <w:r w:rsidR="00A736F3">
            <w:rPr>
              <w:noProof/>
            </w:rPr>
            <w:fldChar w:fldCharType="end"/>
          </w:r>
        </w:sdtContent>
      </w:sdt>
      <w:r>
        <w:t xml:space="preserve"> </w:t>
      </w:r>
      <w:r w:rsidRPr="0067007D">
        <w:t>, ambos tipos de apoyo alcanzan niveles comparativamente bajos y se encuentran desde el inicio de esta serie de datos en tendencia regresiva.</w:t>
      </w:r>
    </w:p>
    <w:p w:rsidR="00905087" w:rsidRDefault="00905087" w:rsidP="002E5FF0">
      <w:pPr>
        <w:ind w:firstLine="709"/>
        <w:jc w:val="both"/>
      </w:pPr>
      <w:r>
        <w:t xml:space="preserve">Para </w:t>
      </w:r>
      <w:proofErr w:type="spellStart"/>
      <w:r w:rsidRPr="0067007D">
        <w:t>Nohlen</w:t>
      </w:r>
      <w:proofErr w:type="spellEnd"/>
      <w:r>
        <w:t xml:space="preserve"> </w:t>
      </w:r>
      <w:sdt>
        <w:sdtPr>
          <w:id w:val="2268284"/>
          <w:citation/>
        </w:sdtPr>
        <w:sdtContent>
          <w:r w:rsidR="00A736F3">
            <w:fldChar w:fldCharType="begin"/>
          </w:r>
          <w:r>
            <w:instrText xml:space="preserve"> CITATION Noh11 \n  \t  \l 9226  </w:instrText>
          </w:r>
          <w:r w:rsidR="00A736F3">
            <w:fldChar w:fldCharType="separate"/>
          </w:r>
          <w:r>
            <w:rPr>
              <w:noProof/>
            </w:rPr>
            <w:t>(2011)</w:t>
          </w:r>
          <w:r w:rsidR="00A736F3">
            <w:rPr>
              <w:noProof/>
            </w:rPr>
            <w:fldChar w:fldCharType="end"/>
          </w:r>
        </w:sdtContent>
      </w:sdt>
      <w:r w:rsidRPr="0067007D">
        <w:t xml:space="preserve">, no se sabe bien qué efecto tiene, a largo plazo, la disconformidad con los resultados de la democracia sobre el apoyo difuso o bien la legitimidad de la democracia como idea, sin embargo, puede asumirse que la insatisfacción con la democracia real, de forma lenta pero constante, socava la valoración de la democracia como orden político preferido, conduce a su pérdida de confianza, es decir, que consolidar la democracia pasa por la eficacia de la acción pública, en términos de desarrollo y equidad. </w:t>
      </w:r>
    </w:p>
    <w:p w:rsidR="00905087" w:rsidRDefault="00905087" w:rsidP="002E5FF0">
      <w:pPr>
        <w:ind w:firstLine="709"/>
        <w:jc w:val="both"/>
      </w:pPr>
      <w:r>
        <w:t>Sin embargo, d</w:t>
      </w:r>
      <w:r w:rsidRPr="0067007D">
        <w:t xml:space="preserve">ebe advertirse, de acuerdo con las cifras de </w:t>
      </w:r>
      <w:proofErr w:type="spellStart"/>
      <w:r w:rsidRPr="0067007D">
        <w:t>Latinbarómetro</w:t>
      </w:r>
      <w:proofErr w:type="spellEnd"/>
      <w:r>
        <w:t xml:space="preserve"> </w:t>
      </w:r>
      <w:sdt>
        <w:sdtPr>
          <w:id w:val="2268285"/>
          <w:citation/>
        </w:sdtPr>
        <w:sdtContent>
          <w:r w:rsidR="00A736F3">
            <w:fldChar w:fldCharType="begin"/>
          </w:r>
          <w:r>
            <w:instrText xml:space="preserve"> CITATION Cor15 \l 9226  </w:instrText>
          </w:r>
          <w:r w:rsidR="00A736F3">
            <w:fldChar w:fldCharType="separate"/>
          </w:r>
          <w:r>
            <w:rPr>
              <w:noProof/>
            </w:rPr>
            <w:t>(Corporación Latinbarómetro, 2015)</w:t>
          </w:r>
          <w:r w:rsidR="00A736F3">
            <w:rPr>
              <w:noProof/>
            </w:rPr>
            <w:fldChar w:fldCharType="end"/>
          </w:r>
        </w:sdtContent>
      </w:sdt>
      <w:r w:rsidRPr="0067007D">
        <w:t>, que en América Latina hay un porcentaje considerable de ciudadanos a quienes les daría lo mismo la existencia de un régimen autoritario, que sumados a quienes también lo prefieren, representan en promedio el 50% de los encuestados. Igualmente la gente es de la idea que «más que partidos políticos y parlamento, lo que necesitamos es un líder decidido a resolver los problemas». Finalmente a la pregunta, qué es más importante «democracia» o «desarrollo», se prefiere el «desarrollo»</w:t>
      </w:r>
      <w:r>
        <w:t>;</w:t>
      </w:r>
      <w:r w:rsidRPr="0067007D">
        <w:t xml:space="preserve"> este escenario es el que lleva a concluir que la legitimidad de la democracia en América Latina parece haberse reducido, siendo además evidente que la idea de que las instituciones políticas </w:t>
      </w:r>
      <w:r w:rsidRPr="0067007D">
        <w:lastRenderedPageBreak/>
        <w:t>son un elemento esencial de la democracia está poco enraizado en el pensamiento político de la sociedad latinoamericana.</w:t>
      </w:r>
    </w:p>
    <w:p w:rsidR="00905087" w:rsidRDefault="00905087" w:rsidP="002E5FF0">
      <w:pPr>
        <w:ind w:firstLine="709"/>
        <w:jc w:val="both"/>
      </w:pPr>
      <w:r>
        <w:t>De acuerdo con las cifras,</w:t>
      </w:r>
      <w:sdt>
        <w:sdtPr>
          <w:id w:val="2268286"/>
          <w:citation/>
        </w:sdtPr>
        <w:sdtContent>
          <w:r w:rsidR="00A736F3">
            <w:fldChar w:fldCharType="begin"/>
          </w:r>
          <w:r>
            <w:instrText xml:space="preserve"> CITATION Cor15 \l 9226  </w:instrText>
          </w:r>
          <w:r w:rsidR="00A736F3">
            <w:fldChar w:fldCharType="separate"/>
          </w:r>
          <w:r>
            <w:rPr>
              <w:noProof/>
            </w:rPr>
            <w:t xml:space="preserve"> (Corporación Latinbarómetro, 2015)</w:t>
          </w:r>
          <w:r w:rsidR="00A736F3">
            <w:rPr>
              <w:noProof/>
            </w:rPr>
            <w:fldChar w:fldCharType="end"/>
          </w:r>
        </w:sdtContent>
      </w:sdt>
      <w:r>
        <w:t xml:space="preserve"> el </w:t>
      </w:r>
      <w:r w:rsidRPr="00184447">
        <w:t>desarrollo de la democracia en América Latina ha estado</w:t>
      </w:r>
      <w:r>
        <w:t xml:space="preserve"> caracterizado</w:t>
      </w:r>
      <w:r w:rsidRPr="00184447">
        <w:t xml:space="preserve"> por una brecha entre la preferencia que este sistema</w:t>
      </w:r>
      <w:r>
        <w:t xml:space="preserve"> </w:t>
      </w:r>
      <w:r w:rsidRPr="00184447">
        <w:t>político alcanza en la opinión pública y la confianza que los ciudadanos</w:t>
      </w:r>
      <w:r>
        <w:t xml:space="preserve"> </w:t>
      </w:r>
      <w:r w:rsidRPr="00184447">
        <w:t>confiesan tener en las instituciones políticas. Mientras el apoyo a</w:t>
      </w:r>
      <w:r>
        <w:t xml:space="preserve"> régimen político es relativamente </w:t>
      </w:r>
      <w:r w:rsidRPr="00184447">
        <w:t>alto, la satisfacción que la gente tiene con el</w:t>
      </w:r>
      <w:r>
        <w:t xml:space="preserve"> </w:t>
      </w:r>
      <w:r w:rsidRPr="00184447">
        <w:t>funcionamiento de la democracia es ba</w:t>
      </w:r>
      <w:r>
        <w:t>stante ba</w:t>
      </w:r>
      <w:r w:rsidRPr="00184447">
        <w:t>jo desde la</w:t>
      </w:r>
      <w:r>
        <w:t xml:space="preserve"> </w:t>
      </w:r>
      <w:r w:rsidRPr="00184447">
        <w:t xml:space="preserve">democratización. </w:t>
      </w:r>
    </w:p>
    <w:p w:rsidR="00905087" w:rsidRDefault="00905087" w:rsidP="002E5FF0">
      <w:pPr>
        <w:ind w:firstLine="709"/>
        <w:jc w:val="both"/>
      </w:pPr>
      <w:r>
        <w:t>Específicamente para Colombia, el apoyo a la democracia en 1996 alcanzaba el 60%, porcentaje que aunque disminuyó significativamente en el 2001 (36%), logró en el 2013 el 52% de aprobación, manteniendo un promedio en la serie de 48%.  Sin embargo la brecha frente a la satisfacción con la democracia resulta también evidente. En 1996, la satisfacción logró el 16%, porcentaje que alcanzará el 28% en el 2013, obteniendo su peor nivel en el 2001, donde sólo obtuvo el 7%.</w:t>
      </w:r>
    </w:p>
    <w:p w:rsidR="00905087" w:rsidRDefault="00905087" w:rsidP="002E5FF0">
      <w:pPr>
        <w:ind w:firstLine="709"/>
        <w:jc w:val="both"/>
      </w:pPr>
      <w:r>
        <w:t xml:space="preserve">Ahora bien, no puede pasarse desapercibidamente sobre los resultados para Colombia que denotan la presencia de una franja importante de la población insatisfecha con la democracia </w:t>
      </w:r>
      <w:r w:rsidRPr="0067007D">
        <w:t>«</w:t>
      </w:r>
      <w:r>
        <w:t>realmente existente</w:t>
      </w:r>
      <w:r w:rsidRPr="0067007D">
        <w:t>»</w:t>
      </w:r>
      <w:r>
        <w:t>, y que apoyaría eventualmente una forma de gobierno distinta a ésta. Podemos contar con resultados sistemáticos de encuestas de los últimos nueve años que han planteado la misma pregunta año tras año y que presentan resultados muy similares que apuntan a señalar que un segmento importante de los encuestados está insatisfecho con la democracia y preferirían una forma de gobierno diferente.</w:t>
      </w:r>
    </w:p>
    <w:p w:rsidR="00905087" w:rsidRDefault="00905087" w:rsidP="002E5FF0">
      <w:pPr>
        <w:ind w:firstLine="709"/>
        <w:jc w:val="both"/>
      </w:pPr>
      <w:r>
        <w:t>Un lectura adicional de estos datos, permite inferir que para los ciudadanos el apoyo básico a la democracia pasa por la evaluación de los gobiernos de turno,  lo que en términos empíricos significa que lo segundo puede ser interpretado como una manifestación de lo primero, generándose una confusión entre el apoyo a la democracia y la satisfacción con el rendimiento del gobierno, siendo importante diferenciar la legitimidad de la democracia considerada como «la creencia de que las instituciones políticas existentes, a pesar de sus defectos y fallos, son mejores que otras que pudieran haber sido establecidas (Linz, 1988:</w:t>
      </w:r>
      <w:r w:rsidRPr="00506CA2">
        <w:t xml:space="preserve"> </w:t>
      </w:r>
      <w:r>
        <w:t>65)</w:t>
      </w:r>
      <w:r w:rsidRPr="0067007D">
        <w:t>»</w:t>
      </w:r>
      <w:sdt>
        <w:sdtPr>
          <w:id w:val="2268287"/>
          <w:citation/>
        </w:sdtPr>
        <w:sdtContent>
          <w:r w:rsidR="00A736F3">
            <w:fldChar w:fldCharType="begin"/>
          </w:r>
          <w:r>
            <w:instrText xml:space="preserve"> CITATION JMo08 \p 24 \t  \l 9226  </w:instrText>
          </w:r>
          <w:r w:rsidR="00A736F3">
            <w:fldChar w:fldCharType="separate"/>
          </w:r>
          <w:r>
            <w:rPr>
              <w:noProof/>
            </w:rPr>
            <w:t xml:space="preserve"> (Montero, Zmerli, &amp; Newton, 2008, pág. 24)</w:t>
          </w:r>
          <w:r w:rsidR="00A736F3">
            <w:rPr>
              <w:noProof/>
            </w:rPr>
            <w:fldChar w:fldCharType="end"/>
          </w:r>
        </w:sdtContent>
      </w:sdt>
      <w:r w:rsidR="00A95EDD">
        <w:t xml:space="preserve">. Así las cosas, la legitimidad democrática es diferente </w:t>
      </w:r>
      <w:r>
        <w:t xml:space="preserve">a la satisfacción política, ésta se encuentra según Easton en otra dimensión, consistente en los juicios de los ciudadanos sobre el comportamiento diario de los líderes políticos y el funcionamiento de los procesos e instituciones gubernamentales </w:t>
      </w:r>
      <w:sdt>
        <w:sdtPr>
          <w:id w:val="2268288"/>
          <w:citation/>
        </w:sdtPr>
        <w:sdtContent>
          <w:r w:rsidR="00A736F3">
            <w:fldChar w:fldCharType="begin"/>
          </w:r>
          <w:r>
            <w:instrText xml:space="preserve"> CITATION JMo08 \p 25 \t  \l 9226  </w:instrText>
          </w:r>
          <w:r w:rsidR="00A736F3">
            <w:fldChar w:fldCharType="separate"/>
          </w:r>
          <w:r>
            <w:rPr>
              <w:noProof/>
            </w:rPr>
            <w:t>(Montero, Zmerli, &amp; Newton, 2008, pág. 25)</w:t>
          </w:r>
          <w:r w:rsidR="00A736F3">
            <w:rPr>
              <w:noProof/>
            </w:rPr>
            <w:fldChar w:fldCharType="end"/>
          </w:r>
        </w:sdtContent>
      </w:sdt>
      <w:r>
        <w:t xml:space="preserve">. </w:t>
      </w:r>
    </w:p>
    <w:p w:rsidR="00905087" w:rsidRDefault="00905087" w:rsidP="002E5FF0">
      <w:pPr>
        <w:ind w:firstLine="709"/>
        <w:jc w:val="both"/>
      </w:pPr>
      <w:r>
        <w:t>Mientras que la legitimidad democrática (o el apoyo difuso a la democracia) tiende a ser estable a lo largo del tiempo, la insatisfacción fluctúa de acuerdo con las políticas gubernamentales, la situación de la sociedad, el estado de la economía y el rendimiento de las principales instituciones políticas. Sin embargo, tampoco puede negarse, que lo segundo termina afectando lo primero, y por ello, para los ciudadanos, al menos latinoamericanos, los bajos desempeños gubernamentales terminan minando su confianza no sólo en el gobierno, sino también en la democracia misma.</w:t>
      </w:r>
    </w:p>
    <w:p w:rsidR="00905087" w:rsidRDefault="00FD6C50" w:rsidP="002E5FF0">
      <w:pPr>
        <w:ind w:firstLine="709"/>
        <w:jc w:val="both"/>
      </w:pPr>
      <w:r>
        <w:t>Finalmente, el bajo cumplimiento de las expectativas ciudadanas por parte de los gobiernos evidencia en parte el agotamiento que sufre</w:t>
      </w:r>
      <w:r w:rsidR="00A95EDD">
        <w:t>n</w:t>
      </w:r>
      <w:r>
        <w:t xml:space="preserve"> modelos clásicos de democracia eminentemente representativa, por lo cual modelos alternos como la democracia deliberativa entran en juego y asumen un protagonismo importante. En especial, la inclusión de la ciudadanía a través de la generación de condiciones  como el acceso a mejor información,  mayor interacción, diversidad y debate </w:t>
      </w:r>
      <w:sdt>
        <w:sdtPr>
          <w:id w:val="-766463768"/>
          <w:citation/>
        </w:sdtPr>
        <w:sdtContent>
          <w:r w:rsidR="00A736F3">
            <w:fldChar w:fldCharType="begin"/>
          </w:r>
          <w:r>
            <w:instrText xml:space="preserve"> CITATION Fis11 \l 9226 </w:instrText>
          </w:r>
          <w:r w:rsidR="00A736F3">
            <w:fldChar w:fldCharType="separate"/>
          </w:r>
          <w:r>
            <w:rPr>
              <w:noProof/>
            </w:rPr>
            <w:t xml:space="preserve">(Fishkin, </w:t>
          </w:r>
          <w:r>
            <w:rPr>
              <w:noProof/>
            </w:rPr>
            <w:lastRenderedPageBreak/>
            <w:t>2011)</w:t>
          </w:r>
          <w:r w:rsidR="00A736F3">
            <w:fldChar w:fldCharType="end"/>
          </w:r>
        </w:sdtContent>
      </w:sdt>
      <w:r w:rsidR="007B5443">
        <w:t xml:space="preserve">,  </w:t>
      </w:r>
      <w:r>
        <w:t xml:space="preserve">plantean un </w:t>
      </w:r>
      <w:r w:rsidR="00A95EDD">
        <w:t xml:space="preserve">nuevo </w:t>
      </w:r>
      <w:r>
        <w:t>escenario de colaboración e inclusión</w:t>
      </w:r>
      <w:r w:rsidR="00A95EDD">
        <w:t xml:space="preserve"> que rescata la confianza no sólo en el gobierno, sino que legitima el régimen democrático.  </w:t>
      </w:r>
      <w:r>
        <w:t xml:space="preserve"> </w:t>
      </w:r>
    </w:p>
    <w:p w:rsidR="00520D81" w:rsidRPr="00A95EDD" w:rsidRDefault="007B5443" w:rsidP="00A95EDD">
      <w:pPr>
        <w:pStyle w:val="Prrafodelista"/>
        <w:numPr>
          <w:ilvl w:val="1"/>
          <w:numId w:val="5"/>
        </w:numPr>
        <w:spacing w:line="240" w:lineRule="auto"/>
        <w:jc w:val="both"/>
        <w:rPr>
          <w:b/>
        </w:rPr>
      </w:pPr>
      <w:r w:rsidRPr="00A95EDD">
        <w:rPr>
          <w:b/>
        </w:rPr>
        <w:t>De la insatisfacción con los gobiernos, a una confianza basada en la colaboración.</w:t>
      </w:r>
    </w:p>
    <w:p w:rsidR="00A95EDD" w:rsidRDefault="00A95EDD" w:rsidP="006E5BCC">
      <w:pPr>
        <w:spacing w:line="240" w:lineRule="auto"/>
        <w:jc w:val="both"/>
      </w:pPr>
    </w:p>
    <w:p w:rsidR="006E5BCC" w:rsidRDefault="006E5BCC" w:rsidP="006E5BCC">
      <w:pPr>
        <w:spacing w:line="240" w:lineRule="auto"/>
        <w:jc w:val="both"/>
      </w:pPr>
      <w:r>
        <w:t xml:space="preserve">Dado que el desborde de las demandas sociales es cada vez mayor,  </w:t>
      </w:r>
      <w:r w:rsidRPr="00512E15">
        <w:t>y la creciente erosión en la capacidad de los gobiernos los hace incapaces de proteger a sus ciuda</w:t>
      </w:r>
      <w:r>
        <w:t>danos de desajustes económicos y enfrentar</w:t>
      </w:r>
      <w:r w:rsidRPr="00512E15">
        <w:t xml:space="preserve"> fenómenos endémicos como la corrupción </w:t>
      </w:r>
      <w:sdt>
        <w:sdtPr>
          <w:id w:val="-274794278"/>
          <w:citation/>
        </w:sdtPr>
        <w:sdtContent>
          <w:r w:rsidR="00A736F3" w:rsidRPr="00512E15">
            <w:fldChar w:fldCharType="begin"/>
          </w:r>
          <w:r w:rsidRPr="00512E15">
            <w:instrText xml:space="preserve"> CITATION Jav08 \l 9226 </w:instrText>
          </w:r>
          <w:r w:rsidR="00A736F3" w:rsidRPr="00512E15">
            <w:fldChar w:fldCharType="separate"/>
          </w:r>
          <w:r>
            <w:rPr>
              <w:noProof/>
            </w:rPr>
            <w:t>(Marotte, 2008)</w:t>
          </w:r>
          <w:r w:rsidR="00A736F3" w:rsidRPr="00512E15">
            <w:fldChar w:fldCharType="end"/>
          </w:r>
        </w:sdtContent>
      </w:sdt>
      <w:r>
        <w:t xml:space="preserve">, los gobiernos en especial de </w:t>
      </w:r>
      <w:r w:rsidR="00A95EDD">
        <w:t>América L</w:t>
      </w:r>
      <w:r>
        <w:t>atina,</w:t>
      </w:r>
      <w:r w:rsidR="003A5DEE">
        <w:t xml:space="preserve"> se enfrenten a un panorama de «</w:t>
      </w:r>
      <w:r>
        <w:t>ingobernabilidad</w:t>
      </w:r>
      <w:r w:rsidR="003A5DEE" w:rsidRPr="0067007D">
        <w:t>»</w:t>
      </w:r>
      <w:r>
        <w:t xml:space="preserve">.   </w:t>
      </w:r>
    </w:p>
    <w:p w:rsidR="006E5BCC" w:rsidRDefault="006E5BCC" w:rsidP="002E5FF0">
      <w:pPr>
        <w:spacing w:line="240" w:lineRule="auto"/>
        <w:ind w:firstLine="709"/>
        <w:jc w:val="both"/>
      </w:pPr>
      <w:r w:rsidRPr="00FF5D78">
        <w:t>Factores como el deterioro de la participación política, altas restricciones para el efectivo control social, ineficiencia en la acción pública de los gobiernos, y la escasez de opciones política</w:t>
      </w:r>
      <w:r w:rsidR="003A5DEE">
        <w:t>s</w:t>
      </w:r>
      <w:r w:rsidRPr="00FF5D78">
        <w:t xml:space="preserve"> diferenciadas,</w:t>
      </w:r>
      <w:r w:rsidR="003A5DEE">
        <w:t xml:space="preserve"> son causas que profundizan el «</w:t>
      </w:r>
      <w:r w:rsidRPr="00FF5D78">
        <w:t>malestar</w:t>
      </w:r>
      <w:r w:rsidR="003A5DEE" w:rsidRPr="0067007D">
        <w:t>»</w:t>
      </w:r>
      <w:r w:rsidRPr="00FF5D78">
        <w:t xml:space="preserve"> y la falta de confianza de la ciudadanía en sus gobiernos</w:t>
      </w:r>
      <w:r>
        <w:t>. De allí, que estos vengan cuestionándose sobre los principales elementos que deberán tener en cuenta   para recobrar legitimidad y mejorar sus niveles de confianza.</w:t>
      </w:r>
    </w:p>
    <w:p w:rsidR="00EA75A8" w:rsidRDefault="00EA75A8" w:rsidP="002E5FF0">
      <w:pPr>
        <w:spacing w:line="240" w:lineRule="auto"/>
        <w:ind w:firstLine="709"/>
        <w:jc w:val="both"/>
      </w:pPr>
      <w:r>
        <w:t xml:space="preserve">Cuando </w:t>
      </w:r>
      <w:r w:rsidR="00C25524">
        <w:t xml:space="preserve">se hace referencia </w:t>
      </w:r>
      <w:r>
        <w:t xml:space="preserve">a confianza en el gobierno, el concepto asume características que le son propias  para un contexto totalmente público y que se materializa en problemáticas de asignación de recursos, constante deliberación con la ciudadanía y la asunción de riesgos e incertidumbres por parte de la población.  </w:t>
      </w:r>
      <w:r w:rsidR="00C30369">
        <w:t xml:space="preserve">Como menciona </w:t>
      </w:r>
      <w:proofErr w:type="spellStart"/>
      <w:r w:rsidR="00C30369">
        <w:t>Blind</w:t>
      </w:r>
      <w:proofErr w:type="spellEnd"/>
      <w:r w:rsidR="00C30369">
        <w:t xml:space="preserve"> </w:t>
      </w:r>
      <w:sdt>
        <w:sdtPr>
          <w:id w:val="468319176"/>
          <w:citation/>
        </w:sdtPr>
        <w:sdtContent>
          <w:r w:rsidR="00A736F3">
            <w:fldChar w:fldCharType="begin"/>
          </w:r>
          <w:r w:rsidR="00C30369">
            <w:instrText xml:space="preserve">CITATION Bli06 \n  \t  \l 9226 </w:instrText>
          </w:r>
          <w:r w:rsidR="00A736F3">
            <w:fldChar w:fldCharType="separate"/>
          </w:r>
          <w:r w:rsidR="00C30369">
            <w:rPr>
              <w:noProof/>
            </w:rPr>
            <w:t>(2006)</w:t>
          </w:r>
          <w:r w:rsidR="00A736F3">
            <w:fldChar w:fldCharType="end"/>
          </w:r>
        </w:sdtContent>
      </w:sdt>
      <w:r w:rsidR="00C30369">
        <w:t xml:space="preserve"> la confianza en el gobierno puede entenderse como una emoción pasiva otorgada al sistema político social en general.</w:t>
      </w:r>
    </w:p>
    <w:p w:rsidR="00520D81" w:rsidRDefault="00520D81" w:rsidP="002E5FF0">
      <w:pPr>
        <w:spacing w:line="240" w:lineRule="auto"/>
        <w:ind w:firstLine="709"/>
        <w:jc w:val="both"/>
      </w:pPr>
      <w:r>
        <w:t xml:space="preserve">Partiendo de la afirmación </w:t>
      </w:r>
      <w:r w:rsidRPr="009B27D1">
        <w:rPr>
          <w:i/>
        </w:rPr>
        <w:t>“la ciudadanía empezará a generar vínculos más confiables, en cuanto perciban  tanto que el sistema como los titulares políticos del mismo son sensibles, y van a hacer lo que es correcto, incluso en ausencia de constante escrutinio</w:t>
      </w:r>
      <w:r>
        <w:t>”</w:t>
      </w:r>
      <w:r w:rsidRPr="00512E15">
        <w:t xml:space="preserve"> </w:t>
      </w:r>
      <w:sdt>
        <w:sdtPr>
          <w:id w:val="959690077"/>
          <w:citation/>
        </w:sdtPr>
        <w:sdtContent>
          <w:r w:rsidR="00A736F3" w:rsidRPr="00512E15">
            <w:fldChar w:fldCharType="begin"/>
          </w:r>
          <w:r w:rsidRPr="00512E15">
            <w:instrText xml:space="preserve"> CITATION Mil90 \l 9226 </w:instrText>
          </w:r>
          <w:r w:rsidR="00A736F3" w:rsidRPr="00512E15">
            <w:fldChar w:fldCharType="separate"/>
          </w:r>
          <w:r>
            <w:rPr>
              <w:noProof/>
            </w:rPr>
            <w:t>(Miller &amp; Listhaug, 1990)</w:t>
          </w:r>
          <w:r w:rsidR="00A736F3" w:rsidRPr="00512E15">
            <w:fldChar w:fldCharType="end"/>
          </w:r>
        </w:sdtContent>
      </w:sdt>
      <w:r>
        <w:t>, e</w:t>
      </w:r>
      <w:r w:rsidRPr="00512E15">
        <w:t>s decir, que sus acciones estarán enmarcadas dentro de un cuadro de integridad</w:t>
      </w:r>
      <w:r w:rsidRPr="00C25524">
        <w:rPr>
          <w:sz w:val="20"/>
          <w:szCs w:val="20"/>
          <w:vertAlign w:val="superscript"/>
        </w:rPr>
        <w:footnoteReference w:id="5"/>
      </w:r>
      <w:r w:rsidRPr="00F363C1">
        <w:rPr>
          <w:sz w:val="16"/>
        </w:rPr>
        <w:t xml:space="preserve"> </w:t>
      </w:r>
      <w:r w:rsidRPr="00512E15">
        <w:t xml:space="preserve">forjando lazos fuertes entre las expectativas de ideales y la conducta formal </w:t>
      </w:r>
      <w:sdt>
        <w:sdtPr>
          <w:id w:val="1084725600"/>
          <w:citation/>
        </w:sdtPr>
        <w:sdtContent>
          <w:r w:rsidR="00A736F3" w:rsidRPr="00512E15">
            <w:fldChar w:fldCharType="begin"/>
          </w:r>
          <w:r w:rsidRPr="00512E15">
            <w:instrText xml:space="preserve">CITATION San00 \l 9226 </w:instrText>
          </w:r>
          <w:r w:rsidR="00A736F3" w:rsidRPr="00512E15">
            <w:fldChar w:fldCharType="separate"/>
          </w:r>
          <w:r>
            <w:rPr>
              <w:noProof/>
            </w:rPr>
            <w:t>(Sanchez, 2000)</w:t>
          </w:r>
          <w:r w:rsidR="00A736F3" w:rsidRPr="00512E15">
            <w:fldChar w:fldCharType="end"/>
          </w:r>
        </w:sdtContent>
      </w:sdt>
      <w:r>
        <w:t xml:space="preserve">, teóricos como </w:t>
      </w:r>
      <w:proofErr w:type="spellStart"/>
      <w:r>
        <w:t>Blind</w:t>
      </w:r>
      <w:proofErr w:type="spellEnd"/>
      <w:r>
        <w:t xml:space="preserve"> </w:t>
      </w:r>
      <w:sdt>
        <w:sdtPr>
          <w:id w:val="1142465822"/>
          <w:citation/>
        </w:sdtPr>
        <w:sdtContent>
          <w:r w:rsidR="00A736F3">
            <w:fldChar w:fldCharType="begin"/>
          </w:r>
          <w:r>
            <w:instrText xml:space="preserve">CITATION Bli06 \n  \t  \l 9226 </w:instrText>
          </w:r>
          <w:r w:rsidR="00A736F3">
            <w:fldChar w:fldCharType="separate"/>
          </w:r>
          <w:r>
            <w:rPr>
              <w:noProof/>
            </w:rPr>
            <w:t>(2006)</w:t>
          </w:r>
          <w:r w:rsidR="00A736F3">
            <w:fldChar w:fldCharType="end"/>
          </w:r>
        </w:sdtContent>
      </w:sdt>
      <w:r w:rsidR="00C30369">
        <w:t xml:space="preserve">, </w:t>
      </w:r>
      <w:proofErr w:type="spellStart"/>
      <w:r>
        <w:t>Tilly</w:t>
      </w:r>
      <w:proofErr w:type="spellEnd"/>
      <w:r>
        <w:t xml:space="preserve"> </w:t>
      </w:r>
      <w:sdt>
        <w:sdtPr>
          <w:id w:val="-53163794"/>
          <w:citation/>
        </w:sdtPr>
        <w:sdtContent>
          <w:r w:rsidR="00A736F3">
            <w:fldChar w:fldCharType="begin"/>
          </w:r>
          <w:r>
            <w:instrText xml:space="preserve">CITATION Cha10 \n  \t  \l 9226 </w:instrText>
          </w:r>
          <w:r w:rsidR="00A736F3">
            <w:fldChar w:fldCharType="separate"/>
          </w:r>
          <w:r>
            <w:rPr>
              <w:noProof/>
            </w:rPr>
            <w:t>(2010)</w:t>
          </w:r>
          <w:r w:rsidR="00A736F3">
            <w:fldChar w:fldCharType="end"/>
          </w:r>
        </w:sdtContent>
      </w:sdt>
      <w:r w:rsidR="00C30369">
        <w:t xml:space="preserve">, y </w:t>
      </w:r>
      <w:proofErr w:type="spellStart"/>
      <w:r w:rsidR="00C30369">
        <w:t>O’Hara</w:t>
      </w:r>
      <w:proofErr w:type="spellEnd"/>
      <w:r w:rsidR="00C30369">
        <w:t xml:space="preserve"> </w:t>
      </w:r>
      <w:sdt>
        <w:sdtPr>
          <w:id w:val="-958490408"/>
          <w:citation/>
        </w:sdtPr>
        <w:sdtContent>
          <w:r w:rsidR="00A736F3">
            <w:fldChar w:fldCharType="begin"/>
          </w:r>
          <w:r w:rsidR="00C30369">
            <w:instrText xml:space="preserve">CITATION OHa09 \n  \t  \l 9226 </w:instrText>
          </w:r>
          <w:r w:rsidR="00A736F3">
            <w:fldChar w:fldCharType="separate"/>
          </w:r>
          <w:r w:rsidR="00C30369">
            <w:rPr>
              <w:noProof/>
            </w:rPr>
            <w:t>(2009)</w:t>
          </w:r>
          <w:r w:rsidR="00A736F3">
            <w:fldChar w:fldCharType="end"/>
          </w:r>
        </w:sdtContent>
      </w:sdt>
      <w:r w:rsidR="00C30369">
        <w:t xml:space="preserve"> </w:t>
      </w:r>
      <w:r>
        <w:t>plantean el análisis de la confianza en el gobierno a partir de</w:t>
      </w:r>
      <w:r w:rsidRPr="00512E15">
        <w:t xml:space="preserve"> </w:t>
      </w:r>
      <w:r>
        <w:t>tres</w:t>
      </w:r>
      <w:r w:rsidRPr="00512E15">
        <w:t xml:space="preserve"> perspectivas distintas,  las cuales en cierto modo coadyuvaran  al afianzamiento de la misma.</w:t>
      </w:r>
    </w:p>
    <w:p w:rsidR="007C7527" w:rsidRDefault="007C7527" w:rsidP="002E5FF0">
      <w:pPr>
        <w:spacing w:line="240" w:lineRule="auto"/>
        <w:ind w:firstLine="709"/>
        <w:jc w:val="both"/>
      </w:pPr>
      <w:r>
        <w:t xml:space="preserve">El primer análisis está referido al afianzamiento de la confianza social, a través de la generación de capital social, en tal sentido una confianza mediada por </w:t>
      </w:r>
      <w:r w:rsidR="005E17BF">
        <w:t>la subjetividad</w:t>
      </w:r>
      <w:r>
        <w:t xml:space="preserve"> de los individuos y sus conductas éticas; el segundo análisis refiere a la construcción de confianza de tipo político, es decir con un carácter racional que atiende a la representación efectiva </w:t>
      </w:r>
      <w:r w:rsidR="005E17BF">
        <w:t xml:space="preserve">de los </w:t>
      </w:r>
      <w:r>
        <w:t xml:space="preserve">intereses </w:t>
      </w:r>
      <w:r w:rsidR="005E17BF">
        <w:t>ciudadanos por parte del gobierno</w:t>
      </w:r>
      <w:r>
        <w:t>, y en el cual la rendición de cuentas es un aspecto fundamental para ejercer control.</w:t>
      </w:r>
    </w:p>
    <w:p w:rsidR="006D4510" w:rsidRDefault="007C7527" w:rsidP="002E5FF0">
      <w:pPr>
        <w:spacing w:line="240" w:lineRule="auto"/>
        <w:ind w:firstLine="709"/>
        <w:jc w:val="both"/>
      </w:pPr>
      <w:r>
        <w:t xml:space="preserve">Sin embargo, </w:t>
      </w:r>
      <w:r w:rsidR="00866435">
        <w:t>un</w:t>
      </w:r>
      <w:r w:rsidR="008B498A">
        <w:t xml:space="preserve"> tercer análisis</w:t>
      </w:r>
      <w:r w:rsidR="00C25524">
        <w:t>,</w:t>
      </w:r>
      <w:r w:rsidR="008B498A">
        <w:t xml:space="preserve"> supone que modelos como la confianza política restringen al ciudadano </w:t>
      </w:r>
      <w:r w:rsidR="006D4510">
        <w:t>para</w:t>
      </w:r>
      <w:r w:rsidR="008B498A">
        <w:t xml:space="preserve"> participar efectivamente en </w:t>
      </w:r>
      <w:r w:rsidR="006D4510">
        <w:t xml:space="preserve">los </w:t>
      </w:r>
      <w:r w:rsidR="008B498A">
        <w:t>asuntos públicos, ya que la simple apertura de información como mecanismo de rendición de cuentas, no garantiza el cumplimiento de los intereses ciudadanos</w:t>
      </w:r>
      <w:r w:rsidR="005E17BF">
        <w:t xml:space="preserve"> y los mantiene aún alejados del debate y de posturas propositivas</w:t>
      </w:r>
      <w:r w:rsidR="006D4510">
        <w:t>, haciéndose necesario avanzar por ello hacia una democracia deliberativa</w:t>
      </w:r>
      <w:r w:rsidR="005E17BF">
        <w:t xml:space="preserve">. </w:t>
      </w:r>
    </w:p>
    <w:p w:rsidR="00EE2F24" w:rsidRDefault="00EE2F24" w:rsidP="002E5FF0">
      <w:pPr>
        <w:spacing w:line="240" w:lineRule="auto"/>
        <w:ind w:firstLine="709"/>
        <w:jc w:val="both"/>
      </w:pPr>
      <w:r>
        <w:t xml:space="preserve">Como menciona </w:t>
      </w:r>
      <w:proofErr w:type="spellStart"/>
      <w:r>
        <w:t>O´Hara</w:t>
      </w:r>
      <w:proofErr w:type="spellEnd"/>
      <w:r>
        <w:t xml:space="preserve"> </w:t>
      </w:r>
      <w:sdt>
        <w:sdtPr>
          <w:id w:val="1278298901"/>
          <w:citation/>
        </w:sdtPr>
        <w:sdtContent>
          <w:r w:rsidR="00A736F3">
            <w:fldChar w:fldCharType="begin"/>
          </w:r>
          <w:r>
            <w:instrText xml:space="preserve">CITATION OHa09 \n  \t  \l 9226 </w:instrText>
          </w:r>
          <w:r w:rsidR="00A736F3">
            <w:fldChar w:fldCharType="separate"/>
          </w:r>
          <w:r>
            <w:rPr>
              <w:noProof/>
            </w:rPr>
            <w:t>(2009)</w:t>
          </w:r>
          <w:r w:rsidR="00A736F3">
            <w:fldChar w:fldCharType="end"/>
          </w:r>
        </w:sdtContent>
      </w:sdt>
      <w:r>
        <w:t xml:space="preserve"> el modelo de democracia deliberativa se sitúa en un escenario en el cual fortalecer la participación y el compromiso ciudadano resulta imprescindible</w:t>
      </w:r>
      <w:r w:rsidR="006D4510">
        <w:t xml:space="preserve"> </w:t>
      </w:r>
      <w:r w:rsidR="005E17BF">
        <w:t>para mejorar los niveles de confianza</w:t>
      </w:r>
      <w:r>
        <w:t xml:space="preserve">, y para ello el flujo de información de parte de los gobiernos deberá ser efectivo, esto en términos de disponibilidad, calidad y oportunidad. El flujo adecuado de información no solo </w:t>
      </w:r>
      <w:r>
        <w:lastRenderedPageBreak/>
        <w:t xml:space="preserve">estimulara la participación de la población, sino que además le permitirá darse a conocer mucho más, ya que como menciona Job </w:t>
      </w:r>
      <w:sdt>
        <w:sdtPr>
          <w:id w:val="-1059477276"/>
          <w:citation/>
        </w:sdtPr>
        <w:sdtContent>
          <w:r w:rsidR="00A736F3">
            <w:fldChar w:fldCharType="begin"/>
          </w:r>
          <w:r>
            <w:instrText xml:space="preserve">CITATION Job05 \n  \t  \l 9226 </w:instrText>
          </w:r>
          <w:r w:rsidR="00A736F3">
            <w:fldChar w:fldCharType="separate"/>
          </w:r>
          <w:r>
            <w:rPr>
              <w:noProof/>
            </w:rPr>
            <w:t>(2005)</w:t>
          </w:r>
          <w:r w:rsidR="00A736F3">
            <w:fldChar w:fldCharType="end"/>
          </w:r>
        </w:sdtContent>
      </w:sdt>
      <w:r>
        <w:t xml:space="preserve"> una persona difícilmente confía en lo que poco conoce.</w:t>
      </w:r>
    </w:p>
    <w:p w:rsidR="00520D81" w:rsidRPr="00512E15" w:rsidRDefault="005E17BF" w:rsidP="002E5FF0">
      <w:pPr>
        <w:spacing w:line="240" w:lineRule="auto"/>
        <w:ind w:firstLine="709"/>
        <w:jc w:val="both"/>
      </w:pPr>
      <w:r>
        <w:t>Lo anterior conduce a que u</w:t>
      </w:r>
      <w:r w:rsidR="00520D81">
        <w:t>n</w:t>
      </w:r>
      <w:r w:rsidR="00520D81" w:rsidRPr="00512E15">
        <w:t xml:space="preserve">a ciudadanía más activa, más </w:t>
      </w:r>
      <w:r w:rsidR="00551841">
        <w:t>informada</w:t>
      </w:r>
      <w:r w:rsidR="00520D81" w:rsidRPr="00512E15">
        <w:t xml:space="preserve"> y en perpetua conversación presenta una gran oportunidad para lo que denomina “Republicanismos cívico”</w:t>
      </w:r>
      <w:r w:rsidR="00551841">
        <w:t xml:space="preserve"> </w:t>
      </w:r>
      <w:sdt>
        <w:sdtPr>
          <w:id w:val="-891961467"/>
          <w:citation/>
        </w:sdtPr>
        <w:sdtContent>
          <w:r w:rsidR="00A736F3">
            <w:fldChar w:fldCharType="begin"/>
          </w:r>
          <w:r w:rsidR="00551841">
            <w:instrText xml:space="preserve"> CITATION Pra05 \l 9226 </w:instrText>
          </w:r>
          <w:r w:rsidR="00A736F3">
            <w:fldChar w:fldCharType="separate"/>
          </w:r>
          <w:r w:rsidR="00551841">
            <w:rPr>
              <w:noProof/>
            </w:rPr>
            <w:t>(Prats, 2005)</w:t>
          </w:r>
          <w:r w:rsidR="00A736F3">
            <w:fldChar w:fldCharType="end"/>
          </w:r>
        </w:sdtContent>
      </w:sdt>
      <w:r w:rsidR="00B27D11">
        <w:t xml:space="preserve">, allí se sientan las bases para aumentar la confianza en los gobiernos a partir </w:t>
      </w:r>
      <w:r w:rsidR="000951CC">
        <w:t>del buen uso de la información y de la deliberación;</w:t>
      </w:r>
      <w:r w:rsidR="00B27D11">
        <w:t xml:space="preserve"> de otro lado </w:t>
      </w:r>
      <w:r w:rsidR="00520D81" w:rsidRPr="00512E15">
        <w:t xml:space="preserve">los ciudadanos que no están involucrados en asuntos cívicos, y que demuestran una baja interacción individual, tienden a ver al gobierno como a sus instituciones en términos negativos, en especial por el bajo conocimiento que tienen de estos. </w:t>
      </w:r>
    </w:p>
    <w:p w:rsidR="00520D81" w:rsidRPr="00512E15" w:rsidRDefault="006A7264" w:rsidP="002E5FF0">
      <w:pPr>
        <w:spacing w:line="240" w:lineRule="auto"/>
        <w:ind w:firstLine="709"/>
        <w:jc w:val="both"/>
      </w:pPr>
      <w:r>
        <w:t>Así pues</w:t>
      </w:r>
      <w:r w:rsidR="000951CC">
        <w:t xml:space="preserve">, </w:t>
      </w:r>
      <w:r w:rsidR="00520D81" w:rsidRPr="00512E15">
        <w:t xml:space="preserve">se afirma que el aumento </w:t>
      </w:r>
      <w:r w:rsidR="00CD2B4E">
        <w:t>de la participación ciudadana,</w:t>
      </w:r>
      <w:r w:rsidR="00520D81" w:rsidRPr="00512E15">
        <w:t xml:space="preserve"> </w:t>
      </w:r>
      <w:r w:rsidR="00CD2B4E">
        <w:t xml:space="preserve">no solo a través de medios electorales, sino también a través de otras formas de intervención y/o asociación, </w:t>
      </w:r>
      <w:r w:rsidR="00520D81" w:rsidRPr="00512E15">
        <w:t xml:space="preserve">es generalmente aceptada como un signo de confianza política y </w:t>
      </w:r>
      <w:r w:rsidR="000951CC">
        <w:t>de fortalecimiento de la calidad en la democracia</w:t>
      </w:r>
      <w:r w:rsidR="00520D81" w:rsidRPr="00512E15">
        <w:t xml:space="preserve"> </w:t>
      </w:r>
      <w:sdt>
        <w:sdtPr>
          <w:id w:val="747075435"/>
          <w:citation/>
        </w:sdtPr>
        <w:sdtContent>
          <w:r w:rsidR="00A736F3" w:rsidRPr="00512E15">
            <w:fldChar w:fldCharType="begin"/>
          </w:r>
          <w:r w:rsidR="00520D81" w:rsidRPr="00512E15">
            <w:instrText xml:space="preserve"> CITATION Fin70 \l 9226 </w:instrText>
          </w:r>
          <w:r w:rsidR="00A736F3" w:rsidRPr="00512E15">
            <w:fldChar w:fldCharType="separate"/>
          </w:r>
          <w:r w:rsidR="00520D81">
            <w:rPr>
              <w:noProof/>
            </w:rPr>
            <w:t>(Finifter, 1970)</w:t>
          </w:r>
          <w:r w:rsidR="00A736F3" w:rsidRPr="00512E15">
            <w:fldChar w:fldCharType="end"/>
          </w:r>
        </w:sdtContent>
      </w:sdt>
      <w:r w:rsidR="000951CC">
        <w:t xml:space="preserve">, </w:t>
      </w:r>
      <w:r w:rsidR="00CD2B4E">
        <w:t>comportamiento</w:t>
      </w:r>
      <w:r w:rsidR="000951CC">
        <w:t xml:space="preserve"> que se incentivara con un mayor y mejor acceso a la información pública de las acciones de gobierno.</w:t>
      </w:r>
    </w:p>
    <w:p w:rsidR="0043157F" w:rsidRDefault="00411DEC" w:rsidP="002E5FF0">
      <w:pPr>
        <w:spacing w:line="240" w:lineRule="auto"/>
        <w:ind w:firstLine="709"/>
        <w:jc w:val="both"/>
      </w:pPr>
      <w:r>
        <w:t xml:space="preserve">Este razonamiento sustenta la estrategia de gobierno abierto en Colombia, por ello, </w:t>
      </w:r>
      <w:r w:rsidR="005E17BF">
        <w:t xml:space="preserve">los gobiernos locales, </w:t>
      </w:r>
      <w:r w:rsidR="001E174B">
        <w:t xml:space="preserve">han venido </w:t>
      </w:r>
      <w:r w:rsidR="005E17BF">
        <w:t>abri</w:t>
      </w:r>
      <w:r w:rsidR="001E174B">
        <w:t>endo</w:t>
      </w:r>
      <w:r w:rsidR="005E17BF">
        <w:t xml:space="preserve"> el gobierno a </w:t>
      </w:r>
      <w:r>
        <w:t>la</w:t>
      </w:r>
      <w:r w:rsidR="005E17BF">
        <w:t xml:space="preserve"> ciudadanía, </w:t>
      </w:r>
      <w:r w:rsidR="001E174B">
        <w:t>ofertando</w:t>
      </w:r>
      <w:r w:rsidR="005E17BF">
        <w:t xml:space="preserve"> toda la información necesaria para el control de las acciones públicas</w:t>
      </w:r>
      <w:r w:rsidR="001E174B">
        <w:t>, y facilitando</w:t>
      </w:r>
      <w:r w:rsidR="005E17BF">
        <w:t xml:space="preserve"> canales de interacción y mejoramiento de la comunicación con la </w:t>
      </w:r>
      <w:r w:rsidR="001E174B">
        <w:t xml:space="preserve">ciudadanía, en el entendido que </w:t>
      </w:r>
      <w:r w:rsidRPr="001E174B">
        <w:t xml:space="preserve">las decisiones sólo pueden ser legítimas si llegan como </w:t>
      </w:r>
      <w:r w:rsidR="001E174B" w:rsidRPr="001E174B">
        <w:t>consecuencia</w:t>
      </w:r>
      <w:r w:rsidRPr="001E174B">
        <w:t xml:space="preserve"> de una deliberación pública por parte de la </w:t>
      </w:r>
      <w:hyperlink r:id="rId8" w:tooltip="Ciudadano" w:history="1">
        <w:r w:rsidRPr="001E174B">
          <w:t>ciudadanía</w:t>
        </w:r>
      </w:hyperlink>
      <w:r w:rsidR="001E174B">
        <w:t>, hecho que no sólo genera confianza, sino también legitimidad.</w:t>
      </w:r>
    </w:p>
    <w:p w:rsidR="0043157F" w:rsidRDefault="0043157F" w:rsidP="00A16B3C">
      <w:pPr>
        <w:spacing w:line="240" w:lineRule="auto"/>
        <w:jc w:val="both"/>
      </w:pPr>
    </w:p>
    <w:p w:rsidR="00520D81" w:rsidRPr="001E174B" w:rsidRDefault="00520D81" w:rsidP="001E174B">
      <w:pPr>
        <w:pStyle w:val="Prrafodelista"/>
        <w:numPr>
          <w:ilvl w:val="1"/>
          <w:numId w:val="5"/>
        </w:numPr>
        <w:spacing w:line="240" w:lineRule="auto"/>
        <w:jc w:val="both"/>
        <w:rPr>
          <w:b/>
        </w:rPr>
      </w:pPr>
      <w:r w:rsidRPr="001E174B">
        <w:rPr>
          <w:b/>
        </w:rPr>
        <w:t>El gobierno abierto y la apertura de información como mecanismo de confianza en las administraciones públicas.</w:t>
      </w:r>
    </w:p>
    <w:p w:rsidR="001E0B98" w:rsidRDefault="001E0B98" w:rsidP="00520D81">
      <w:pPr>
        <w:spacing w:line="240" w:lineRule="auto"/>
        <w:jc w:val="both"/>
      </w:pPr>
    </w:p>
    <w:p w:rsidR="00520D81" w:rsidRDefault="00520D81" w:rsidP="00520D81">
      <w:pPr>
        <w:spacing w:line="240" w:lineRule="auto"/>
        <w:jc w:val="both"/>
      </w:pPr>
      <w:r w:rsidRPr="00010954">
        <w:t xml:space="preserve">Actualmente, son </w:t>
      </w:r>
      <w:r>
        <w:t>bastantes</w:t>
      </w:r>
      <w:r w:rsidRPr="00010954">
        <w:t xml:space="preserve"> los gobiernos</w:t>
      </w:r>
      <w:r w:rsidR="004871B3">
        <w:t xml:space="preserve"> tanto nacionales como locales, los</w:t>
      </w:r>
      <w:r w:rsidRPr="00010954">
        <w:t xml:space="preserve"> que viene</w:t>
      </w:r>
      <w:r>
        <w:t>n</w:t>
      </w:r>
      <w:r w:rsidRPr="00010954">
        <w:t xml:space="preserve"> impulsando </w:t>
      </w:r>
      <w:r>
        <w:t>estrategias ligadas al concepto de Gobierno Abierto en pro de la consecución de diversos objetivos. Este modelo originado a partir de los principios de transparencia, colaboración y participación se viene posicionando como un nuevo paradigma, que pretende remplazar los viejos modelos de buen gobierno, apalancado además en el uso intensivo de las te</w:t>
      </w:r>
      <w:r w:rsidR="008C6A33">
        <w:t>cnologías de la información TIC, como un nuevo medio deliberativo.</w:t>
      </w:r>
    </w:p>
    <w:p w:rsidR="00520D81" w:rsidRDefault="001E0B98" w:rsidP="002E5FF0">
      <w:pPr>
        <w:spacing w:line="240" w:lineRule="auto"/>
        <w:ind w:firstLine="709"/>
        <w:jc w:val="both"/>
      </w:pPr>
      <w:r>
        <w:t>Como señala Ramírez-A</w:t>
      </w:r>
      <w:r w:rsidR="00520D81">
        <w:t>lujas</w:t>
      </w:r>
      <w:r w:rsidR="006A7264">
        <w:t xml:space="preserve"> </w:t>
      </w:r>
      <w:sdt>
        <w:sdtPr>
          <w:id w:val="813608082"/>
          <w:citation/>
        </w:sdtPr>
        <w:sdtContent>
          <w:r w:rsidR="00A736F3">
            <w:fldChar w:fldCharType="begin"/>
          </w:r>
          <w:r w:rsidR="006A7264">
            <w:instrText xml:space="preserve">CITATION Ram10 \n  \t  \l 9226 </w:instrText>
          </w:r>
          <w:r w:rsidR="00A736F3">
            <w:fldChar w:fldCharType="separate"/>
          </w:r>
          <w:r w:rsidR="006A7264">
            <w:rPr>
              <w:noProof/>
            </w:rPr>
            <w:t>(2010)</w:t>
          </w:r>
          <w:r w:rsidR="00A736F3">
            <w:fldChar w:fldCharType="end"/>
          </w:r>
        </w:sdtContent>
      </w:sdt>
      <w:r w:rsidR="00520D81">
        <w:t xml:space="preserve">, cuando se habla de gobierno abierto se hace referencia a la expresión de ciertos principios que se manifiestan en: a) mejorar los niveles de transparencia y acceso a la información mediante la apertura de datos públicos (para ejercer control social y rendición de cuentas), y la reutilización de la información del sector público (para promover la innovación y el desarrollo económico); b) facilitar la participación de la ciudadanía en el diseño e implementación de las políticas públicas (e incidir en la toma de decisiones); y c) favorecer la generación de espacios de colaboración entre los diversos actores, particularmente entre las administraciones públicas, la sociedad civil y el sector privado, para </w:t>
      </w:r>
      <w:proofErr w:type="spellStart"/>
      <w:r w:rsidR="00520D81">
        <w:t>co</w:t>
      </w:r>
      <w:proofErr w:type="spellEnd"/>
      <w:r w:rsidR="00520D81">
        <w:t xml:space="preserve">-diseñar y/o </w:t>
      </w:r>
      <w:proofErr w:type="spellStart"/>
      <w:r w:rsidR="00520D81">
        <w:t>co</w:t>
      </w:r>
      <w:proofErr w:type="spellEnd"/>
      <w:r w:rsidR="00520D81">
        <w:t xml:space="preserve">-producir valor público </w:t>
      </w:r>
      <w:sdt>
        <w:sdtPr>
          <w:id w:val="-2029945109"/>
          <w:citation/>
        </w:sdtPr>
        <w:sdtContent>
          <w:r w:rsidR="00A736F3">
            <w:fldChar w:fldCharType="begin"/>
          </w:r>
          <w:r w:rsidR="00520D81">
            <w:instrText xml:space="preserve">CITATION Ram10 \l 9226 </w:instrText>
          </w:r>
          <w:r w:rsidR="00A736F3">
            <w:fldChar w:fldCharType="separate"/>
          </w:r>
          <w:r w:rsidR="00520D81">
            <w:rPr>
              <w:noProof/>
            </w:rPr>
            <w:t>(Ramírez-Alujas, 2010)</w:t>
          </w:r>
          <w:r w:rsidR="00A736F3">
            <w:fldChar w:fldCharType="end"/>
          </w:r>
        </w:sdtContent>
      </w:sdt>
      <w:r w:rsidR="00520D81">
        <w:t>.</w:t>
      </w:r>
    </w:p>
    <w:p w:rsidR="00520D81" w:rsidRDefault="00520D81" w:rsidP="002E5FF0">
      <w:pPr>
        <w:spacing w:line="240" w:lineRule="auto"/>
        <w:ind w:firstLine="709"/>
        <w:jc w:val="both"/>
      </w:pPr>
      <w:r>
        <w:t xml:space="preserve">Estos esfuerzos emprendidos desde los gobiernos se enmarcan en propósitos claros como el fortalecimiento del sistema democrático, incrementar los niveles de confianza de la ciudadanía hacia las instituciones democráticas, potenciar la participación política e incentivar el fortalecimiento del capital social, así como mejorar los niveles de eficiencia y efectividad de la acción pública. En específico </w:t>
      </w:r>
      <w:r w:rsidRPr="007B24A7">
        <w:rPr>
          <w:i/>
        </w:rPr>
        <w:t xml:space="preserve">“Un gobierno abierto es parte de una democracia efectiva. Los ciudadanos deben tener acceso adecuado a la </w:t>
      </w:r>
      <w:r w:rsidRPr="007B24A7">
        <w:rPr>
          <w:i/>
        </w:rPr>
        <w:lastRenderedPageBreak/>
        <w:t>información y el análisis en que se basan los asuntos de gobierno. Ministros y funcionarios públicos tienen el deber de explicar sus políticas, de</w:t>
      </w:r>
      <w:r w:rsidR="006A7264">
        <w:rPr>
          <w:i/>
        </w:rPr>
        <w:t>cisiones y acciones al público”</w:t>
      </w:r>
      <w:sdt>
        <w:sdtPr>
          <w:id w:val="-896892362"/>
          <w:citation/>
        </w:sdtPr>
        <w:sdtContent>
          <w:r w:rsidR="00A736F3">
            <w:fldChar w:fldCharType="begin"/>
          </w:r>
          <w:r>
            <w:instrText xml:space="preserve">CITATION Ram10 \l 9226 </w:instrText>
          </w:r>
          <w:r w:rsidR="00A736F3">
            <w:fldChar w:fldCharType="separate"/>
          </w:r>
          <w:r>
            <w:rPr>
              <w:noProof/>
            </w:rPr>
            <w:t>(Ramírez-Alujas, 2010)</w:t>
          </w:r>
          <w:r w:rsidR="00A736F3">
            <w:fldChar w:fldCharType="end"/>
          </w:r>
        </w:sdtContent>
      </w:sdt>
      <w:r>
        <w:t>.</w:t>
      </w:r>
    </w:p>
    <w:p w:rsidR="00520D81" w:rsidRDefault="00520D81" w:rsidP="002E5FF0">
      <w:pPr>
        <w:spacing w:line="240" w:lineRule="auto"/>
        <w:ind w:firstLine="709"/>
        <w:jc w:val="both"/>
      </w:pPr>
      <w:r>
        <w:t xml:space="preserve">Hacer frente a fenómenos como la corrupción, el descontento social materializado en </w:t>
      </w:r>
      <w:r w:rsidR="001E0B98">
        <w:t>pérdida</w:t>
      </w:r>
      <w:r>
        <w:t xml:space="preserve"> de legitimidad y frágil confianza hacia los gobiernos</w:t>
      </w:r>
      <w:r w:rsidR="004871B3">
        <w:t xml:space="preserve"> y el sistema democrático</w:t>
      </w:r>
      <w:r>
        <w:t>, han sido los argumentos que resaltan la valide</w:t>
      </w:r>
      <w:r w:rsidR="001E0B98">
        <w:t>z</w:t>
      </w:r>
      <w:r>
        <w:t xml:space="preserve"> del enfoque de gobierno abierto. Pues bien, desde el principio de transparencia el </w:t>
      </w:r>
      <w:r w:rsidR="004871B3">
        <w:t>gobierno abierto</w:t>
      </w:r>
      <w:r>
        <w:t xml:space="preserve"> viene incentivando que al interior de los gobiernos exista un constante flujo de información </w:t>
      </w:r>
      <w:r w:rsidR="001E0B98">
        <w:t>sobre el que</w:t>
      </w:r>
      <w:r>
        <w:t>hacer de las organizaciones públicas, pero garantizando la accesibilidad a la misma para la ciudadanía; esta apertura de información en pro de la transparencia, se convierte en el requisito habilitador de los principios de participación y colaboración.</w:t>
      </w:r>
    </w:p>
    <w:p w:rsidR="00520D81" w:rsidRPr="00512E15" w:rsidRDefault="00520D81" w:rsidP="002E5FF0">
      <w:pPr>
        <w:spacing w:line="240" w:lineRule="auto"/>
        <w:ind w:firstLine="709"/>
        <w:jc w:val="both"/>
      </w:pPr>
      <w:r w:rsidRPr="00512E15">
        <w:t xml:space="preserve">A partir de esta estrategia se potencializa no solo la interacción directa entre ciudadanos, sino también de cara a sus gobiernos; enfoques como el de </w:t>
      </w:r>
      <w:r>
        <w:t>gobierno abierto, y respaldado p</w:t>
      </w:r>
      <w:r w:rsidR="001E0B98">
        <w:t>or la bondades de la web 2.0 (</w:t>
      </w:r>
      <w:r w:rsidR="001E0B98" w:rsidRPr="001E0B98">
        <w:rPr>
          <w:i/>
        </w:rPr>
        <w:t>e-</w:t>
      </w:r>
      <w:proofErr w:type="spellStart"/>
      <w:r w:rsidRPr="001E0B98">
        <w:rPr>
          <w:i/>
        </w:rPr>
        <w:t>goverment</w:t>
      </w:r>
      <w:proofErr w:type="spellEnd"/>
      <w:r>
        <w:t>)</w:t>
      </w:r>
      <w:r w:rsidRPr="00512E15">
        <w:t xml:space="preserve"> permiten además crear modelos</w:t>
      </w:r>
      <w:r>
        <w:t xml:space="preserve"> innovadores</w:t>
      </w:r>
      <w:r w:rsidRPr="00512E15">
        <w:t xml:space="preserve"> de participación donde los ciudadanos puedan expresar sus opiniones de manera libre y abierta, así como estar en contacto directo con sus representantes políticos más fácilmente y exigirles responsabilidades por sus actos</w:t>
      </w:r>
      <w:sdt>
        <w:sdtPr>
          <w:id w:val="323486235"/>
          <w:citation/>
        </w:sdtPr>
        <w:sdtContent>
          <w:r w:rsidR="00A736F3" w:rsidRPr="00512E15">
            <w:fldChar w:fldCharType="begin"/>
          </w:r>
          <w:r>
            <w:instrText xml:space="preserve">CITATION Bli06 \l 9226 </w:instrText>
          </w:r>
          <w:r w:rsidR="00A736F3" w:rsidRPr="00512E15">
            <w:fldChar w:fldCharType="separate"/>
          </w:r>
          <w:r>
            <w:rPr>
              <w:noProof/>
            </w:rPr>
            <w:t xml:space="preserve"> (Blind, 2006)</w:t>
          </w:r>
          <w:r w:rsidR="00A736F3" w:rsidRPr="00512E15">
            <w:fldChar w:fldCharType="end"/>
          </w:r>
        </w:sdtContent>
      </w:sdt>
      <w:r w:rsidRPr="00512E15">
        <w:t>.</w:t>
      </w:r>
    </w:p>
    <w:p w:rsidR="00520D81" w:rsidRDefault="00520D81" w:rsidP="002E5FF0">
      <w:pPr>
        <w:spacing w:line="240" w:lineRule="auto"/>
        <w:ind w:firstLine="709"/>
        <w:jc w:val="both"/>
      </w:pPr>
      <w:r w:rsidRPr="00512E15">
        <w:t xml:space="preserve">En específico, el </w:t>
      </w:r>
      <w:r>
        <w:t>Gobierno abierto</w:t>
      </w:r>
      <w:r w:rsidRPr="00512E15">
        <w:t xml:space="preserve"> viene obligando a muchos líderes no solo políticos, sino también titulares de la burocracia a compartir constantemente información con sus ciudadanos, detallando mucho mejor sus actuaciones y decisiones, tarea que repercute positivamente no solo en los ejercicios de rendición de cuentas, sino ade</w:t>
      </w:r>
      <w:r w:rsidR="00AD0DB4">
        <w:t>más aumenta potencialmente la e</w:t>
      </w:r>
      <w:r w:rsidRPr="00512E15">
        <w:t>–Participación</w:t>
      </w:r>
      <w:r>
        <w:t xml:space="preserve"> (participación electrónica)</w:t>
      </w:r>
      <w:r w:rsidRPr="00512E15">
        <w:t xml:space="preserve">. Como afirma </w:t>
      </w:r>
      <w:proofErr w:type="spellStart"/>
      <w:r w:rsidRPr="00512E15">
        <w:t>Kalu</w:t>
      </w:r>
      <w:proofErr w:type="spellEnd"/>
      <w:r w:rsidRPr="00512E15">
        <w:t xml:space="preserve"> </w:t>
      </w:r>
      <w:sdt>
        <w:sdtPr>
          <w:id w:val="707688313"/>
          <w:citation/>
        </w:sdtPr>
        <w:sdtContent>
          <w:r w:rsidR="00A736F3" w:rsidRPr="00512E15">
            <w:fldChar w:fldCharType="begin"/>
          </w:r>
          <w:r w:rsidRPr="00512E15">
            <w:instrText xml:space="preserve">CITATION Kal06 \n  \t  \l 9226 </w:instrText>
          </w:r>
          <w:r w:rsidR="00A736F3" w:rsidRPr="00512E15">
            <w:fldChar w:fldCharType="separate"/>
          </w:r>
          <w:r>
            <w:rPr>
              <w:noProof/>
            </w:rPr>
            <w:t>(2006)</w:t>
          </w:r>
          <w:r w:rsidR="00A736F3" w:rsidRPr="00512E15">
            <w:fldChar w:fldCharType="end"/>
          </w:r>
        </w:sdtContent>
      </w:sdt>
      <w:r w:rsidRPr="00512E15">
        <w:t xml:space="preserve"> el gobierno </w:t>
      </w:r>
      <w:r>
        <w:t>abierto apoyado en las TIC</w:t>
      </w:r>
      <w:r w:rsidRPr="00512E15">
        <w:t xml:space="preserve">, por lo tanto, no sólo ayuda a disminuir la asimetría de información entre los gobernantes y los gobernados, sino que también aumenta la transparencia invitando una mayor participación ciudadana y la supervisión de </w:t>
      </w:r>
      <w:r>
        <w:t>esta en los asuntos de política, incrementando así el capital social y fortaleciendo los niveles de confianza hacia las instituciones.</w:t>
      </w:r>
    </w:p>
    <w:p w:rsidR="001E0B98" w:rsidRDefault="00520D81" w:rsidP="002E5FF0">
      <w:pPr>
        <w:spacing w:line="240" w:lineRule="auto"/>
        <w:ind w:firstLine="709"/>
        <w:jc w:val="both"/>
      </w:pPr>
      <w:r>
        <w:t xml:space="preserve">Colombia no ha sido ajeno a la adopción de los postulados del gobierno abierto y su intensificación a partir del uso de </w:t>
      </w:r>
      <w:r w:rsidR="001E0B98">
        <w:t xml:space="preserve">las </w:t>
      </w:r>
      <w:r>
        <w:t>estrategia a</w:t>
      </w:r>
      <w:r w:rsidR="001E0B98">
        <w:t xml:space="preserve">nteriormente propuestas en el </w:t>
      </w:r>
      <w:r w:rsidR="001E0B98" w:rsidRPr="001E0B98">
        <w:rPr>
          <w:i/>
        </w:rPr>
        <w:t>e-</w:t>
      </w:r>
      <w:proofErr w:type="spellStart"/>
      <w:r w:rsidRPr="001E0B98">
        <w:rPr>
          <w:i/>
        </w:rPr>
        <w:t>goverme</w:t>
      </w:r>
      <w:r w:rsidR="001E0B98">
        <w:rPr>
          <w:i/>
        </w:rPr>
        <w:t>nt</w:t>
      </w:r>
      <w:proofErr w:type="spellEnd"/>
      <w:r w:rsidR="001E0B98">
        <w:rPr>
          <w:i/>
        </w:rPr>
        <w:t>,</w:t>
      </w:r>
      <w:r w:rsidR="001E0B98">
        <w:t xml:space="preserve"> c</w:t>
      </w:r>
      <w:r>
        <w:t>onscientes de la creciente necesidad de abrir el gobierno</w:t>
      </w:r>
      <w:r w:rsidR="001E0B98">
        <w:t>,</w:t>
      </w:r>
      <w:r>
        <w:t xml:space="preserve"> </w:t>
      </w:r>
      <w:r w:rsidR="001E0B98">
        <w:t xml:space="preserve">en todos sus niveles, </w:t>
      </w:r>
      <w:r>
        <w:t>a la ciudadanía, para que a partir del conocimiento de la misma se incentive la participación, el escrutinio y la confianza en la acción pública</w:t>
      </w:r>
      <w:r w:rsidR="001E0B98">
        <w:t>.</w:t>
      </w:r>
      <w:r w:rsidR="00250DAD">
        <w:t xml:space="preserve"> </w:t>
      </w:r>
      <w:r w:rsidR="0018584F">
        <w:t xml:space="preserve">En especial, ha logrado trascender de las necesidades de tipo tecnológico para acercar al gobierno con la ciudadanía, a modelar una estrategia orientada </w:t>
      </w:r>
      <w:r w:rsidR="00675EB8">
        <w:t>a incentivar la participación ciudadana, y el control social a través de mecanismos alternos a los tradicionales.</w:t>
      </w:r>
    </w:p>
    <w:p w:rsidR="001E0B98" w:rsidRDefault="001E0B98" w:rsidP="00520D81">
      <w:pPr>
        <w:spacing w:line="240" w:lineRule="auto"/>
        <w:jc w:val="both"/>
      </w:pPr>
    </w:p>
    <w:p w:rsidR="00520D81" w:rsidRPr="00B97A14" w:rsidRDefault="00520D81" w:rsidP="001E174B">
      <w:pPr>
        <w:pStyle w:val="Prrafodelista"/>
        <w:numPr>
          <w:ilvl w:val="0"/>
          <w:numId w:val="5"/>
        </w:numPr>
        <w:tabs>
          <w:tab w:val="left" w:pos="4169"/>
        </w:tabs>
        <w:spacing w:line="240" w:lineRule="auto"/>
        <w:jc w:val="both"/>
        <w:rPr>
          <w:rFonts w:cs="Arial"/>
          <w:b/>
        </w:rPr>
      </w:pPr>
      <w:r w:rsidRPr="00B97A14">
        <w:rPr>
          <w:rFonts w:cs="Arial"/>
          <w:b/>
        </w:rPr>
        <w:t>METODOLOGÍA.</w:t>
      </w:r>
    </w:p>
    <w:p w:rsidR="00520D81" w:rsidRDefault="00520D81" w:rsidP="00520D81">
      <w:pPr>
        <w:tabs>
          <w:tab w:val="left" w:pos="4169"/>
        </w:tabs>
        <w:spacing w:line="240" w:lineRule="auto"/>
        <w:jc w:val="both"/>
        <w:rPr>
          <w:rFonts w:cs="Arial"/>
        </w:rPr>
      </w:pPr>
    </w:p>
    <w:p w:rsidR="00520D81" w:rsidRDefault="00520D81" w:rsidP="00520D81">
      <w:pPr>
        <w:tabs>
          <w:tab w:val="left" w:pos="4169"/>
        </w:tabs>
        <w:spacing w:line="240" w:lineRule="auto"/>
        <w:jc w:val="both"/>
        <w:rPr>
          <w:rFonts w:cs="Arial"/>
        </w:rPr>
      </w:pPr>
      <w:r>
        <w:rPr>
          <w:rFonts w:cs="Arial"/>
        </w:rPr>
        <w:t xml:space="preserve">El presente estudio tiene por objetivo analizar </w:t>
      </w:r>
      <w:r w:rsidR="002E5FF0">
        <w:rPr>
          <w:rFonts w:cs="Arial"/>
        </w:rPr>
        <w:t xml:space="preserve">cuál ha sido el impacto de la </w:t>
      </w:r>
      <w:r>
        <w:rPr>
          <w:rFonts w:cs="Arial"/>
        </w:rPr>
        <w:t>apertura de información, como estrategia del gobierno abierto</w:t>
      </w:r>
      <w:r w:rsidR="002E5FF0">
        <w:rPr>
          <w:rFonts w:cs="Arial"/>
        </w:rPr>
        <w:t>,</w:t>
      </w:r>
      <w:r>
        <w:rPr>
          <w:rFonts w:cs="Arial"/>
        </w:rPr>
        <w:t xml:space="preserve"> para fortalecer la confianza ciudadana, </w:t>
      </w:r>
      <w:r w:rsidR="002E5FF0">
        <w:rPr>
          <w:rFonts w:cs="Arial"/>
        </w:rPr>
        <w:t xml:space="preserve">en el gobierno y en la democracia local, surgiendo las </w:t>
      </w:r>
      <w:r>
        <w:rPr>
          <w:rFonts w:cs="Arial"/>
        </w:rPr>
        <w:t>siguientes preguntas orientadoras:</w:t>
      </w:r>
    </w:p>
    <w:p w:rsidR="00705F9B" w:rsidRDefault="00705F9B" w:rsidP="00705F9B">
      <w:pPr>
        <w:pStyle w:val="Prrafodelista"/>
        <w:numPr>
          <w:ilvl w:val="0"/>
          <w:numId w:val="4"/>
        </w:numPr>
        <w:spacing w:after="0" w:line="240" w:lineRule="auto"/>
        <w:jc w:val="both"/>
        <w:rPr>
          <w:rFonts w:cs="Arial"/>
        </w:rPr>
      </w:pPr>
      <w:r w:rsidRPr="001E3CE2">
        <w:rPr>
          <w:rFonts w:cs="Arial"/>
        </w:rPr>
        <w:t>¿Cuál</w:t>
      </w:r>
      <w:r w:rsidR="009E0D15" w:rsidRPr="001E3CE2">
        <w:rPr>
          <w:rFonts w:cs="Arial"/>
        </w:rPr>
        <w:t xml:space="preserve"> </w:t>
      </w:r>
      <w:r w:rsidRPr="001E3CE2">
        <w:rPr>
          <w:rFonts w:cs="Arial"/>
        </w:rPr>
        <w:t xml:space="preserve">es </w:t>
      </w:r>
      <w:r w:rsidR="009E0D15" w:rsidRPr="001E3CE2">
        <w:rPr>
          <w:rFonts w:cs="Arial"/>
        </w:rPr>
        <w:t>el propósito y cuáles l</w:t>
      </w:r>
      <w:r w:rsidRPr="001E3CE2">
        <w:rPr>
          <w:rFonts w:cs="Arial"/>
        </w:rPr>
        <w:t>as características de</w:t>
      </w:r>
      <w:r w:rsidR="009E0D15" w:rsidRPr="001E3CE2">
        <w:rPr>
          <w:rFonts w:cs="Arial"/>
        </w:rPr>
        <w:t xml:space="preserve"> </w:t>
      </w:r>
      <w:r w:rsidRPr="001E3CE2">
        <w:rPr>
          <w:rFonts w:cs="Arial"/>
        </w:rPr>
        <w:t>l</w:t>
      </w:r>
      <w:r w:rsidR="009E0D15" w:rsidRPr="001E3CE2">
        <w:rPr>
          <w:rFonts w:cs="Arial"/>
        </w:rPr>
        <w:t>a</w:t>
      </w:r>
      <w:r w:rsidRPr="001E3CE2">
        <w:rPr>
          <w:rFonts w:cs="Arial"/>
        </w:rPr>
        <w:t xml:space="preserve"> </w:t>
      </w:r>
      <w:r w:rsidR="009E0D15" w:rsidRPr="001E3CE2">
        <w:rPr>
          <w:rFonts w:cs="Arial"/>
        </w:rPr>
        <w:t xml:space="preserve">estrategia de gobierno abierto </w:t>
      </w:r>
      <w:r w:rsidRPr="001E3CE2">
        <w:rPr>
          <w:rFonts w:cs="Arial"/>
        </w:rPr>
        <w:t xml:space="preserve">en Colombia </w:t>
      </w:r>
      <w:r w:rsidR="009E0D15" w:rsidRPr="001E3CE2">
        <w:rPr>
          <w:rFonts w:cs="Arial"/>
        </w:rPr>
        <w:t xml:space="preserve">a nivel municipal? </w:t>
      </w:r>
    </w:p>
    <w:p w:rsidR="001E3CE2" w:rsidRPr="001E3CE2" w:rsidRDefault="001E3CE2" w:rsidP="001E3CE2">
      <w:pPr>
        <w:pStyle w:val="Prrafodelista"/>
        <w:spacing w:after="0" w:line="240" w:lineRule="auto"/>
        <w:jc w:val="both"/>
        <w:rPr>
          <w:rFonts w:cs="Arial"/>
        </w:rPr>
      </w:pPr>
    </w:p>
    <w:p w:rsidR="00705F9B" w:rsidRDefault="00705F9B" w:rsidP="009E0D15">
      <w:pPr>
        <w:pStyle w:val="Prrafodelista"/>
        <w:numPr>
          <w:ilvl w:val="0"/>
          <w:numId w:val="4"/>
        </w:numPr>
        <w:spacing w:after="0" w:line="240" w:lineRule="auto"/>
        <w:jc w:val="both"/>
        <w:rPr>
          <w:rFonts w:cs="Arial"/>
        </w:rPr>
      </w:pPr>
      <w:r w:rsidRPr="00705F9B">
        <w:rPr>
          <w:rFonts w:cs="Arial"/>
        </w:rPr>
        <w:t>¿</w:t>
      </w:r>
      <w:r w:rsidR="009E0D15">
        <w:rPr>
          <w:rFonts w:cs="Arial"/>
        </w:rPr>
        <w:t xml:space="preserve">La apertura de información en las administraciones municipales del </w:t>
      </w:r>
      <w:r w:rsidR="002E5FF0">
        <w:rPr>
          <w:rFonts w:cs="Arial"/>
        </w:rPr>
        <w:t>D</w:t>
      </w:r>
      <w:r w:rsidRPr="00705F9B">
        <w:rPr>
          <w:rFonts w:cs="Arial"/>
        </w:rPr>
        <w:t xml:space="preserve">epartamento de Cundinamarca </w:t>
      </w:r>
      <w:r w:rsidR="009E0D15">
        <w:rPr>
          <w:rFonts w:cs="Arial"/>
        </w:rPr>
        <w:t xml:space="preserve">ha incrementado la participación ciudadana a través de la interacción electrónica? </w:t>
      </w:r>
    </w:p>
    <w:p w:rsidR="00CC7AE7" w:rsidRPr="00CC7AE7" w:rsidRDefault="00CC7AE7" w:rsidP="00CC7AE7">
      <w:pPr>
        <w:spacing w:after="0" w:line="240" w:lineRule="auto"/>
        <w:jc w:val="both"/>
        <w:rPr>
          <w:rFonts w:cs="Arial"/>
        </w:rPr>
      </w:pPr>
    </w:p>
    <w:p w:rsidR="009E0D15" w:rsidRDefault="00CC7AE7" w:rsidP="002E5FF0">
      <w:pPr>
        <w:pStyle w:val="Prrafodelista"/>
        <w:numPr>
          <w:ilvl w:val="0"/>
          <w:numId w:val="4"/>
        </w:numPr>
        <w:spacing w:after="0" w:line="240" w:lineRule="auto"/>
        <w:jc w:val="both"/>
        <w:rPr>
          <w:rFonts w:cs="Arial"/>
        </w:rPr>
      </w:pPr>
      <w:r>
        <w:rPr>
          <w:rFonts w:cs="Arial"/>
        </w:rPr>
        <w:lastRenderedPageBreak/>
        <w:t>¿</w:t>
      </w:r>
      <w:r w:rsidR="009E0D15">
        <w:rPr>
          <w:rFonts w:cs="Arial"/>
        </w:rPr>
        <w:t xml:space="preserve">Las administraciones que han logrado una mayor apertura de información y </w:t>
      </w:r>
      <w:r w:rsidR="004D6543">
        <w:rPr>
          <w:rFonts w:cs="Arial"/>
        </w:rPr>
        <w:t>unos mayores niveles de participación electrónica, son administraciones de mayor calidad democrática?</w:t>
      </w:r>
    </w:p>
    <w:p w:rsidR="00520D81" w:rsidRDefault="00520D81" w:rsidP="00520D81">
      <w:pPr>
        <w:tabs>
          <w:tab w:val="left" w:pos="4169"/>
        </w:tabs>
        <w:spacing w:line="240" w:lineRule="auto"/>
        <w:jc w:val="both"/>
      </w:pPr>
      <w:r>
        <w:rPr>
          <w:rFonts w:cs="Arial"/>
        </w:rPr>
        <w:t xml:space="preserve">Durante los años 2013–2014 se </w:t>
      </w:r>
      <w:r w:rsidR="009C0C2F">
        <w:rPr>
          <w:rFonts w:cs="Arial"/>
        </w:rPr>
        <w:t xml:space="preserve">desarrolló </w:t>
      </w:r>
      <w:r>
        <w:rPr>
          <w:rFonts w:cs="Arial"/>
        </w:rPr>
        <w:t xml:space="preserve">un trabajo investigativo en las </w:t>
      </w:r>
      <w:r w:rsidR="009C0C2F">
        <w:rPr>
          <w:rFonts w:cs="Arial"/>
        </w:rPr>
        <w:t xml:space="preserve">116 </w:t>
      </w:r>
      <w:r>
        <w:rPr>
          <w:rFonts w:cs="Arial"/>
        </w:rPr>
        <w:t xml:space="preserve">entidades territoriales que conforman el departamento de Cundinamarca, periodo dentro del cual a partir de los componentes que integra la </w:t>
      </w:r>
      <w:r w:rsidR="00D20804">
        <w:rPr>
          <w:rFonts w:cs="Arial"/>
        </w:rPr>
        <w:t xml:space="preserve">estrategia de gobierno abierto </w:t>
      </w:r>
      <w:r>
        <w:rPr>
          <w:rFonts w:cs="Arial"/>
        </w:rPr>
        <w:t xml:space="preserve">, se ha consolidado un instrumento de seguimiento con los resultados obtenidos para cada entidad territorial </w:t>
      </w:r>
      <w:r>
        <w:t xml:space="preserve">en los componentes mencionados en la política de </w:t>
      </w:r>
      <w:r w:rsidR="00D20804">
        <w:t>gobierno abierto</w:t>
      </w:r>
      <w:r>
        <w:t xml:space="preserve"> (transversal, información, interacción, transacción, transformación y democracia) como resultado de la ejecución de las 97 actividades.</w:t>
      </w:r>
    </w:p>
    <w:p w:rsidR="00520D81" w:rsidRPr="002E5FF0" w:rsidRDefault="00520D81" w:rsidP="002E5FF0">
      <w:pPr>
        <w:ind w:firstLine="709"/>
        <w:jc w:val="both"/>
      </w:pPr>
      <w:r w:rsidRPr="002E5FF0">
        <w:t>Las 11</w:t>
      </w:r>
      <w:r w:rsidR="00250DAD">
        <w:t>6</w:t>
      </w:r>
      <w:r w:rsidRPr="002E5FF0">
        <w:t xml:space="preserve"> entidades territoriales como parte de cumplimiento que deben hacer en el componente de información, están obligadas a disponer de una serie de información mínima publicada a través de su portal web según lo dispuesto por el anexo 2 de decreto 2369 </w:t>
      </w:r>
      <w:sdt>
        <w:sdtPr>
          <w:id w:val="-1987469352"/>
          <w:citation/>
        </w:sdtPr>
        <w:sdtContent>
          <w:r w:rsidR="00A736F3" w:rsidRPr="002E5FF0">
            <w:fldChar w:fldCharType="begin"/>
          </w:r>
          <w:r w:rsidRPr="002E5FF0">
            <w:instrText xml:space="preserve">CITATION Dec12 \n  \t  \l 9226 </w:instrText>
          </w:r>
          <w:r w:rsidR="00A736F3" w:rsidRPr="002E5FF0">
            <w:fldChar w:fldCharType="separate"/>
          </w:r>
          <w:r w:rsidRPr="002E5FF0">
            <w:t>(2012)</w:t>
          </w:r>
          <w:r w:rsidR="00A736F3" w:rsidRPr="002E5FF0">
            <w:fldChar w:fldCharType="end"/>
          </w:r>
        </w:sdtContent>
      </w:sdt>
      <w:r w:rsidRPr="002E5FF0">
        <w:t>. Como fruto del acompañamiento investigativo a las 11</w:t>
      </w:r>
      <w:r w:rsidR="00250DAD">
        <w:t>6</w:t>
      </w:r>
      <w:r w:rsidRPr="002E5FF0">
        <w:t xml:space="preserve"> entidades territoriales y la revisión de cada una de las páginas web municipales se logró consolidar cifras en cuanto al índice de publicación de información que tienen en la actualidad.</w:t>
      </w:r>
    </w:p>
    <w:p w:rsidR="00520D81" w:rsidRDefault="00520D81" w:rsidP="002E5FF0">
      <w:pPr>
        <w:ind w:firstLine="709"/>
        <w:jc w:val="both"/>
      </w:pPr>
      <w:r w:rsidRPr="002E5FF0">
        <w:t xml:space="preserve">A partir de los resultados obtenidos, se diseñó el </w:t>
      </w:r>
      <w:r w:rsidR="004D6543" w:rsidRPr="002E5FF0">
        <w:t>Índice de Apertura de I</w:t>
      </w:r>
      <w:r w:rsidRPr="002E5FF0">
        <w:t>nformación</w:t>
      </w:r>
      <w:r w:rsidR="004D6543" w:rsidRPr="002E5FF0">
        <w:t xml:space="preserve"> Municipal –IAIM-</w:t>
      </w:r>
      <w:r w:rsidR="00990780">
        <w:t xml:space="preserve"> (anexo 1</w:t>
      </w:r>
      <w:r w:rsidRPr="002E5FF0">
        <w:t xml:space="preserve">), estimación que tiene como fundamento el decreto 2693 de 2012 y el manual 3.1 que reglamentan la implementación </w:t>
      </w:r>
      <w:r w:rsidR="00D20804">
        <w:t>la</w:t>
      </w:r>
      <w:r w:rsidRPr="002E5FF0">
        <w:t xml:space="preserve"> estrategia</w:t>
      </w:r>
      <w:r w:rsidR="00D20804">
        <w:t xml:space="preserve"> de gobierno abierto</w:t>
      </w:r>
      <w:r w:rsidRPr="002E5FF0">
        <w:t xml:space="preserve"> en Colombia. En específico, el IAIM busca medir el nivel de publicación de información de las entidades territoriales del departamento de Cundinamarca desde 9 categorías para abrir información de manera obligatoria por parte de las entidades territoriales, a saber, información general de la entidad (IG), datos básicos de contacto (DB), atención al ciudadano (AC), Normatividad, políticas y lineamientos (NP), información financiera y contable (IF), planeación y gestión (PG), control fiscal (CF), trámites y servicios </w:t>
      </w:r>
      <w:r w:rsidR="00423BCB" w:rsidRPr="002E5FF0">
        <w:t>(TS), y recursos humanos (RRHH).</w:t>
      </w:r>
    </w:p>
    <w:p w:rsidR="00CC7AE7" w:rsidRPr="002E5FF0" w:rsidRDefault="00CE03E7" w:rsidP="00CC7AE7">
      <w:pPr>
        <w:ind w:firstLine="709"/>
        <w:jc w:val="both"/>
      </w:pPr>
      <w:r>
        <w:t>El IAIM se calculó teniendo en cuenta el 100% del proceso de apertura de información, que deberá ser completado para las entidades de 1ra, 2da y 3ra categoría para el año 2016 y 4ta, 5ta y 6ta categoría para el año 2017</w:t>
      </w:r>
      <w:r w:rsidR="00CC7AE7">
        <w:t>. En tal sentido el proceso de apertura de información actualmente deberá ir en un avance específico del 55% para todos los gobiernos locales del país.</w:t>
      </w:r>
    </w:p>
    <w:p w:rsidR="00520D81" w:rsidRDefault="00705F9B" w:rsidP="002E5FF0">
      <w:pPr>
        <w:ind w:firstLine="709"/>
        <w:jc w:val="both"/>
      </w:pPr>
      <w:r w:rsidRPr="002E5FF0">
        <w:t>El anterior índice fue complementado además con un análisis a los resultados de interacción efectiva a través de canales electrónicos como foros y encuestas entre los gobiernos locales del departamento de Cundinamarca y su población,</w:t>
      </w:r>
      <w:r w:rsidR="00060373">
        <w:t xml:space="preserve"> lo cual permitió la construcción de Índice de Participación Electrónica Municipal – IPEM,</w:t>
      </w:r>
      <w:r w:rsidRPr="002E5FF0">
        <w:t xml:space="preserve"> para ello fue necesario representar el número de interacciones reales por cada 1000 habitantes</w:t>
      </w:r>
      <w:r w:rsidR="00EE6678">
        <w:rPr>
          <w:rStyle w:val="Refdenotaalpie"/>
        </w:rPr>
        <w:footnoteReference w:id="6"/>
      </w:r>
      <w:r w:rsidRPr="002E5FF0">
        <w:t xml:space="preserve"> facilitando el análisis comparado entre municipios.</w:t>
      </w:r>
      <w:r w:rsidR="00532606" w:rsidRPr="002E5FF0">
        <w:t xml:space="preserve"> Estas interacciones responden a los últimos ejercicios de consulta a través de medios electrónicos</w:t>
      </w:r>
      <w:r w:rsidR="003B09C0">
        <w:t xml:space="preserve"> (foros y encuestas)</w:t>
      </w:r>
      <w:r w:rsidR="00532606" w:rsidRPr="002E5FF0">
        <w:t xml:space="preserve"> que dispusieron los gobiernos locales con el ánimo de generar procesos de innovación abierta</w:t>
      </w:r>
      <w:r w:rsidR="001375C5">
        <w:t>.</w:t>
      </w:r>
    </w:p>
    <w:p w:rsidR="00060373" w:rsidRDefault="00060373" w:rsidP="002E5FF0">
      <w:pPr>
        <w:ind w:firstLine="709"/>
        <w:jc w:val="both"/>
      </w:pPr>
      <w:r>
        <w:t>En tal sentido el IPEM está calculado por:</w:t>
      </w:r>
    </w:p>
    <w:p w:rsidR="00060373" w:rsidRPr="002E5FF0" w:rsidRDefault="00060373" w:rsidP="002E5FF0">
      <w:pPr>
        <w:ind w:firstLine="709"/>
        <w:jc w:val="both"/>
      </w:pPr>
      <w:r>
        <w:t>IPEM = (Interacciones electrónicas/ Total población) *1.000 Habitantes</w:t>
      </w:r>
    </w:p>
    <w:p w:rsidR="001E3CE2" w:rsidRPr="002E5FF0" w:rsidRDefault="004D6543" w:rsidP="002E5FF0">
      <w:pPr>
        <w:ind w:firstLine="709"/>
        <w:jc w:val="both"/>
      </w:pPr>
      <w:r w:rsidRPr="002E5FF0">
        <w:t xml:space="preserve">Finalmente, para analizar la incidencia de la apertura de la información y la participación electrónica en la calidad de la democracia local, se acude al Índice de Calidad Democrática Municipal –ICDM- </w:t>
      </w:r>
      <w:sdt>
        <w:sdtPr>
          <w:id w:val="45376842"/>
          <w:citation/>
        </w:sdtPr>
        <w:sdtContent>
          <w:r w:rsidR="00A736F3">
            <w:fldChar w:fldCharType="begin"/>
          </w:r>
          <w:r w:rsidR="0098633D">
            <w:instrText xml:space="preserve"> CITATION Mar14 \l 9226 </w:instrText>
          </w:r>
          <w:r w:rsidR="00A736F3">
            <w:fldChar w:fldCharType="separate"/>
          </w:r>
          <w:r w:rsidR="002E5FF0">
            <w:rPr>
              <w:noProof/>
            </w:rPr>
            <w:t>(Martínez, Ramírez, &amp; Pico, 2014)</w:t>
          </w:r>
          <w:r w:rsidR="00A736F3">
            <w:rPr>
              <w:noProof/>
            </w:rPr>
            <w:fldChar w:fldCharType="end"/>
          </w:r>
        </w:sdtContent>
      </w:sdt>
      <w:r w:rsidR="005D6B73">
        <w:t xml:space="preserve">. </w:t>
      </w:r>
      <w:r w:rsidR="001E3CE2" w:rsidRPr="002E5FF0">
        <w:t xml:space="preserve">El concepto y la </w:t>
      </w:r>
      <w:proofErr w:type="spellStart"/>
      <w:r w:rsidR="001E3CE2" w:rsidRPr="002E5FF0">
        <w:t>operacionalización</w:t>
      </w:r>
      <w:proofErr w:type="spellEnd"/>
      <w:r w:rsidR="001E3CE2" w:rsidRPr="002E5FF0">
        <w:t xml:space="preserve"> que sobre democracia </w:t>
      </w:r>
      <w:r w:rsidR="001E3CE2" w:rsidRPr="002E5FF0">
        <w:lastRenderedPageBreak/>
        <w:t xml:space="preserve">orienta este índice, tiene como fundamento las dimensiones analíticas propuestas por </w:t>
      </w:r>
      <w:proofErr w:type="spellStart"/>
      <w:r w:rsidR="001E3CE2" w:rsidRPr="002E5FF0">
        <w:t>Levine</w:t>
      </w:r>
      <w:proofErr w:type="spellEnd"/>
      <w:r w:rsidR="001E3CE2" w:rsidRPr="002E5FF0">
        <w:t xml:space="preserve"> &amp; Molina </w:t>
      </w:r>
      <w:sdt>
        <w:sdtPr>
          <w:id w:val="2058423"/>
          <w:citation/>
        </w:sdtPr>
        <w:sdtContent>
          <w:r w:rsidR="00A736F3">
            <w:fldChar w:fldCharType="begin"/>
          </w:r>
          <w:r w:rsidR="0098633D">
            <w:instrText xml:space="preserve"> CITATION Lev071 \n  \t  \l 9226  </w:instrText>
          </w:r>
          <w:r w:rsidR="00A736F3">
            <w:fldChar w:fldCharType="separate"/>
          </w:r>
          <w:r w:rsidR="001E3CE2" w:rsidRPr="002E5FF0">
            <w:t>(2007)</w:t>
          </w:r>
          <w:r w:rsidR="00A736F3">
            <w:fldChar w:fldCharType="end"/>
          </w:r>
        </w:sdtContent>
      </w:sdt>
      <w:r w:rsidR="001E3CE2" w:rsidRPr="002E5FF0">
        <w:t xml:space="preserve">, a partir de la concepción procesal de </w:t>
      </w:r>
      <w:proofErr w:type="spellStart"/>
      <w:r w:rsidR="001E3CE2" w:rsidRPr="002E5FF0">
        <w:t>Dahl</w:t>
      </w:r>
      <w:proofErr w:type="spellEnd"/>
      <w:r w:rsidR="001E3CE2" w:rsidRPr="002E5FF0">
        <w:t xml:space="preserve"> </w:t>
      </w:r>
      <w:sdt>
        <w:sdtPr>
          <w:id w:val="12619808"/>
          <w:citation/>
        </w:sdtPr>
        <w:sdtContent>
          <w:r w:rsidR="00A736F3">
            <w:fldChar w:fldCharType="begin"/>
          </w:r>
          <w:r w:rsidR="0098633D">
            <w:instrText xml:space="preserve"> CITATION Dah99 \n  \t  \l 9226  </w:instrText>
          </w:r>
          <w:r w:rsidR="00A736F3">
            <w:fldChar w:fldCharType="separate"/>
          </w:r>
          <w:r w:rsidR="001E3CE2" w:rsidRPr="002E5FF0">
            <w:t>(1999)</w:t>
          </w:r>
          <w:r w:rsidR="00A736F3">
            <w:fldChar w:fldCharType="end"/>
          </w:r>
        </w:sdtContent>
      </w:sdt>
      <w:r w:rsidR="001E3CE2" w:rsidRPr="002E5FF0">
        <w:t xml:space="preserve">, que busca superar la sola formación del gobierno y se propone ser inclusiva, al aludir explícitamente a los actos de participación y control por parte de los ciudadanos. </w:t>
      </w:r>
    </w:p>
    <w:p w:rsidR="001E3CE2" w:rsidRPr="002E5FF0" w:rsidRDefault="001E3CE2" w:rsidP="002E5FF0">
      <w:pPr>
        <w:ind w:firstLine="709"/>
        <w:jc w:val="both"/>
      </w:pPr>
      <w:r w:rsidRPr="002E5FF0">
        <w:t>Así entonces la calidad de la democracia municipal (ICDM) está en función de la Decisión Electoral (D), la participación (P), la rendición de cuentas (A), la respuesta a la voluntad popular (R) y la soberanía (S) observable en cada uno de los municipios colombianos.</w:t>
      </w:r>
    </w:p>
    <w:p w:rsidR="001E3CE2" w:rsidRPr="001E3CE2" w:rsidRDefault="005D6B73" w:rsidP="001E3CE2">
      <w:pPr>
        <w:spacing w:after="0"/>
        <w:ind w:firstLine="709"/>
        <w:rPr>
          <w:rFonts w:cs="Arial"/>
        </w:rPr>
      </w:pPr>
      <w:proofErr w:type="spellStart"/>
      <w:r>
        <w:rPr>
          <w:rFonts w:cs="Arial"/>
        </w:rPr>
        <w:t>I</w:t>
      </w:r>
      <w:r w:rsidR="001E3CE2" w:rsidRPr="001E3CE2">
        <w:rPr>
          <w:rFonts w:cs="Arial"/>
        </w:rPr>
        <w:t>CDM</w:t>
      </w:r>
      <w:r w:rsidR="001E3CE2" w:rsidRPr="005D6B73">
        <w:rPr>
          <w:rFonts w:cs="Arial"/>
          <w:i/>
          <w:vertAlign w:val="subscript"/>
        </w:rPr>
        <w:t>i</w:t>
      </w:r>
      <w:proofErr w:type="spellEnd"/>
      <w:r w:rsidR="001E3CE2" w:rsidRPr="005D6B73">
        <w:rPr>
          <w:rFonts w:cs="Arial"/>
          <w:i/>
          <w:vertAlign w:val="subscript"/>
        </w:rPr>
        <w:t xml:space="preserve"> </w:t>
      </w:r>
      <w:r w:rsidR="001E3CE2" w:rsidRPr="001E3CE2">
        <w:rPr>
          <w:rFonts w:cs="Arial"/>
        </w:rPr>
        <w:t>= ƒ (D</w:t>
      </w:r>
      <w:r w:rsidR="001E3CE2" w:rsidRPr="005D6B73">
        <w:rPr>
          <w:rFonts w:cs="Arial"/>
          <w:i/>
          <w:vertAlign w:val="subscript"/>
        </w:rPr>
        <w:t>i</w:t>
      </w:r>
      <w:r w:rsidR="001E3CE2" w:rsidRPr="001E3CE2">
        <w:rPr>
          <w:rFonts w:cs="Arial"/>
        </w:rPr>
        <w:t>, P</w:t>
      </w:r>
      <w:r w:rsidR="001E3CE2" w:rsidRPr="005D6B73">
        <w:rPr>
          <w:rFonts w:cs="Arial"/>
          <w:i/>
          <w:vertAlign w:val="subscript"/>
        </w:rPr>
        <w:t>i</w:t>
      </w:r>
      <w:r w:rsidR="001E3CE2" w:rsidRPr="001E3CE2">
        <w:rPr>
          <w:rFonts w:cs="Arial"/>
        </w:rPr>
        <w:t xml:space="preserve">, </w:t>
      </w:r>
      <w:proofErr w:type="spellStart"/>
      <w:r w:rsidR="001E3CE2" w:rsidRPr="001E3CE2">
        <w:rPr>
          <w:rFonts w:cs="Arial"/>
        </w:rPr>
        <w:t>A</w:t>
      </w:r>
      <w:r w:rsidR="001E3CE2" w:rsidRPr="005D6B73">
        <w:rPr>
          <w:rFonts w:cs="Arial"/>
          <w:i/>
          <w:vertAlign w:val="subscript"/>
        </w:rPr>
        <w:t>i</w:t>
      </w:r>
      <w:proofErr w:type="spellEnd"/>
      <w:r w:rsidR="001E3CE2" w:rsidRPr="001E3CE2">
        <w:rPr>
          <w:rFonts w:cs="Arial"/>
        </w:rPr>
        <w:t xml:space="preserve">, </w:t>
      </w:r>
      <w:proofErr w:type="spellStart"/>
      <w:r w:rsidR="001E3CE2" w:rsidRPr="001E3CE2">
        <w:rPr>
          <w:rFonts w:cs="Arial"/>
        </w:rPr>
        <w:t>R</w:t>
      </w:r>
      <w:r w:rsidR="001E3CE2" w:rsidRPr="005D6B73">
        <w:rPr>
          <w:rFonts w:cs="Arial"/>
          <w:i/>
          <w:vertAlign w:val="subscript"/>
        </w:rPr>
        <w:t>i</w:t>
      </w:r>
      <w:proofErr w:type="spellEnd"/>
      <w:r w:rsidR="001E3CE2" w:rsidRPr="001E3CE2">
        <w:rPr>
          <w:rFonts w:cs="Arial"/>
        </w:rPr>
        <w:t>, S</w:t>
      </w:r>
      <w:r w:rsidR="001E3CE2" w:rsidRPr="005D6B73">
        <w:rPr>
          <w:rFonts w:cs="Arial"/>
          <w:i/>
          <w:vertAlign w:val="subscript"/>
        </w:rPr>
        <w:t>i</w:t>
      </w:r>
      <w:r w:rsidR="001E3CE2" w:rsidRPr="001E3CE2">
        <w:rPr>
          <w:rFonts w:cs="Arial"/>
        </w:rPr>
        <w:t>)</w:t>
      </w:r>
    </w:p>
    <w:p w:rsidR="001E3CE2" w:rsidRPr="001E3CE2" w:rsidRDefault="001E3CE2" w:rsidP="001E3CE2">
      <w:pPr>
        <w:spacing w:after="0"/>
        <w:ind w:firstLine="709"/>
        <w:rPr>
          <w:rFonts w:cs="Arial"/>
        </w:rPr>
      </w:pPr>
    </w:p>
    <w:p w:rsidR="00D529F4" w:rsidRDefault="00E61B2F" w:rsidP="00520D81">
      <w:pPr>
        <w:tabs>
          <w:tab w:val="left" w:pos="4169"/>
        </w:tabs>
        <w:spacing w:line="240" w:lineRule="auto"/>
        <w:jc w:val="both"/>
        <w:rPr>
          <w:rFonts w:cs="Arial"/>
          <w:b/>
        </w:rPr>
      </w:pPr>
      <w:r>
        <w:rPr>
          <w:rFonts w:cs="Arial"/>
          <w:b/>
        </w:rPr>
        <w:t xml:space="preserve"> </w:t>
      </w:r>
    </w:p>
    <w:p w:rsidR="00520D81" w:rsidRPr="0026755A" w:rsidRDefault="00520D81" w:rsidP="001E174B">
      <w:pPr>
        <w:pStyle w:val="Prrafodelista"/>
        <w:numPr>
          <w:ilvl w:val="0"/>
          <w:numId w:val="5"/>
        </w:numPr>
        <w:tabs>
          <w:tab w:val="left" w:pos="4169"/>
        </w:tabs>
        <w:spacing w:line="240" w:lineRule="auto"/>
        <w:jc w:val="both"/>
        <w:rPr>
          <w:rFonts w:cs="Arial"/>
          <w:b/>
        </w:rPr>
      </w:pPr>
      <w:r>
        <w:rPr>
          <w:rFonts w:cs="Arial"/>
          <w:b/>
        </w:rPr>
        <w:t>PRESENTACIÓN Y ANÁLISIS DE RESULTADOS.</w:t>
      </w:r>
    </w:p>
    <w:p w:rsidR="00520D81" w:rsidRPr="001E0B98" w:rsidRDefault="001E0B98" w:rsidP="00520D81">
      <w:pPr>
        <w:tabs>
          <w:tab w:val="left" w:pos="4169"/>
        </w:tabs>
        <w:spacing w:line="240" w:lineRule="auto"/>
        <w:jc w:val="both"/>
        <w:rPr>
          <w:rFonts w:cs="Arial"/>
          <w:b/>
        </w:rPr>
      </w:pPr>
      <w:r w:rsidRPr="001E0B98">
        <w:rPr>
          <w:rFonts w:cs="Arial"/>
          <w:b/>
        </w:rPr>
        <w:t>3.1. Propósito y características de la estrategia de gobierno abierto en Colombia a nivel municipal</w:t>
      </w:r>
    </w:p>
    <w:p w:rsidR="00520D81" w:rsidRDefault="00520D81" w:rsidP="00520D81">
      <w:pPr>
        <w:tabs>
          <w:tab w:val="left" w:pos="4169"/>
        </w:tabs>
        <w:spacing w:line="240" w:lineRule="auto"/>
        <w:jc w:val="both"/>
        <w:rPr>
          <w:rFonts w:cs="Arial"/>
          <w:b/>
        </w:rPr>
      </w:pPr>
    </w:p>
    <w:p w:rsidR="001E0B98" w:rsidRDefault="00F2146D" w:rsidP="001E0B98">
      <w:pPr>
        <w:spacing w:line="240" w:lineRule="auto"/>
        <w:jc w:val="both"/>
        <w:rPr>
          <w:rFonts w:cs="Times New Roman"/>
        </w:rPr>
      </w:pPr>
      <w:r>
        <w:t xml:space="preserve">Como ya se ha indicado, </w:t>
      </w:r>
      <w:r w:rsidR="001E0B98">
        <w:t xml:space="preserve">Colombia no ha sido ajeno a la adopción de los </w:t>
      </w:r>
      <w:r>
        <w:t xml:space="preserve">postulados del gobierno abierto, </w:t>
      </w:r>
      <w:r w:rsidR="001E0B98">
        <w:t xml:space="preserve">estrategia que fue formalizada mediante la expedición del </w:t>
      </w:r>
      <w:r w:rsidR="001E0B98" w:rsidRPr="00B50200">
        <w:rPr>
          <w:rFonts w:cs="Times New Roman"/>
          <w:szCs w:val="24"/>
        </w:rPr>
        <w:t xml:space="preserve">decreto </w:t>
      </w:r>
      <w:r w:rsidR="001E0B98">
        <w:rPr>
          <w:rFonts w:cs="Times New Roman"/>
          <w:szCs w:val="24"/>
        </w:rPr>
        <w:t xml:space="preserve">2693 </w:t>
      </w:r>
      <w:sdt>
        <w:sdtPr>
          <w:rPr>
            <w:rFonts w:cs="Arial"/>
          </w:rPr>
          <w:id w:val="6790693"/>
          <w:citation/>
        </w:sdtPr>
        <w:sdtContent>
          <w:r w:rsidR="00A736F3" w:rsidRPr="00320209">
            <w:rPr>
              <w:rFonts w:cs="Arial"/>
            </w:rPr>
            <w:fldChar w:fldCharType="begin"/>
          </w:r>
          <w:r w:rsidR="001E0B98">
            <w:rPr>
              <w:rFonts w:cs="Arial"/>
            </w:rPr>
            <w:instrText xml:space="preserve">CITATION Dec12 \n  \t  \l 9226 </w:instrText>
          </w:r>
          <w:r w:rsidR="00A736F3" w:rsidRPr="00320209">
            <w:rPr>
              <w:rFonts w:cs="Arial"/>
            </w:rPr>
            <w:fldChar w:fldCharType="separate"/>
          </w:r>
          <w:r w:rsidR="001E0B98" w:rsidRPr="00803811">
            <w:rPr>
              <w:rFonts w:cs="Arial"/>
              <w:noProof/>
            </w:rPr>
            <w:t>(2012)</w:t>
          </w:r>
          <w:r w:rsidR="00A736F3" w:rsidRPr="00320209">
            <w:rPr>
              <w:rFonts w:cs="Arial"/>
            </w:rPr>
            <w:fldChar w:fldCharType="end"/>
          </w:r>
        </w:sdtContent>
      </w:sdt>
      <w:r w:rsidR="001E0B98">
        <w:rPr>
          <w:rFonts w:cs="Times New Roman"/>
        </w:rPr>
        <w:t>. Allí se recogen los postulados del gobierno abierto en tres objetivos puntuales.</w:t>
      </w:r>
    </w:p>
    <w:p w:rsidR="001E0B98" w:rsidRPr="00B50200" w:rsidRDefault="001E0B98" w:rsidP="00A151FC">
      <w:pPr>
        <w:tabs>
          <w:tab w:val="left" w:pos="4169"/>
        </w:tabs>
        <w:spacing w:line="240" w:lineRule="auto"/>
        <w:ind w:firstLine="567"/>
        <w:jc w:val="both"/>
        <w:rPr>
          <w:rFonts w:cs="Times New Roman"/>
          <w:szCs w:val="24"/>
        </w:rPr>
      </w:pPr>
      <w:r w:rsidRPr="00D869DE">
        <w:rPr>
          <w:rFonts w:cs="Times New Roman"/>
          <w:szCs w:val="24"/>
        </w:rPr>
        <w:t>El primer objetivo es increm</w:t>
      </w:r>
      <w:r w:rsidR="00D869DE">
        <w:rPr>
          <w:rFonts w:cs="Times New Roman"/>
          <w:szCs w:val="24"/>
        </w:rPr>
        <w:t>entar la eficiencia del Estado,</w:t>
      </w:r>
      <w:r w:rsidR="00FB2C7E">
        <w:rPr>
          <w:rFonts w:cs="Times New Roman"/>
          <w:szCs w:val="24"/>
        </w:rPr>
        <w:t xml:space="preserve"> incentivando la racionalización y optimización de </w:t>
      </w:r>
      <w:r w:rsidRPr="00D869DE">
        <w:rPr>
          <w:rFonts w:cs="Times New Roman"/>
          <w:szCs w:val="24"/>
        </w:rPr>
        <w:t>los recursos del Estado; el segundo objetivo es el de lograr mayor transparencia y participación ciudadana, lo anterior</w:t>
      </w:r>
      <w:r w:rsidRPr="00B50200">
        <w:rPr>
          <w:rFonts w:cs="Times New Roman"/>
          <w:szCs w:val="24"/>
        </w:rPr>
        <w:t xml:space="preserve"> a través de cuatro elementos claves tales como: La visibilidad de los asuntos públicos, el conocimiento de la gestión del Estado, crear confianza en el Estado incentivando la participación ciudadana y el control social. Finalmente como tercer objetivo prestar mejores servicios, esto materializado en el ahorro de costos y tiempo en la solicitud de trámites y servicios, promoviendo accesos multicanales que permitan simplificarlos, y unificar su atención. </w:t>
      </w:r>
    </w:p>
    <w:p w:rsidR="001E0B98" w:rsidRPr="00B50200" w:rsidRDefault="001E0B98" w:rsidP="00A151FC">
      <w:pPr>
        <w:tabs>
          <w:tab w:val="left" w:pos="4169"/>
        </w:tabs>
        <w:spacing w:line="240" w:lineRule="auto"/>
        <w:ind w:firstLine="567"/>
        <w:jc w:val="both"/>
        <w:rPr>
          <w:rFonts w:cs="Times New Roman"/>
          <w:i/>
          <w:szCs w:val="24"/>
        </w:rPr>
      </w:pPr>
      <w:r w:rsidRPr="00B50200">
        <w:rPr>
          <w:rFonts w:cs="Times New Roman"/>
          <w:szCs w:val="24"/>
        </w:rPr>
        <w:t xml:space="preserve">La estrategia </w:t>
      </w:r>
      <w:r w:rsidR="00F2146D" w:rsidRPr="00F2146D">
        <w:rPr>
          <w:rFonts w:cs="Times New Roman"/>
          <w:i/>
          <w:szCs w:val="24"/>
        </w:rPr>
        <w:t>e-</w:t>
      </w:r>
      <w:proofErr w:type="spellStart"/>
      <w:r w:rsidRPr="00F2146D">
        <w:rPr>
          <w:rFonts w:cs="Times New Roman"/>
          <w:i/>
          <w:szCs w:val="24"/>
        </w:rPr>
        <w:t>government</w:t>
      </w:r>
      <w:proofErr w:type="spellEnd"/>
      <w:r>
        <w:rPr>
          <w:rFonts w:cs="Times New Roman"/>
          <w:szCs w:val="24"/>
        </w:rPr>
        <w:t xml:space="preserve"> </w:t>
      </w:r>
      <w:r w:rsidRPr="00B50200">
        <w:rPr>
          <w:rFonts w:cs="Times New Roman"/>
          <w:szCs w:val="24"/>
        </w:rPr>
        <w:t xml:space="preserve">define que </w:t>
      </w:r>
      <w:r w:rsidRPr="00B50200">
        <w:rPr>
          <w:rFonts w:cs="Times New Roman"/>
          <w:i/>
          <w:szCs w:val="24"/>
        </w:rPr>
        <w:t>“En el año 2015 la ciudadanía en general tendrá acceso de forma oportuna más y mejor información bajo un sistema de comunicación de doble vía y rendición de cuentas permanente y en tiempo real… Para esto las entidades contaran con sedes electrónicas, en donde se dispondrá el acceso multicanal a toda la información, así como la gestión en línea de trámites y servicios, observando permanentemente las condiciones de accesibilidad, usabilidad, calidad, seguridad, reserva y privacidad”.</w:t>
      </w:r>
    </w:p>
    <w:p w:rsidR="001E0B98" w:rsidRPr="00FF7C3E" w:rsidRDefault="001E0B98" w:rsidP="002D1799">
      <w:pPr>
        <w:spacing w:line="240" w:lineRule="auto"/>
        <w:ind w:firstLine="567"/>
        <w:jc w:val="both"/>
        <w:rPr>
          <w:sz w:val="20"/>
        </w:rPr>
      </w:pPr>
      <w:r w:rsidRPr="00280B70">
        <w:rPr>
          <w:rFonts w:cs="Times New Roman"/>
          <w:szCs w:val="24"/>
        </w:rPr>
        <w:t>Para cumplir dicho propósito, la estrategia se ha agrupado en seis componentes, a saber, el trasversal, el de información, el transaccional, el de trasformación, el de interacción y el de democracia.</w:t>
      </w:r>
      <w:r>
        <w:rPr>
          <w:rFonts w:cs="Times New Roman"/>
          <w:szCs w:val="24"/>
        </w:rPr>
        <w:t xml:space="preserve"> En específico el componente de información, que guarda estrecha relación con el postulado de transparencia en el gobierno abierto, s</w:t>
      </w:r>
      <w:r w:rsidRPr="004F157F">
        <w:rPr>
          <w:rFonts w:cs="Times New Roman"/>
          <w:szCs w:val="24"/>
        </w:rPr>
        <w:t xml:space="preserve">e enfoca esencialmente en la disposición a través de medios electrónicos </w:t>
      </w:r>
      <w:r>
        <w:rPr>
          <w:rFonts w:cs="Times New Roman"/>
          <w:szCs w:val="24"/>
        </w:rPr>
        <w:t xml:space="preserve">de </w:t>
      </w:r>
      <w:r w:rsidRPr="004F157F">
        <w:rPr>
          <w:rFonts w:cs="Times New Roman"/>
          <w:szCs w:val="24"/>
        </w:rPr>
        <w:t>toda la i</w:t>
      </w:r>
      <w:r>
        <w:rPr>
          <w:rFonts w:cs="Times New Roman"/>
          <w:szCs w:val="24"/>
        </w:rPr>
        <w:t>nformación de las administraciones de gobierno referida a la misión</w:t>
      </w:r>
      <w:r w:rsidRPr="004F157F">
        <w:rPr>
          <w:rFonts w:cs="Times New Roman"/>
          <w:szCs w:val="24"/>
        </w:rPr>
        <w:t xml:space="preserve"> de la entidad, su planeación estratégica, trámites y servicios, espacios de interacción, ejecución presupuestal, estructura organizacional, entre otra, cumpliendo todos los requisitos de calidad, disponibilidad, accesibilidad, estándares de seguridad y dispuesta de manera fácil de</w:t>
      </w:r>
      <w:r>
        <w:rPr>
          <w:rFonts w:cs="Times New Roman"/>
          <w:szCs w:val="24"/>
        </w:rPr>
        <w:t xml:space="preserve"> ubicar, utilizar y reutilizar</w:t>
      </w:r>
      <w:sdt>
        <w:sdtPr>
          <w:rPr>
            <w:sz w:val="20"/>
          </w:rPr>
          <w:id w:val="6790695"/>
          <w:citation/>
        </w:sdtPr>
        <w:sdtContent>
          <w:r w:rsidR="00A736F3" w:rsidRPr="004F157F">
            <w:rPr>
              <w:rFonts w:cs="Arial"/>
              <w:szCs w:val="24"/>
            </w:rPr>
            <w:fldChar w:fldCharType="begin"/>
          </w:r>
          <w:r w:rsidRPr="004F157F">
            <w:rPr>
              <w:rFonts w:cs="Arial"/>
              <w:szCs w:val="24"/>
            </w:rPr>
            <w:instrText xml:space="preserve"> CITATION Min12 \l 9226 </w:instrText>
          </w:r>
          <w:r w:rsidR="00A736F3" w:rsidRPr="004F157F">
            <w:rPr>
              <w:rFonts w:cs="Arial"/>
              <w:szCs w:val="24"/>
            </w:rPr>
            <w:fldChar w:fldCharType="separate"/>
          </w:r>
          <w:r w:rsidRPr="004F157F">
            <w:rPr>
              <w:rFonts w:cs="Arial"/>
              <w:noProof/>
              <w:szCs w:val="24"/>
            </w:rPr>
            <w:t xml:space="preserve"> (Min Tic 2012)</w:t>
          </w:r>
          <w:r w:rsidR="00A736F3" w:rsidRPr="004F157F">
            <w:rPr>
              <w:rFonts w:cs="Arial"/>
              <w:szCs w:val="24"/>
            </w:rPr>
            <w:fldChar w:fldCharType="end"/>
          </w:r>
        </w:sdtContent>
      </w:sdt>
    </w:p>
    <w:p w:rsidR="001E0B98" w:rsidRPr="00FF7C3E" w:rsidRDefault="001E0B98" w:rsidP="002D1799">
      <w:pPr>
        <w:spacing w:line="240" w:lineRule="auto"/>
        <w:ind w:firstLine="567"/>
        <w:jc w:val="both"/>
        <w:rPr>
          <w:rFonts w:cs="Times New Roman"/>
          <w:szCs w:val="24"/>
        </w:rPr>
      </w:pPr>
      <w:r>
        <w:rPr>
          <w:rFonts w:cs="Times New Roman"/>
          <w:szCs w:val="24"/>
        </w:rPr>
        <w:t xml:space="preserve">Por otra parte, el componente de interacción representa un apoyo significativo a la participación ciudadana a través de medios electrónicos, de modo tal que una vez consultada y analizada la información que percibe por los gobiernos locales la población pueda realizar sus aportes. Para dicho fin </w:t>
      </w:r>
      <w:r>
        <w:rPr>
          <w:rFonts w:cs="Times New Roman"/>
          <w:szCs w:val="24"/>
        </w:rPr>
        <w:lastRenderedPageBreak/>
        <w:t>se han abierto a través de los portales web de los gobiernos locales herramientas interactivas en línea como los foros, el chat y las encuestas.</w:t>
      </w:r>
    </w:p>
    <w:p w:rsidR="001E0B98" w:rsidRDefault="001E0B98" w:rsidP="002D1799">
      <w:pPr>
        <w:tabs>
          <w:tab w:val="left" w:pos="4169"/>
        </w:tabs>
        <w:spacing w:line="240" w:lineRule="auto"/>
        <w:ind w:firstLine="567"/>
        <w:jc w:val="both"/>
        <w:rPr>
          <w:rFonts w:cs="Arial"/>
        </w:rPr>
      </w:pPr>
      <w:r w:rsidRPr="00E37AB9">
        <w:rPr>
          <w:rFonts w:cs="Arial"/>
        </w:rPr>
        <w:t xml:space="preserve">Ahora bien, la implementación de la estrategia </w:t>
      </w:r>
      <w:r w:rsidR="00F2146D" w:rsidRPr="00F2146D">
        <w:rPr>
          <w:rFonts w:cs="Arial"/>
          <w:i/>
        </w:rPr>
        <w:t>e-</w:t>
      </w:r>
      <w:proofErr w:type="spellStart"/>
      <w:r w:rsidRPr="00F2146D">
        <w:rPr>
          <w:rFonts w:cs="Arial"/>
          <w:i/>
        </w:rPr>
        <w:t>government</w:t>
      </w:r>
      <w:proofErr w:type="spellEnd"/>
      <w:r>
        <w:rPr>
          <w:rFonts w:cs="Arial"/>
        </w:rPr>
        <w:t xml:space="preserve"> </w:t>
      </w:r>
      <w:r w:rsidR="00F2146D">
        <w:rPr>
          <w:rFonts w:cs="Arial"/>
        </w:rPr>
        <w:t>en los niveles subn</w:t>
      </w:r>
      <w:r w:rsidRPr="00E37AB9">
        <w:rPr>
          <w:rFonts w:cs="Arial"/>
        </w:rPr>
        <w:t xml:space="preserve">acionales implica diferentes tipos de tiempos y a su vez </w:t>
      </w:r>
      <w:r>
        <w:rPr>
          <w:rFonts w:cs="Arial"/>
        </w:rPr>
        <w:t>esfuerzos. En el caso</w:t>
      </w:r>
      <w:r w:rsidRPr="00E37AB9">
        <w:rPr>
          <w:rFonts w:cs="Arial"/>
        </w:rPr>
        <w:t xml:space="preserve"> </w:t>
      </w:r>
      <w:r>
        <w:rPr>
          <w:rFonts w:cs="Arial"/>
        </w:rPr>
        <w:t>de las a</w:t>
      </w:r>
      <w:r w:rsidRPr="00E37AB9">
        <w:rPr>
          <w:rFonts w:cs="Arial"/>
        </w:rPr>
        <w:t>dministraciones municipales los tiempos son distintos y los avances por componentes también</w:t>
      </w:r>
      <w:r>
        <w:rPr>
          <w:rFonts w:cs="Arial"/>
        </w:rPr>
        <w:t>, ya que para las</w:t>
      </w:r>
      <w:r w:rsidRPr="00E37AB9">
        <w:rPr>
          <w:rFonts w:cs="Arial"/>
        </w:rPr>
        <w:t xml:space="preserve"> Administraciones Municipales de </w:t>
      </w:r>
      <w:r>
        <w:rPr>
          <w:rFonts w:cs="Arial"/>
        </w:rPr>
        <w:t xml:space="preserve">categorías 1, 2, y 3 específicamente para el componente de apertura de información, la norma les establece un cumplimiento para el año 2014 del 55%, y una trazabilidad del 100% para el año 2016; mientras que para las administraciones municipales de categoría  </w:t>
      </w:r>
      <w:r w:rsidRPr="00E37AB9">
        <w:rPr>
          <w:rFonts w:cs="Arial"/>
        </w:rPr>
        <w:t xml:space="preserve">cuarta, quinta y sexta categoría del país, </w:t>
      </w:r>
      <w:r>
        <w:rPr>
          <w:rFonts w:cs="Arial"/>
        </w:rPr>
        <w:t xml:space="preserve">el cumplimiento para el año 2014 deberá ser de igual forma 55%, pero </w:t>
      </w:r>
      <w:r w:rsidRPr="00E37AB9">
        <w:rPr>
          <w:rFonts w:cs="Arial"/>
        </w:rPr>
        <w:t xml:space="preserve">su trazabilidad </w:t>
      </w:r>
      <w:r>
        <w:rPr>
          <w:rFonts w:cs="Arial"/>
        </w:rPr>
        <w:t xml:space="preserve">final de 100% </w:t>
      </w:r>
      <w:r w:rsidRPr="00E37AB9">
        <w:rPr>
          <w:rFonts w:cs="Arial"/>
        </w:rPr>
        <w:t>está para el año 2017.</w:t>
      </w:r>
    </w:p>
    <w:p w:rsidR="001E0B98" w:rsidRDefault="001E0B98" w:rsidP="002D1799">
      <w:pPr>
        <w:tabs>
          <w:tab w:val="left" w:pos="4169"/>
        </w:tabs>
        <w:spacing w:line="240" w:lineRule="auto"/>
        <w:ind w:firstLine="567"/>
        <w:jc w:val="both"/>
        <w:rPr>
          <w:rFonts w:cs="Arial"/>
          <w:i/>
        </w:rPr>
      </w:pPr>
      <w:r>
        <w:rPr>
          <w:rFonts w:cs="Arial"/>
        </w:rPr>
        <w:t xml:space="preserve">Dentro del marco de la estrategia </w:t>
      </w:r>
      <w:r w:rsidR="00F2146D" w:rsidRPr="00F2146D">
        <w:rPr>
          <w:rFonts w:cs="Arial"/>
          <w:i/>
        </w:rPr>
        <w:t>e-</w:t>
      </w:r>
      <w:proofErr w:type="spellStart"/>
      <w:r w:rsidRPr="00F2146D">
        <w:rPr>
          <w:rFonts w:cs="Arial"/>
          <w:i/>
        </w:rPr>
        <w:t>goverment</w:t>
      </w:r>
      <w:proofErr w:type="spellEnd"/>
      <w:r>
        <w:rPr>
          <w:rFonts w:cs="Arial"/>
        </w:rPr>
        <w:t xml:space="preserve"> el componente de información cobra un alto nivel de importancia debido a que de la disponibilidad de la información dependerá la oportuna y adecuada participación ciudadana y el fortalecimiento de gestores políticos -</w:t>
      </w:r>
      <w:r w:rsidRPr="00F2146D">
        <w:rPr>
          <w:rFonts w:cs="Arial"/>
          <w:i/>
        </w:rPr>
        <w:t xml:space="preserve">Open </w:t>
      </w:r>
      <w:proofErr w:type="spellStart"/>
      <w:r w:rsidRPr="00F2146D">
        <w:rPr>
          <w:rFonts w:cs="Arial"/>
          <w:i/>
        </w:rPr>
        <w:t>Politics</w:t>
      </w:r>
      <w:proofErr w:type="spellEnd"/>
      <w:r w:rsidR="00F2146D">
        <w:rPr>
          <w:rFonts w:cs="Arial"/>
        </w:rPr>
        <w:t>-</w:t>
      </w:r>
      <w:r>
        <w:rPr>
          <w:rFonts w:cs="Arial"/>
        </w:rPr>
        <w:t>; sumado a la posibilidad de ejercicios de innovación abierta</w:t>
      </w:r>
      <w:r>
        <w:rPr>
          <w:rStyle w:val="Refdenotaalpie"/>
          <w:rFonts w:cs="Arial"/>
        </w:rPr>
        <w:footnoteReference w:id="7"/>
      </w:r>
      <w:r>
        <w:rPr>
          <w:rFonts w:cs="Arial"/>
        </w:rPr>
        <w:t xml:space="preserve">. Como menciona la estrategia </w:t>
      </w:r>
      <w:r w:rsidRPr="002A014C">
        <w:rPr>
          <w:rFonts w:cs="Arial"/>
          <w:i/>
        </w:rPr>
        <w:t>“El acceso a la información es un derecho constitucional y una condición básica para la reducción de los riesgos de corrupción, pues eleva los niveles de transparencia en la gestión pública. La transparencia a su vez aporta elementos al cuidado de los recursos públicos y genera condiciones de fortalecimiento a la confianza de los diferentes actores en relación con la administración pública, la cual se convierte en un elemento clave para la gobernabilidad y la creación de capital social”.</w:t>
      </w:r>
      <w:r>
        <w:rPr>
          <w:rFonts w:cs="Arial"/>
          <w:i/>
        </w:rPr>
        <w:t xml:space="preserve"> </w:t>
      </w:r>
      <w:sdt>
        <w:sdtPr>
          <w:rPr>
            <w:rFonts w:cs="Arial"/>
            <w:i/>
          </w:rPr>
          <w:id w:val="1488985362"/>
          <w:citation/>
        </w:sdtPr>
        <w:sdtContent>
          <w:r w:rsidR="00A736F3">
            <w:rPr>
              <w:rFonts w:cs="Arial"/>
              <w:i/>
            </w:rPr>
            <w:fldChar w:fldCharType="begin"/>
          </w:r>
          <w:r>
            <w:rPr>
              <w:rFonts w:cs="Arial"/>
              <w:i/>
            </w:rPr>
            <w:instrText xml:space="preserve">CITATION Min12 \p 22 \l 9226 </w:instrText>
          </w:r>
          <w:r w:rsidR="00A736F3">
            <w:rPr>
              <w:rFonts w:cs="Arial"/>
              <w:i/>
            </w:rPr>
            <w:fldChar w:fldCharType="separate"/>
          </w:r>
          <w:r w:rsidRPr="002A014C">
            <w:rPr>
              <w:rFonts w:cs="Arial"/>
              <w:noProof/>
            </w:rPr>
            <w:t>(Min Tic, 2012, pág. 22)</w:t>
          </w:r>
          <w:r w:rsidR="00A736F3">
            <w:rPr>
              <w:rFonts w:cs="Arial"/>
              <w:i/>
            </w:rPr>
            <w:fldChar w:fldCharType="end"/>
          </w:r>
        </w:sdtContent>
      </w:sdt>
    </w:p>
    <w:p w:rsidR="001E0B98" w:rsidRDefault="001E0B98" w:rsidP="002D1799">
      <w:pPr>
        <w:tabs>
          <w:tab w:val="left" w:pos="4169"/>
        </w:tabs>
        <w:spacing w:line="240" w:lineRule="auto"/>
        <w:ind w:firstLine="567"/>
        <w:jc w:val="both"/>
        <w:rPr>
          <w:rFonts w:cs="Arial"/>
        </w:rPr>
      </w:pPr>
      <w:r>
        <w:rPr>
          <w:rFonts w:cs="Arial"/>
        </w:rPr>
        <w:t>Para tal fin el componente de información se divide en dos actividades específicas; de un lado la apertura de información y de otro la apertura de datos. (Ver Figura 1) La actividad referida a la apertura de información contempla: 1) El diseño de una política editorial para cada entidad territorial que permita identificar la fuente y veracidad a la hora de abrir cualquier tipo de información, 2) La publicación de una serie de información mínima a través de los portales web de cada entidad territorial y 3) El acceso multicanal, es decir los diferentes medios por los cuales se pueda acceder a la información como es el caso de teléfonos móviles.</w:t>
      </w:r>
    </w:p>
    <w:p w:rsidR="001E0B98" w:rsidRDefault="001E0B98" w:rsidP="002D1799">
      <w:pPr>
        <w:tabs>
          <w:tab w:val="left" w:pos="4169"/>
        </w:tabs>
        <w:spacing w:line="240" w:lineRule="auto"/>
        <w:ind w:firstLine="567"/>
        <w:jc w:val="both"/>
        <w:rPr>
          <w:rFonts w:cs="Arial"/>
        </w:rPr>
      </w:pPr>
      <w:r>
        <w:rPr>
          <w:rFonts w:cs="Arial"/>
        </w:rPr>
        <w:t>En segundo lugar la actividad denominada publicación de datos abiertos, contempla la elaboración del inventario de información disponible en cada entidad territorial, ya sea información física como información electrónica, para su respectiva publicación. De igual manera obliga a las entidades territoriales a dar inicio con la apertura de datos, tarea que implica un esfuerzo adicional en la consolidación de bases de información oportuna a publicarse a través del sitio datosabiertos.gov.co para que interesados en general accedan a estos con el ánimo de implementar ejercicios de innovación abierta, como la creación de aplicaciones móviles.</w:t>
      </w:r>
    </w:p>
    <w:p w:rsidR="001E0B98" w:rsidRDefault="001E0B98" w:rsidP="001E0B98">
      <w:pPr>
        <w:tabs>
          <w:tab w:val="left" w:pos="4169"/>
        </w:tabs>
        <w:spacing w:line="240" w:lineRule="auto"/>
        <w:jc w:val="both"/>
        <w:rPr>
          <w:rFonts w:cs="Arial"/>
        </w:rPr>
      </w:pPr>
    </w:p>
    <w:p w:rsidR="00BA7E66" w:rsidRDefault="00BA7E66" w:rsidP="001E0B98">
      <w:pPr>
        <w:tabs>
          <w:tab w:val="left" w:pos="4169"/>
        </w:tabs>
        <w:spacing w:line="240" w:lineRule="auto"/>
        <w:jc w:val="both"/>
        <w:rPr>
          <w:rFonts w:cs="Arial"/>
        </w:rPr>
      </w:pPr>
    </w:p>
    <w:p w:rsidR="00F01E29" w:rsidRDefault="00F01E29" w:rsidP="001E0B98">
      <w:pPr>
        <w:tabs>
          <w:tab w:val="left" w:pos="4169"/>
        </w:tabs>
        <w:spacing w:line="240" w:lineRule="auto"/>
        <w:jc w:val="both"/>
        <w:rPr>
          <w:rFonts w:cs="Arial"/>
        </w:rPr>
      </w:pPr>
    </w:p>
    <w:p w:rsidR="00F01E29" w:rsidRDefault="00F01E29" w:rsidP="001E0B98">
      <w:pPr>
        <w:tabs>
          <w:tab w:val="left" w:pos="4169"/>
        </w:tabs>
        <w:spacing w:line="240" w:lineRule="auto"/>
        <w:jc w:val="both"/>
        <w:rPr>
          <w:rFonts w:cs="Arial"/>
        </w:rPr>
      </w:pPr>
    </w:p>
    <w:p w:rsidR="00F01E29" w:rsidRDefault="00F01E29" w:rsidP="001E0B98">
      <w:pPr>
        <w:tabs>
          <w:tab w:val="left" w:pos="4169"/>
        </w:tabs>
        <w:spacing w:line="240" w:lineRule="auto"/>
        <w:jc w:val="both"/>
        <w:rPr>
          <w:rFonts w:cs="Arial"/>
        </w:rPr>
      </w:pPr>
    </w:p>
    <w:p w:rsidR="00F01E29" w:rsidRDefault="00F01E29" w:rsidP="001E0B98">
      <w:pPr>
        <w:tabs>
          <w:tab w:val="left" w:pos="4169"/>
        </w:tabs>
        <w:spacing w:line="240" w:lineRule="auto"/>
        <w:jc w:val="both"/>
        <w:rPr>
          <w:rFonts w:cs="Arial"/>
        </w:rPr>
      </w:pPr>
    </w:p>
    <w:p w:rsidR="00BA7E66" w:rsidRDefault="00F01E29" w:rsidP="00F01E29">
      <w:pPr>
        <w:tabs>
          <w:tab w:val="left" w:pos="4169"/>
        </w:tabs>
        <w:spacing w:line="240" w:lineRule="auto"/>
        <w:jc w:val="center"/>
        <w:rPr>
          <w:rFonts w:cs="Arial"/>
        </w:rPr>
      </w:pPr>
      <w:r w:rsidRPr="00661E49">
        <w:rPr>
          <w:rFonts w:cs="Arial"/>
          <w:b/>
          <w:sz w:val="20"/>
        </w:rPr>
        <w:t>Grafico 1</w:t>
      </w:r>
      <w:r w:rsidRPr="00661E49">
        <w:rPr>
          <w:rFonts w:cs="Arial"/>
          <w:b/>
          <w:color w:val="0D0D0D" w:themeColor="text1" w:themeTint="F2"/>
          <w:sz w:val="20"/>
        </w:rPr>
        <w:t>.</w:t>
      </w:r>
      <w:r w:rsidRPr="00661E49">
        <w:rPr>
          <w:rFonts w:cs="Arial"/>
          <w:color w:val="0D0D0D" w:themeColor="text1" w:themeTint="F2"/>
          <w:sz w:val="20"/>
        </w:rPr>
        <w:t xml:space="preserve"> </w:t>
      </w:r>
      <w:r w:rsidRPr="00F01E29">
        <w:rPr>
          <w:rFonts w:cs="Arial"/>
          <w:sz w:val="20"/>
        </w:rPr>
        <w:t>Actividades contempladas para el componente de información.</w:t>
      </w:r>
    </w:p>
    <w:p w:rsidR="001E0B98" w:rsidRDefault="001E0B98" w:rsidP="001E0B98">
      <w:pPr>
        <w:tabs>
          <w:tab w:val="left" w:pos="4169"/>
        </w:tabs>
        <w:spacing w:line="240" w:lineRule="auto"/>
        <w:jc w:val="center"/>
        <w:rPr>
          <w:rFonts w:cs="Arial"/>
          <w:sz w:val="20"/>
        </w:rPr>
      </w:pPr>
      <w:r>
        <w:rPr>
          <w:rFonts w:cs="Times New Roman"/>
          <w:noProof/>
          <w:color w:val="FF0000"/>
          <w:lang w:eastAsia="es-CO"/>
        </w:rPr>
        <w:drawing>
          <wp:inline distT="0" distB="0" distL="0" distR="0">
            <wp:extent cx="4552950" cy="1076325"/>
            <wp:effectExtent l="76200" t="19050" r="38100" b="0"/>
            <wp:docPr id="2"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61E49" w:rsidRPr="00661E49" w:rsidRDefault="00661E49" w:rsidP="00661E49">
      <w:pPr>
        <w:tabs>
          <w:tab w:val="left" w:pos="4169"/>
        </w:tabs>
        <w:spacing w:after="0" w:line="240" w:lineRule="auto"/>
        <w:rPr>
          <w:rFonts w:cs="Arial"/>
          <w:b/>
          <w:sz w:val="20"/>
        </w:rPr>
      </w:pPr>
    </w:p>
    <w:p w:rsidR="001E0B98" w:rsidRPr="00661E49" w:rsidRDefault="001E0B98" w:rsidP="00F01E29">
      <w:pPr>
        <w:tabs>
          <w:tab w:val="left" w:pos="4169"/>
        </w:tabs>
        <w:spacing w:after="0" w:line="240" w:lineRule="auto"/>
        <w:jc w:val="center"/>
        <w:rPr>
          <w:rFonts w:cs="Arial"/>
        </w:rPr>
      </w:pPr>
      <w:r w:rsidRPr="00661E49">
        <w:rPr>
          <w:rFonts w:cs="Arial"/>
          <w:sz w:val="20"/>
        </w:rPr>
        <w:t>Fuente: Manual para la implementación de la estrategia de gobierno en línea en las entidades del orden nacional de la república de Colombia - Decreto 2693 de 2012.</w:t>
      </w:r>
    </w:p>
    <w:p w:rsidR="001E0B98" w:rsidRDefault="001E0B98" w:rsidP="001E0B98">
      <w:pPr>
        <w:tabs>
          <w:tab w:val="left" w:pos="4169"/>
        </w:tabs>
        <w:spacing w:line="240" w:lineRule="auto"/>
        <w:jc w:val="both"/>
        <w:rPr>
          <w:rFonts w:cs="Arial"/>
        </w:rPr>
      </w:pPr>
    </w:p>
    <w:p w:rsidR="001E0B98" w:rsidRDefault="001E0B98" w:rsidP="002D1799">
      <w:pPr>
        <w:tabs>
          <w:tab w:val="left" w:pos="4169"/>
        </w:tabs>
        <w:spacing w:line="240" w:lineRule="auto"/>
        <w:ind w:firstLine="567"/>
        <w:jc w:val="both"/>
        <w:rPr>
          <w:rFonts w:cs="Arial"/>
        </w:rPr>
      </w:pPr>
      <w:r>
        <w:rPr>
          <w:rFonts w:cs="Arial"/>
        </w:rPr>
        <w:t xml:space="preserve">La estrategia </w:t>
      </w:r>
      <w:r w:rsidR="00F2146D" w:rsidRPr="00F2146D">
        <w:rPr>
          <w:rFonts w:cs="Arial"/>
          <w:i/>
        </w:rPr>
        <w:t>e</w:t>
      </w:r>
      <w:r w:rsidRPr="00F2146D">
        <w:rPr>
          <w:rFonts w:cs="Arial"/>
          <w:i/>
        </w:rPr>
        <w:t>–</w:t>
      </w:r>
      <w:proofErr w:type="spellStart"/>
      <w:r w:rsidRPr="00F2146D">
        <w:rPr>
          <w:rFonts w:cs="Arial"/>
          <w:i/>
        </w:rPr>
        <w:t>goverment</w:t>
      </w:r>
      <w:proofErr w:type="spellEnd"/>
      <w:r>
        <w:rPr>
          <w:rFonts w:cs="Arial"/>
        </w:rPr>
        <w:t xml:space="preserve"> ha dispuesto a través del anexo 2 del </w:t>
      </w:r>
      <w:r>
        <w:rPr>
          <w:rFonts w:cs="Arial"/>
          <w:noProof/>
        </w:rPr>
        <w:t>Decreto 2693 de</w:t>
      </w:r>
      <w:r>
        <w:rPr>
          <w:rFonts w:cs="Arial"/>
        </w:rPr>
        <w:t xml:space="preserve"> </w:t>
      </w:r>
      <w:sdt>
        <w:sdtPr>
          <w:rPr>
            <w:rFonts w:cs="Arial"/>
          </w:rPr>
          <w:id w:val="69318172"/>
          <w:citation/>
        </w:sdtPr>
        <w:sdtContent>
          <w:r w:rsidR="00A736F3">
            <w:rPr>
              <w:rFonts w:cs="Arial"/>
            </w:rPr>
            <w:fldChar w:fldCharType="begin"/>
          </w:r>
          <w:r>
            <w:rPr>
              <w:rFonts w:cs="Arial"/>
            </w:rPr>
            <w:instrText xml:space="preserve">CITATION Dec12 \n  \t  \l 9226 </w:instrText>
          </w:r>
          <w:r w:rsidR="00A736F3">
            <w:rPr>
              <w:rFonts w:cs="Arial"/>
            </w:rPr>
            <w:fldChar w:fldCharType="separate"/>
          </w:r>
          <w:r w:rsidRPr="00AB1F87">
            <w:rPr>
              <w:rFonts w:cs="Arial"/>
              <w:noProof/>
            </w:rPr>
            <w:t>(2012)</w:t>
          </w:r>
          <w:r w:rsidR="00A736F3">
            <w:rPr>
              <w:rFonts w:cs="Arial"/>
            </w:rPr>
            <w:fldChar w:fldCharType="end"/>
          </w:r>
        </w:sdtContent>
      </w:sdt>
      <w:r>
        <w:rPr>
          <w:rFonts w:cs="Arial"/>
        </w:rPr>
        <w:t xml:space="preserve"> cuál será la información mínima y obligatoria que deberán disponer las entidades territoriales a través de su portal web, para la cual deberá además garantizar su continua actualización según sea necesario. Para diversos intereses ciudadanos la clasificación de la información a abrirse se discrimina por: Información general de la entidad, datos y contactos de la entidad, canales de atención al ciudadano, Normatividad, información de tipo financiera, planeación y control fiscal, trámites y servicios disponibles, así como la información de los e</w:t>
      </w:r>
      <w:r w:rsidR="00990780">
        <w:rPr>
          <w:rFonts w:cs="Arial"/>
        </w:rPr>
        <w:t>mpleados de cada administración.</w:t>
      </w:r>
    </w:p>
    <w:p w:rsidR="001E0B98" w:rsidRDefault="00EB0493" w:rsidP="002D1799">
      <w:pPr>
        <w:tabs>
          <w:tab w:val="left" w:pos="4169"/>
        </w:tabs>
        <w:spacing w:line="240" w:lineRule="auto"/>
        <w:ind w:firstLine="567"/>
        <w:jc w:val="both"/>
        <w:rPr>
          <w:rFonts w:cs="Arial"/>
        </w:rPr>
      </w:pPr>
      <w:r>
        <w:rPr>
          <w:rFonts w:cs="Arial"/>
        </w:rPr>
        <w:t>E</w:t>
      </w:r>
      <w:r w:rsidR="001E0B98">
        <w:rPr>
          <w:rFonts w:cs="Arial"/>
        </w:rPr>
        <w:t>s importante destacar que l</w:t>
      </w:r>
      <w:r w:rsidR="001E0B98" w:rsidRPr="00E37AB9">
        <w:rPr>
          <w:rFonts w:cs="Arial"/>
        </w:rPr>
        <w:t xml:space="preserve">a implementación efectiva de la estrategia </w:t>
      </w:r>
      <w:r w:rsidR="001E0B98">
        <w:rPr>
          <w:rFonts w:cs="Arial"/>
        </w:rPr>
        <w:t xml:space="preserve">de </w:t>
      </w:r>
      <w:r w:rsidR="001E0B98" w:rsidRPr="00F2146D">
        <w:rPr>
          <w:rFonts w:cs="Arial"/>
          <w:i/>
        </w:rPr>
        <w:t>e-</w:t>
      </w:r>
      <w:proofErr w:type="spellStart"/>
      <w:r w:rsidR="001E0B98" w:rsidRPr="00F2146D">
        <w:rPr>
          <w:rFonts w:cs="Arial"/>
          <w:i/>
        </w:rPr>
        <w:t>government</w:t>
      </w:r>
      <w:proofErr w:type="spellEnd"/>
      <w:r w:rsidR="001E0B98" w:rsidRPr="00E37AB9">
        <w:rPr>
          <w:rFonts w:cs="Arial"/>
        </w:rPr>
        <w:t xml:space="preserve"> depende de tres herramientas de apoyo claves que se darán desde nivel naci</w:t>
      </w:r>
      <w:r w:rsidR="00BA3F46">
        <w:rPr>
          <w:rFonts w:cs="Arial"/>
        </w:rPr>
        <w:t>onal, a través del Ministerio de las tecnologías</w:t>
      </w:r>
      <w:r w:rsidR="002D15E8">
        <w:rPr>
          <w:rFonts w:cs="Arial"/>
        </w:rPr>
        <w:t xml:space="preserve"> de la información </w:t>
      </w:r>
      <w:r w:rsidR="00BA3F46">
        <w:rPr>
          <w:rFonts w:cs="Arial"/>
        </w:rPr>
        <w:t xml:space="preserve"> y </w:t>
      </w:r>
      <w:r w:rsidR="002D15E8">
        <w:rPr>
          <w:rFonts w:cs="Arial"/>
        </w:rPr>
        <w:t>comunicación</w:t>
      </w:r>
      <w:r w:rsidR="00BA3F46">
        <w:rPr>
          <w:rFonts w:cs="Arial"/>
        </w:rPr>
        <w:t xml:space="preserve"> (Min Tic).</w:t>
      </w:r>
      <w:r w:rsidR="001E0B98" w:rsidRPr="00E37AB9">
        <w:rPr>
          <w:rFonts w:cs="Arial"/>
        </w:rPr>
        <w:t xml:space="preserve"> La definición de lineamientos, metodologías, estándares y demás desarrollos normativos que las entidades requieran, es la primera her</w:t>
      </w:r>
      <w:r w:rsidR="00D31058">
        <w:rPr>
          <w:rFonts w:cs="Arial"/>
        </w:rPr>
        <w:t>ramienta que debe desarrollarse</w:t>
      </w:r>
      <w:r w:rsidR="001E0B98" w:rsidRPr="00E37AB9">
        <w:rPr>
          <w:rFonts w:cs="Arial"/>
        </w:rPr>
        <w:t>. La correcta apropiación y adopción de la estrategia, responderá además a la capacitación y acompañamiento que brinde el Min TIC, no solo con los servidores públicos y entidades encargadas, sino además con la ciudadanía como parte activa de la estrategia; y por último la infraestructura tecnológica, lo cual implica un mayor esfuerzo para afrontar situaciones negativas que puedan llegar a darse en las entidades Públicas en esta materia, de modo tal que la infraestructura se convierta en el más valioso medio de la implementación de la estrategia, y no por el contrario en el principal limitante de esta.</w:t>
      </w:r>
    </w:p>
    <w:p w:rsidR="00EB0493" w:rsidRDefault="002D15E8" w:rsidP="002D1799">
      <w:pPr>
        <w:tabs>
          <w:tab w:val="left" w:pos="4169"/>
        </w:tabs>
        <w:spacing w:line="240" w:lineRule="auto"/>
        <w:ind w:firstLine="567"/>
        <w:jc w:val="both"/>
        <w:rPr>
          <w:rFonts w:cs="Arial"/>
        </w:rPr>
      </w:pPr>
      <w:r>
        <w:rPr>
          <w:rFonts w:cs="Arial"/>
        </w:rPr>
        <w:t>Finalmente, pese a que el Min Tic es el encargado de fijar la política de gobierno abierto para el país, es obligación legal de las gobernaciones apoyar la implementación de dichas estrategias en los territorios subnacionales, de allí que la gobernación del departamento de Cundinamarca, a través de su Secretaría de TIC venga adelantando procesos encaminados a</w:t>
      </w:r>
      <w:r w:rsidR="00675EB8">
        <w:rPr>
          <w:rFonts w:cs="Arial"/>
        </w:rPr>
        <w:t xml:space="preserve"> orientar la implementación efectiva de todas las actividades que contempla la estrategia de gobierno abierto para Colombia, lo cual ha permitido que los gobiernos locales del departamento muestren un avance importante en relación a las metas fijadas por el nivel nacional.</w:t>
      </w:r>
    </w:p>
    <w:p w:rsidR="00D869DE" w:rsidRDefault="00D869DE" w:rsidP="00F2146D">
      <w:pPr>
        <w:tabs>
          <w:tab w:val="left" w:pos="4169"/>
        </w:tabs>
        <w:spacing w:line="240" w:lineRule="auto"/>
        <w:jc w:val="both"/>
        <w:rPr>
          <w:rFonts w:cs="Arial"/>
          <w:b/>
        </w:rPr>
      </w:pPr>
    </w:p>
    <w:p w:rsidR="00F2146D" w:rsidRPr="001E0B98" w:rsidRDefault="00F2146D" w:rsidP="00F2146D">
      <w:pPr>
        <w:tabs>
          <w:tab w:val="left" w:pos="4169"/>
        </w:tabs>
        <w:spacing w:line="240" w:lineRule="auto"/>
        <w:jc w:val="both"/>
        <w:rPr>
          <w:rFonts w:cs="Arial"/>
          <w:b/>
        </w:rPr>
      </w:pPr>
      <w:r w:rsidRPr="001E0B98">
        <w:rPr>
          <w:rFonts w:cs="Arial"/>
          <w:b/>
        </w:rPr>
        <w:t>3.</w:t>
      </w:r>
      <w:r>
        <w:rPr>
          <w:rFonts w:cs="Arial"/>
          <w:b/>
        </w:rPr>
        <w:t>2</w:t>
      </w:r>
      <w:r w:rsidRPr="001E0B98">
        <w:rPr>
          <w:rFonts w:cs="Arial"/>
          <w:b/>
        </w:rPr>
        <w:t xml:space="preserve">. </w:t>
      </w:r>
      <w:r w:rsidRPr="00F2146D">
        <w:rPr>
          <w:rFonts w:cs="Arial"/>
          <w:b/>
        </w:rPr>
        <w:t>Apertura de información en las administraciones municipales del departamento de Cundinamarca</w:t>
      </w:r>
      <w:r w:rsidRPr="001E0B98">
        <w:rPr>
          <w:rFonts w:cs="Arial"/>
          <w:b/>
        </w:rPr>
        <w:t xml:space="preserve"> </w:t>
      </w:r>
    </w:p>
    <w:p w:rsidR="008C50B5" w:rsidRDefault="008C50B5" w:rsidP="001E0B98">
      <w:pPr>
        <w:tabs>
          <w:tab w:val="left" w:pos="4169"/>
        </w:tabs>
        <w:spacing w:line="240" w:lineRule="auto"/>
        <w:jc w:val="both"/>
        <w:rPr>
          <w:rFonts w:cs="Arial"/>
        </w:rPr>
      </w:pPr>
      <w:r>
        <w:rPr>
          <w:rFonts w:cs="Arial"/>
        </w:rPr>
        <w:t xml:space="preserve">El presente apartado tiene como propósito fundamental analizar los resultados obtenidos a partir de la estimación del Índice de apertura de información municipal, resaltando las características esenciales de los gobiernos locales que han logrado un alto desempeño en función del cumplimiento de metas de </w:t>
      </w:r>
      <w:r>
        <w:rPr>
          <w:rFonts w:cs="Arial"/>
        </w:rPr>
        <w:lastRenderedPageBreak/>
        <w:t>apertura de información propuesto por la estrategia de gobiernos abierto en Colombia, así como señalar los casos de gobiernos locales que aún se encuentran muy rezagados.</w:t>
      </w:r>
    </w:p>
    <w:p w:rsidR="00F2146D" w:rsidRPr="00E37AB9" w:rsidRDefault="00675EB8" w:rsidP="008C50B5">
      <w:pPr>
        <w:tabs>
          <w:tab w:val="left" w:pos="4169"/>
        </w:tabs>
        <w:spacing w:line="240" w:lineRule="auto"/>
        <w:ind w:firstLine="567"/>
        <w:jc w:val="both"/>
        <w:rPr>
          <w:rFonts w:cs="Arial"/>
        </w:rPr>
      </w:pPr>
      <w:r w:rsidRPr="00D869DE">
        <w:rPr>
          <w:rFonts w:cs="Arial"/>
        </w:rPr>
        <w:t>Una vez construido el IAIM</w:t>
      </w:r>
      <w:r>
        <w:rPr>
          <w:rFonts w:cs="Arial"/>
        </w:rPr>
        <w:t xml:space="preserve"> para los 116 gobiernos locales del departamento de Cundinamarca, </w:t>
      </w:r>
      <w:r w:rsidR="00244390">
        <w:rPr>
          <w:rFonts w:cs="Arial"/>
        </w:rPr>
        <w:t>para facilitar el análisis del mismo se calculó la media dando como resultado un IAIM en prom</w:t>
      </w:r>
      <w:r w:rsidR="006A6059">
        <w:rPr>
          <w:rFonts w:cs="Arial"/>
        </w:rPr>
        <w:t xml:space="preserve">edio de 75,71. </w:t>
      </w:r>
      <w:r w:rsidR="0040020A">
        <w:rPr>
          <w:rFonts w:cs="Arial"/>
        </w:rPr>
        <w:t xml:space="preserve">Como se puede observar en el grafico 2, 68 gobiernos locales efectivamente se encuentran por encima del promedio departamental de apertura de información, sin embargo, </w:t>
      </w:r>
      <w:r w:rsidR="004859BB">
        <w:rPr>
          <w:rFonts w:cs="Arial"/>
        </w:rPr>
        <w:t xml:space="preserve">48 </w:t>
      </w:r>
      <w:r w:rsidR="0040020A">
        <w:rPr>
          <w:rFonts w:cs="Arial"/>
        </w:rPr>
        <w:t>gobiernos locales del departamento aún se encuentran muy rezagados en la apertura de in</w:t>
      </w:r>
      <w:r w:rsidR="004859BB">
        <w:rPr>
          <w:rFonts w:cs="Arial"/>
        </w:rPr>
        <w:t>formación estando por debajo del desempeño general de los gobiernos locales del departamento de Cundinamarca.</w:t>
      </w:r>
    </w:p>
    <w:p w:rsidR="001E0B98" w:rsidRDefault="001E0B98" w:rsidP="001E0B98">
      <w:pPr>
        <w:tabs>
          <w:tab w:val="left" w:pos="4169"/>
        </w:tabs>
        <w:spacing w:line="240" w:lineRule="auto"/>
        <w:jc w:val="both"/>
        <w:rPr>
          <w:rFonts w:cs="Arial"/>
        </w:rPr>
      </w:pPr>
    </w:p>
    <w:p w:rsidR="00F01E29" w:rsidRPr="00661E49" w:rsidRDefault="00F01E29" w:rsidP="00F01E29">
      <w:pPr>
        <w:tabs>
          <w:tab w:val="left" w:pos="4169"/>
        </w:tabs>
        <w:spacing w:after="0" w:line="240" w:lineRule="auto"/>
        <w:jc w:val="center"/>
        <w:rPr>
          <w:rFonts w:cs="Arial"/>
          <w:b/>
          <w:sz w:val="20"/>
        </w:rPr>
      </w:pPr>
      <w:r w:rsidRPr="00661E49">
        <w:rPr>
          <w:rFonts w:cs="Arial"/>
          <w:b/>
          <w:sz w:val="20"/>
        </w:rPr>
        <w:t>Grafico 2.</w:t>
      </w:r>
      <w:r w:rsidRPr="00661E49">
        <w:rPr>
          <w:rFonts w:cs="Arial"/>
          <w:sz w:val="20"/>
        </w:rPr>
        <w:t xml:space="preserve"> </w:t>
      </w:r>
      <w:r w:rsidRPr="00F01E29">
        <w:rPr>
          <w:rFonts w:cs="Arial"/>
          <w:sz w:val="20"/>
        </w:rPr>
        <w:t>Nivel de avance en el IAM en los gobiernos locales del departamento de Cundinamarca.</w:t>
      </w:r>
    </w:p>
    <w:p w:rsidR="00F01E29" w:rsidRDefault="00F01E29" w:rsidP="001E0B98">
      <w:pPr>
        <w:tabs>
          <w:tab w:val="left" w:pos="4169"/>
        </w:tabs>
        <w:spacing w:line="240" w:lineRule="auto"/>
        <w:jc w:val="both"/>
        <w:rPr>
          <w:rFonts w:cs="Arial"/>
        </w:rPr>
      </w:pPr>
    </w:p>
    <w:p w:rsidR="00675EB8" w:rsidRDefault="00ED1DB9" w:rsidP="0040020A">
      <w:pPr>
        <w:tabs>
          <w:tab w:val="left" w:pos="4169"/>
        </w:tabs>
        <w:spacing w:line="240" w:lineRule="auto"/>
        <w:jc w:val="center"/>
        <w:rPr>
          <w:rFonts w:cs="Arial"/>
        </w:rPr>
      </w:pPr>
      <w:r>
        <w:rPr>
          <w:noProof/>
          <w:lang w:eastAsia="es-CO"/>
        </w:rPr>
        <w:drawing>
          <wp:inline distT="0" distB="0" distL="0" distR="0">
            <wp:extent cx="4572000" cy="274320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0020A" w:rsidRPr="00661E49" w:rsidRDefault="0040020A" w:rsidP="00F01E29">
      <w:pPr>
        <w:tabs>
          <w:tab w:val="left" w:pos="4169"/>
        </w:tabs>
        <w:spacing w:after="0" w:line="240" w:lineRule="auto"/>
        <w:jc w:val="center"/>
        <w:rPr>
          <w:rFonts w:cs="Arial"/>
          <w:sz w:val="20"/>
        </w:rPr>
      </w:pPr>
      <w:r w:rsidRPr="00661E49">
        <w:rPr>
          <w:rFonts w:cs="Arial"/>
          <w:sz w:val="20"/>
        </w:rPr>
        <w:t>Fuente: Elaboración propia.</w:t>
      </w:r>
    </w:p>
    <w:p w:rsidR="00675EB8" w:rsidRPr="00661E49" w:rsidRDefault="00675EB8" w:rsidP="001E0B98">
      <w:pPr>
        <w:tabs>
          <w:tab w:val="left" w:pos="4169"/>
        </w:tabs>
        <w:spacing w:line="240" w:lineRule="auto"/>
        <w:jc w:val="both"/>
        <w:rPr>
          <w:rFonts w:cs="Arial"/>
          <w:sz w:val="20"/>
        </w:rPr>
      </w:pPr>
    </w:p>
    <w:p w:rsidR="00A47C7F" w:rsidRDefault="00A47C7F" w:rsidP="002D1799">
      <w:pPr>
        <w:spacing w:line="240" w:lineRule="auto"/>
        <w:ind w:firstLine="567"/>
        <w:jc w:val="both"/>
      </w:pPr>
      <w:r>
        <w:t>A partir del IAIM, (grafico 3) se identifica una tendencia generalizada en las entidades territoriales del departamento en mantener niveles más bajos de apertura de información en categorías de mayor importancia para el efectivo control ciudadano y rendición de cuentas,  como lo son la información financiera y contable de la entidad, lo cual incluye presupuesto anual, información histórica presupuestal (incluyendo ejecuciones) y los estados financieros; de igual forma la información de Recursos humanos de sus entidades, en donde deberán especificar los perfiles de sus funcionarios públicos, asignaciones salariales, evaluación de desempeño o acuerdos de gestión entre otras.</w:t>
      </w:r>
    </w:p>
    <w:p w:rsidR="00A47C7F" w:rsidRDefault="00A47C7F" w:rsidP="002D1799">
      <w:pPr>
        <w:spacing w:line="240" w:lineRule="auto"/>
        <w:ind w:firstLine="567"/>
        <w:jc w:val="both"/>
      </w:pPr>
      <w:r>
        <w:t>La categoría de trámites y servicios aún se encuentra en un nivel muy bajo, esto en especial por la baja capacidad tecnológica que han tenido las entidades territoriales para registrar, automatizar y poner a disposición de los ciudadanos sus trámites y servicios totalmente en línea; además evidencia un bajo seguimiento a las peticiones quejas y reclamos, ya que la publicación de estos informes es uno de los ítems a calificar en esta categoría.</w:t>
      </w:r>
    </w:p>
    <w:p w:rsidR="00311E1A" w:rsidRDefault="00311E1A" w:rsidP="00F87C5B">
      <w:pPr>
        <w:spacing w:line="240" w:lineRule="auto"/>
        <w:jc w:val="center"/>
      </w:pPr>
    </w:p>
    <w:p w:rsidR="00311E1A" w:rsidRDefault="00311E1A" w:rsidP="00F87C5B">
      <w:pPr>
        <w:spacing w:line="240" w:lineRule="auto"/>
        <w:jc w:val="center"/>
      </w:pPr>
    </w:p>
    <w:p w:rsidR="00311E1A" w:rsidRDefault="00311E1A" w:rsidP="00F87C5B">
      <w:pPr>
        <w:spacing w:line="240" w:lineRule="auto"/>
        <w:jc w:val="center"/>
      </w:pPr>
    </w:p>
    <w:p w:rsidR="00F01E29" w:rsidRPr="00F87C5B" w:rsidRDefault="00F01E29" w:rsidP="00F01E29">
      <w:pPr>
        <w:spacing w:after="0" w:line="240" w:lineRule="auto"/>
        <w:jc w:val="center"/>
        <w:rPr>
          <w:b/>
        </w:rPr>
      </w:pPr>
      <w:r w:rsidRPr="00661E49">
        <w:rPr>
          <w:b/>
          <w:sz w:val="20"/>
        </w:rPr>
        <w:t xml:space="preserve">Grafico 3. </w:t>
      </w:r>
      <w:r w:rsidRPr="00F01E29">
        <w:rPr>
          <w:sz w:val="20"/>
        </w:rPr>
        <w:t>Promedio de publicación de información por categoría para el departamento de Cundinamarca.</w:t>
      </w:r>
    </w:p>
    <w:p w:rsidR="00311E1A" w:rsidRDefault="000D7E06" w:rsidP="008C50B5">
      <w:pPr>
        <w:spacing w:line="240" w:lineRule="auto"/>
      </w:pPr>
      <w:r>
        <w:rPr>
          <w:noProof/>
          <w:lang w:eastAsia="es-CO"/>
        </w:rPr>
        <w:drawing>
          <wp:anchor distT="0" distB="0" distL="114300" distR="114300" simplePos="0" relativeHeight="251637760" behindDoc="1" locked="0" layoutInCell="1" allowOverlap="1">
            <wp:simplePos x="0" y="0"/>
            <wp:positionH relativeFrom="column">
              <wp:posOffset>-205105</wp:posOffset>
            </wp:positionH>
            <wp:positionV relativeFrom="paragraph">
              <wp:posOffset>180975</wp:posOffset>
            </wp:positionV>
            <wp:extent cx="4448175" cy="3238500"/>
            <wp:effectExtent l="0" t="0" r="0" b="0"/>
            <wp:wrapTight wrapText="bothSides">
              <wp:wrapPolygon edited="0">
                <wp:start x="0" y="0"/>
                <wp:lineTo x="0" y="21473"/>
                <wp:lineTo x="21461" y="21473"/>
                <wp:lineTo x="21461" y="0"/>
                <wp:lineTo x="0" y="0"/>
              </wp:wrapPolygon>
            </wp:wrapTight>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CF6E5E">
        <w:t xml:space="preserve"> </w:t>
      </w:r>
    </w:p>
    <w:tbl>
      <w:tblPr>
        <w:tblpPr w:leftFromText="141" w:rightFromText="141" w:vertAnchor="text" w:horzAnchor="margin" w:tblpXSpec="right" w:tblpY="287"/>
        <w:tblW w:w="2919" w:type="dxa"/>
        <w:tblCellMar>
          <w:left w:w="70" w:type="dxa"/>
          <w:right w:w="70" w:type="dxa"/>
        </w:tblCellMar>
        <w:tblLook w:val="04A0"/>
      </w:tblPr>
      <w:tblGrid>
        <w:gridCol w:w="1744"/>
        <w:gridCol w:w="1175"/>
      </w:tblGrid>
      <w:tr w:rsidR="00CF6E5E" w:rsidRPr="00CF6E5E" w:rsidTr="00CF6E5E">
        <w:trPr>
          <w:trHeight w:val="447"/>
        </w:trPr>
        <w:tc>
          <w:tcPr>
            <w:tcW w:w="1744" w:type="dxa"/>
            <w:tcBorders>
              <w:top w:val="single" w:sz="4" w:space="0" w:color="auto"/>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Información de la entidad</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91</w:t>
            </w:r>
          </w:p>
        </w:tc>
      </w:tr>
      <w:tr w:rsidR="00CF6E5E" w:rsidRPr="00CF6E5E" w:rsidTr="00CF6E5E">
        <w:trPr>
          <w:trHeight w:val="447"/>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Datos básicos de contacto</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90</w:t>
            </w:r>
          </w:p>
        </w:tc>
      </w:tr>
      <w:tr w:rsidR="00CF6E5E" w:rsidRPr="00CF6E5E" w:rsidTr="00CF6E5E">
        <w:trPr>
          <w:trHeight w:val="447"/>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Atención al ciudadano</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91</w:t>
            </w:r>
          </w:p>
        </w:tc>
      </w:tr>
      <w:tr w:rsidR="00CF6E5E" w:rsidRPr="00CF6E5E" w:rsidTr="00CF6E5E">
        <w:trPr>
          <w:trHeight w:val="671"/>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Normatividad, políticas y lineamientos</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85</w:t>
            </w:r>
          </w:p>
        </w:tc>
      </w:tr>
      <w:tr w:rsidR="00CF6E5E" w:rsidRPr="00CF6E5E" w:rsidTr="00CF6E5E">
        <w:trPr>
          <w:trHeight w:val="545"/>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Información financiera y contable</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46</w:t>
            </w:r>
          </w:p>
        </w:tc>
      </w:tr>
      <w:tr w:rsidR="00CF6E5E" w:rsidRPr="00CF6E5E" w:rsidTr="00CF6E5E">
        <w:trPr>
          <w:trHeight w:val="447"/>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Planeación y gestión</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74</w:t>
            </w:r>
          </w:p>
        </w:tc>
      </w:tr>
      <w:tr w:rsidR="00CF6E5E" w:rsidRPr="00CF6E5E" w:rsidTr="00CF6E5E">
        <w:trPr>
          <w:trHeight w:val="279"/>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Control fiscal</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90</w:t>
            </w:r>
          </w:p>
        </w:tc>
      </w:tr>
      <w:tr w:rsidR="00CF6E5E" w:rsidRPr="00CF6E5E" w:rsidTr="00CF6E5E">
        <w:trPr>
          <w:trHeight w:val="279"/>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Trámites y servicios</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61</w:t>
            </w:r>
          </w:p>
        </w:tc>
      </w:tr>
      <w:tr w:rsidR="00CF6E5E" w:rsidRPr="00CF6E5E" w:rsidTr="00CF6E5E">
        <w:trPr>
          <w:trHeight w:val="279"/>
        </w:trPr>
        <w:tc>
          <w:tcPr>
            <w:tcW w:w="1744" w:type="dxa"/>
            <w:tcBorders>
              <w:top w:val="nil"/>
              <w:left w:val="single" w:sz="4" w:space="0" w:color="auto"/>
              <w:bottom w:val="single" w:sz="4" w:space="0" w:color="auto"/>
              <w:right w:val="single" w:sz="4" w:space="0" w:color="auto"/>
            </w:tcBorders>
            <w:shd w:val="clear" w:color="5B9BD5" w:fill="FFFFFF"/>
            <w:vAlign w:val="center"/>
            <w:hideMark/>
          </w:tcPr>
          <w:p w:rsidR="00CF6E5E" w:rsidRPr="00CF6E5E" w:rsidRDefault="00CF6E5E" w:rsidP="00CF6E5E">
            <w:pPr>
              <w:spacing w:after="0" w:line="240" w:lineRule="auto"/>
              <w:jc w:val="center"/>
              <w:rPr>
                <w:rFonts w:ascii="Calibri" w:eastAsia="Times New Roman" w:hAnsi="Calibri" w:cs="Times New Roman"/>
                <w:sz w:val="18"/>
                <w:szCs w:val="18"/>
                <w:lang w:eastAsia="es-CO"/>
              </w:rPr>
            </w:pPr>
            <w:r w:rsidRPr="00CF6E5E">
              <w:rPr>
                <w:rFonts w:ascii="Calibri" w:eastAsia="Times New Roman" w:hAnsi="Calibri" w:cs="Times New Roman"/>
                <w:sz w:val="18"/>
                <w:szCs w:val="18"/>
                <w:lang w:eastAsia="es-CO"/>
              </w:rPr>
              <w:t>Recursos humanos</w:t>
            </w:r>
          </w:p>
        </w:tc>
        <w:tc>
          <w:tcPr>
            <w:tcW w:w="1175" w:type="dxa"/>
            <w:tcBorders>
              <w:top w:val="nil"/>
              <w:left w:val="nil"/>
              <w:bottom w:val="single" w:sz="4" w:space="0" w:color="auto"/>
              <w:right w:val="single" w:sz="4" w:space="0" w:color="auto"/>
            </w:tcBorders>
            <w:shd w:val="clear" w:color="auto" w:fill="auto"/>
            <w:noWrap/>
            <w:vAlign w:val="bottom"/>
            <w:hideMark/>
          </w:tcPr>
          <w:p w:rsidR="00CF6E5E" w:rsidRPr="00CF6E5E" w:rsidRDefault="00CF6E5E" w:rsidP="00CF6E5E">
            <w:pPr>
              <w:spacing w:after="0" w:line="240" w:lineRule="auto"/>
              <w:jc w:val="center"/>
              <w:rPr>
                <w:rFonts w:ascii="Calibri" w:eastAsia="Times New Roman" w:hAnsi="Calibri" w:cs="Times New Roman"/>
                <w:color w:val="000000"/>
                <w:sz w:val="18"/>
                <w:szCs w:val="18"/>
                <w:lang w:eastAsia="es-CO"/>
              </w:rPr>
            </w:pPr>
            <w:r w:rsidRPr="00CF6E5E">
              <w:rPr>
                <w:rFonts w:ascii="Calibri" w:eastAsia="Times New Roman" w:hAnsi="Calibri" w:cs="Times New Roman"/>
                <w:color w:val="000000"/>
                <w:sz w:val="18"/>
                <w:szCs w:val="18"/>
                <w:lang w:eastAsia="es-CO"/>
              </w:rPr>
              <w:t>60</w:t>
            </w:r>
          </w:p>
        </w:tc>
      </w:tr>
    </w:tbl>
    <w:p w:rsidR="00311E1A" w:rsidRDefault="00311E1A" w:rsidP="00F87C5B">
      <w:pPr>
        <w:spacing w:after="0" w:line="240" w:lineRule="auto"/>
        <w:jc w:val="both"/>
      </w:pPr>
    </w:p>
    <w:p w:rsidR="00CF6E5E" w:rsidRDefault="00CF6E5E" w:rsidP="00F87C5B">
      <w:pPr>
        <w:spacing w:after="0" w:line="240" w:lineRule="auto"/>
        <w:jc w:val="both"/>
      </w:pPr>
    </w:p>
    <w:p w:rsidR="00CF6E5E" w:rsidRDefault="00CF6E5E" w:rsidP="00F87C5B">
      <w:pPr>
        <w:spacing w:after="0" w:line="240" w:lineRule="auto"/>
        <w:jc w:val="both"/>
        <w:rPr>
          <w:b/>
          <w:sz w:val="20"/>
        </w:rPr>
      </w:pPr>
    </w:p>
    <w:p w:rsidR="00CF6E5E" w:rsidRDefault="00CF6E5E" w:rsidP="00F01E29">
      <w:pPr>
        <w:spacing w:after="0" w:line="240" w:lineRule="auto"/>
        <w:jc w:val="center"/>
        <w:rPr>
          <w:sz w:val="20"/>
        </w:rPr>
      </w:pPr>
    </w:p>
    <w:p w:rsidR="00A47C7F" w:rsidRPr="00661E49" w:rsidRDefault="00A47C7F" w:rsidP="00F01E29">
      <w:pPr>
        <w:spacing w:after="0" w:line="240" w:lineRule="auto"/>
        <w:jc w:val="center"/>
        <w:rPr>
          <w:sz w:val="20"/>
        </w:rPr>
      </w:pPr>
      <w:r w:rsidRPr="00661E49">
        <w:rPr>
          <w:sz w:val="20"/>
        </w:rPr>
        <w:t>Fuente: Elaboración propia a partir de los resultados</w:t>
      </w:r>
      <w:r w:rsidR="00661E49">
        <w:rPr>
          <w:sz w:val="20"/>
        </w:rPr>
        <w:t xml:space="preserve"> de gobierno abierto</w:t>
      </w:r>
      <w:r w:rsidRPr="00661E49">
        <w:rPr>
          <w:sz w:val="20"/>
        </w:rPr>
        <w:t xml:space="preserve"> del Departamento de Cundinamarca.</w:t>
      </w:r>
    </w:p>
    <w:p w:rsidR="00A47C7F" w:rsidRDefault="00A47C7F" w:rsidP="00A47C7F">
      <w:pPr>
        <w:spacing w:after="0" w:line="240" w:lineRule="auto"/>
        <w:jc w:val="both"/>
      </w:pPr>
    </w:p>
    <w:p w:rsidR="00311E1A" w:rsidRDefault="00311E1A" w:rsidP="00A47C7F">
      <w:pPr>
        <w:spacing w:after="0" w:line="240" w:lineRule="auto"/>
        <w:jc w:val="both"/>
      </w:pPr>
    </w:p>
    <w:p w:rsidR="00A47C7F" w:rsidRDefault="00A47C7F" w:rsidP="002D1799">
      <w:pPr>
        <w:spacing w:line="240" w:lineRule="auto"/>
        <w:ind w:firstLine="567"/>
        <w:jc w:val="both"/>
      </w:pPr>
      <w:r>
        <w:t>La categoría de información que mayor apertura registra las entidades territoriales de Cundinamarca son la de información general y datos básicos de contacto de las entidades, las cuales contemplan de un lado que las entidades publiquen su misión, visión, objetivos estratégicos, organización interna y de otro faciliten datos de contacto, sucursales si las hubiera, correos electrónicos de notificaciones entre otras. A estos dos se suma la categoría denominada control fiscal, la cual hace referencia a dos ítems de contratación pública específicamente publicación del plan anual de adquisiciones y publicación de los procesos contractuales en electrónico para la contratación púb</w:t>
      </w:r>
      <w:r w:rsidR="00F01DAA">
        <w:t>lica</w:t>
      </w:r>
      <w:r>
        <w:t>-SECOP; información que con</w:t>
      </w:r>
      <w:r w:rsidR="00F01DAA">
        <w:t>stantemente es revisada por la Contraloría General de la N</w:t>
      </w:r>
      <w:r>
        <w:t>ación directamente a través de los portales web municipales.</w:t>
      </w:r>
    </w:p>
    <w:p w:rsidR="0040020A" w:rsidRDefault="005D4835" w:rsidP="002D1799">
      <w:pPr>
        <w:tabs>
          <w:tab w:val="left" w:pos="4169"/>
        </w:tabs>
        <w:spacing w:line="240" w:lineRule="auto"/>
        <w:ind w:firstLine="567"/>
        <w:jc w:val="both"/>
        <w:rPr>
          <w:rFonts w:cs="Arial"/>
        </w:rPr>
      </w:pPr>
      <w:r>
        <w:rPr>
          <w:rFonts w:cs="Arial"/>
        </w:rPr>
        <w:t>Pues bien, dentro del grupo de 68 gobiernos locales que cuentan con un alto IAIM se destacan municipios como El Rosal, Facatativá, Fusagasugá, Tocancipá, Cajicá, Madrid, Soacha, Zipaquirá y Chía, los cuales son gobiernos locales con una alta capacidad administrativa y fiscal en el departamento, dado que son los municipios que mayor cantidad de población albergan, así como los que son de categorías superiores a la sexta.</w:t>
      </w:r>
      <w:r w:rsidR="007139A4">
        <w:rPr>
          <w:rFonts w:cs="Arial"/>
        </w:rPr>
        <w:t xml:space="preserve"> En términos territoriales dichos municipios conforman las llamadas provincias de sabana centro, sabana occidente y Soacha, las cuales son las más cercanas a la capital del país, Bogotá.</w:t>
      </w:r>
    </w:p>
    <w:p w:rsidR="005D4835" w:rsidRDefault="005D4835" w:rsidP="002D1799">
      <w:pPr>
        <w:tabs>
          <w:tab w:val="left" w:pos="4169"/>
        </w:tabs>
        <w:spacing w:line="240" w:lineRule="auto"/>
        <w:ind w:firstLine="567"/>
        <w:jc w:val="both"/>
        <w:rPr>
          <w:rFonts w:cs="Arial"/>
        </w:rPr>
      </w:pPr>
      <w:r>
        <w:rPr>
          <w:rFonts w:cs="Arial"/>
        </w:rPr>
        <w:t>Sin embargo, el IAIM nos muestra un alto desempeño en términos de apertura de información</w:t>
      </w:r>
      <w:r w:rsidR="007139A4">
        <w:rPr>
          <w:rFonts w:cs="Arial"/>
        </w:rPr>
        <w:t xml:space="preserve"> de municipios considerados como de baja capacidad como es el caso de Choachí y Fómeque, los cuales tienen como característica ser municipios de sexta categoría y pertenecer a la provincia de oriente, la cual si bien no cuenta con una alta capacidad financiera y administrativa como los municipios de sabana, son muy próximos a la capital del país, en donde se ubica la gobernación departamental. </w:t>
      </w:r>
    </w:p>
    <w:p w:rsidR="00675EB8" w:rsidRDefault="00734518" w:rsidP="002D1799">
      <w:pPr>
        <w:tabs>
          <w:tab w:val="left" w:pos="4169"/>
        </w:tabs>
        <w:spacing w:line="240" w:lineRule="auto"/>
        <w:ind w:firstLine="567"/>
        <w:jc w:val="both"/>
        <w:rPr>
          <w:rFonts w:cs="Arial"/>
        </w:rPr>
      </w:pPr>
      <w:r>
        <w:rPr>
          <w:rFonts w:cs="Arial"/>
        </w:rPr>
        <w:lastRenderedPageBreak/>
        <w:t>De otro lado, gobiernos locales como Gachal</w:t>
      </w:r>
      <w:r w:rsidR="00E7059C">
        <w:rPr>
          <w:rFonts w:cs="Arial"/>
        </w:rPr>
        <w:t>á</w:t>
      </w:r>
      <w:r w:rsidR="007F5E1C">
        <w:rPr>
          <w:rFonts w:cs="Arial"/>
        </w:rPr>
        <w:t>, G</w:t>
      </w:r>
      <w:r>
        <w:rPr>
          <w:rFonts w:cs="Arial"/>
        </w:rPr>
        <w:t xml:space="preserve">ama, </w:t>
      </w:r>
      <w:r w:rsidR="006B5DE6">
        <w:rPr>
          <w:rFonts w:cs="Arial"/>
        </w:rPr>
        <w:t xml:space="preserve">Gacheta, </w:t>
      </w:r>
      <w:r>
        <w:rPr>
          <w:rFonts w:cs="Arial"/>
        </w:rPr>
        <w:t>Ubal</w:t>
      </w:r>
      <w:r w:rsidR="007F5E1C">
        <w:rPr>
          <w:rFonts w:cs="Arial"/>
        </w:rPr>
        <w:t>á</w:t>
      </w:r>
      <w:r>
        <w:rPr>
          <w:rFonts w:cs="Arial"/>
        </w:rPr>
        <w:t xml:space="preserve">, y Quebradanegra son los que presentan un IAIM más bajo en todo el departamento oscilando entre los 38 y 55 puntos. </w:t>
      </w:r>
      <w:r w:rsidR="00772DF0">
        <w:rPr>
          <w:rFonts w:cs="Arial"/>
        </w:rPr>
        <w:t>Estos gobiernos locales hacen parte de las provincias de Guavio y Gualiv</w:t>
      </w:r>
      <w:r w:rsidR="007F5E1C">
        <w:rPr>
          <w:rFonts w:cs="Arial"/>
        </w:rPr>
        <w:t xml:space="preserve">á, </w:t>
      </w:r>
      <w:r w:rsidR="00772DF0">
        <w:rPr>
          <w:rFonts w:cs="Arial"/>
        </w:rPr>
        <w:t xml:space="preserve"> que son las que menor avance presentan en apertura de información a través de su canal web.</w:t>
      </w:r>
      <w:r w:rsidR="006B5DE6">
        <w:rPr>
          <w:rFonts w:cs="Arial"/>
        </w:rPr>
        <w:t xml:space="preserve"> Estos </w:t>
      </w:r>
      <w:r w:rsidR="00AA2224">
        <w:rPr>
          <w:rFonts w:cs="Arial"/>
        </w:rPr>
        <w:t>gobiernos locale</w:t>
      </w:r>
      <w:r w:rsidR="006B5DE6">
        <w:rPr>
          <w:rFonts w:cs="Arial"/>
        </w:rPr>
        <w:t xml:space="preserve">s según la evaluación de desempaño integral  Municipal realizada por el Departamento Nacional de Planeación para el año 2013, </w:t>
      </w:r>
      <w:r w:rsidR="00AA2224">
        <w:rPr>
          <w:rFonts w:cs="Arial"/>
        </w:rPr>
        <w:t>presentan</w:t>
      </w:r>
      <w:r w:rsidR="006B5DE6">
        <w:rPr>
          <w:rFonts w:cs="Arial"/>
        </w:rPr>
        <w:t xml:space="preserve"> niveles bajo</w:t>
      </w:r>
      <w:r w:rsidR="00AA2224">
        <w:rPr>
          <w:rFonts w:cs="Arial"/>
        </w:rPr>
        <w:t>s</w:t>
      </w:r>
      <w:r w:rsidR="006B5DE6">
        <w:rPr>
          <w:rFonts w:cs="Arial"/>
        </w:rPr>
        <w:t xml:space="preserve"> de desempeño tanto a nivel fiscal, como </w:t>
      </w:r>
      <w:r w:rsidR="00AA2224">
        <w:rPr>
          <w:rFonts w:cs="Arial"/>
        </w:rPr>
        <w:t>en su</w:t>
      </w:r>
      <w:r w:rsidR="006B5DE6">
        <w:rPr>
          <w:rFonts w:cs="Arial"/>
        </w:rPr>
        <w:t xml:space="preserve"> índice de desempeño administrativo</w:t>
      </w:r>
      <w:r w:rsidR="00AA2224">
        <w:rPr>
          <w:rFonts w:cs="Arial"/>
        </w:rPr>
        <w:t>-</w:t>
      </w:r>
      <w:r w:rsidR="006B5DE6">
        <w:rPr>
          <w:rFonts w:cs="Arial"/>
        </w:rPr>
        <w:t>ICA</w:t>
      </w:r>
      <w:r w:rsidR="00AA2224">
        <w:rPr>
          <w:rFonts w:cs="Arial"/>
        </w:rPr>
        <w:t>, los cuales conforman esta evaluación. Son municipios aún muy distantes de lograr una mayor capacidad administrativa que los acerque al top 10 departamental, puestos que ocupan actualmente los gobiernos locales de las provincias de la sabana.</w:t>
      </w:r>
    </w:p>
    <w:p w:rsidR="001A07D7" w:rsidRDefault="001A07D7" w:rsidP="002D1799">
      <w:pPr>
        <w:tabs>
          <w:tab w:val="left" w:pos="4169"/>
        </w:tabs>
        <w:spacing w:line="240" w:lineRule="auto"/>
        <w:ind w:firstLine="567"/>
        <w:jc w:val="both"/>
        <w:rPr>
          <w:rFonts w:cs="Arial"/>
        </w:rPr>
      </w:pPr>
    </w:p>
    <w:p w:rsidR="00AA2224" w:rsidRDefault="00F01E29" w:rsidP="001A07D7">
      <w:pPr>
        <w:tabs>
          <w:tab w:val="left" w:pos="4169"/>
        </w:tabs>
        <w:spacing w:after="0" w:line="240" w:lineRule="auto"/>
        <w:jc w:val="center"/>
        <w:rPr>
          <w:rFonts w:cs="Arial"/>
          <w:b/>
          <w:sz w:val="20"/>
        </w:rPr>
      </w:pPr>
      <w:r>
        <w:rPr>
          <w:rFonts w:cs="Arial"/>
          <w:b/>
          <w:sz w:val="20"/>
        </w:rPr>
        <w:t>Cuadro1</w:t>
      </w:r>
      <w:r w:rsidRPr="006B00A8">
        <w:rPr>
          <w:rFonts w:cs="Arial"/>
          <w:b/>
          <w:sz w:val="20"/>
        </w:rPr>
        <w:t>.</w:t>
      </w:r>
      <w:r w:rsidRPr="00F01E29">
        <w:rPr>
          <w:rFonts w:cs="Arial"/>
          <w:sz w:val="20"/>
        </w:rPr>
        <w:t xml:space="preserve"> Índice de desempeño integral Municipal.</w:t>
      </w:r>
    </w:p>
    <w:p w:rsidR="001A07D7" w:rsidRPr="001A07D7" w:rsidRDefault="001A07D7" w:rsidP="001A07D7">
      <w:pPr>
        <w:tabs>
          <w:tab w:val="left" w:pos="4169"/>
        </w:tabs>
        <w:spacing w:after="0" w:line="240" w:lineRule="auto"/>
        <w:jc w:val="center"/>
        <w:rPr>
          <w:rFonts w:cs="Arial"/>
          <w:b/>
          <w:sz w:val="20"/>
        </w:rPr>
      </w:pPr>
    </w:p>
    <w:tbl>
      <w:tblPr>
        <w:tblW w:w="3940" w:type="dxa"/>
        <w:jc w:val="center"/>
        <w:tblCellMar>
          <w:left w:w="70" w:type="dxa"/>
          <w:right w:w="70" w:type="dxa"/>
        </w:tblCellMar>
        <w:tblLook w:val="04A0"/>
      </w:tblPr>
      <w:tblGrid>
        <w:gridCol w:w="1540"/>
        <w:gridCol w:w="1200"/>
        <w:gridCol w:w="1200"/>
      </w:tblGrid>
      <w:tr w:rsidR="00AA2224" w:rsidRPr="00AA2224" w:rsidTr="00AA2224">
        <w:trPr>
          <w:trHeight w:val="735"/>
          <w:jc w:val="center"/>
        </w:trPr>
        <w:tc>
          <w:tcPr>
            <w:tcW w:w="154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AA2224" w:rsidRPr="00AA2224" w:rsidRDefault="00AA2224" w:rsidP="00AA2224">
            <w:pPr>
              <w:spacing w:after="0" w:line="240" w:lineRule="auto"/>
              <w:jc w:val="center"/>
              <w:rPr>
                <w:rFonts w:ascii="Calibri" w:eastAsia="Times New Roman" w:hAnsi="Calibri" w:cs="Times New Roman"/>
                <w:b/>
                <w:bCs/>
                <w:sz w:val="18"/>
                <w:szCs w:val="18"/>
                <w:lang w:eastAsia="es-CO"/>
              </w:rPr>
            </w:pPr>
            <w:r w:rsidRPr="00AA2224">
              <w:rPr>
                <w:rFonts w:ascii="Calibri" w:eastAsia="Times New Roman" w:hAnsi="Calibri" w:cs="Times New Roman"/>
                <w:b/>
                <w:bCs/>
                <w:sz w:val="18"/>
                <w:szCs w:val="18"/>
                <w:lang w:val="en-US" w:eastAsia="es-CO"/>
              </w:rPr>
              <w:t>MUNICIPIO</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rsidR="00AA2224" w:rsidRPr="00AA2224" w:rsidRDefault="00AA2224" w:rsidP="00AA2224">
            <w:pPr>
              <w:spacing w:after="0" w:line="240" w:lineRule="auto"/>
              <w:jc w:val="center"/>
              <w:rPr>
                <w:rFonts w:ascii="Calibri" w:eastAsia="Times New Roman" w:hAnsi="Calibri" w:cs="Times New Roman"/>
                <w:b/>
                <w:bCs/>
                <w:sz w:val="18"/>
                <w:szCs w:val="18"/>
                <w:lang w:eastAsia="es-CO"/>
              </w:rPr>
            </w:pPr>
            <w:r w:rsidRPr="00AA2224">
              <w:rPr>
                <w:rFonts w:ascii="Calibri" w:eastAsia="Times New Roman" w:hAnsi="Calibri" w:cs="Times New Roman"/>
                <w:b/>
                <w:bCs/>
                <w:sz w:val="18"/>
                <w:szCs w:val="18"/>
                <w:lang w:val="en-US" w:eastAsia="es-CO"/>
              </w:rPr>
              <w:t>INDICE DE DESEMPEÑO INTEGRAL</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rsidR="00AA2224" w:rsidRPr="00AA2224" w:rsidRDefault="00AA2224" w:rsidP="00AA2224">
            <w:pPr>
              <w:spacing w:after="0" w:line="240" w:lineRule="auto"/>
              <w:jc w:val="center"/>
              <w:rPr>
                <w:rFonts w:ascii="Calibri" w:eastAsia="Times New Roman" w:hAnsi="Calibri" w:cs="Times New Roman"/>
                <w:b/>
                <w:bCs/>
                <w:sz w:val="18"/>
                <w:szCs w:val="18"/>
                <w:lang w:eastAsia="es-CO"/>
              </w:rPr>
            </w:pPr>
            <w:r w:rsidRPr="00AA2224">
              <w:rPr>
                <w:rFonts w:ascii="Calibri" w:eastAsia="Times New Roman" w:hAnsi="Calibri" w:cs="Times New Roman"/>
                <w:b/>
                <w:bCs/>
                <w:sz w:val="18"/>
                <w:szCs w:val="18"/>
                <w:lang w:val="en-US" w:eastAsia="es-CO"/>
              </w:rPr>
              <w:t>POSICION DTAL</w:t>
            </w:r>
          </w:p>
        </w:tc>
      </w:tr>
      <w:tr w:rsidR="00AA2224" w:rsidRPr="00AA2224" w:rsidTr="00AA2224">
        <w:trPr>
          <w:trHeight w:val="300"/>
          <w:jc w:val="center"/>
        </w:trPr>
        <w:tc>
          <w:tcPr>
            <w:tcW w:w="1540" w:type="dxa"/>
            <w:tcBorders>
              <w:top w:val="nil"/>
              <w:left w:val="single" w:sz="8" w:space="0" w:color="auto"/>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rPr>
                <w:rFonts w:ascii="Calibri" w:eastAsia="Times New Roman" w:hAnsi="Calibri" w:cs="Times New Roman"/>
                <w:sz w:val="18"/>
                <w:szCs w:val="18"/>
                <w:lang w:eastAsia="es-CO"/>
              </w:rPr>
            </w:pPr>
            <w:proofErr w:type="spellStart"/>
            <w:r w:rsidRPr="00AA2224">
              <w:rPr>
                <w:rFonts w:ascii="Calibri" w:eastAsia="Times New Roman" w:hAnsi="Calibri" w:cs="Times New Roman"/>
                <w:sz w:val="18"/>
                <w:szCs w:val="18"/>
                <w:lang w:eastAsia="es-CO"/>
              </w:rPr>
              <w:t>Gachala</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val="en-US" w:eastAsia="es-CO"/>
              </w:rPr>
              <w:t>62,54</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val="en-US" w:eastAsia="es-CO"/>
              </w:rPr>
              <w:t>113</w:t>
            </w:r>
          </w:p>
        </w:tc>
      </w:tr>
      <w:tr w:rsidR="00AA2224" w:rsidRPr="00AA2224" w:rsidTr="00AA2224">
        <w:trPr>
          <w:trHeight w:val="300"/>
          <w:jc w:val="center"/>
        </w:trPr>
        <w:tc>
          <w:tcPr>
            <w:tcW w:w="1540" w:type="dxa"/>
            <w:tcBorders>
              <w:top w:val="nil"/>
              <w:left w:val="single" w:sz="8" w:space="0" w:color="auto"/>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Gama</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val="en-US" w:eastAsia="es-CO"/>
              </w:rPr>
              <w:t>76,90</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val="en-US" w:eastAsia="es-CO"/>
              </w:rPr>
              <w:t>85</w:t>
            </w:r>
          </w:p>
        </w:tc>
      </w:tr>
      <w:tr w:rsidR="00AA2224" w:rsidRPr="00AA2224" w:rsidTr="00AA2224">
        <w:trPr>
          <w:trHeight w:val="300"/>
          <w:jc w:val="center"/>
        </w:trPr>
        <w:tc>
          <w:tcPr>
            <w:tcW w:w="1540" w:type="dxa"/>
            <w:tcBorders>
              <w:top w:val="nil"/>
              <w:left w:val="single" w:sz="8" w:space="0" w:color="auto"/>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Quebradanegra</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val="en-US" w:eastAsia="es-CO"/>
              </w:rPr>
              <w:t>78,08</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val="en-US" w:eastAsia="es-CO"/>
              </w:rPr>
              <w:t>79</w:t>
            </w:r>
          </w:p>
        </w:tc>
      </w:tr>
      <w:tr w:rsidR="00AA2224" w:rsidRPr="00AA2224" w:rsidTr="00AA2224">
        <w:trPr>
          <w:trHeight w:val="300"/>
          <w:jc w:val="center"/>
        </w:trPr>
        <w:tc>
          <w:tcPr>
            <w:tcW w:w="1540" w:type="dxa"/>
            <w:tcBorders>
              <w:top w:val="nil"/>
              <w:left w:val="single" w:sz="8" w:space="0" w:color="auto"/>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Ubalá</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82,18</w:t>
            </w:r>
          </w:p>
        </w:tc>
        <w:tc>
          <w:tcPr>
            <w:tcW w:w="1200" w:type="dxa"/>
            <w:tcBorders>
              <w:top w:val="nil"/>
              <w:left w:val="nil"/>
              <w:bottom w:val="single" w:sz="4"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54</w:t>
            </w:r>
          </w:p>
        </w:tc>
      </w:tr>
      <w:tr w:rsidR="00AA2224" w:rsidRPr="00AA2224" w:rsidTr="00AA2224">
        <w:trPr>
          <w:trHeight w:val="315"/>
          <w:jc w:val="center"/>
        </w:trPr>
        <w:tc>
          <w:tcPr>
            <w:tcW w:w="1540" w:type="dxa"/>
            <w:tcBorders>
              <w:top w:val="nil"/>
              <w:left w:val="single" w:sz="8" w:space="0" w:color="auto"/>
              <w:bottom w:val="single" w:sz="8" w:space="0" w:color="auto"/>
              <w:right w:val="single" w:sz="4" w:space="0" w:color="auto"/>
            </w:tcBorders>
            <w:shd w:val="clear" w:color="auto" w:fill="auto"/>
            <w:noWrap/>
            <w:vAlign w:val="center"/>
            <w:hideMark/>
          </w:tcPr>
          <w:p w:rsidR="00AA2224" w:rsidRPr="00AA2224" w:rsidRDefault="00AA2224" w:rsidP="00AA2224">
            <w:pPr>
              <w:spacing w:after="0" w:line="240" w:lineRule="auto"/>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Gacheta</w:t>
            </w:r>
          </w:p>
        </w:tc>
        <w:tc>
          <w:tcPr>
            <w:tcW w:w="1200" w:type="dxa"/>
            <w:tcBorders>
              <w:top w:val="nil"/>
              <w:left w:val="nil"/>
              <w:bottom w:val="single" w:sz="8"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83,69</w:t>
            </w:r>
          </w:p>
        </w:tc>
        <w:tc>
          <w:tcPr>
            <w:tcW w:w="1200" w:type="dxa"/>
            <w:tcBorders>
              <w:top w:val="nil"/>
              <w:left w:val="nil"/>
              <w:bottom w:val="single" w:sz="8" w:space="0" w:color="auto"/>
              <w:right w:val="single" w:sz="4" w:space="0" w:color="auto"/>
            </w:tcBorders>
            <w:shd w:val="clear" w:color="auto" w:fill="auto"/>
            <w:noWrap/>
            <w:vAlign w:val="center"/>
            <w:hideMark/>
          </w:tcPr>
          <w:p w:rsidR="00AA2224" w:rsidRPr="00AA2224" w:rsidRDefault="00AA2224" w:rsidP="00AA2224">
            <w:pPr>
              <w:spacing w:after="0" w:line="240" w:lineRule="auto"/>
              <w:jc w:val="center"/>
              <w:rPr>
                <w:rFonts w:ascii="Calibri" w:eastAsia="Times New Roman" w:hAnsi="Calibri" w:cs="Times New Roman"/>
                <w:sz w:val="18"/>
                <w:szCs w:val="18"/>
                <w:lang w:eastAsia="es-CO"/>
              </w:rPr>
            </w:pPr>
            <w:r w:rsidRPr="00AA2224">
              <w:rPr>
                <w:rFonts w:ascii="Calibri" w:eastAsia="Times New Roman" w:hAnsi="Calibri" w:cs="Times New Roman"/>
                <w:sz w:val="18"/>
                <w:szCs w:val="18"/>
                <w:lang w:eastAsia="es-CO"/>
              </w:rPr>
              <w:t>41</w:t>
            </w:r>
          </w:p>
        </w:tc>
      </w:tr>
    </w:tbl>
    <w:p w:rsidR="00AA2224" w:rsidRDefault="00AA2224" w:rsidP="00AA2224">
      <w:pPr>
        <w:tabs>
          <w:tab w:val="left" w:pos="4169"/>
        </w:tabs>
        <w:spacing w:after="0" w:line="240" w:lineRule="auto"/>
        <w:jc w:val="both"/>
        <w:rPr>
          <w:rFonts w:cs="Arial"/>
          <w:b/>
          <w:sz w:val="20"/>
        </w:rPr>
      </w:pPr>
    </w:p>
    <w:p w:rsidR="006B5DE6" w:rsidRDefault="00AA2224" w:rsidP="00F01E29">
      <w:pPr>
        <w:tabs>
          <w:tab w:val="left" w:pos="4169"/>
        </w:tabs>
        <w:spacing w:line="240" w:lineRule="auto"/>
        <w:jc w:val="center"/>
        <w:rPr>
          <w:rFonts w:cs="Arial"/>
        </w:rPr>
      </w:pPr>
      <w:r w:rsidRPr="006B00A8">
        <w:rPr>
          <w:rFonts w:cs="Arial"/>
          <w:sz w:val="20"/>
        </w:rPr>
        <w:t xml:space="preserve">Fuente: </w:t>
      </w:r>
      <w:r>
        <w:rPr>
          <w:rFonts w:cs="Arial"/>
          <w:sz w:val="20"/>
        </w:rPr>
        <w:t>Evaluación de desempeño integral municipal. DNP</w:t>
      </w:r>
    </w:p>
    <w:p w:rsidR="00675EB8" w:rsidRDefault="00675EB8" w:rsidP="001E0B98">
      <w:pPr>
        <w:tabs>
          <w:tab w:val="left" w:pos="4169"/>
        </w:tabs>
        <w:spacing w:line="240" w:lineRule="auto"/>
        <w:jc w:val="both"/>
        <w:rPr>
          <w:rFonts w:cs="Arial"/>
        </w:rPr>
      </w:pPr>
    </w:p>
    <w:p w:rsidR="00F2146D" w:rsidRDefault="00F2146D" w:rsidP="00F2146D">
      <w:pPr>
        <w:tabs>
          <w:tab w:val="left" w:pos="4169"/>
        </w:tabs>
        <w:spacing w:line="240" w:lineRule="auto"/>
        <w:jc w:val="both"/>
        <w:rPr>
          <w:rFonts w:cs="Arial"/>
          <w:b/>
        </w:rPr>
      </w:pPr>
      <w:r w:rsidRPr="001E0B98">
        <w:rPr>
          <w:rFonts w:cs="Arial"/>
          <w:b/>
        </w:rPr>
        <w:t>3.</w:t>
      </w:r>
      <w:r>
        <w:rPr>
          <w:rFonts w:cs="Arial"/>
          <w:b/>
        </w:rPr>
        <w:t>3</w:t>
      </w:r>
      <w:r w:rsidRPr="001E0B98">
        <w:rPr>
          <w:rFonts w:cs="Arial"/>
          <w:b/>
        </w:rPr>
        <w:t>.</w:t>
      </w:r>
      <w:r>
        <w:rPr>
          <w:rFonts w:cs="Arial"/>
          <w:b/>
        </w:rPr>
        <w:t xml:space="preserve"> </w:t>
      </w:r>
      <w:r w:rsidRPr="001E0B98">
        <w:rPr>
          <w:rFonts w:cs="Arial"/>
          <w:b/>
        </w:rPr>
        <w:t xml:space="preserve"> </w:t>
      </w:r>
      <w:r w:rsidRPr="00F2146D">
        <w:rPr>
          <w:rFonts w:cs="Arial"/>
          <w:b/>
        </w:rPr>
        <w:t xml:space="preserve">Apertura de información </w:t>
      </w:r>
      <w:r>
        <w:rPr>
          <w:rFonts w:cs="Arial"/>
          <w:b/>
        </w:rPr>
        <w:t>y participación electrónica en los gobiernos locales de Cundinamarca</w:t>
      </w:r>
    </w:p>
    <w:p w:rsidR="00F2146D" w:rsidRDefault="00F2146D" w:rsidP="00F2146D">
      <w:pPr>
        <w:tabs>
          <w:tab w:val="left" w:pos="4169"/>
        </w:tabs>
        <w:spacing w:line="240" w:lineRule="auto"/>
        <w:jc w:val="both"/>
        <w:rPr>
          <w:rFonts w:cs="Arial"/>
        </w:rPr>
      </w:pPr>
    </w:p>
    <w:p w:rsidR="003D1239" w:rsidRDefault="0059630A" w:rsidP="00F2146D">
      <w:pPr>
        <w:tabs>
          <w:tab w:val="left" w:pos="4169"/>
        </w:tabs>
        <w:spacing w:line="240" w:lineRule="auto"/>
        <w:jc w:val="both"/>
        <w:rPr>
          <w:rFonts w:cs="Arial"/>
        </w:rPr>
      </w:pPr>
      <w:r>
        <w:rPr>
          <w:rFonts w:cs="Arial"/>
        </w:rPr>
        <w:t xml:space="preserve">Determinado el </w:t>
      </w:r>
      <w:r w:rsidR="00CD72F6">
        <w:rPr>
          <w:rFonts w:cs="Arial"/>
        </w:rPr>
        <w:t>Índice de apertura de información municipal,</w:t>
      </w:r>
      <w:r>
        <w:rPr>
          <w:rFonts w:cs="Arial"/>
        </w:rPr>
        <w:t xml:space="preserve"> de los 116 gobiernos locales del departamento de Cundinamarca un 31,8%</w:t>
      </w:r>
      <w:r w:rsidR="00373A5A">
        <w:rPr>
          <w:rFonts w:cs="Arial"/>
        </w:rPr>
        <w:t xml:space="preserve"> (37 gobiernos locales)</w:t>
      </w:r>
      <w:r>
        <w:rPr>
          <w:rFonts w:cs="Arial"/>
        </w:rPr>
        <w:t xml:space="preserve"> </w:t>
      </w:r>
      <w:r w:rsidR="005C4026">
        <w:rPr>
          <w:rFonts w:cs="Arial"/>
        </w:rPr>
        <w:t>logra</w:t>
      </w:r>
      <w:r>
        <w:rPr>
          <w:rFonts w:cs="Arial"/>
        </w:rPr>
        <w:t xml:space="preserve"> un índice de participación a través de canales electrónicos por encima del desempeño promedio que han tenido todos los gobiernos locales departamentales, mientras que el 68,1%</w:t>
      </w:r>
      <w:r w:rsidR="00373A5A">
        <w:rPr>
          <w:rFonts w:cs="Arial"/>
        </w:rPr>
        <w:t xml:space="preserve"> (79 gobiernos locales)</w:t>
      </w:r>
      <w:r>
        <w:rPr>
          <w:rFonts w:cs="Arial"/>
        </w:rPr>
        <w:t xml:space="preserve"> restantes se encuentran rezagados en el índice, evidenciando baja o nula interacción electrónica con su población</w:t>
      </w:r>
    </w:p>
    <w:p w:rsidR="001A07D7" w:rsidRDefault="001A07D7" w:rsidP="001A07D7">
      <w:pPr>
        <w:tabs>
          <w:tab w:val="left" w:pos="4169"/>
        </w:tabs>
        <w:spacing w:after="0" w:line="240" w:lineRule="auto"/>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Default="001A07D7" w:rsidP="001A07D7">
      <w:pPr>
        <w:tabs>
          <w:tab w:val="left" w:pos="4169"/>
        </w:tabs>
        <w:spacing w:after="0" w:line="240" w:lineRule="auto"/>
        <w:jc w:val="center"/>
        <w:rPr>
          <w:rFonts w:cs="Arial"/>
          <w:b/>
          <w:sz w:val="20"/>
        </w:rPr>
      </w:pPr>
    </w:p>
    <w:p w:rsidR="001A07D7" w:rsidRPr="00CD72F6" w:rsidRDefault="001A07D7" w:rsidP="001A07D7">
      <w:pPr>
        <w:tabs>
          <w:tab w:val="left" w:pos="4169"/>
        </w:tabs>
        <w:spacing w:after="0" w:line="240" w:lineRule="auto"/>
        <w:jc w:val="center"/>
        <w:rPr>
          <w:rFonts w:cs="Arial"/>
          <w:b/>
          <w:sz w:val="20"/>
        </w:rPr>
      </w:pPr>
      <w:r w:rsidRPr="00CD72F6">
        <w:rPr>
          <w:rFonts w:cs="Arial"/>
          <w:b/>
          <w:sz w:val="20"/>
        </w:rPr>
        <w:lastRenderedPageBreak/>
        <w:t>Grafico 4</w:t>
      </w:r>
      <w:r w:rsidRPr="001A07D7">
        <w:rPr>
          <w:rFonts w:cs="Arial"/>
          <w:sz w:val="20"/>
        </w:rPr>
        <w:t>. Nivel de avance en el IPEM en los gobiernos locales del departamento de Cundinamarca.</w:t>
      </w:r>
    </w:p>
    <w:p w:rsidR="001A07D7" w:rsidRPr="0081549D" w:rsidRDefault="001A07D7" w:rsidP="00F2146D">
      <w:pPr>
        <w:tabs>
          <w:tab w:val="left" w:pos="4169"/>
        </w:tabs>
        <w:spacing w:line="240" w:lineRule="auto"/>
        <w:jc w:val="both"/>
        <w:rPr>
          <w:rFonts w:cs="Arial"/>
        </w:rPr>
      </w:pPr>
    </w:p>
    <w:p w:rsidR="005624DC" w:rsidRDefault="003D1239" w:rsidP="003D1239">
      <w:pPr>
        <w:tabs>
          <w:tab w:val="left" w:pos="4169"/>
        </w:tabs>
        <w:spacing w:line="240" w:lineRule="auto"/>
        <w:jc w:val="center"/>
        <w:rPr>
          <w:rFonts w:cs="Arial"/>
        </w:rPr>
      </w:pPr>
      <w:r>
        <w:rPr>
          <w:noProof/>
          <w:lang w:eastAsia="es-CO"/>
        </w:rPr>
        <w:drawing>
          <wp:inline distT="0" distB="0" distL="0" distR="0">
            <wp:extent cx="3952875" cy="2238375"/>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11E1A" w:rsidRDefault="00311E1A" w:rsidP="001A07D7">
      <w:pPr>
        <w:tabs>
          <w:tab w:val="left" w:pos="4169"/>
        </w:tabs>
        <w:spacing w:after="0" w:line="240" w:lineRule="auto"/>
        <w:jc w:val="center"/>
        <w:rPr>
          <w:rFonts w:cs="Arial"/>
          <w:sz w:val="20"/>
        </w:rPr>
      </w:pPr>
      <w:r>
        <w:rPr>
          <w:rFonts w:cs="Arial"/>
          <w:sz w:val="20"/>
        </w:rPr>
        <w:t>Fuente: Elaboración propia.</w:t>
      </w:r>
    </w:p>
    <w:p w:rsidR="00311E1A" w:rsidRDefault="00311E1A" w:rsidP="00311E1A">
      <w:pPr>
        <w:tabs>
          <w:tab w:val="left" w:pos="4169"/>
        </w:tabs>
        <w:spacing w:after="0" w:line="240" w:lineRule="auto"/>
        <w:jc w:val="both"/>
        <w:rPr>
          <w:rFonts w:cs="Arial"/>
          <w:sz w:val="20"/>
        </w:rPr>
      </w:pPr>
    </w:p>
    <w:p w:rsidR="00311E1A" w:rsidRPr="00311E1A" w:rsidRDefault="00311E1A" w:rsidP="00311E1A">
      <w:pPr>
        <w:tabs>
          <w:tab w:val="left" w:pos="4169"/>
        </w:tabs>
        <w:spacing w:after="0" w:line="240" w:lineRule="auto"/>
        <w:jc w:val="both"/>
        <w:rPr>
          <w:rFonts w:cs="Arial"/>
          <w:sz w:val="20"/>
        </w:rPr>
      </w:pPr>
    </w:p>
    <w:p w:rsidR="007C310C" w:rsidRDefault="00060373" w:rsidP="002D1799">
      <w:pPr>
        <w:tabs>
          <w:tab w:val="left" w:pos="4169"/>
        </w:tabs>
        <w:spacing w:line="240" w:lineRule="auto"/>
        <w:ind w:firstLine="567"/>
        <w:jc w:val="both"/>
        <w:rPr>
          <w:rFonts w:cs="Arial"/>
        </w:rPr>
      </w:pPr>
      <w:r>
        <w:rPr>
          <w:rFonts w:cs="Arial"/>
        </w:rPr>
        <w:t>A</w:t>
      </w:r>
      <w:r w:rsidR="00EC1C6F">
        <w:rPr>
          <w:rFonts w:cs="Arial"/>
        </w:rPr>
        <w:t xml:space="preserve"> </w:t>
      </w:r>
      <w:r>
        <w:rPr>
          <w:rFonts w:cs="Arial"/>
        </w:rPr>
        <w:t xml:space="preserve">partir </w:t>
      </w:r>
      <w:r w:rsidR="00EC1C6F">
        <w:rPr>
          <w:rFonts w:cs="Arial"/>
        </w:rPr>
        <w:t>de los result</w:t>
      </w:r>
      <w:r w:rsidR="00990780">
        <w:rPr>
          <w:rFonts w:cs="Arial"/>
        </w:rPr>
        <w:t>ados obtenidos del IPEM (Anexo 1</w:t>
      </w:r>
      <w:r w:rsidR="00EC1C6F">
        <w:rPr>
          <w:rFonts w:cs="Arial"/>
        </w:rPr>
        <w:t xml:space="preserve">), se </w:t>
      </w:r>
      <w:r w:rsidR="0032502B">
        <w:rPr>
          <w:rFonts w:cs="Arial"/>
        </w:rPr>
        <w:t xml:space="preserve">realizó cuatro agrupaciones distintas para analizar la relación directa que hay entre la efectiva apertura de información municipal (IAIM) y la participación ciudadana a través de canales electrónicos (IPEM). Los resultados </w:t>
      </w:r>
      <w:r w:rsidR="00373A5A">
        <w:rPr>
          <w:rFonts w:cs="Arial"/>
        </w:rPr>
        <w:t>obtenidos</w:t>
      </w:r>
      <w:r w:rsidR="0032502B">
        <w:rPr>
          <w:rFonts w:cs="Arial"/>
        </w:rPr>
        <w:t xml:space="preserve"> fueron:</w:t>
      </w:r>
    </w:p>
    <w:p w:rsidR="001A07D7" w:rsidRDefault="00373A5A" w:rsidP="001A07D7">
      <w:pPr>
        <w:tabs>
          <w:tab w:val="left" w:pos="4169"/>
        </w:tabs>
        <w:spacing w:line="240" w:lineRule="auto"/>
        <w:ind w:firstLine="567"/>
        <w:jc w:val="both"/>
        <w:rPr>
          <w:rFonts w:cs="Arial"/>
        </w:rPr>
      </w:pPr>
      <w:r>
        <w:rPr>
          <w:rFonts w:cs="Arial"/>
        </w:rPr>
        <w:t xml:space="preserve">Del total de 37 gobiernos locales del departamento de Cundinamarca que alcanzan un IPEM por encima del rendimiento promedio, </w:t>
      </w:r>
      <w:r w:rsidR="00693D37">
        <w:rPr>
          <w:rFonts w:cs="Arial"/>
        </w:rPr>
        <w:t>22</w:t>
      </w:r>
      <w:r>
        <w:rPr>
          <w:rFonts w:cs="Arial"/>
        </w:rPr>
        <w:t xml:space="preserve"> presenta a su vez una relación positiva con su IAIM encontrándose también por encima de la media estimada para el departamento (</w:t>
      </w:r>
      <w:r w:rsidR="005B68E2">
        <w:rPr>
          <w:rFonts w:cs="Arial"/>
        </w:rPr>
        <w:t>Ver Gráfico</w:t>
      </w:r>
      <w:r>
        <w:rPr>
          <w:rFonts w:cs="Arial"/>
        </w:rPr>
        <w:t xml:space="preserve"> 5)</w:t>
      </w:r>
      <w:r w:rsidR="007F5E1C">
        <w:rPr>
          <w:rFonts w:cs="Arial"/>
        </w:rPr>
        <w:t>.</w:t>
      </w:r>
      <w:r>
        <w:rPr>
          <w:rFonts w:cs="Arial"/>
        </w:rPr>
        <w:t xml:space="preserve"> En tal sentido</w:t>
      </w:r>
      <w:r w:rsidR="007F5E1C">
        <w:rPr>
          <w:rFonts w:cs="Arial"/>
        </w:rPr>
        <w:t>,</w:t>
      </w:r>
      <w:r>
        <w:rPr>
          <w:rFonts w:cs="Arial"/>
        </w:rPr>
        <w:t xml:space="preserve"> para gobiernos locales como </w:t>
      </w:r>
      <w:r w:rsidR="005B68E2">
        <w:rPr>
          <w:rFonts w:cs="Arial"/>
        </w:rPr>
        <w:t>Madrid, Facatativá, Tocancipá, Girardot, entre otros,</w:t>
      </w:r>
      <w:r>
        <w:rPr>
          <w:rFonts w:cs="Arial"/>
        </w:rPr>
        <w:t xml:space="preserve"> </w:t>
      </w:r>
      <w:r w:rsidR="005B68E2">
        <w:rPr>
          <w:rFonts w:cs="Arial"/>
        </w:rPr>
        <w:t>m</w:t>
      </w:r>
      <w:r>
        <w:rPr>
          <w:rFonts w:cs="Arial"/>
        </w:rPr>
        <w:t xml:space="preserve">antener Índices de apertura de información alta a través de sus </w:t>
      </w:r>
      <w:r w:rsidR="005B68E2">
        <w:rPr>
          <w:rFonts w:cs="Arial"/>
        </w:rPr>
        <w:t>portales web</w:t>
      </w:r>
      <w:r>
        <w:rPr>
          <w:rFonts w:cs="Arial"/>
        </w:rPr>
        <w:t xml:space="preserve"> influye positivamente en el aumento de su índice de interacción a través de canales electrónicos con su población.</w:t>
      </w:r>
    </w:p>
    <w:p w:rsidR="001A07D7" w:rsidRPr="00CD72F6" w:rsidRDefault="001A07D7" w:rsidP="001A07D7">
      <w:pPr>
        <w:tabs>
          <w:tab w:val="left" w:pos="4169"/>
        </w:tabs>
        <w:spacing w:after="0" w:line="240" w:lineRule="auto"/>
        <w:jc w:val="center"/>
        <w:rPr>
          <w:rFonts w:cs="Arial"/>
          <w:b/>
          <w:sz w:val="20"/>
        </w:rPr>
      </w:pPr>
      <w:r w:rsidRPr="00CD72F6">
        <w:rPr>
          <w:rFonts w:cs="Arial"/>
          <w:b/>
          <w:sz w:val="20"/>
        </w:rPr>
        <w:t xml:space="preserve">Grafico 5. </w:t>
      </w:r>
      <w:r w:rsidRPr="001A07D7">
        <w:rPr>
          <w:rFonts w:cs="Arial"/>
          <w:sz w:val="20"/>
        </w:rPr>
        <w:t>Relación entre el Índice de apertura de información Municipal y los niveles del Índice de Participación electrónica Municipal.</w:t>
      </w:r>
    </w:p>
    <w:p w:rsidR="000C1BD9" w:rsidRDefault="000C1BD9" w:rsidP="00F2146D">
      <w:pPr>
        <w:tabs>
          <w:tab w:val="left" w:pos="4169"/>
        </w:tabs>
        <w:spacing w:line="240" w:lineRule="auto"/>
        <w:jc w:val="both"/>
        <w:rPr>
          <w:rFonts w:cs="Arial"/>
        </w:rPr>
      </w:pPr>
    </w:p>
    <w:p w:rsidR="000C1BD9" w:rsidRDefault="00693D37" w:rsidP="00F2146D">
      <w:pPr>
        <w:tabs>
          <w:tab w:val="left" w:pos="4169"/>
        </w:tabs>
        <w:spacing w:line="240" w:lineRule="auto"/>
        <w:jc w:val="both"/>
        <w:rPr>
          <w:rFonts w:cs="Arial"/>
        </w:rPr>
      </w:pPr>
      <w:r>
        <w:rPr>
          <w:noProof/>
          <w:lang w:eastAsia="es-CO"/>
        </w:rPr>
        <w:drawing>
          <wp:anchor distT="0" distB="0" distL="114300" distR="114300" simplePos="0" relativeHeight="251694080" behindDoc="0" locked="0" layoutInCell="1" allowOverlap="1">
            <wp:simplePos x="0" y="0"/>
            <wp:positionH relativeFrom="column">
              <wp:posOffset>718820</wp:posOffset>
            </wp:positionH>
            <wp:positionV relativeFrom="paragraph">
              <wp:posOffset>13970</wp:posOffset>
            </wp:positionV>
            <wp:extent cx="4276725" cy="2409825"/>
            <wp:effectExtent l="0" t="0" r="0" b="0"/>
            <wp:wrapThrough wrapText="bothSides">
              <wp:wrapPolygon edited="0">
                <wp:start x="0" y="0"/>
                <wp:lineTo x="0" y="21515"/>
                <wp:lineTo x="21552" y="21515"/>
                <wp:lineTo x="21552" y="0"/>
                <wp:lineTo x="0" y="0"/>
              </wp:wrapPolygon>
            </wp:wrapThrough>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5B3349" w:rsidRDefault="005B3349" w:rsidP="00F2146D">
      <w:pPr>
        <w:tabs>
          <w:tab w:val="left" w:pos="4169"/>
        </w:tabs>
        <w:spacing w:line="240" w:lineRule="auto"/>
        <w:jc w:val="both"/>
        <w:rPr>
          <w:rFonts w:cs="Arial"/>
        </w:rPr>
      </w:pPr>
    </w:p>
    <w:p w:rsidR="005B3349" w:rsidRDefault="005B3349" w:rsidP="00F2146D">
      <w:pPr>
        <w:tabs>
          <w:tab w:val="left" w:pos="4169"/>
        </w:tabs>
        <w:spacing w:line="240" w:lineRule="auto"/>
        <w:jc w:val="both"/>
        <w:rPr>
          <w:rFonts w:cs="Arial"/>
        </w:rPr>
      </w:pPr>
    </w:p>
    <w:p w:rsidR="005B3349" w:rsidRDefault="005B3349" w:rsidP="00F2146D">
      <w:pPr>
        <w:tabs>
          <w:tab w:val="left" w:pos="4169"/>
        </w:tabs>
        <w:spacing w:line="240" w:lineRule="auto"/>
        <w:jc w:val="both"/>
        <w:rPr>
          <w:rFonts w:cs="Arial"/>
        </w:rPr>
      </w:pPr>
    </w:p>
    <w:p w:rsidR="005B3349" w:rsidRDefault="005B3349" w:rsidP="00F2146D">
      <w:pPr>
        <w:tabs>
          <w:tab w:val="left" w:pos="4169"/>
        </w:tabs>
        <w:spacing w:line="240" w:lineRule="auto"/>
        <w:jc w:val="both"/>
        <w:rPr>
          <w:rFonts w:cs="Arial"/>
        </w:rPr>
      </w:pPr>
    </w:p>
    <w:p w:rsidR="005B3349" w:rsidRDefault="005B3349" w:rsidP="00F2146D">
      <w:pPr>
        <w:tabs>
          <w:tab w:val="left" w:pos="4169"/>
        </w:tabs>
        <w:spacing w:line="240" w:lineRule="auto"/>
        <w:jc w:val="both"/>
        <w:rPr>
          <w:rFonts w:cs="Arial"/>
        </w:rPr>
      </w:pPr>
    </w:p>
    <w:p w:rsidR="005B3349" w:rsidRDefault="005B3349" w:rsidP="00F2146D">
      <w:pPr>
        <w:tabs>
          <w:tab w:val="left" w:pos="4169"/>
        </w:tabs>
        <w:spacing w:line="240" w:lineRule="auto"/>
        <w:jc w:val="both"/>
        <w:rPr>
          <w:rFonts w:cs="Arial"/>
        </w:rPr>
      </w:pPr>
    </w:p>
    <w:p w:rsidR="005B3349" w:rsidRDefault="005B3349" w:rsidP="005B3349">
      <w:pPr>
        <w:tabs>
          <w:tab w:val="left" w:pos="4169"/>
        </w:tabs>
        <w:spacing w:after="0" w:line="240" w:lineRule="auto"/>
        <w:jc w:val="both"/>
        <w:rPr>
          <w:rFonts w:cs="Arial"/>
        </w:rPr>
      </w:pPr>
    </w:p>
    <w:p w:rsidR="0077418D" w:rsidRDefault="0077418D" w:rsidP="005B3349">
      <w:pPr>
        <w:tabs>
          <w:tab w:val="left" w:pos="4169"/>
        </w:tabs>
        <w:spacing w:after="0" w:line="240" w:lineRule="auto"/>
        <w:jc w:val="both"/>
        <w:rPr>
          <w:rFonts w:cs="Arial"/>
        </w:rPr>
      </w:pPr>
    </w:p>
    <w:p w:rsidR="0077418D" w:rsidRDefault="0077418D" w:rsidP="005B3349">
      <w:pPr>
        <w:tabs>
          <w:tab w:val="left" w:pos="4169"/>
        </w:tabs>
        <w:spacing w:after="0" w:line="240" w:lineRule="auto"/>
        <w:jc w:val="both"/>
        <w:rPr>
          <w:rFonts w:cs="Arial"/>
          <w:b/>
        </w:rPr>
        <w:sectPr w:rsidR="0077418D" w:rsidSect="00356BB9">
          <w:footerReference w:type="default" r:id="rId18"/>
          <w:pgSz w:w="12240" w:h="15840"/>
          <w:pgMar w:top="1418" w:right="1418" w:bottom="1418" w:left="1418" w:header="709" w:footer="709" w:gutter="0"/>
          <w:cols w:space="708"/>
          <w:docGrid w:linePitch="360"/>
        </w:sectPr>
      </w:pPr>
    </w:p>
    <w:p w:rsidR="00693D37" w:rsidRDefault="00693D37" w:rsidP="00F2146D">
      <w:pPr>
        <w:tabs>
          <w:tab w:val="left" w:pos="4169"/>
        </w:tabs>
        <w:spacing w:line="240" w:lineRule="auto"/>
        <w:jc w:val="both"/>
        <w:rPr>
          <w:rFonts w:cs="Arial"/>
        </w:rPr>
      </w:pPr>
    </w:p>
    <w:p w:rsidR="00693D37" w:rsidRDefault="00693D37" w:rsidP="001A07D7">
      <w:pPr>
        <w:tabs>
          <w:tab w:val="left" w:pos="4169"/>
        </w:tabs>
        <w:spacing w:after="0" w:line="240" w:lineRule="auto"/>
        <w:jc w:val="center"/>
        <w:rPr>
          <w:rFonts w:cs="Arial"/>
          <w:sz w:val="20"/>
        </w:rPr>
      </w:pPr>
      <w:r w:rsidRPr="00CD72F6">
        <w:rPr>
          <w:rFonts w:cs="Arial"/>
          <w:sz w:val="20"/>
        </w:rPr>
        <w:t>Fuente: Elaboración propia.</w:t>
      </w:r>
    </w:p>
    <w:p w:rsidR="00311E1A" w:rsidRDefault="00311E1A" w:rsidP="00CD72F6">
      <w:pPr>
        <w:tabs>
          <w:tab w:val="left" w:pos="4169"/>
        </w:tabs>
        <w:spacing w:after="0" w:line="240" w:lineRule="auto"/>
        <w:jc w:val="both"/>
        <w:rPr>
          <w:rFonts w:cs="Arial"/>
          <w:sz w:val="20"/>
        </w:rPr>
      </w:pPr>
    </w:p>
    <w:p w:rsidR="00CD72F6" w:rsidRPr="00CD72F6" w:rsidRDefault="00CD72F6" w:rsidP="00CD72F6">
      <w:pPr>
        <w:tabs>
          <w:tab w:val="left" w:pos="4169"/>
        </w:tabs>
        <w:spacing w:after="0" w:line="240" w:lineRule="auto"/>
        <w:jc w:val="both"/>
        <w:rPr>
          <w:rFonts w:cs="Arial"/>
          <w:sz w:val="20"/>
        </w:rPr>
      </w:pPr>
    </w:p>
    <w:p w:rsidR="005B3349" w:rsidRDefault="005B3349" w:rsidP="002D1799">
      <w:pPr>
        <w:tabs>
          <w:tab w:val="left" w:pos="4169"/>
        </w:tabs>
        <w:spacing w:line="240" w:lineRule="auto"/>
        <w:ind w:firstLine="567"/>
        <w:jc w:val="both"/>
        <w:rPr>
          <w:rFonts w:cs="Arial"/>
        </w:rPr>
      </w:pPr>
      <w:r>
        <w:rPr>
          <w:rFonts w:cs="Arial"/>
        </w:rPr>
        <w:t xml:space="preserve">Sin embargo, se evidencia que el </w:t>
      </w:r>
      <w:r w:rsidR="00693D37">
        <w:rPr>
          <w:rFonts w:cs="Arial"/>
        </w:rPr>
        <w:t>13</w:t>
      </w:r>
      <w:r>
        <w:rPr>
          <w:rFonts w:cs="Arial"/>
        </w:rPr>
        <w:t xml:space="preserve">% de los gobiernos locales que cuentan con un alto IPEM no cuentan necesariamente con un IAIM por encima del promedio departamental, motivo por el cual gobiernos locales como </w:t>
      </w:r>
      <w:r w:rsidR="004A7542">
        <w:rPr>
          <w:rFonts w:cs="Arial"/>
        </w:rPr>
        <w:t xml:space="preserve">Cota, Mosquera, </w:t>
      </w:r>
      <w:r w:rsidR="001C5856">
        <w:rPr>
          <w:rFonts w:cs="Arial"/>
        </w:rPr>
        <w:t>Funza</w:t>
      </w:r>
      <w:r w:rsidR="004A7542">
        <w:rPr>
          <w:rFonts w:cs="Arial"/>
        </w:rPr>
        <w:t xml:space="preserve"> entre otros, </w:t>
      </w:r>
      <w:r>
        <w:rPr>
          <w:rFonts w:cs="Arial"/>
        </w:rPr>
        <w:t>el nivel de interacción</w:t>
      </w:r>
      <w:r w:rsidR="001A4F95">
        <w:rPr>
          <w:rFonts w:cs="Arial"/>
        </w:rPr>
        <w:t xml:space="preserve"> electrónica</w:t>
      </w:r>
      <w:r>
        <w:rPr>
          <w:rFonts w:cs="Arial"/>
        </w:rPr>
        <w:t xml:space="preserve"> con su población no depende directamente del nivel de apertura de información que se realice a través de su portal web. En tal sentido la relación entre alta apertura de información y alta interacción electrónica en el caso de estos 15 gobiernos locales es nula.</w:t>
      </w:r>
    </w:p>
    <w:p w:rsidR="00EC1C6F" w:rsidRDefault="00641988" w:rsidP="00BE34BA">
      <w:pPr>
        <w:tabs>
          <w:tab w:val="left" w:pos="4169"/>
        </w:tabs>
        <w:spacing w:line="240" w:lineRule="auto"/>
        <w:ind w:firstLine="567"/>
        <w:jc w:val="both"/>
        <w:rPr>
          <w:rFonts w:cs="Arial"/>
        </w:rPr>
      </w:pPr>
      <w:r>
        <w:rPr>
          <w:rFonts w:cs="Arial"/>
        </w:rPr>
        <w:t xml:space="preserve">De otro lado, </w:t>
      </w:r>
      <w:r w:rsidR="00693D37">
        <w:rPr>
          <w:rFonts w:cs="Arial"/>
        </w:rPr>
        <w:t xml:space="preserve">un 40% de los gobiernos locales </w:t>
      </w:r>
      <w:r w:rsidR="00CA744B">
        <w:rPr>
          <w:rFonts w:cs="Arial"/>
        </w:rPr>
        <w:t>evidencia que a pesar de mantener un alto índice de apertura de información, no logra alcanzar la media departamental de participación a través de canales electrónicos,</w:t>
      </w:r>
      <w:r w:rsidR="00693D37">
        <w:rPr>
          <w:rFonts w:cs="Arial"/>
        </w:rPr>
        <w:t xml:space="preserve"> </w:t>
      </w:r>
      <w:r>
        <w:rPr>
          <w:rFonts w:cs="Arial"/>
        </w:rPr>
        <w:t xml:space="preserve"> por lo cual para el caso de 46 gobiernos locales no necesariamente mantener altos niveles de apertura de información asegurara mantener un alto índice de participación a través de canales electrónicos. En tal sentido la correlación no es positiva.</w:t>
      </w:r>
    </w:p>
    <w:p w:rsidR="0059630A" w:rsidRDefault="00641988" w:rsidP="00BE34BA">
      <w:pPr>
        <w:tabs>
          <w:tab w:val="left" w:pos="4169"/>
        </w:tabs>
        <w:spacing w:line="240" w:lineRule="auto"/>
        <w:ind w:firstLine="567"/>
        <w:jc w:val="both"/>
        <w:rPr>
          <w:rFonts w:cs="Arial"/>
        </w:rPr>
      </w:pPr>
      <w:r>
        <w:rPr>
          <w:rFonts w:cs="Arial"/>
        </w:rPr>
        <w:t xml:space="preserve">Finalmente </w:t>
      </w:r>
      <w:r w:rsidR="00AD3E2F">
        <w:rPr>
          <w:rFonts w:cs="Arial"/>
        </w:rPr>
        <w:t xml:space="preserve">el 28% de los gobiernos locales del departamento de Cundinamarca, lo que representa un total de 33, al mantener niveles bajos en su índice de </w:t>
      </w:r>
      <w:r w:rsidR="00741FDC">
        <w:rPr>
          <w:rFonts w:cs="Arial"/>
        </w:rPr>
        <w:t>Apertura de información, también presenta un nivel bajo en el índice de interacción a través de canales electrónicos con su población. La correlación en este caso entre su IAIM y su IPEM es positiva.</w:t>
      </w:r>
    </w:p>
    <w:p w:rsidR="000C1BD9" w:rsidRDefault="005E6A71" w:rsidP="00BE34BA">
      <w:pPr>
        <w:tabs>
          <w:tab w:val="left" w:pos="4169"/>
        </w:tabs>
        <w:spacing w:line="240" w:lineRule="auto"/>
        <w:ind w:firstLine="567"/>
        <w:jc w:val="both"/>
        <w:rPr>
          <w:rFonts w:cs="Arial"/>
        </w:rPr>
      </w:pPr>
      <w:r>
        <w:rPr>
          <w:rFonts w:cs="Arial"/>
        </w:rPr>
        <w:t xml:space="preserve">Resulta </w:t>
      </w:r>
      <w:r w:rsidR="00073E11">
        <w:rPr>
          <w:rFonts w:cs="Arial"/>
        </w:rPr>
        <w:t xml:space="preserve">importante analizar qué características tienen en común gobiernos locales, que a la par de dar apertura a su información a través de sus portales web, en la actualidad logran buenos niveles departamentales de interacción electrónica, así como los gobiernos locales que sin lograr los niveles deseados de apertura de información, también se destacan por avanzar en su participación electrónica. </w:t>
      </w:r>
    </w:p>
    <w:p w:rsidR="000C1BD9" w:rsidRDefault="00343822" w:rsidP="00BE34BA">
      <w:pPr>
        <w:tabs>
          <w:tab w:val="left" w:pos="4169"/>
        </w:tabs>
        <w:spacing w:line="240" w:lineRule="auto"/>
        <w:ind w:firstLine="567"/>
        <w:jc w:val="both"/>
        <w:rPr>
          <w:rFonts w:cs="Arial"/>
        </w:rPr>
      </w:pPr>
      <w:r>
        <w:rPr>
          <w:rFonts w:cs="Arial"/>
        </w:rPr>
        <w:t xml:space="preserve">Existe un factor que viene marcando diferencia entre los gobiernos locales que aspiran a lograr buenos niveles de interacción y que superan la posición metodológica de la estrategia de gobierno abierto de abrir información para de esta manera generar un gobierno más conversacional </w:t>
      </w:r>
      <w:sdt>
        <w:sdtPr>
          <w:rPr>
            <w:rFonts w:cs="Arial"/>
          </w:rPr>
          <w:id w:val="-79602545"/>
          <w:citation/>
        </w:sdtPr>
        <w:sdtContent>
          <w:r w:rsidR="00A736F3">
            <w:rPr>
              <w:rFonts w:cs="Arial"/>
            </w:rPr>
            <w:fldChar w:fldCharType="begin"/>
          </w:r>
          <w:r>
            <w:rPr>
              <w:rFonts w:cs="Arial"/>
            </w:rPr>
            <w:instrText xml:space="preserve"> CITATION Dec12 \l 9226 </w:instrText>
          </w:r>
          <w:r w:rsidR="00A736F3">
            <w:rPr>
              <w:rFonts w:cs="Arial"/>
            </w:rPr>
            <w:fldChar w:fldCharType="separate"/>
          </w:r>
          <w:r w:rsidRPr="00343822">
            <w:rPr>
              <w:rFonts w:cs="Arial"/>
              <w:noProof/>
            </w:rPr>
            <w:t>(Decreto 2693, 2012)</w:t>
          </w:r>
          <w:r w:rsidR="00A736F3">
            <w:rPr>
              <w:rFonts w:cs="Arial"/>
            </w:rPr>
            <w:fldChar w:fldCharType="end"/>
          </w:r>
        </w:sdtContent>
      </w:sdt>
      <w:r>
        <w:rPr>
          <w:rFonts w:cs="Arial"/>
        </w:rPr>
        <w:t>, en este caso el nivel de penetración del internet</w:t>
      </w:r>
      <w:r w:rsidR="006018A5">
        <w:rPr>
          <w:rStyle w:val="Refdenotaalpie"/>
          <w:rFonts w:cs="Arial"/>
        </w:rPr>
        <w:footnoteReference w:id="8"/>
      </w:r>
      <w:r>
        <w:rPr>
          <w:rFonts w:cs="Arial"/>
        </w:rPr>
        <w:t xml:space="preserve"> en cada uno de los territorios del departamento.</w:t>
      </w:r>
    </w:p>
    <w:p w:rsidR="000C1BD9" w:rsidRDefault="006018A5" w:rsidP="00311E1A">
      <w:pPr>
        <w:tabs>
          <w:tab w:val="left" w:pos="4169"/>
        </w:tabs>
        <w:spacing w:line="240" w:lineRule="auto"/>
        <w:ind w:firstLine="567"/>
        <w:jc w:val="both"/>
        <w:rPr>
          <w:rFonts w:cs="Arial"/>
        </w:rPr>
      </w:pPr>
      <w:r>
        <w:rPr>
          <w:rFonts w:cs="Arial"/>
        </w:rPr>
        <w:t xml:space="preserve">Según cifras consolidadas por el </w:t>
      </w:r>
      <w:proofErr w:type="spellStart"/>
      <w:r>
        <w:rPr>
          <w:rFonts w:cs="Arial"/>
        </w:rPr>
        <w:t>MinTic</w:t>
      </w:r>
      <w:proofErr w:type="spellEnd"/>
      <w:r>
        <w:rPr>
          <w:rFonts w:cs="Arial"/>
        </w:rPr>
        <w:t xml:space="preserve"> para el año 2014, el departamento de Cundinamarca en general ha logrado una penetración de internet de un total de 8,8%, a partir de estas cifras, no es casualidad que gobiernos locales como Madrid, Facatativá, Tocancipá, Girardot, Cota, Mosquera o Funza se destaquen como los que logran mayores niveles de interacción electrónica con su población, debido a que son gobiernos que ocupan el top 10 del departamento en nivel de penetración del internet en sus territorios.</w:t>
      </w:r>
    </w:p>
    <w:p w:rsidR="00311E1A" w:rsidRDefault="00311E1A" w:rsidP="00311E1A">
      <w:pPr>
        <w:tabs>
          <w:tab w:val="left" w:pos="4169"/>
        </w:tabs>
        <w:spacing w:line="240" w:lineRule="auto"/>
        <w:ind w:firstLine="567"/>
        <w:jc w:val="both"/>
        <w:rPr>
          <w:rFonts w:cs="Arial"/>
        </w:rPr>
      </w:pPr>
    </w:p>
    <w:p w:rsidR="001A07D7" w:rsidRDefault="001A07D7" w:rsidP="00311E1A">
      <w:pPr>
        <w:tabs>
          <w:tab w:val="left" w:pos="4169"/>
        </w:tabs>
        <w:spacing w:line="240" w:lineRule="auto"/>
        <w:ind w:firstLine="567"/>
        <w:jc w:val="both"/>
        <w:rPr>
          <w:rFonts w:cs="Arial"/>
        </w:rPr>
      </w:pPr>
    </w:p>
    <w:p w:rsidR="001A07D7" w:rsidRDefault="001A07D7" w:rsidP="00311E1A">
      <w:pPr>
        <w:tabs>
          <w:tab w:val="left" w:pos="4169"/>
        </w:tabs>
        <w:spacing w:line="240" w:lineRule="auto"/>
        <w:ind w:firstLine="567"/>
        <w:jc w:val="both"/>
        <w:rPr>
          <w:rFonts w:cs="Arial"/>
        </w:rPr>
      </w:pPr>
    </w:p>
    <w:p w:rsidR="001A07D7" w:rsidRDefault="001A07D7" w:rsidP="00311E1A">
      <w:pPr>
        <w:tabs>
          <w:tab w:val="left" w:pos="4169"/>
        </w:tabs>
        <w:spacing w:line="240" w:lineRule="auto"/>
        <w:ind w:firstLine="567"/>
        <w:jc w:val="both"/>
        <w:rPr>
          <w:rFonts w:cs="Arial"/>
        </w:rPr>
      </w:pPr>
    </w:p>
    <w:p w:rsidR="001A07D7" w:rsidRDefault="001A07D7" w:rsidP="00311E1A">
      <w:pPr>
        <w:tabs>
          <w:tab w:val="left" w:pos="4169"/>
        </w:tabs>
        <w:spacing w:line="240" w:lineRule="auto"/>
        <w:ind w:firstLine="567"/>
        <w:jc w:val="both"/>
        <w:rPr>
          <w:rFonts w:cs="Arial"/>
        </w:rPr>
      </w:pPr>
    </w:p>
    <w:p w:rsidR="001A07D7" w:rsidRDefault="001A07D7" w:rsidP="00311E1A">
      <w:pPr>
        <w:tabs>
          <w:tab w:val="left" w:pos="4169"/>
        </w:tabs>
        <w:spacing w:line="240" w:lineRule="auto"/>
        <w:ind w:firstLine="567"/>
        <w:jc w:val="both"/>
        <w:rPr>
          <w:rFonts w:cs="Arial"/>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center"/>
        <w:rPr>
          <w:rFonts w:cs="Arial"/>
          <w:b/>
          <w:sz w:val="20"/>
        </w:rPr>
      </w:pPr>
      <w:r>
        <w:rPr>
          <w:rFonts w:cs="Arial"/>
          <w:b/>
          <w:sz w:val="20"/>
        </w:rPr>
        <w:t>Cuadro2</w:t>
      </w:r>
      <w:r w:rsidRPr="006B00A8">
        <w:rPr>
          <w:rFonts w:cs="Arial"/>
          <w:b/>
          <w:sz w:val="20"/>
        </w:rPr>
        <w:t xml:space="preserve">. </w:t>
      </w:r>
      <w:r w:rsidRPr="001A07D7">
        <w:rPr>
          <w:rFonts w:cs="Arial"/>
          <w:sz w:val="20"/>
        </w:rPr>
        <w:t>Porcentaje de avance en la penetración de internet municipal.</w:t>
      </w:r>
    </w:p>
    <w:p w:rsidR="001A07D7" w:rsidRDefault="001A07D7" w:rsidP="00311E1A">
      <w:pPr>
        <w:tabs>
          <w:tab w:val="left" w:pos="4169"/>
        </w:tabs>
        <w:spacing w:line="240" w:lineRule="auto"/>
        <w:ind w:firstLine="567"/>
        <w:jc w:val="both"/>
        <w:rPr>
          <w:rFonts w:cs="Arial"/>
        </w:rPr>
      </w:pPr>
    </w:p>
    <w:tbl>
      <w:tblPr>
        <w:tblW w:w="4540" w:type="dxa"/>
        <w:jc w:val="center"/>
        <w:tblCellMar>
          <w:left w:w="70" w:type="dxa"/>
          <w:right w:w="70" w:type="dxa"/>
        </w:tblCellMar>
        <w:tblLook w:val="04A0"/>
      </w:tblPr>
      <w:tblGrid>
        <w:gridCol w:w="940"/>
        <w:gridCol w:w="1200"/>
        <w:gridCol w:w="1200"/>
        <w:gridCol w:w="1200"/>
      </w:tblGrid>
      <w:tr w:rsidR="00311E1A" w:rsidRPr="00311E1A" w:rsidTr="00311E1A">
        <w:trPr>
          <w:trHeight w:val="315"/>
          <w:jc w:val="center"/>
        </w:trPr>
        <w:tc>
          <w:tcPr>
            <w:tcW w:w="9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 </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b/>
                <w:bCs/>
                <w:color w:val="000000"/>
                <w:sz w:val="18"/>
                <w:szCs w:val="18"/>
                <w:lang w:eastAsia="es-CO"/>
              </w:rPr>
            </w:pPr>
            <w:r w:rsidRPr="00311E1A">
              <w:rPr>
                <w:rFonts w:ascii="Calibri" w:eastAsia="Times New Roman" w:hAnsi="Calibri" w:cs="Times New Roman"/>
                <w:b/>
                <w:bCs/>
                <w:color w:val="000000"/>
                <w:sz w:val="18"/>
                <w:szCs w:val="18"/>
                <w:lang w:eastAsia="es-CO"/>
              </w:rPr>
              <w:t>2012</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b/>
                <w:bCs/>
                <w:color w:val="000000"/>
                <w:sz w:val="18"/>
                <w:szCs w:val="18"/>
                <w:lang w:eastAsia="es-CO"/>
              </w:rPr>
            </w:pPr>
            <w:r w:rsidRPr="00311E1A">
              <w:rPr>
                <w:rFonts w:ascii="Calibri" w:eastAsia="Times New Roman" w:hAnsi="Calibri" w:cs="Times New Roman"/>
                <w:b/>
                <w:bCs/>
                <w:color w:val="000000"/>
                <w:sz w:val="18"/>
                <w:szCs w:val="18"/>
                <w:lang w:eastAsia="es-CO"/>
              </w:rPr>
              <w:t>2013</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b/>
                <w:bCs/>
                <w:color w:val="000000"/>
                <w:sz w:val="18"/>
                <w:szCs w:val="18"/>
                <w:lang w:eastAsia="es-CO"/>
              </w:rPr>
            </w:pPr>
            <w:r w:rsidRPr="00311E1A">
              <w:rPr>
                <w:rFonts w:ascii="Calibri" w:eastAsia="Times New Roman" w:hAnsi="Calibri" w:cs="Times New Roman"/>
                <w:b/>
                <w:bCs/>
                <w:color w:val="000000"/>
                <w:sz w:val="18"/>
                <w:szCs w:val="18"/>
                <w:lang w:eastAsia="es-CO"/>
              </w:rPr>
              <w:t>2014</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Madrid</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7,5%</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9,8%</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12,1%</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Facatativá</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7,0%</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8,7%</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10,3%</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Tocancipá</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5,8%</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7,3%</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8,6%</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Girardot</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8,3%</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9,3%</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11,4%</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Cota</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13,6%</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16,7%</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18,8%</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Mosquera</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13,5%</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17,1%</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20,4%</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Funza</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12,8%</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15,9%</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18,0%</w:t>
            </w:r>
          </w:p>
        </w:tc>
      </w:tr>
      <w:tr w:rsidR="00311E1A" w:rsidRPr="00311E1A" w:rsidTr="00311E1A">
        <w:trPr>
          <w:trHeight w:val="300"/>
          <w:jc w:val="center"/>
        </w:trPr>
        <w:tc>
          <w:tcPr>
            <w:tcW w:w="940" w:type="dxa"/>
            <w:tcBorders>
              <w:top w:val="nil"/>
              <w:left w:val="single" w:sz="8" w:space="0" w:color="auto"/>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Junín</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0,1%</w:t>
            </w:r>
          </w:p>
        </w:tc>
        <w:tc>
          <w:tcPr>
            <w:tcW w:w="1200" w:type="dxa"/>
            <w:tcBorders>
              <w:top w:val="nil"/>
              <w:left w:val="nil"/>
              <w:bottom w:val="single" w:sz="4"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0,1%</w:t>
            </w:r>
          </w:p>
        </w:tc>
        <w:tc>
          <w:tcPr>
            <w:tcW w:w="1200" w:type="dxa"/>
            <w:tcBorders>
              <w:top w:val="nil"/>
              <w:left w:val="nil"/>
              <w:bottom w:val="single" w:sz="4"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0,1%</w:t>
            </w:r>
          </w:p>
        </w:tc>
      </w:tr>
      <w:tr w:rsidR="00311E1A" w:rsidRPr="00311E1A" w:rsidTr="00311E1A">
        <w:trPr>
          <w:trHeight w:val="315"/>
          <w:jc w:val="center"/>
        </w:trPr>
        <w:tc>
          <w:tcPr>
            <w:tcW w:w="940" w:type="dxa"/>
            <w:tcBorders>
              <w:top w:val="nil"/>
              <w:left w:val="single" w:sz="8" w:space="0" w:color="auto"/>
              <w:bottom w:val="single" w:sz="8" w:space="0" w:color="auto"/>
              <w:right w:val="single" w:sz="4" w:space="0" w:color="auto"/>
            </w:tcBorders>
            <w:shd w:val="clear" w:color="auto" w:fill="auto"/>
            <w:noWrap/>
            <w:vAlign w:val="bottom"/>
            <w:hideMark/>
          </w:tcPr>
          <w:p w:rsidR="00311E1A" w:rsidRPr="00311E1A" w:rsidRDefault="00311E1A" w:rsidP="00311E1A">
            <w:pPr>
              <w:spacing w:after="0" w:line="240" w:lineRule="auto"/>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El rosal</w:t>
            </w:r>
          </w:p>
        </w:tc>
        <w:tc>
          <w:tcPr>
            <w:tcW w:w="1200" w:type="dxa"/>
            <w:tcBorders>
              <w:top w:val="nil"/>
              <w:left w:val="nil"/>
              <w:bottom w:val="single" w:sz="8"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0,2%</w:t>
            </w:r>
          </w:p>
        </w:tc>
        <w:tc>
          <w:tcPr>
            <w:tcW w:w="1200" w:type="dxa"/>
            <w:tcBorders>
              <w:top w:val="nil"/>
              <w:left w:val="nil"/>
              <w:bottom w:val="single" w:sz="8" w:space="0" w:color="auto"/>
              <w:right w:val="single" w:sz="4"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0,0%</w:t>
            </w:r>
          </w:p>
        </w:tc>
        <w:tc>
          <w:tcPr>
            <w:tcW w:w="1200" w:type="dxa"/>
            <w:tcBorders>
              <w:top w:val="nil"/>
              <w:left w:val="nil"/>
              <w:bottom w:val="single" w:sz="8" w:space="0" w:color="auto"/>
              <w:right w:val="single" w:sz="8" w:space="0" w:color="auto"/>
            </w:tcBorders>
            <w:shd w:val="clear" w:color="auto" w:fill="auto"/>
            <w:noWrap/>
            <w:vAlign w:val="bottom"/>
            <w:hideMark/>
          </w:tcPr>
          <w:p w:rsidR="00311E1A" w:rsidRPr="00311E1A" w:rsidRDefault="00311E1A" w:rsidP="00311E1A">
            <w:pPr>
              <w:spacing w:after="0" w:line="240" w:lineRule="auto"/>
              <w:jc w:val="center"/>
              <w:rPr>
                <w:rFonts w:ascii="Calibri" w:eastAsia="Times New Roman" w:hAnsi="Calibri" w:cs="Times New Roman"/>
                <w:color w:val="000000"/>
                <w:sz w:val="18"/>
                <w:szCs w:val="18"/>
                <w:lang w:eastAsia="es-CO"/>
              </w:rPr>
            </w:pPr>
            <w:r w:rsidRPr="00311E1A">
              <w:rPr>
                <w:rFonts w:ascii="Calibri" w:eastAsia="Times New Roman" w:hAnsi="Calibri" w:cs="Times New Roman"/>
                <w:color w:val="000000"/>
                <w:sz w:val="18"/>
                <w:szCs w:val="18"/>
                <w:lang w:eastAsia="es-CO"/>
              </w:rPr>
              <w:t>0,0%</w:t>
            </w:r>
          </w:p>
        </w:tc>
      </w:tr>
    </w:tbl>
    <w:p w:rsidR="001A07D7" w:rsidRDefault="001A07D7" w:rsidP="001A07D7">
      <w:pPr>
        <w:tabs>
          <w:tab w:val="left" w:pos="4169"/>
        </w:tabs>
        <w:spacing w:after="0" w:line="240" w:lineRule="auto"/>
        <w:jc w:val="center"/>
        <w:rPr>
          <w:rFonts w:cs="Arial"/>
          <w:sz w:val="20"/>
        </w:rPr>
      </w:pPr>
    </w:p>
    <w:p w:rsidR="00073E11" w:rsidRPr="006B00A8" w:rsidRDefault="00073E11" w:rsidP="001A07D7">
      <w:pPr>
        <w:tabs>
          <w:tab w:val="left" w:pos="4169"/>
        </w:tabs>
        <w:spacing w:after="0" w:line="240" w:lineRule="auto"/>
        <w:jc w:val="center"/>
        <w:rPr>
          <w:rFonts w:cs="Arial"/>
          <w:sz w:val="20"/>
        </w:rPr>
      </w:pPr>
      <w:r w:rsidRPr="006B00A8">
        <w:rPr>
          <w:rFonts w:cs="Arial"/>
          <w:sz w:val="20"/>
        </w:rPr>
        <w:t>Fuente: Ministerio de las Tecnologías y las Comunicaciones.</w:t>
      </w:r>
    </w:p>
    <w:p w:rsidR="006B00A8" w:rsidRDefault="006B00A8" w:rsidP="006B00A8">
      <w:pPr>
        <w:tabs>
          <w:tab w:val="left" w:pos="4169"/>
        </w:tabs>
        <w:spacing w:after="0" w:line="240" w:lineRule="auto"/>
        <w:jc w:val="both"/>
        <w:rPr>
          <w:rFonts w:cs="Arial"/>
          <w:sz w:val="20"/>
        </w:rPr>
      </w:pPr>
    </w:p>
    <w:p w:rsidR="00311E1A" w:rsidRPr="006B00A8" w:rsidRDefault="00311E1A" w:rsidP="006B00A8">
      <w:pPr>
        <w:tabs>
          <w:tab w:val="left" w:pos="4169"/>
        </w:tabs>
        <w:spacing w:after="0" w:line="240" w:lineRule="auto"/>
        <w:jc w:val="both"/>
        <w:rPr>
          <w:rFonts w:cs="Arial"/>
          <w:sz w:val="20"/>
        </w:rPr>
      </w:pPr>
    </w:p>
    <w:p w:rsidR="00073E11" w:rsidRDefault="004B2F1F" w:rsidP="00BE34BA">
      <w:pPr>
        <w:tabs>
          <w:tab w:val="left" w:pos="4169"/>
        </w:tabs>
        <w:spacing w:line="240" w:lineRule="auto"/>
        <w:ind w:firstLine="567"/>
        <w:jc w:val="both"/>
        <w:rPr>
          <w:rFonts w:cs="Arial"/>
        </w:rPr>
      </w:pPr>
      <w:r>
        <w:rPr>
          <w:rFonts w:cs="Arial"/>
        </w:rPr>
        <w:t xml:space="preserve">Estos gobiernos locales durante los últimos tres años </w:t>
      </w:r>
      <w:r w:rsidR="005B17AC">
        <w:rPr>
          <w:rFonts w:cs="Arial"/>
        </w:rPr>
        <w:t>se vienen posicionando a nivel nacional como los que mayor avance presentan en facilitar el acceso de mayor cantidad de su población al internet</w:t>
      </w:r>
      <w:r w:rsidR="005639B7">
        <w:rPr>
          <w:rFonts w:cs="Arial"/>
        </w:rPr>
        <w:t>, de allí que se facilite el acceso a canales de participación electrónica y a la par a la consulta en línea de su población en la página web.</w:t>
      </w:r>
    </w:p>
    <w:p w:rsidR="00343822" w:rsidRDefault="00343822" w:rsidP="00BE34BA">
      <w:pPr>
        <w:tabs>
          <w:tab w:val="left" w:pos="4169"/>
        </w:tabs>
        <w:spacing w:line="240" w:lineRule="auto"/>
        <w:ind w:firstLine="567"/>
        <w:jc w:val="both"/>
        <w:rPr>
          <w:rFonts w:cs="Arial"/>
        </w:rPr>
      </w:pPr>
      <w:r>
        <w:rPr>
          <w:rFonts w:cs="Arial"/>
        </w:rPr>
        <w:t>Pero bueno ¿Y qué ocurre con los gobiernos locales que se destacan por tener un alto índice de apertura de información, pero que se encuentran muy lejos de lograr un buen niveles de interacción electrónica? Este es el caso de Gobiernos Locale</w:t>
      </w:r>
      <w:r w:rsidR="007F5E1C">
        <w:rPr>
          <w:rFonts w:cs="Arial"/>
        </w:rPr>
        <w:t>s como Junín y El R</w:t>
      </w:r>
      <w:r>
        <w:rPr>
          <w:rFonts w:cs="Arial"/>
        </w:rPr>
        <w:t xml:space="preserve">osal, que pese a tener IAIM de 100 y 99 puntos respectivamente, durante los últimos 3 años no han logrado avanzar con la penetración del internet en sus territorios, motivo por el cual el acceso de su población a canales interactivos o a consulta de información en línea se hace </w:t>
      </w:r>
      <w:r w:rsidR="006018A5">
        <w:rPr>
          <w:rFonts w:cs="Arial"/>
        </w:rPr>
        <w:t>nula</w:t>
      </w:r>
      <w:r>
        <w:rPr>
          <w:rFonts w:cs="Arial"/>
        </w:rPr>
        <w:t>, obligándola a usar los mecanismos clásicos de solicitud de información o de conversación presencial con sus gobiernos.</w:t>
      </w:r>
    </w:p>
    <w:p w:rsidR="00343822" w:rsidRDefault="0095704C" w:rsidP="00BE34BA">
      <w:pPr>
        <w:tabs>
          <w:tab w:val="left" w:pos="4169"/>
        </w:tabs>
        <w:spacing w:line="240" w:lineRule="auto"/>
        <w:ind w:firstLine="567"/>
        <w:jc w:val="both"/>
        <w:rPr>
          <w:rFonts w:cs="Arial"/>
        </w:rPr>
      </w:pPr>
      <w:r>
        <w:rPr>
          <w:rFonts w:cs="Arial"/>
        </w:rPr>
        <w:t xml:space="preserve">Si bien </w:t>
      </w:r>
      <w:r w:rsidR="002266A3">
        <w:rPr>
          <w:rFonts w:cs="Arial"/>
        </w:rPr>
        <w:t xml:space="preserve">O´ </w:t>
      </w:r>
      <w:proofErr w:type="spellStart"/>
      <w:r w:rsidR="002266A3">
        <w:rPr>
          <w:rFonts w:cs="Arial"/>
        </w:rPr>
        <w:t>hara</w:t>
      </w:r>
      <w:proofErr w:type="spellEnd"/>
      <w:r w:rsidR="002266A3">
        <w:rPr>
          <w:rFonts w:cs="Arial"/>
        </w:rPr>
        <w:t xml:space="preserve"> </w:t>
      </w:r>
      <w:sdt>
        <w:sdtPr>
          <w:rPr>
            <w:rFonts w:cs="Arial"/>
          </w:rPr>
          <w:id w:val="-1062858900"/>
          <w:citation/>
        </w:sdtPr>
        <w:sdtContent>
          <w:r w:rsidR="00A736F3">
            <w:rPr>
              <w:rFonts w:cs="Arial"/>
            </w:rPr>
            <w:fldChar w:fldCharType="begin"/>
          </w:r>
          <w:r w:rsidR="002266A3">
            <w:rPr>
              <w:rFonts w:cs="Arial"/>
            </w:rPr>
            <w:instrText xml:space="preserve">CITATION OHa09 \n  \t  \l 9226 </w:instrText>
          </w:r>
          <w:r w:rsidR="00A736F3">
            <w:rPr>
              <w:rFonts w:cs="Arial"/>
            </w:rPr>
            <w:fldChar w:fldCharType="separate"/>
          </w:r>
          <w:r w:rsidR="002266A3" w:rsidRPr="002266A3">
            <w:rPr>
              <w:rFonts w:cs="Arial"/>
              <w:noProof/>
            </w:rPr>
            <w:t>(2009)</w:t>
          </w:r>
          <w:r w:rsidR="00A736F3">
            <w:rPr>
              <w:rFonts w:cs="Arial"/>
            </w:rPr>
            <w:fldChar w:fldCharType="end"/>
          </w:r>
        </w:sdtContent>
      </w:sdt>
      <w:r w:rsidR="002266A3">
        <w:rPr>
          <w:rFonts w:cs="Arial"/>
        </w:rPr>
        <w:t xml:space="preserve"> </w:t>
      </w:r>
      <w:r>
        <w:rPr>
          <w:rFonts w:cs="Arial"/>
        </w:rPr>
        <w:t xml:space="preserve">menciona que </w:t>
      </w:r>
      <w:r w:rsidR="002266A3">
        <w:rPr>
          <w:rFonts w:cs="Arial"/>
        </w:rPr>
        <w:t xml:space="preserve">el flujo de información pública </w:t>
      </w:r>
      <w:r w:rsidR="002266A3">
        <w:t xml:space="preserve">en términos de disponibilidad, calidad y oportunidad, incentiva la participación ciudadana, afianzando así modelos democráticos deliberativos, </w:t>
      </w:r>
      <w:r>
        <w:rPr>
          <w:rFonts w:cs="Arial"/>
        </w:rPr>
        <w:t xml:space="preserve"> en el caso del departamento de Cundinamarca esta afirmación parece ser cierta para el </w:t>
      </w:r>
      <w:r w:rsidR="00CB6833">
        <w:rPr>
          <w:rFonts w:cs="Arial"/>
        </w:rPr>
        <w:t>5</w:t>
      </w:r>
      <w:r>
        <w:rPr>
          <w:rFonts w:cs="Arial"/>
        </w:rPr>
        <w:t>9% de los gobiernos loca</w:t>
      </w:r>
      <w:bookmarkStart w:id="0" w:name="_GoBack"/>
      <w:bookmarkEnd w:id="0"/>
      <w:r>
        <w:rPr>
          <w:rFonts w:cs="Arial"/>
        </w:rPr>
        <w:t>les, de los cuales efectivamente el 19% que mantuvo altos niveles en la apertura de su información logro niveles superiores en su participación a través de canales electrónicos, así como el 28% restante al no mantener un alto IAIM se vio afectado y tampoco alcanzó un buen niveles en su participación electrónica.</w:t>
      </w:r>
    </w:p>
    <w:p w:rsidR="0095704C" w:rsidRDefault="002266A3" w:rsidP="00BE34BA">
      <w:pPr>
        <w:tabs>
          <w:tab w:val="left" w:pos="4169"/>
        </w:tabs>
        <w:spacing w:line="240" w:lineRule="auto"/>
        <w:ind w:firstLine="567"/>
        <w:jc w:val="both"/>
        <w:rPr>
          <w:rFonts w:cs="Arial"/>
        </w:rPr>
      </w:pPr>
      <w:r>
        <w:rPr>
          <w:rFonts w:cs="Arial"/>
        </w:rPr>
        <w:t xml:space="preserve">De otro lado, </w:t>
      </w:r>
      <w:r>
        <w:t>la simple apertura de información como mecanismo de rendición de cuentas, no garantiza el cumplimiento de los intereses ciudadanos y los mantiene aún alejados del debate y de posturas propositivas</w:t>
      </w:r>
      <w:r>
        <w:rPr>
          <w:rFonts w:cs="Arial"/>
        </w:rPr>
        <w:t xml:space="preserve">, lo cual parece ser el caso para la mayoría de gobiernos locales en Cundinamarca, ya que </w:t>
      </w:r>
      <w:r w:rsidR="0095704C">
        <w:rPr>
          <w:rFonts w:cs="Arial"/>
        </w:rPr>
        <w:t xml:space="preserve">la sola apertura de información no genera incentivos a la participación electrónica de la población, es el caso del 40% de </w:t>
      </w:r>
      <w:r>
        <w:rPr>
          <w:rFonts w:cs="Arial"/>
        </w:rPr>
        <w:t>los gobiernos locales</w:t>
      </w:r>
      <w:r w:rsidR="0095704C">
        <w:rPr>
          <w:rFonts w:cs="Arial"/>
        </w:rPr>
        <w:t xml:space="preserve"> en los cuales a  pesar de  mantener altos niveles de apertura de información, no han logrado superar el desempeño promedio de participación electrónica del departamento.</w:t>
      </w:r>
    </w:p>
    <w:p w:rsidR="005E6A71" w:rsidRDefault="00BB04FB" w:rsidP="00BE34BA">
      <w:pPr>
        <w:tabs>
          <w:tab w:val="left" w:pos="4169"/>
        </w:tabs>
        <w:spacing w:line="240" w:lineRule="auto"/>
        <w:ind w:firstLine="567"/>
        <w:jc w:val="both"/>
        <w:rPr>
          <w:rFonts w:cs="Arial"/>
        </w:rPr>
      </w:pPr>
      <w:r>
        <w:rPr>
          <w:rFonts w:cs="Arial"/>
        </w:rPr>
        <w:t>Pese a</w:t>
      </w:r>
      <w:r w:rsidR="00D365E2">
        <w:rPr>
          <w:rFonts w:cs="Arial"/>
        </w:rPr>
        <w:t xml:space="preserve"> que los gobiernos locales vienen implementando estrategias como la apertura de información para superar inconvenientes de gobernabilidad, y hacer que la población se involucre más </w:t>
      </w:r>
      <w:r w:rsidR="00D365E2">
        <w:rPr>
          <w:rFonts w:cs="Arial"/>
        </w:rPr>
        <w:lastRenderedPageBreak/>
        <w:t>con los asuntos de la administración, esta no parece ser un incentivo absoluto que motive la participación ciudadana a través de mecanismos electrónicos, ya que la misma debe estar acompañada por estrategias que permitan al ciudadano un efectivo acceso a estos. En tal sentido, los gobiernos locales actualmente tienen un gran desempeño en su apertura de información no bajo el legado del gobierno abierto de una administración conversacional con el ciudadano, sino por el contrario como una obligación legal más que deben cumplir.</w:t>
      </w:r>
    </w:p>
    <w:p w:rsidR="00D365E2" w:rsidRDefault="00485836" w:rsidP="00BE34BA">
      <w:pPr>
        <w:tabs>
          <w:tab w:val="left" w:pos="4169"/>
        </w:tabs>
        <w:spacing w:line="240" w:lineRule="auto"/>
        <w:ind w:firstLine="567"/>
        <w:jc w:val="both"/>
        <w:rPr>
          <w:rFonts w:cs="Arial"/>
        </w:rPr>
      </w:pPr>
      <w:r>
        <w:rPr>
          <w:rFonts w:cs="Arial"/>
        </w:rPr>
        <w:t xml:space="preserve">En específico el solo proceso de apertura de información no es la variable única que permita incentivar a la población en la participación, específicamente en canales electrónicos, sino que existen otras variables como la penetración del internet por ejemplo, que son también importantes para garantizar el uso y disponibilidad de la información en los sitios web, así como el adecuado funcionamiento de canales electrónicos de participación. </w:t>
      </w:r>
    </w:p>
    <w:p w:rsidR="005E6A71" w:rsidRDefault="005E6A71" w:rsidP="00F2146D">
      <w:pPr>
        <w:tabs>
          <w:tab w:val="left" w:pos="4169"/>
        </w:tabs>
        <w:spacing w:line="240" w:lineRule="auto"/>
        <w:jc w:val="both"/>
        <w:rPr>
          <w:rFonts w:cs="Arial"/>
        </w:rPr>
      </w:pPr>
    </w:p>
    <w:p w:rsidR="00F2146D" w:rsidRPr="001E0B98" w:rsidRDefault="00F2146D" w:rsidP="00F2146D">
      <w:pPr>
        <w:tabs>
          <w:tab w:val="left" w:pos="4169"/>
        </w:tabs>
        <w:spacing w:line="240" w:lineRule="auto"/>
        <w:jc w:val="both"/>
        <w:rPr>
          <w:rFonts w:cs="Arial"/>
          <w:b/>
        </w:rPr>
      </w:pPr>
      <w:r>
        <w:rPr>
          <w:rFonts w:cs="Arial"/>
          <w:b/>
        </w:rPr>
        <w:t>3.4. Apertura de información, participación electrónica y calidad de la democracia municipal en el Departamento de Cundinamarca</w:t>
      </w:r>
    </w:p>
    <w:p w:rsidR="003F7C95" w:rsidRPr="003F7C95" w:rsidRDefault="003F7C95" w:rsidP="003F7C95">
      <w:pPr>
        <w:tabs>
          <w:tab w:val="left" w:pos="4169"/>
        </w:tabs>
        <w:spacing w:line="240" w:lineRule="auto"/>
        <w:jc w:val="both"/>
        <w:rPr>
          <w:rFonts w:cs="Arial"/>
        </w:rPr>
      </w:pPr>
      <w:r w:rsidRPr="003F7C95">
        <w:rPr>
          <w:rFonts w:cs="Arial"/>
        </w:rPr>
        <w:t xml:space="preserve">Los resultados obtenidos una vez estimado el </w:t>
      </w:r>
      <w:r w:rsidR="00311E1A">
        <w:rPr>
          <w:rFonts w:cs="Arial"/>
        </w:rPr>
        <w:t>Índice de calidad democrática</w:t>
      </w:r>
      <w:r w:rsidRPr="003F7C95">
        <w:rPr>
          <w:rFonts w:cs="Arial"/>
        </w:rPr>
        <w:t xml:space="preserve"> para el Departamento de Cundinamarca, se pueden analizar con mayor claridad acudiendo a la agrupación de municipios por provincias, mecanismo que facilita a su vez la realización de un análisis comparado. </w:t>
      </w:r>
    </w:p>
    <w:p w:rsidR="003F7C95" w:rsidRPr="003F7C95" w:rsidRDefault="003F7C95" w:rsidP="00BE34BA">
      <w:pPr>
        <w:tabs>
          <w:tab w:val="left" w:pos="4169"/>
        </w:tabs>
        <w:spacing w:line="240" w:lineRule="auto"/>
        <w:ind w:firstLine="567"/>
        <w:jc w:val="both"/>
        <w:rPr>
          <w:rFonts w:cs="Arial"/>
        </w:rPr>
      </w:pPr>
      <w:r w:rsidRPr="003F7C95">
        <w:rPr>
          <w:rFonts w:cs="Arial"/>
        </w:rPr>
        <w:t xml:space="preserve">Como </w:t>
      </w:r>
      <w:r w:rsidR="008C50DA">
        <w:rPr>
          <w:rFonts w:cs="Arial"/>
        </w:rPr>
        <w:t>puede apreciarse en el gráfico 4</w:t>
      </w:r>
      <w:r w:rsidRPr="003F7C95">
        <w:rPr>
          <w:rFonts w:cs="Arial"/>
        </w:rPr>
        <w:t>, la región más democrática del Departamento de Cundinamarca es Sabana Centro ya que todos sus municipios (11) superan el promedio democrático nacional; seguidamente se encuentran 8 municipios de la región de Ubaté y 7 de Sabana Occidente, es decir, que la mayor parte de los municipios que en este departamento son más democráticos se encuentran en la Sabana, región más próxima a la capital del país y que hace parte de la denominada Región Capital que integran al distrito capital con los municipios más próximos del departamento de Cundinamarca.</w:t>
      </w:r>
    </w:p>
    <w:p w:rsidR="003F7C95" w:rsidRDefault="003F7C95" w:rsidP="00BE34BA">
      <w:pPr>
        <w:tabs>
          <w:tab w:val="left" w:pos="4169"/>
        </w:tabs>
        <w:spacing w:line="240" w:lineRule="auto"/>
        <w:ind w:firstLine="567"/>
        <w:jc w:val="both"/>
        <w:rPr>
          <w:rFonts w:cs="Arial"/>
        </w:rPr>
      </w:pPr>
      <w:r w:rsidRPr="003F7C95">
        <w:rPr>
          <w:rFonts w:cs="Arial"/>
        </w:rPr>
        <w:t>De acuerdo con la caracterización de la Región Capital, esta integra a los municipios en virtud de su cercanía y dependencia a la ciudad de Bogotá,  el primero de los cuales constituye su “borde urbano”, conformado por los municipios de La Calera, Cota, Funza, Chía, Mosque</w:t>
      </w:r>
      <w:r>
        <w:rPr>
          <w:rFonts w:cs="Arial"/>
        </w:rPr>
        <w:t xml:space="preserve">ra y Soacha.  Este “borde” hace </w:t>
      </w:r>
      <w:r w:rsidRPr="003F7C95">
        <w:rPr>
          <w:rFonts w:cs="Arial"/>
        </w:rPr>
        <w:t>parte igualmente del denominado “primer anillo de influencia para Bogotá”, conformado por 26 municipios entre los que se encuentran adicionalmente Cajicá, Tocancipá, Tenjo,  Sopó, Madrid, Cogua, Tabio, Facatativá, Sibaté, Subachoque, Gachancipá, que hacen parte de las provincias de Sabana Centro, Sabana Occidente y Ubaté, que como se ha indicado concentran los municipios de mayor calidad democrátic</w:t>
      </w:r>
      <w:r w:rsidR="0032502B">
        <w:rPr>
          <w:rFonts w:cs="Arial"/>
        </w:rPr>
        <w:t>a en Cundinamarca y en el país.</w:t>
      </w:r>
    </w:p>
    <w:p w:rsidR="001A07D7" w:rsidRDefault="001A07D7" w:rsidP="00BE34BA">
      <w:pPr>
        <w:tabs>
          <w:tab w:val="left" w:pos="4169"/>
        </w:tabs>
        <w:spacing w:line="240" w:lineRule="auto"/>
        <w:ind w:firstLine="567"/>
        <w:jc w:val="both"/>
        <w:rPr>
          <w:rFonts w:cs="Arial"/>
        </w:rPr>
      </w:pPr>
    </w:p>
    <w:p w:rsidR="001A07D7" w:rsidRDefault="001A07D7" w:rsidP="00BE34BA">
      <w:pPr>
        <w:tabs>
          <w:tab w:val="left" w:pos="4169"/>
        </w:tabs>
        <w:spacing w:line="240" w:lineRule="auto"/>
        <w:ind w:firstLine="567"/>
        <w:jc w:val="both"/>
        <w:rPr>
          <w:rFonts w:cs="Arial"/>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Default="001A07D7" w:rsidP="001A07D7">
      <w:pPr>
        <w:tabs>
          <w:tab w:val="left" w:pos="4169"/>
        </w:tabs>
        <w:spacing w:after="0" w:line="240" w:lineRule="auto"/>
        <w:jc w:val="both"/>
        <w:rPr>
          <w:rFonts w:cs="Arial"/>
          <w:b/>
          <w:sz w:val="20"/>
        </w:rPr>
      </w:pPr>
    </w:p>
    <w:p w:rsidR="001A07D7" w:rsidRPr="00CD72F6" w:rsidRDefault="001A07D7" w:rsidP="001A07D7">
      <w:pPr>
        <w:tabs>
          <w:tab w:val="left" w:pos="4169"/>
        </w:tabs>
        <w:spacing w:after="0" w:line="240" w:lineRule="auto"/>
        <w:jc w:val="both"/>
        <w:rPr>
          <w:rFonts w:cs="Arial"/>
          <w:b/>
          <w:sz w:val="20"/>
        </w:rPr>
      </w:pPr>
      <w:r w:rsidRPr="00B03AD6">
        <w:rPr>
          <w:noProof/>
          <w:lang w:eastAsia="es-CO"/>
        </w:rPr>
        <w:lastRenderedPageBreak/>
        <w:drawing>
          <wp:anchor distT="0" distB="0" distL="114300" distR="114300" simplePos="0" relativeHeight="251669504" behindDoc="0" locked="0" layoutInCell="1" allowOverlap="1">
            <wp:simplePos x="0" y="0"/>
            <wp:positionH relativeFrom="column">
              <wp:posOffset>-186055</wp:posOffset>
            </wp:positionH>
            <wp:positionV relativeFrom="paragraph">
              <wp:posOffset>177165</wp:posOffset>
            </wp:positionV>
            <wp:extent cx="3952875" cy="3190875"/>
            <wp:effectExtent l="0" t="0" r="0" b="0"/>
            <wp:wrapThrough wrapText="bothSides">
              <wp:wrapPolygon edited="0">
                <wp:start x="0" y="0"/>
                <wp:lineTo x="0" y="21407"/>
                <wp:lineTo x="21444" y="21407"/>
                <wp:lineTo x="21444" y="0"/>
                <wp:lineTo x="0" y="0"/>
              </wp:wrapPolygon>
            </wp:wrapThrough>
            <wp:docPr id="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rFonts w:cs="Arial"/>
          <w:b/>
          <w:sz w:val="20"/>
        </w:rPr>
        <w:t>Grafico 6</w:t>
      </w:r>
      <w:r w:rsidRPr="00CD72F6">
        <w:rPr>
          <w:rFonts w:cs="Arial"/>
          <w:b/>
          <w:sz w:val="20"/>
        </w:rPr>
        <w:t xml:space="preserve">. </w:t>
      </w:r>
      <w:r w:rsidRPr="001A07D7">
        <w:rPr>
          <w:rFonts w:cs="Arial"/>
          <w:sz w:val="20"/>
        </w:rPr>
        <w:t>Número de municipios Cundinamarca por provincia que supera el promedio democrático nacional.</w:t>
      </w:r>
      <w:r w:rsidRPr="00CD72F6">
        <w:rPr>
          <w:rFonts w:cs="Arial"/>
          <w:b/>
          <w:sz w:val="20"/>
        </w:rPr>
        <w:t xml:space="preserve"> </w:t>
      </w:r>
    </w:p>
    <w:p w:rsidR="001A07D7" w:rsidRDefault="001A07D7" w:rsidP="00BE34BA">
      <w:pPr>
        <w:tabs>
          <w:tab w:val="left" w:pos="4169"/>
        </w:tabs>
        <w:spacing w:line="240" w:lineRule="auto"/>
        <w:ind w:firstLine="567"/>
        <w:jc w:val="both"/>
        <w:rPr>
          <w:rFonts w:cs="Arial"/>
        </w:rPr>
      </w:pPr>
    </w:p>
    <w:p w:rsidR="001A07D7" w:rsidRDefault="001A07D7" w:rsidP="00BE34BA">
      <w:pPr>
        <w:tabs>
          <w:tab w:val="left" w:pos="4169"/>
        </w:tabs>
        <w:spacing w:line="240" w:lineRule="auto"/>
        <w:ind w:firstLine="567"/>
        <w:jc w:val="both"/>
        <w:rPr>
          <w:rFonts w:cs="Arial"/>
        </w:rPr>
      </w:pPr>
      <w:r w:rsidRPr="00B03AD6">
        <w:rPr>
          <w:noProof/>
          <w:lang w:eastAsia="es-CO"/>
        </w:rPr>
        <w:drawing>
          <wp:anchor distT="0" distB="0" distL="114300" distR="114300" simplePos="0" relativeHeight="251650048" behindDoc="0" locked="0" layoutInCell="1" allowOverlap="1">
            <wp:simplePos x="0" y="0"/>
            <wp:positionH relativeFrom="column">
              <wp:posOffset>262890</wp:posOffset>
            </wp:positionH>
            <wp:positionV relativeFrom="paragraph">
              <wp:posOffset>269240</wp:posOffset>
            </wp:positionV>
            <wp:extent cx="1546860" cy="2162175"/>
            <wp:effectExtent l="0" t="0" r="0" b="0"/>
            <wp:wrapSquare wrapText="bothSides"/>
            <wp:docPr id="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6860" cy="2162175"/>
                    </a:xfrm>
                    <a:prstGeom prst="rect">
                      <a:avLst/>
                    </a:prstGeom>
                    <a:noFill/>
                    <a:ln w="9525">
                      <a:noFill/>
                      <a:miter lim="800000"/>
                      <a:headEnd/>
                      <a:tailEnd/>
                    </a:ln>
                  </pic:spPr>
                </pic:pic>
              </a:graphicData>
            </a:graphic>
          </wp:anchor>
        </w:drawing>
      </w:r>
    </w:p>
    <w:p w:rsidR="001A07D7" w:rsidRDefault="001A07D7" w:rsidP="00BE34BA">
      <w:pPr>
        <w:tabs>
          <w:tab w:val="left" w:pos="4169"/>
        </w:tabs>
        <w:spacing w:line="240" w:lineRule="auto"/>
        <w:ind w:firstLine="567"/>
        <w:jc w:val="both"/>
        <w:rPr>
          <w:rFonts w:cs="Arial"/>
        </w:rPr>
      </w:pPr>
    </w:p>
    <w:p w:rsidR="001A07D7" w:rsidRDefault="001A07D7" w:rsidP="00BE34BA">
      <w:pPr>
        <w:tabs>
          <w:tab w:val="left" w:pos="4169"/>
        </w:tabs>
        <w:spacing w:line="240" w:lineRule="auto"/>
        <w:ind w:firstLine="567"/>
        <w:jc w:val="both"/>
        <w:rPr>
          <w:rFonts w:cs="Arial"/>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3E79AB">
      <w:pPr>
        <w:tabs>
          <w:tab w:val="left" w:pos="4169"/>
        </w:tabs>
        <w:spacing w:after="0" w:line="240" w:lineRule="auto"/>
        <w:jc w:val="both"/>
        <w:rPr>
          <w:rFonts w:cs="Arial"/>
          <w:b/>
          <w:sz w:val="20"/>
        </w:rPr>
      </w:pPr>
    </w:p>
    <w:p w:rsidR="003E79AB" w:rsidRDefault="003E79AB" w:rsidP="001A07D7">
      <w:pPr>
        <w:tabs>
          <w:tab w:val="left" w:pos="4169"/>
        </w:tabs>
        <w:spacing w:after="0" w:line="240" w:lineRule="auto"/>
        <w:jc w:val="center"/>
        <w:rPr>
          <w:rFonts w:cs="Arial"/>
          <w:sz w:val="20"/>
        </w:rPr>
      </w:pPr>
      <w:r>
        <w:rPr>
          <w:rFonts w:cs="Arial"/>
          <w:sz w:val="20"/>
        </w:rPr>
        <w:t>Fuente: Elaboración propia con base a las cifras del ICD</w:t>
      </w:r>
    </w:p>
    <w:p w:rsidR="003F7C95" w:rsidRDefault="003F7C95" w:rsidP="003F7C95">
      <w:pPr>
        <w:tabs>
          <w:tab w:val="left" w:pos="4169"/>
        </w:tabs>
        <w:spacing w:line="240" w:lineRule="auto"/>
        <w:jc w:val="both"/>
        <w:rPr>
          <w:rFonts w:cs="Arial"/>
        </w:rPr>
      </w:pPr>
    </w:p>
    <w:p w:rsidR="003F7C95" w:rsidRDefault="003F7C95" w:rsidP="00BE34BA">
      <w:pPr>
        <w:tabs>
          <w:tab w:val="left" w:pos="4169"/>
        </w:tabs>
        <w:spacing w:line="240" w:lineRule="auto"/>
        <w:ind w:firstLine="567"/>
        <w:jc w:val="both"/>
        <w:rPr>
          <w:rFonts w:cs="Arial"/>
        </w:rPr>
      </w:pPr>
      <w:r w:rsidRPr="003F7C95">
        <w:rPr>
          <w:rFonts w:cs="Arial"/>
        </w:rPr>
        <w:t>Según el ICDM, Funza es el primer municipio del país en calidad democrática, (84 puntos), mientras Cota es el segundo a nivel nacional (81 puntos) y Tocancipá es el tercero, lo cual evidencia,  que los municipios con mejor calidad democrática del departamento y del país, están cerca de la ciudad de Bogotá.</w:t>
      </w:r>
    </w:p>
    <w:p w:rsidR="00AA2224" w:rsidRDefault="00AA2224" w:rsidP="00BE34BA">
      <w:pPr>
        <w:tabs>
          <w:tab w:val="left" w:pos="4169"/>
        </w:tabs>
        <w:spacing w:line="240" w:lineRule="auto"/>
        <w:ind w:firstLine="567"/>
        <w:jc w:val="both"/>
        <w:rPr>
          <w:rFonts w:cs="Arial"/>
        </w:rPr>
      </w:pPr>
    </w:p>
    <w:p w:rsidR="00AA2224" w:rsidRPr="001A07D7" w:rsidRDefault="001A07D7" w:rsidP="001A07D7">
      <w:pPr>
        <w:tabs>
          <w:tab w:val="left" w:pos="4169"/>
        </w:tabs>
        <w:spacing w:after="0" w:line="240" w:lineRule="auto"/>
        <w:jc w:val="center"/>
        <w:rPr>
          <w:rFonts w:cs="Arial"/>
          <w:sz w:val="20"/>
        </w:rPr>
      </w:pPr>
      <w:r>
        <w:rPr>
          <w:rFonts w:cs="Arial"/>
          <w:b/>
          <w:sz w:val="20"/>
        </w:rPr>
        <w:t>Cuadro3</w:t>
      </w:r>
      <w:r w:rsidRPr="006B00A8">
        <w:rPr>
          <w:rFonts w:cs="Arial"/>
          <w:b/>
          <w:sz w:val="20"/>
        </w:rPr>
        <w:t xml:space="preserve">. </w:t>
      </w:r>
      <w:r w:rsidRPr="001A07D7">
        <w:rPr>
          <w:rFonts w:cs="Arial"/>
          <w:sz w:val="20"/>
        </w:rPr>
        <w:t>Municipios de Cundinamarca con mayor calidad democrática</w:t>
      </w:r>
    </w:p>
    <w:p w:rsidR="003E79AB" w:rsidRPr="003F7C95" w:rsidRDefault="003E79AB" w:rsidP="00BE34BA">
      <w:pPr>
        <w:tabs>
          <w:tab w:val="left" w:pos="4169"/>
        </w:tabs>
        <w:spacing w:line="240" w:lineRule="auto"/>
        <w:ind w:firstLine="567"/>
        <w:jc w:val="both"/>
        <w:rPr>
          <w:rFonts w:cs="Arial"/>
        </w:rPr>
      </w:pPr>
    </w:p>
    <w:tbl>
      <w:tblPr>
        <w:tblW w:w="4800" w:type="dxa"/>
        <w:jc w:val="center"/>
        <w:tblCellMar>
          <w:left w:w="70" w:type="dxa"/>
          <w:right w:w="70" w:type="dxa"/>
        </w:tblCellMar>
        <w:tblLook w:val="04A0"/>
      </w:tblPr>
      <w:tblGrid>
        <w:gridCol w:w="1200"/>
        <w:gridCol w:w="1200"/>
        <w:gridCol w:w="1200"/>
        <w:gridCol w:w="1200"/>
      </w:tblGrid>
      <w:tr w:rsidR="003E79AB" w:rsidRPr="003E79AB" w:rsidTr="003E79AB">
        <w:trPr>
          <w:trHeight w:val="495"/>
          <w:jc w:val="center"/>
        </w:trPr>
        <w:tc>
          <w:tcPr>
            <w:tcW w:w="120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E79AB" w:rsidRPr="003E79AB" w:rsidRDefault="003E79AB" w:rsidP="003E79AB">
            <w:pPr>
              <w:spacing w:after="0" w:line="240" w:lineRule="auto"/>
              <w:jc w:val="center"/>
              <w:rPr>
                <w:rFonts w:ascii="Calibri" w:eastAsia="Times New Roman" w:hAnsi="Calibri" w:cs="Times New Roman"/>
                <w:b/>
                <w:bCs/>
                <w:sz w:val="18"/>
                <w:szCs w:val="18"/>
                <w:lang w:eastAsia="es-CO"/>
              </w:rPr>
            </w:pPr>
            <w:r w:rsidRPr="003E79AB">
              <w:rPr>
                <w:rFonts w:ascii="Calibri" w:eastAsia="Times New Roman" w:hAnsi="Calibri" w:cs="Times New Roman"/>
                <w:b/>
                <w:bCs/>
                <w:sz w:val="18"/>
                <w:szCs w:val="18"/>
                <w:lang w:val="en-US" w:eastAsia="es-CO"/>
              </w:rPr>
              <w:t>MUNICIPIO</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rsidR="003E79AB" w:rsidRPr="003E79AB" w:rsidRDefault="003E79AB" w:rsidP="003E79AB">
            <w:pPr>
              <w:spacing w:after="0" w:line="240" w:lineRule="auto"/>
              <w:jc w:val="center"/>
              <w:rPr>
                <w:rFonts w:ascii="Calibri" w:eastAsia="Times New Roman" w:hAnsi="Calibri" w:cs="Times New Roman"/>
                <w:b/>
                <w:bCs/>
                <w:sz w:val="18"/>
                <w:szCs w:val="18"/>
                <w:lang w:eastAsia="es-CO"/>
              </w:rPr>
            </w:pPr>
            <w:r w:rsidRPr="003E79AB">
              <w:rPr>
                <w:rFonts w:ascii="Calibri" w:eastAsia="Times New Roman" w:hAnsi="Calibri" w:cs="Times New Roman"/>
                <w:b/>
                <w:bCs/>
                <w:sz w:val="18"/>
                <w:szCs w:val="18"/>
                <w:lang w:val="en-US" w:eastAsia="es-CO"/>
              </w:rPr>
              <w:t>ICD</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rsidR="003E79AB" w:rsidRPr="003E79AB" w:rsidRDefault="003E79AB" w:rsidP="003E79AB">
            <w:pPr>
              <w:spacing w:after="0" w:line="240" w:lineRule="auto"/>
              <w:jc w:val="center"/>
              <w:rPr>
                <w:rFonts w:ascii="Calibri" w:eastAsia="Times New Roman" w:hAnsi="Calibri" w:cs="Times New Roman"/>
                <w:b/>
                <w:bCs/>
                <w:sz w:val="18"/>
                <w:szCs w:val="18"/>
                <w:lang w:eastAsia="es-CO"/>
              </w:rPr>
            </w:pPr>
            <w:r w:rsidRPr="003E79AB">
              <w:rPr>
                <w:rFonts w:ascii="Calibri" w:eastAsia="Times New Roman" w:hAnsi="Calibri" w:cs="Times New Roman"/>
                <w:b/>
                <w:bCs/>
                <w:sz w:val="18"/>
                <w:szCs w:val="18"/>
                <w:lang w:val="en-US" w:eastAsia="es-CO"/>
              </w:rPr>
              <w:t>POSICION DTAL</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rsidR="003E79AB" w:rsidRPr="003E79AB" w:rsidRDefault="003E79AB" w:rsidP="003E79AB">
            <w:pPr>
              <w:spacing w:after="0" w:line="240" w:lineRule="auto"/>
              <w:jc w:val="center"/>
              <w:rPr>
                <w:rFonts w:ascii="Calibri" w:eastAsia="Times New Roman" w:hAnsi="Calibri" w:cs="Times New Roman"/>
                <w:b/>
                <w:bCs/>
                <w:sz w:val="18"/>
                <w:szCs w:val="18"/>
                <w:lang w:eastAsia="es-CO"/>
              </w:rPr>
            </w:pPr>
            <w:r w:rsidRPr="003E79AB">
              <w:rPr>
                <w:rFonts w:ascii="Calibri" w:eastAsia="Times New Roman" w:hAnsi="Calibri" w:cs="Times New Roman"/>
                <w:b/>
                <w:bCs/>
                <w:sz w:val="18"/>
                <w:szCs w:val="18"/>
                <w:lang w:val="en-US" w:eastAsia="es-CO"/>
              </w:rPr>
              <w:t>POSICION NACIONAL</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Funza</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83,3</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proofErr w:type="spellStart"/>
            <w:r w:rsidRPr="003E79AB">
              <w:rPr>
                <w:rFonts w:ascii="Calibri" w:eastAsia="Times New Roman" w:hAnsi="Calibri" w:cs="Times New Roman"/>
                <w:sz w:val="18"/>
                <w:szCs w:val="18"/>
                <w:lang w:val="en-US" w:eastAsia="es-CO"/>
              </w:rPr>
              <w:t>Cota</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81,74</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2</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2</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Tocancipá</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81,17</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3</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3</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proofErr w:type="spellStart"/>
            <w:r w:rsidRPr="003E79AB">
              <w:rPr>
                <w:rFonts w:ascii="Calibri" w:eastAsia="Times New Roman" w:hAnsi="Calibri" w:cs="Times New Roman"/>
                <w:sz w:val="18"/>
                <w:szCs w:val="18"/>
                <w:lang w:val="en-US" w:eastAsia="es-CO"/>
              </w:rPr>
              <w:t>Chía</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78,82</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4</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6</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Cajicá</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78,19</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5</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8</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Tenjo</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75,52</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6</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10</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proofErr w:type="spellStart"/>
            <w:r w:rsidRPr="003E79AB">
              <w:rPr>
                <w:rFonts w:ascii="Calibri" w:eastAsia="Times New Roman" w:hAnsi="Calibri" w:cs="Times New Roman"/>
                <w:sz w:val="18"/>
                <w:szCs w:val="18"/>
                <w:lang w:val="en-US" w:eastAsia="es-CO"/>
              </w:rPr>
              <w:t>Mosquera</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74,97</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12</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La Calera</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74,19</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8</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13</w:t>
            </w:r>
          </w:p>
        </w:tc>
      </w:tr>
      <w:tr w:rsidR="003E79AB" w:rsidRPr="003E79AB" w:rsidTr="003E79AB">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Madrid</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74,16</w:t>
            </w:r>
          </w:p>
        </w:tc>
        <w:tc>
          <w:tcPr>
            <w:tcW w:w="1200" w:type="dxa"/>
            <w:tcBorders>
              <w:top w:val="nil"/>
              <w:left w:val="nil"/>
              <w:bottom w:val="single" w:sz="4"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9</w:t>
            </w:r>
          </w:p>
        </w:tc>
        <w:tc>
          <w:tcPr>
            <w:tcW w:w="1200" w:type="dxa"/>
            <w:tcBorders>
              <w:top w:val="nil"/>
              <w:left w:val="nil"/>
              <w:bottom w:val="single" w:sz="4"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14</w:t>
            </w:r>
          </w:p>
        </w:tc>
      </w:tr>
      <w:tr w:rsidR="003E79AB" w:rsidRPr="003E79AB" w:rsidTr="003E79AB">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3E79AB" w:rsidRPr="003E79AB" w:rsidRDefault="003E79AB" w:rsidP="003E79AB">
            <w:pPr>
              <w:spacing w:after="0" w:line="240" w:lineRule="auto"/>
              <w:rPr>
                <w:rFonts w:ascii="Calibri" w:eastAsia="Times New Roman" w:hAnsi="Calibri" w:cs="Times New Roman"/>
                <w:sz w:val="18"/>
                <w:szCs w:val="18"/>
                <w:lang w:eastAsia="es-CO"/>
              </w:rPr>
            </w:pPr>
            <w:proofErr w:type="spellStart"/>
            <w:r>
              <w:rPr>
                <w:rFonts w:ascii="Calibri" w:eastAsia="Times New Roman" w:hAnsi="Calibri" w:cs="Times New Roman"/>
                <w:sz w:val="18"/>
                <w:szCs w:val="18"/>
                <w:lang w:val="en-US" w:eastAsia="es-CO"/>
              </w:rPr>
              <w:t>Sopó</w:t>
            </w:r>
            <w:proofErr w:type="spellEnd"/>
          </w:p>
        </w:tc>
        <w:tc>
          <w:tcPr>
            <w:tcW w:w="1200" w:type="dxa"/>
            <w:tcBorders>
              <w:top w:val="nil"/>
              <w:left w:val="nil"/>
              <w:bottom w:val="single" w:sz="8"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73,51</w:t>
            </w:r>
          </w:p>
        </w:tc>
        <w:tc>
          <w:tcPr>
            <w:tcW w:w="1200" w:type="dxa"/>
            <w:tcBorders>
              <w:top w:val="nil"/>
              <w:left w:val="nil"/>
              <w:bottom w:val="single" w:sz="8" w:space="0" w:color="auto"/>
              <w:right w:val="single" w:sz="4"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10</w:t>
            </w:r>
          </w:p>
        </w:tc>
        <w:tc>
          <w:tcPr>
            <w:tcW w:w="1200" w:type="dxa"/>
            <w:tcBorders>
              <w:top w:val="nil"/>
              <w:left w:val="nil"/>
              <w:bottom w:val="single" w:sz="8" w:space="0" w:color="auto"/>
              <w:right w:val="single" w:sz="8" w:space="0" w:color="auto"/>
            </w:tcBorders>
            <w:shd w:val="clear" w:color="auto" w:fill="auto"/>
            <w:noWrap/>
            <w:vAlign w:val="center"/>
            <w:hideMark/>
          </w:tcPr>
          <w:p w:rsidR="003E79AB" w:rsidRPr="003E79AB" w:rsidRDefault="003E79AB" w:rsidP="003E79AB">
            <w:pPr>
              <w:spacing w:after="0" w:line="240" w:lineRule="auto"/>
              <w:jc w:val="center"/>
              <w:rPr>
                <w:rFonts w:ascii="Calibri" w:eastAsia="Times New Roman" w:hAnsi="Calibri" w:cs="Times New Roman"/>
                <w:sz w:val="18"/>
                <w:szCs w:val="18"/>
                <w:lang w:eastAsia="es-CO"/>
              </w:rPr>
            </w:pPr>
            <w:r w:rsidRPr="003E79AB">
              <w:rPr>
                <w:rFonts w:ascii="Calibri" w:eastAsia="Times New Roman" w:hAnsi="Calibri" w:cs="Times New Roman"/>
                <w:sz w:val="18"/>
                <w:szCs w:val="18"/>
                <w:lang w:val="en-US" w:eastAsia="es-CO"/>
              </w:rPr>
              <w:t>16</w:t>
            </w:r>
          </w:p>
        </w:tc>
      </w:tr>
    </w:tbl>
    <w:p w:rsidR="003E79AB" w:rsidRDefault="003E79AB" w:rsidP="001A07D7">
      <w:pPr>
        <w:tabs>
          <w:tab w:val="left" w:pos="4169"/>
        </w:tabs>
        <w:spacing w:after="0" w:line="240" w:lineRule="auto"/>
        <w:jc w:val="center"/>
        <w:rPr>
          <w:rStyle w:val="Referenciasutil"/>
          <w:rFonts w:eastAsia="Times New Roman"/>
          <w:b/>
          <w:color w:val="auto"/>
          <w:u w:val="none"/>
        </w:rPr>
      </w:pPr>
      <w:bookmarkStart w:id="1" w:name="_Toc399439820"/>
    </w:p>
    <w:p w:rsidR="003E79AB" w:rsidRPr="006B00A8" w:rsidRDefault="003E79AB" w:rsidP="001A07D7">
      <w:pPr>
        <w:tabs>
          <w:tab w:val="left" w:pos="4169"/>
        </w:tabs>
        <w:spacing w:after="0" w:line="240" w:lineRule="auto"/>
        <w:jc w:val="center"/>
        <w:rPr>
          <w:rFonts w:cs="Arial"/>
          <w:sz w:val="20"/>
        </w:rPr>
      </w:pPr>
      <w:r w:rsidRPr="006B00A8">
        <w:rPr>
          <w:rFonts w:cs="Arial"/>
          <w:sz w:val="20"/>
        </w:rPr>
        <w:t xml:space="preserve">Fuente: </w:t>
      </w:r>
      <w:r>
        <w:rPr>
          <w:rFonts w:cs="Arial"/>
          <w:sz w:val="20"/>
        </w:rPr>
        <w:t>Elaboración propia con base en cifras del ICD</w:t>
      </w:r>
    </w:p>
    <w:bookmarkEnd w:id="1"/>
    <w:p w:rsidR="003E79AB" w:rsidRDefault="003E79AB" w:rsidP="003E79AB">
      <w:pPr>
        <w:tabs>
          <w:tab w:val="left" w:pos="4169"/>
        </w:tabs>
        <w:spacing w:line="240" w:lineRule="auto"/>
        <w:jc w:val="both"/>
        <w:rPr>
          <w:rFonts w:cs="Arial"/>
        </w:rPr>
      </w:pPr>
    </w:p>
    <w:p w:rsidR="00744583" w:rsidRDefault="003F7C95" w:rsidP="00BE34BA">
      <w:pPr>
        <w:tabs>
          <w:tab w:val="left" w:pos="4169"/>
        </w:tabs>
        <w:spacing w:line="240" w:lineRule="auto"/>
        <w:ind w:firstLine="567"/>
        <w:jc w:val="both"/>
        <w:rPr>
          <w:rFonts w:cs="Arial"/>
        </w:rPr>
      </w:pPr>
      <w:r w:rsidRPr="003F7C95">
        <w:rPr>
          <w:rFonts w:cs="Arial"/>
        </w:rPr>
        <w:lastRenderedPageBreak/>
        <w:t>Es importante resaltar que estos municipios que conforman el primer anillo de influencia para Bogotá, representan el 18.1% de los municipios de departamento, sin embargo allí reside el 60.2% del total de la población de Cundinamarca, municipios que además aportan el 61.6% del producto interno bruto departamental.</w:t>
      </w:r>
    </w:p>
    <w:p w:rsidR="0081549D" w:rsidRDefault="00516189" w:rsidP="00BE34BA">
      <w:pPr>
        <w:tabs>
          <w:tab w:val="left" w:pos="4169"/>
        </w:tabs>
        <w:spacing w:line="240" w:lineRule="auto"/>
        <w:ind w:firstLine="567"/>
        <w:jc w:val="both"/>
        <w:rPr>
          <w:rFonts w:cs="Arial"/>
        </w:rPr>
      </w:pPr>
      <w:r>
        <w:rPr>
          <w:rFonts w:cs="Arial"/>
        </w:rPr>
        <w:t>Ahora bien,  con el ánimo de analizar la influencia que tiene la apertura de información municipal, como el índice de participación electrónica</w:t>
      </w:r>
      <w:r w:rsidR="007F5E1C">
        <w:rPr>
          <w:rFonts w:cs="Arial"/>
        </w:rPr>
        <w:t>,</w:t>
      </w:r>
      <w:r>
        <w:rPr>
          <w:rFonts w:cs="Arial"/>
        </w:rPr>
        <w:t xml:space="preserve"> sobre el aumento o disminución de la calidad democrática en los gobiernos locales de Cundinamarca, a continuación se evidencia cual es la tendencia en el departamento sobre estas tres variables, y en qué casos específicos </w:t>
      </w:r>
      <w:r w:rsidR="00910BC0">
        <w:rPr>
          <w:rFonts w:cs="Arial"/>
        </w:rPr>
        <w:t>la correlación es alta o baja.</w:t>
      </w:r>
    </w:p>
    <w:p w:rsidR="001A07D7" w:rsidRDefault="001A07D7" w:rsidP="00BE34BA">
      <w:pPr>
        <w:tabs>
          <w:tab w:val="left" w:pos="4169"/>
        </w:tabs>
        <w:spacing w:line="240" w:lineRule="auto"/>
        <w:ind w:firstLine="567"/>
        <w:jc w:val="both"/>
        <w:rPr>
          <w:rFonts w:cs="Arial"/>
        </w:rPr>
      </w:pPr>
    </w:p>
    <w:p w:rsidR="001A07D7" w:rsidRPr="008A5906" w:rsidRDefault="001A07D7" w:rsidP="001A07D7">
      <w:pPr>
        <w:tabs>
          <w:tab w:val="left" w:pos="4169"/>
        </w:tabs>
        <w:spacing w:after="0" w:line="240" w:lineRule="auto"/>
        <w:jc w:val="center"/>
        <w:rPr>
          <w:rFonts w:cs="Arial"/>
          <w:b/>
          <w:sz w:val="20"/>
        </w:rPr>
      </w:pPr>
      <w:r w:rsidRPr="008A5906">
        <w:rPr>
          <w:rFonts w:cs="Arial"/>
          <w:b/>
          <w:sz w:val="20"/>
        </w:rPr>
        <w:t xml:space="preserve">Grafico 7. </w:t>
      </w:r>
      <w:r w:rsidRPr="001A07D7">
        <w:rPr>
          <w:rFonts w:cs="Arial"/>
          <w:sz w:val="20"/>
        </w:rPr>
        <w:t>Desempeño de los gobiernos locales del departamento de Cundinamarca en los índices de calidad democrática, apertura de información municipal y participación electrónica.</w:t>
      </w:r>
    </w:p>
    <w:p w:rsidR="00AF5A96" w:rsidRDefault="00AF5A96" w:rsidP="00520D81">
      <w:pPr>
        <w:tabs>
          <w:tab w:val="left" w:pos="4169"/>
        </w:tabs>
        <w:spacing w:line="240" w:lineRule="auto"/>
        <w:jc w:val="both"/>
        <w:rPr>
          <w:rFonts w:cs="Arial"/>
        </w:rPr>
      </w:pPr>
    </w:p>
    <w:p w:rsidR="00C03208" w:rsidRDefault="00AF5A96" w:rsidP="00AF5A96">
      <w:pPr>
        <w:tabs>
          <w:tab w:val="left" w:pos="4169"/>
        </w:tabs>
        <w:spacing w:line="240" w:lineRule="auto"/>
        <w:jc w:val="center"/>
        <w:rPr>
          <w:rFonts w:cs="Arial"/>
        </w:rPr>
      </w:pPr>
      <w:r>
        <w:rPr>
          <w:noProof/>
          <w:lang w:eastAsia="es-CO"/>
        </w:rPr>
        <w:drawing>
          <wp:inline distT="0" distB="0" distL="0" distR="0">
            <wp:extent cx="4143375" cy="2200275"/>
            <wp:effectExtent l="0" t="0" r="0" b="0"/>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03208" w:rsidRDefault="00AF5A96" w:rsidP="001A07D7">
      <w:pPr>
        <w:tabs>
          <w:tab w:val="left" w:pos="4169"/>
        </w:tabs>
        <w:spacing w:after="0" w:line="240" w:lineRule="auto"/>
        <w:jc w:val="center"/>
        <w:rPr>
          <w:rFonts w:cs="Arial"/>
          <w:sz w:val="20"/>
        </w:rPr>
      </w:pPr>
      <w:r w:rsidRPr="008A5906">
        <w:rPr>
          <w:rFonts w:cs="Arial"/>
          <w:sz w:val="20"/>
        </w:rPr>
        <w:t>Fuente: Elaboración propia.</w:t>
      </w:r>
    </w:p>
    <w:p w:rsidR="008A5906" w:rsidRDefault="008A5906" w:rsidP="008A5906">
      <w:pPr>
        <w:tabs>
          <w:tab w:val="left" w:pos="4169"/>
        </w:tabs>
        <w:spacing w:after="0" w:line="240" w:lineRule="auto"/>
        <w:jc w:val="both"/>
        <w:rPr>
          <w:rFonts w:cs="Arial"/>
          <w:sz w:val="20"/>
        </w:rPr>
      </w:pPr>
    </w:p>
    <w:p w:rsidR="00023D69" w:rsidRPr="008A5906" w:rsidRDefault="00023D69" w:rsidP="008A5906">
      <w:pPr>
        <w:tabs>
          <w:tab w:val="left" w:pos="4169"/>
        </w:tabs>
        <w:spacing w:after="0" w:line="240" w:lineRule="auto"/>
        <w:jc w:val="both"/>
        <w:rPr>
          <w:rFonts w:cs="Arial"/>
          <w:sz w:val="20"/>
        </w:rPr>
      </w:pPr>
    </w:p>
    <w:p w:rsidR="00AF5A96" w:rsidRDefault="009842AB" w:rsidP="00073A7E">
      <w:pPr>
        <w:tabs>
          <w:tab w:val="left" w:pos="4169"/>
        </w:tabs>
        <w:spacing w:line="240" w:lineRule="auto"/>
        <w:ind w:firstLine="567"/>
        <w:jc w:val="both"/>
        <w:rPr>
          <w:rFonts w:cs="Arial"/>
        </w:rPr>
      </w:pPr>
      <w:r>
        <w:rPr>
          <w:rFonts w:cs="Arial"/>
        </w:rPr>
        <w:t>Como se observa en el grafico número 7, un grupo conformado por el 14,6% de gobiernos locales en Cundinamarca ha logrado un alto desempeño en los tres índices en cuestión, es decir que la apertura de información, así como mantener buenos niveles de interacción electrónica con su población, es proporcional a mantener buenos niveles de calidad democrática. Este grupo está encabezado por gobiernos locales como Facatativá, Girardot, Madrid y Tocancipá.</w:t>
      </w:r>
    </w:p>
    <w:p w:rsidR="00C03208" w:rsidRDefault="00E61493" w:rsidP="00073A7E">
      <w:pPr>
        <w:tabs>
          <w:tab w:val="left" w:pos="4169"/>
        </w:tabs>
        <w:spacing w:line="240" w:lineRule="auto"/>
        <w:ind w:firstLine="567"/>
        <w:jc w:val="both"/>
        <w:rPr>
          <w:rFonts w:cs="Arial"/>
        </w:rPr>
      </w:pPr>
      <w:r>
        <w:rPr>
          <w:rFonts w:cs="Arial"/>
        </w:rPr>
        <w:t>De otro lado  se puede evidenciar que un grupo conformado por el 5,17% de los gobiernos locales del departamento tienen un desempeño nulo en cuanto ninguno de sus tres índices alcanza el desempeño promedio de los demás gobiernos locales del departamento; así las cosas el mantener niveles muy bajos de apertura de información, y niveles bajos de interacción electrónica, repercute en un índice muy bajo de calidad democrática en sus territorios.</w:t>
      </w:r>
    </w:p>
    <w:p w:rsidR="00E61493" w:rsidRDefault="00D936A1" w:rsidP="00073A7E">
      <w:pPr>
        <w:tabs>
          <w:tab w:val="left" w:pos="4169"/>
        </w:tabs>
        <w:spacing w:line="240" w:lineRule="auto"/>
        <w:ind w:firstLine="567"/>
        <w:jc w:val="both"/>
        <w:rPr>
          <w:rFonts w:cs="Arial"/>
        </w:rPr>
      </w:pPr>
      <w:r>
        <w:rPr>
          <w:rFonts w:cs="Arial"/>
        </w:rPr>
        <w:t>Encontramos un 43,9% de gobiernos locales con un desempeño medio en sus índices, en tal sentido a pesar de que su Índice de Calidad democrático es bueno, no cumplen con tener una alta apertura de información, o mantienen niveles muy bajos de interacción electrónica con su población.</w:t>
      </w:r>
    </w:p>
    <w:p w:rsidR="0081549D" w:rsidRDefault="00773FD7" w:rsidP="00073A7E">
      <w:pPr>
        <w:tabs>
          <w:tab w:val="left" w:pos="4169"/>
        </w:tabs>
        <w:spacing w:line="240" w:lineRule="auto"/>
        <w:ind w:firstLine="567"/>
        <w:jc w:val="both"/>
        <w:rPr>
          <w:rFonts w:cs="Arial"/>
        </w:rPr>
      </w:pPr>
      <w:r>
        <w:rPr>
          <w:rFonts w:cs="Arial"/>
        </w:rPr>
        <w:t>Finalmente un grupo conformado por el 36,2% de los gobiernos locales presenta un bajo desempeño, es decir no alcanzan un nivel aceptable de calidad democrática, como a la par también care</w:t>
      </w:r>
      <w:r w:rsidR="00C50EDF">
        <w:rPr>
          <w:rFonts w:cs="Arial"/>
        </w:rPr>
        <w:t>cen de apertura de información y</w:t>
      </w:r>
      <w:r>
        <w:rPr>
          <w:rFonts w:cs="Arial"/>
        </w:rPr>
        <w:t xml:space="preserve">/o interacción electrónica. Dentro de este grupo se da la salvedad </w:t>
      </w:r>
      <w:r>
        <w:rPr>
          <w:rFonts w:cs="Arial"/>
        </w:rPr>
        <w:lastRenderedPageBreak/>
        <w:t xml:space="preserve">para 7 gobiernos locales, que a pesar de tener un bajo ICD logran superar la media departamental en apertura de información e interacción </w:t>
      </w:r>
      <w:r w:rsidR="00CE35CF">
        <w:rPr>
          <w:rFonts w:cs="Arial"/>
        </w:rPr>
        <w:t>electrónica</w:t>
      </w:r>
      <w:r>
        <w:rPr>
          <w:rFonts w:cs="Arial"/>
        </w:rPr>
        <w:t>.</w:t>
      </w:r>
    </w:p>
    <w:p w:rsidR="00500C46" w:rsidRDefault="00D90378" w:rsidP="00B42CD1">
      <w:pPr>
        <w:tabs>
          <w:tab w:val="left" w:pos="4169"/>
        </w:tabs>
        <w:spacing w:line="240" w:lineRule="auto"/>
        <w:ind w:firstLine="567"/>
        <w:jc w:val="both"/>
      </w:pPr>
      <w:r w:rsidRPr="00B62FCD">
        <w:rPr>
          <w:rFonts w:cs="Arial"/>
        </w:rPr>
        <w:t xml:space="preserve">Si bien, el agotamiento de modelos clásicos de democracias representativas ha influenciado la aparición de nuevas tendencias como la democracia deliberativa, en la cual como señala </w:t>
      </w:r>
      <w:proofErr w:type="spellStart"/>
      <w:r w:rsidRPr="00B62FCD">
        <w:rPr>
          <w:rFonts w:cs="Arial"/>
        </w:rPr>
        <w:t>Fishkin</w:t>
      </w:r>
      <w:proofErr w:type="spellEnd"/>
      <w:r w:rsidRPr="00B62FCD">
        <w:rPr>
          <w:rFonts w:cs="Arial"/>
        </w:rPr>
        <w:t xml:space="preserve"> </w:t>
      </w:r>
      <w:sdt>
        <w:sdtPr>
          <w:rPr>
            <w:rFonts w:cs="Arial"/>
          </w:rPr>
          <w:id w:val="572405449"/>
          <w:citation/>
        </w:sdtPr>
        <w:sdtContent>
          <w:r w:rsidR="00A736F3" w:rsidRPr="00B62FCD">
            <w:rPr>
              <w:rFonts w:cs="Arial"/>
            </w:rPr>
            <w:fldChar w:fldCharType="begin"/>
          </w:r>
          <w:r w:rsidRPr="00B62FCD">
            <w:rPr>
              <w:rFonts w:cs="Arial"/>
            </w:rPr>
            <w:instrText xml:space="preserve">CITATION Fis11 \n  \t  \l 9226 </w:instrText>
          </w:r>
          <w:r w:rsidR="00A736F3" w:rsidRPr="00B62FCD">
            <w:rPr>
              <w:rFonts w:cs="Arial"/>
            </w:rPr>
            <w:fldChar w:fldCharType="separate"/>
          </w:r>
          <w:r w:rsidRPr="00B62FCD">
            <w:rPr>
              <w:rFonts w:cs="Arial"/>
              <w:noProof/>
            </w:rPr>
            <w:t>(2011)</w:t>
          </w:r>
          <w:r w:rsidR="00A736F3" w:rsidRPr="00B62FCD">
            <w:rPr>
              <w:rFonts w:cs="Arial"/>
            </w:rPr>
            <w:fldChar w:fldCharType="end"/>
          </w:r>
        </w:sdtContent>
      </w:sdt>
      <w:r w:rsidR="002E55F0" w:rsidRPr="00B62FCD">
        <w:rPr>
          <w:rFonts w:cs="Arial"/>
        </w:rPr>
        <w:t xml:space="preserve"> </w:t>
      </w:r>
      <w:r w:rsidR="002E55F0" w:rsidRPr="00B62FCD">
        <w:t xml:space="preserve"> </w:t>
      </w:r>
      <w:r w:rsidR="004E5DB6">
        <w:t xml:space="preserve">garantizando el </w:t>
      </w:r>
      <w:r w:rsidR="004E5DB6" w:rsidRPr="00B62FCD">
        <w:t>acceso a mejor información,  mayor interacción, diversidad y debate,</w:t>
      </w:r>
      <w:r w:rsidR="004E5DB6">
        <w:t xml:space="preserve"> se facilita un escenario de colaboración e inclusión orientado a mejorar la calidad de la democracia y afianzar la confianza entre gobierno y población;</w:t>
      </w:r>
      <w:r w:rsidR="00B42CD1">
        <w:t xml:space="preserve"> argumento que para el caso del departamento de Cundinamarca </w:t>
      </w:r>
      <w:r w:rsidR="004E5DB6">
        <w:t xml:space="preserve">parece valido tan solo </w:t>
      </w:r>
      <w:r w:rsidR="002E55F0">
        <w:t xml:space="preserve">para </w:t>
      </w:r>
      <w:r w:rsidR="00500C46">
        <w:t>un 14,6</w:t>
      </w:r>
      <w:r w:rsidR="002E55F0">
        <w:t>% de gobiernos locales, quienes al disponer de buenos niveles de apertura de información y mantener un alto nivel de interacción con la ciudadanía, han logrado a la para buenos nivele</w:t>
      </w:r>
      <w:r w:rsidR="00500C46">
        <w:t xml:space="preserve">s de calidad en sus democracias; </w:t>
      </w:r>
      <w:r w:rsidR="004E5DB6">
        <w:t>de igual forma el</w:t>
      </w:r>
      <w:r w:rsidR="00500C46">
        <w:t xml:space="preserve"> 5,17% de gobiernos locales qu</w:t>
      </w:r>
      <w:r w:rsidR="004E5DB6">
        <w:t>ienes</w:t>
      </w:r>
      <w:r w:rsidR="00500C46">
        <w:t xml:space="preserve"> al no disponer de buenos niveles de publicidad de información e interacción electrónica, no han logrado consolidar buenos niveles de calidad democrática en sus territorios.</w:t>
      </w:r>
    </w:p>
    <w:p w:rsidR="00D90378" w:rsidRDefault="002E55F0" w:rsidP="00520D81">
      <w:pPr>
        <w:tabs>
          <w:tab w:val="left" w:pos="4169"/>
        </w:tabs>
        <w:spacing w:line="240" w:lineRule="auto"/>
        <w:jc w:val="both"/>
        <w:rPr>
          <w:rFonts w:cs="Arial"/>
        </w:rPr>
      </w:pPr>
      <w:r>
        <w:t xml:space="preserve"> </w:t>
      </w:r>
    </w:p>
    <w:p w:rsidR="00711BDF" w:rsidRDefault="00D31058" w:rsidP="00520D81">
      <w:pPr>
        <w:tabs>
          <w:tab w:val="left" w:pos="4169"/>
        </w:tabs>
        <w:spacing w:line="240" w:lineRule="auto"/>
        <w:jc w:val="both"/>
        <w:rPr>
          <w:rFonts w:cs="Arial"/>
          <w:b/>
        </w:rPr>
      </w:pPr>
      <w:r>
        <w:rPr>
          <w:rFonts w:cs="Arial"/>
          <w:b/>
        </w:rPr>
        <w:t>4.  CONCLUSIONES</w:t>
      </w:r>
    </w:p>
    <w:p w:rsidR="005D385E" w:rsidRPr="005D385E" w:rsidRDefault="005D385E" w:rsidP="00520D81">
      <w:pPr>
        <w:tabs>
          <w:tab w:val="left" w:pos="4169"/>
        </w:tabs>
        <w:spacing w:line="240" w:lineRule="auto"/>
        <w:jc w:val="both"/>
        <w:rPr>
          <w:rFonts w:cs="Arial"/>
        </w:rPr>
      </w:pPr>
      <w:r w:rsidRPr="005D385E">
        <w:rPr>
          <w:rFonts w:cs="Arial"/>
        </w:rPr>
        <w:t>A partir de los resultados obtenidos, y teniendo en cuenta los postulados teóricos propuestos, podemos llegar a las siguientes conclusiones:</w:t>
      </w:r>
    </w:p>
    <w:p w:rsidR="005D385E" w:rsidRDefault="005D385E" w:rsidP="005D385E">
      <w:pPr>
        <w:pStyle w:val="Prrafodelista"/>
        <w:numPr>
          <w:ilvl w:val="0"/>
          <w:numId w:val="7"/>
        </w:numPr>
        <w:tabs>
          <w:tab w:val="left" w:pos="4169"/>
        </w:tabs>
        <w:spacing w:line="240" w:lineRule="auto"/>
        <w:jc w:val="both"/>
        <w:rPr>
          <w:rFonts w:cs="Arial"/>
        </w:rPr>
      </w:pPr>
      <w:r w:rsidRPr="005D385E">
        <w:rPr>
          <w:rFonts w:cs="Arial"/>
        </w:rPr>
        <w:t>La estrategia de gobierno abierto en Colombia ha sido efectiva en cuanto a apertura de información se refiere, gracias a su carácter obligatorio el 58% de los gobiernos locales cuentan con un alto nivel de apertura de información, mientras el otro 42% se encuentra en proceso continuo de apertura para llegar al 100% en el año 2016.</w:t>
      </w:r>
    </w:p>
    <w:p w:rsidR="008A4DFF" w:rsidRPr="005D385E" w:rsidRDefault="008A4DFF" w:rsidP="008A4DFF">
      <w:pPr>
        <w:pStyle w:val="Prrafodelista"/>
        <w:tabs>
          <w:tab w:val="left" w:pos="4169"/>
        </w:tabs>
        <w:spacing w:line="240" w:lineRule="auto"/>
        <w:jc w:val="both"/>
        <w:rPr>
          <w:rFonts w:cs="Arial"/>
        </w:rPr>
      </w:pPr>
    </w:p>
    <w:p w:rsidR="008A4DFF" w:rsidRDefault="007455A1" w:rsidP="008A4DFF">
      <w:pPr>
        <w:pStyle w:val="Prrafodelista"/>
        <w:numPr>
          <w:ilvl w:val="0"/>
          <w:numId w:val="7"/>
        </w:numPr>
        <w:tabs>
          <w:tab w:val="left" w:pos="4169"/>
        </w:tabs>
        <w:spacing w:line="240" w:lineRule="auto"/>
        <w:jc w:val="both"/>
        <w:rPr>
          <w:rFonts w:cs="Arial"/>
        </w:rPr>
      </w:pPr>
      <w:r w:rsidRPr="007455A1">
        <w:rPr>
          <w:rFonts w:cs="Arial"/>
        </w:rPr>
        <w:t xml:space="preserve">Categorías de información como </w:t>
      </w:r>
      <w:r>
        <w:rPr>
          <w:rFonts w:cs="Arial"/>
        </w:rPr>
        <w:t xml:space="preserve">presupuesto e información contable, recursos humanos y </w:t>
      </w:r>
      <w:r w:rsidR="00834C7B">
        <w:rPr>
          <w:rFonts w:cs="Arial"/>
        </w:rPr>
        <w:t xml:space="preserve">planeación y gestión son las </w:t>
      </w:r>
      <w:r w:rsidR="0074688D">
        <w:rPr>
          <w:rFonts w:cs="Arial"/>
        </w:rPr>
        <w:t>más</w:t>
      </w:r>
      <w:r w:rsidR="00834C7B">
        <w:rPr>
          <w:rFonts w:cs="Arial"/>
        </w:rPr>
        <w:t xml:space="preserve"> limitadas</w:t>
      </w:r>
      <w:r w:rsidR="00784697">
        <w:rPr>
          <w:rFonts w:cs="Arial"/>
        </w:rPr>
        <w:t xml:space="preserve"> en cuanto a apertura</w:t>
      </w:r>
      <w:r w:rsidR="00834C7B">
        <w:rPr>
          <w:rFonts w:cs="Arial"/>
        </w:rPr>
        <w:t xml:space="preserve"> en los gobiernos locales</w:t>
      </w:r>
      <w:r w:rsidR="0074688D">
        <w:rPr>
          <w:rFonts w:cs="Arial"/>
        </w:rPr>
        <w:t>, categorías que suponen un alto interés para la población en torno a procesos de participación y rendición de cuentas por parte de las administraciones.</w:t>
      </w:r>
    </w:p>
    <w:p w:rsidR="008A4DFF" w:rsidRPr="008A4DFF" w:rsidRDefault="008A4DFF" w:rsidP="008A4DFF">
      <w:pPr>
        <w:pStyle w:val="Prrafodelista"/>
        <w:tabs>
          <w:tab w:val="left" w:pos="4169"/>
        </w:tabs>
        <w:spacing w:line="240" w:lineRule="auto"/>
        <w:jc w:val="both"/>
        <w:rPr>
          <w:rFonts w:cs="Arial"/>
        </w:rPr>
      </w:pPr>
    </w:p>
    <w:p w:rsidR="0074688D" w:rsidRDefault="00961767" w:rsidP="005D385E">
      <w:pPr>
        <w:pStyle w:val="Prrafodelista"/>
        <w:numPr>
          <w:ilvl w:val="0"/>
          <w:numId w:val="7"/>
        </w:numPr>
        <w:tabs>
          <w:tab w:val="left" w:pos="4169"/>
        </w:tabs>
        <w:spacing w:line="240" w:lineRule="auto"/>
        <w:jc w:val="both"/>
        <w:rPr>
          <w:rFonts w:cs="Arial"/>
        </w:rPr>
      </w:pPr>
      <w:r>
        <w:rPr>
          <w:rFonts w:cs="Arial"/>
        </w:rPr>
        <w:t xml:space="preserve">Para un </w:t>
      </w:r>
      <w:r w:rsidR="008A4DFF">
        <w:rPr>
          <w:rFonts w:cs="Arial"/>
        </w:rPr>
        <w:t xml:space="preserve"> </w:t>
      </w:r>
      <w:r w:rsidR="00784697">
        <w:rPr>
          <w:rFonts w:cs="Arial"/>
        </w:rPr>
        <w:t>47% de gobiernos locales, la correlación entre el IAIM y el IPEM es positiva, de modo tal que al mantener altos niveles de apertura de información</w:t>
      </w:r>
      <w:r w:rsidR="003B1FF9">
        <w:rPr>
          <w:rFonts w:cs="Arial"/>
        </w:rPr>
        <w:t>,</w:t>
      </w:r>
      <w:r w:rsidR="00784697">
        <w:rPr>
          <w:rFonts w:cs="Arial"/>
        </w:rPr>
        <w:t xml:space="preserve"> </w:t>
      </w:r>
      <w:r w:rsidR="003B1FF9">
        <w:rPr>
          <w:rFonts w:cs="Arial"/>
        </w:rPr>
        <w:t>logran altos niveles de participación electrónica, o al mantener niveles bajos de apertura de información, sus niveles de participación electrónica son también bajos.</w:t>
      </w:r>
    </w:p>
    <w:p w:rsidR="003B1FF9" w:rsidRPr="003B1FF9" w:rsidRDefault="003B1FF9" w:rsidP="003B1FF9">
      <w:pPr>
        <w:pStyle w:val="Prrafodelista"/>
        <w:rPr>
          <w:rFonts w:cs="Arial"/>
        </w:rPr>
      </w:pPr>
    </w:p>
    <w:p w:rsidR="003B1FF9" w:rsidRDefault="003B1FF9" w:rsidP="005D385E">
      <w:pPr>
        <w:pStyle w:val="Prrafodelista"/>
        <w:numPr>
          <w:ilvl w:val="0"/>
          <w:numId w:val="7"/>
        </w:numPr>
        <w:tabs>
          <w:tab w:val="left" w:pos="4169"/>
        </w:tabs>
        <w:spacing w:line="240" w:lineRule="auto"/>
        <w:jc w:val="both"/>
        <w:rPr>
          <w:rFonts w:cs="Arial"/>
        </w:rPr>
      </w:pPr>
      <w:r>
        <w:rPr>
          <w:rFonts w:cs="Arial"/>
        </w:rPr>
        <w:t xml:space="preserve">Existe un factor asociado a mantener altos niveles de interacción electrónica que trasciende la apertura de información, y es </w:t>
      </w:r>
      <w:r w:rsidR="00843F90">
        <w:rPr>
          <w:rFonts w:cs="Arial"/>
        </w:rPr>
        <w:t xml:space="preserve">que </w:t>
      </w:r>
      <w:r>
        <w:rPr>
          <w:rFonts w:cs="Arial"/>
        </w:rPr>
        <w:t>a la par los gobiernos locales garanticen altos niveles de penetración del internet en sus territorios, de modo tal que faciliten el acceso de cada habitante a la WWW</w:t>
      </w:r>
      <w:r>
        <w:rPr>
          <w:rStyle w:val="Refdenotaalpie"/>
          <w:rFonts w:cs="Arial"/>
        </w:rPr>
        <w:footnoteReference w:id="9"/>
      </w:r>
      <w:r>
        <w:rPr>
          <w:rFonts w:cs="Arial"/>
        </w:rPr>
        <w:t>.</w:t>
      </w:r>
    </w:p>
    <w:p w:rsidR="003B1FF9" w:rsidRPr="003B1FF9" w:rsidRDefault="003B1FF9" w:rsidP="003B1FF9">
      <w:pPr>
        <w:pStyle w:val="Prrafodelista"/>
        <w:rPr>
          <w:rFonts w:cs="Arial"/>
        </w:rPr>
      </w:pPr>
    </w:p>
    <w:p w:rsidR="00B42CD1" w:rsidRDefault="00B42CD1" w:rsidP="005D385E">
      <w:pPr>
        <w:pStyle w:val="Prrafodelista"/>
        <w:numPr>
          <w:ilvl w:val="0"/>
          <w:numId w:val="7"/>
        </w:numPr>
        <w:tabs>
          <w:tab w:val="left" w:pos="4169"/>
        </w:tabs>
        <w:spacing w:line="240" w:lineRule="auto"/>
        <w:jc w:val="both"/>
        <w:rPr>
          <w:rFonts w:cs="Arial"/>
        </w:rPr>
      </w:pPr>
      <w:r>
        <w:rPr>
          <w:rFonts w:cs="Arial"/>
        </w:rPr>
        <w:t>Un total del 19% de gobiernos locales del departamento de Cundinamarca, guardan una correlación directa entre apertura de información e interacci</w:t>
      </w:r>
      <w:r w:rsidR="00D729D2">
        <w:rPr>
          <w:rFonts w:cs="Arial"/>
        </w:rPr>
        <w:t>ón</w:t>
      </w:r>
      <w:r>
        <w:rPr>
          <w:rFonts w:cs="Arial"/>
        </w:rPr>
        <w:t xml:space="preserve"> con la consolidación o degradación de su índice de calidad democrática</w:t>
      </w:r>
      <w:r w:rsidR="00D729D2">
        <w:rPr>
          <w:rFonts w:cs="Arial"/>
        </w:rPr>
        <w:t>.  El 81% restante no evidencia una relación directa que permita afirmar que a mayores niveles de apertura de información e interacción electrónica con la población lograra mejorar sus niveles de calidad democrática.</w:t>
      </w:r>
    </w:p>
    <w:p w:rsidR="00711BDF" w:rsidRDefault="00711BDF" w:rsidP="00520D81">
      <w:pPr>
        <w:tabs>
          <w:tab w:val="left" w:pos="4169"/>
        </w:tabs>
        <w:spacing w:line="240" w:lineRule="auto"/>
        <w:jc w:val="both"/>
        <w:rPr>
          <w:rFonts w:cs="Arial"/>
          <w:b/>
        </w:rPr>
      </w:pPr>
    </w:p>
    <w:p w:rsidR="00711BDF" w:rsidRDefault="00D31058" w:rsidP="00D31058">
      <w:pPr>
        <w:tabs>
          <w:tab w:val="left" w:pos="4169"/>
        </w:tabs>
        <w:spacing w:after="0" w:line="240" w:lineRule="auto"/>
        <w:jc w:val="both"/>
        <w:rPr>
          <w:rFonts w:cs="Arial"/>
          <w:b/>
        </w:rPr>
      </w:pPr>
      <w:r>
        <w:rPr>
          <w:rFonts w:cs="Arial"/>
          <w:b/>
        </w:rPr>
        <w:lastRenderedPageBreak/>
        <w:t>REFERENCIAS BIBLIOGRÁFICAS</w:t>
      </w:r>
    </w:p>
    <w:sdt>
      <w:sdtPr>
        <w:rPr>
          <w:rFonts w:asciiTheme="minorHAnsi" w:eastAsiaTheme="minorHAnsi" w:hAnsiTheme="minorHAnsi" w:cstheme="minorBidi"/>
          <w:color w:val="auto"/>
          <w:sz w:val="22"/>
          <w:szCs w:val="22"/>
          <w:lang w:val="es-ES" w:eastAsia="en-US"/>
        </w:rPr>
        <w:id w:val="1621799213"/>
        <w:docPartObj>
          <w:docPartGallery w:val="Bibliographies"/>
          <w:docPartUnique/>
        </w:docPartObj>
      </w:sdtPr>
      <w:sdtEndPr>
        <w:rPr>
          <w:lang w:val="es-CO"/>
        </w:rPr>
      </w:sdtEndPr>
      <w:sdtContent>
        <w:p w:rsidR="00711BDF" w:rsidRPr="00A66404" w:rsidRDefault="00711BDF">
          <w:pPr>
            <w:pStyle w:val="Ttulo1"/>
            <w:rPr>
              <w:color w:val="auto"/>
              <w:lang w:val="en-US"/>
            </w:rPr>
          </w:pPr>
        </w:p>
        <w:sdt>
          <w:sdtPr>
            <w:id w:val="111145805"/>
            <w:bibliography/>
          </w:sdtPr>
          <w:sdtContent>
            <w:p w:rsidR="00711BDF" w:rsidRDefault="00A736F3" w:rsidP="00711BDF">
              <w:pPr>
                <w:pStyle w:val="Bibliografa"/>
                <w:ind w:left="720" w:hanging="720"/>
                <w:rPr>
                  <w:noProof/>
                  <w:sz w:val="24"/>
                  <w:szCs w:val="24"/>
                  <w:lang w:val="es-ES"/>
                </w:rPr>
              </w:pPr>
              <w:r w:rsidRPr="00A736F3">
                <w:fldChar w:fldCharType="begin"/>
              </w:r>
              <w:r w:rsidR="00711BDF" w:rsidRPr="00A66404">
                <w:rPr>
                  <w:lang w:val="en-US"/>
                </w:rPr>
                <w:instrText>BIBLIOGRAPHY</w:instrText>
              </w:r>
              <w:r w:rsidRPr="00A736F3">
                <w:fldChar w:fldCharType="separate"/>
              </w:r>
              <w:r w:rsidR="00711BDF" w:rsidRPr="00A66404">
                <w:rPr>
                  <w:noProof/>
                  <w:lang w:val="en-US"/>
                </w:rPr>
                <w:t xml:space="preserve">Blind, P. (2006). Building trust in government in the twenty-first century: Review of Literature and Emerging Issues. </w:t>
              </w:r>
              <w:r w:rsidR="00711BDF">
                <w:rPr>
                  <w:i/>
                  <w:iCs/>
                  <w:noProof/>
                  <w:lang w:val="es-ES"/>
                </w:rPr>
                <w:t>UNDESA</w:t>
              </w:r>
              <w:r w:rsidR="00711BDF">
                <w:rPr>
                  <w:noProof/>
                  <w:lang w:val="es-ES"/>
                </w:rPr>
                <w:t>, 1 - 21.</w:t>
              </w:r>
            </w:p>
            <w:p w:rsidR="00711BDF" w:rsidRDefault="00711BDF" w:rsidP="00711BDF">
              <w:pPr>
                <w:pStyle w:val="Bibliografa"/>
                <w:ind w:left="720" w:hanging="720"/>
                <w:rPr>
                  <w:noProof/>
                  <w:lang w:val="es-ES"/>
                </w:rPr>
              </w:pPr>
              <w:r>
                <w:rPr>
                  <w:noProof/>
                  <w:lang w:val="es-ES"/>
                </w:rPr>
                <w:t xml:space="preserve">Coleman, J. (1990). Fundación de la teoria social. </w:t>
              </w:r>
              <w:r>
                <w:rPr>
                  <w:i/>
                  <w:iCs/>
                  <w:noProof/>
                  <w:lang w:val="es-ES"/>
                </w:rPr>
                <w:t>Cambridge: Harvar University Press.</w:t>
              </w:r>
              <w:r>
                <w:rPr>
                  <w:noProof/>
                  <w:lang w:val="es-ES"/>
                </w:rPr>
                <w:t xml:space="preserve"> </w:t>
              </w:r>
            </w:p>
            <w:p w:rsidR="00711BDF" w:rsidRDefault="00711BDF" w:rsidP="00711BDF">
              <w:pPr>
                <w:pStyle w:val="Bibliografa"/>
                <w:ind w:left="720" w:hanging="720"/>
                <w:rPr>
                  <w:noProof/>
                  <w:lang w:val="es-ES"/>
                </w:rPr>
              </w:pPr>
              <w:r>
                <w:rPr>
                  <w:noProof/>
                  <w:lang w:val="es-ES"/>
                </w:rPr>
                <w:t xml:space="preserve">Corporación Latinbarómetro. (10 de 03 de 2015). </w:t>
              </w:r>
              <w:r>
                <w:rPr>
                  <w:i/>
                  <w:iCs/>
                  <w:noProof/>
                  <w:lang w:val="es-ES"/>
                </w:rPr>
                <w:t>Banco de Datos</w:t>
              </w:r>
              <w:r>
                <w:rPr>
                  <w:noProof/>
                  <w:lang w:val="es-ES"/>
                </w:rPr>
                <w:t>. Obtenido de Corporación Latinbarómetro: http://www.latinobarometro.org/lat.jsp</w:t>
              </w:r>
            </w:p>
            <w:p w:rsidR="00711BDF" w:rsidRPr="00A66404" w:rsidRDefault="00711BDF" w:rsidP="00711BDF">
              <w:pPr>
                <w:pStyle w:val="Bibliografa"/>
                <w:ind w:left="720" w:hanging="720"/>
                <w:rPr>
                  <w:noProof/>
                  <w:lang w:val="en-US"/>
                </w:rPr>
              </w:pPr>
              <w:r w:rsidRPr="00A66404">
                <w:rPr>
                  <w:noProof/>
                  <w:lang w:val="en-US"/>
                </w:rPr>
                <w:t>Decreto 2693. (2012).</w:t>
              </w:r>
            </w:p>
            <w:p w:rsidR="00711BDF" w:rsidRDefault="00711BDF" w:rsidP="00711BDF">
              <w:pPr>
                <w:pStyle w:val="Bibliografa"/>
                <w:ind w:left="720" w:hanging="720"/>
                <w:rPr>
                  <w:noProof/>
                  <w:lang w:val="es-ES"/>
                </w:rPr>
              </w:pPr>
              <w:r w:rsidRPr="00A66404">
                <w:rPr>
                  <w:noProof/>
                  <w:lang w:val="en-US"/>
                </w:rPr>
                <w:t xml:space="preserve">Diamond, L., &amp; Morlino, L. (2004). The Quality of Democracy. An Overview. </w:t>
              </w:r>
              <w:r>
                <w:rPr>
                  <w:i/>
                  <w:iCs/>
                  <w:noProof/>
                  <w:lang w:val="es-ES"/>
                </w:rPr>
                <w:t>Journal of Democracy</w:t>
              </w:r>
              <w:r>
                <w:rPr>
                  <w:noProof/>
                  <w:lang w:val="es-ES"/>
                </w:rPr>
                <w:t>, 20-31.</w:t>
              </w:r>
            </w:p>
            <w:p w:rsidR="00711BDF" w:rsidRDefault="00711BDF" w:rsidP="00711BDF">
              <w:pPr>
                <w:pStyle w:val="Bibliografa"/>
                <w:ind w:left="720" w:hanging="720"/>
                <w:rPr>
                  <w:noProof/>
                  <w:lang w:val="es-ES"/>
                </w:rPr>
              </w:pPr>
              <w:r>
                <w:rPr>
                  <w:noProof/>
                  <w:lang w:val="es-ES"/>
                </w:rPr>
                <w:t xml:space="preserve">Ethiyar, R., &amp; Aktas, A. (2006). Confianza en la organización: Caso de la industria turistica turca. </w:t>
              </w:r>
              <w:r>
                <w:rPr>
                  <w:i/>
                  <w:iCs/>
                  <w:noProof/>
                  <w:lang w:val="es-ES"/>
                </w:rPr>
                <w:t>Estudios y perspectivas en turismo</w:t>
              </w:r>
              <w:r>
                <w:rPr>
                  <w:noProof/>
                  <w:lang w:val="es-ES"/>
                </w:rPr>
                <w:t>, 293 - 311.</w:t>
              </w:r>
            </w:p>
            <w:p w:rsidR="00711BDF" w:rsidRPr="00A66404" w:rsidRDefault="00711BDF" w:rsidP="00711BDF">
              <w:pPr>
                <w:pStyle w:val="Bibliografa"/>
                <w:ind w:left="720" w:hanging="720"/>
                <w:rPr>
                  <w:noProof/>
                  <w:lang w:val="en-US"/>
                </w:rPr>
              </w:pPr>
              <w:r>
                <w:rPr>
                  <w:noProof/>
                  <w:lang w:val="es-ES"/>
                </w:rPr>
                <w:t xml:space="preserve">Finifter, A. (1970). Alienation, Dimensions of Political. </w:t>
              </w:r>
              <w:r w:rsidRPr="00A66404">
                <w:rPr>
                  <w:i/>
                  <w:iCs/>
                  <w:noProof/>
                  <w:lang w:val="en-US"/>
                </w:rPr>
                <w:t>American Political Science Review 64,</w:t>
              </w:r>
              <w:r w:rsidRPr="00A66404">
                <w:rPr>
                  <w:noProof/>
                  <w:lang w:val="en-US"/>
                </w:rPr>
                <w:t>, 389-410.</w:t>
              </w:r>
            </w:p>
            <w:p w:rsidR="00711BDF" w:rsidRDefault="00711BDF" w:rsidP="00711BDF">
              <w:pPr>
                <w:pStyle w:val="Bibliografa"/>
                <w:ind w:left="720" w:hanging="720"/>
                <w:rPr>
                  <w:noProof/>
                  <w:lang w:val="es-ES"/>
                </w:rPr>
              </w:pPr>
              <w:r w:rsidRPr="00A66404">
                <w:rPr>
                  <w:noProof/>
                  <w:lang w:val="en-US"/>
                </w:rPr>
                <w:t xml:space="preserve">Fishkin, J. (2011). Deliberative Democracy in Context: Reflections on Theory and Practice. </w:t>
              </w:r>
              <w:r>
                <w:rPr>
                  <w:i/>
                  <w:iCs/>
                  <w:noProof/>
                  <w:lang w:val="es-ES"/>
                </w:rPr>
                <w:t>Yale-Oslo conference on Epistemic Democracy</w:t>
              </w:r>
              <w:r>
                <w:rPr>
                  <w:noProof/>
                  <w:lang w:val="es-ES"/>
                </w:rPr>
                <w:t>, 1-15.</w:t>
              </w:r>
            </w:p>
            <w:p w:rsidR="00711BDF" w:rsidRPr="00A66404" w:rsidRDefault="00711BDF" w:rsidP="00711BDF">
              <w:pPr>
                <w:pStyle w:val="Bibliografa"/>
                <w:ind w:left="720" w:hanging="720"/>
                <w:rPr>
                  <w:noProof/>
                  <w:lang w:val="en-US"/>
                </w:rPr>
              </w:pPr>
              <w:r>
                <w:rPr>
                  <w:noProof/>
                  <w:lang w:val="es-ES"/>
                </w:rPr>
                <w:t xml:space="preserve">Fukuyama, F. (1996). </w:t>
              </w:r>
              <w:r>
                <w:rPr>
                  <w:i/>
                  <w:iCs/>
                  <w:noProof/>
                  <w:lang w:val="es-ES"/>
                </w:rPr>
                <w:t>Confianza. Las virtudes sociales y la capacidad de generar prosperidad.</w:t>
              </w:r>
              <w:r>
                <w:rPr>
                  <w:noProof/>
                  <w:lang w:val="es-ES"/>
                </w:rPr>
                <w:t xml:space="preserve"> </w:t>
              </w:r>
              <w:r w:rsidRPr="00A66404">
                <w:rPr>
                  <w:noProof/>
                  <w:lang w:val="en-US"/>
                </w:rPr>
                <w:t>Buenos aires: Atlantida.</w:t>
              </w:r>
            </w:p>
            <w:p w:rsidR="00711BDF" w:rsidRDefault="00711BDF" w:rsidP="00711BDF">
              <w:pPr>
                <w:pStyle w:val="Bibliografa"/>
                <w:ind w:left="720" w:hanging="720"/>
                <w:rPr>
                  <w:noProof/>
                  <w:lang w:val="es-ES"/>
                </w:rPr>
              </w:pPr>
              <w:r w:rsidRPr="00A66404">
                <w:rPr>
                  <w:noProof/>
                  <w:lang w:val="en-US"/>
                </w:rPr>
                <w:t xml:space="preserve">Huff, L. (2005). Is collectivism a viability? The impact of culture on organizational trust and customer orientation: a seven nation study. </w:t>
              </w:r>
              <w:r>
                <w:rPr>
                  <w:i/>
                  <w:iCs/>
                  <w:noProof/>
                  <w:lang w:val="es-ES"/>
                </w:rPr>
                <w:t>Journal and bussines research</w:t>
              </w:r>
              <w:r>
                <w:rPr>
                  <w:noProof/>
                  <w:lang w:val="es-ES"/>
                </w:rPr>
                <w:t>, 58 - 102.</w:t>
              </w:r>
            </w:p>
            <w:p w:rsidR="00711BDF" w:rsidRPr="00A66404" w:rsidRDefault="00711BDF" w:rsidP="00711BDF">
              <w:pPr>
                <w:pStyle w:val="Bibliografa"/>
                <w:ind w:left="720" w:hanging="720"/>
                <w:rPr>
                  <w:noProof/>
                  <w:lang w:val="en-US"/>
                </w:rPr>
              </w:pPr>
              <w:r>
                <w:rPr>
                  <w:noProof/>
                  <w:lang w:val="es-ES"/>
                </w:rPr>
                <w:t xml:space="preserve">Huntington, S. (1994). </w:t>
              </w:r>
              <w:r>
                <w:rPr>
                  <w:i/>
                  <w:iCs/>
                  <w:noProof/>
                  <w:lang w:val="es-ES"/>
                </w:rPr>
                <w:t>La tercera ola. La democratización a finales del siglo XX.</w:t>
              </w:r>
              <w:r>
                <w:rPr>
                  <w:noProof/>
                  <w:lang w:val="es-ES"/>
                </w:rPr>
                <w:t xml:space="preserve"> </w:t>
              </w:r>
              <w:r w:rsidRPr="00A66404">
                <w:rPr>
                  <w:noProof/>
                  <w:lang w:val="en-US"/>
                </w:rPr>
                <w:t>Barcelona: Paidós Ibérica, S.A.</w:t>
              </w:r>
            </w:p>
            <w:p w:rsidR="00711BDF" w:rsidRPr="00A66404" w:rsidRDefault="00711BDF" w:rsidP="00711BDF">
              <w:pPr>
                <w:pStyle w:val="Bibliografa"/>
                <w:ind w:left="720" w:hanging="720"/>
                <w:rPr>
                  <w:noProof/>
                  <w:lang w:val="en-US"/>
                </w:rPr>
              </w:pPr>
              <w:r w:rsidRPr="00A66404">
                <w:rPr>
                  <w:noProof/>
                  <w:lang w:val="en-US"/>
                </w:rPr>
                <w:t xml:space="preserve">Job, J. (2005). How is Trust in Government Created? It Begins at Home, but Ends in the Parliament. </w:t>
              </w:r>
              <w:r w:rsidRPr="00A66404">
                <w:rPr>
                  <w:i/>
                  <w:iCs/>
                  <w:noProof/>
                  <w:lang w:val="en-US"/>
                </w:rPr>
                <w:t>Australian Review of Public Affairs 6</w:t>
              </w:r>
              <w:r w:rsidRPr="00A66404">
                <w:rPr>
                  <w:noProof/>
                  <w:lang w:val="en-US"/>
                </w:rPr>
                <w:t>, 1-23.</w:t>
              </w:r>
            </w:p>
            <w:p w:rsidR="00711BDF" w:rsidRPr="00A66404" w:rsidRDefault="00711BDF" w:rsidP="00711BDF">
              <w:pPr>
                <w:pStyle w:val="Bibliografa"/>
                <w:ind w:left="720" w:hanging="720"/>
                <w:rPr>
                  <w:noProof/>
                  <w:lang w:val="en-US"/>
                </w:rPr>
              </w:pPr>
              <w:r w:rsidRPr="00A66404">
                <w:rPr>
                  <w:noProof/>
                  <w:lang w:val="en-US"/>
                </w:rPr>
                <w:t xml:space="preserve">Kalu, K. N. (2006). Citizenship, Administrative Responsbility, and Participation in Governance: One more look. </w:t>
              </w:r>
              <w:r w:rsidRPr="00A66404">
                <w:rPr>
                  <w:i/>
                  <w:iCs/>
                  <w:noProof/>
                  <w:lang w:val="en-US"/>
                </w:rPr>
                <w:t>Governance, Strategy and Policy: Seven Critical Essays</w:t>
              </w:r>
              <w:r w:rsidRPr="00A66404">
                <w:rPr>
                  <w:noProof/>
                  <w:lang w:val="en-US"/>
                </w:rPr>
                <w:t>, 73 - 94.</w:t>
              </w:r>
            </w:p>
            <w:p w:rsidR="00711BDF" w:rsidRDefault="00711BDF" w:rsidP="00711BDF">
              <w:pPr>
                <w:pStyle w:val="Bibliografa"/>
                <w:ind w:left="720" w:hanging="720"/>
                <w:rPr>
                  <w:noProof/>
                  <w:lang w:val="es-ES"/>
                </w:rPr>
              </w:pPr>
              <w:r w:rsidRPr="00A66404">
                <w:rPr>
                  <w:noProof/>
                  <w:lang w:val="en-US"/>
                </w:rPr>
                <w:t xml:space="preserve">Linz, J., &amp; Stepan, A. (1996). </w:t>
              </w:r>
              <w:r>
                <w:rPr>
                  <w:noProof/>
                  <w:lang w:val="es-ES"/>
                </w:rPr>
                <w:t xml:space="preserve">Hacia la consolidación democrática. </w:t>
              </w:r>
              <w:r>
                <w:rPr>
                  <w:i/>
                  <w:iCs/>
                  <w:noProof/>
                  <w:lang w:val="es-ES"/>
                </w:rPr>
                <w:t>La Política. Revista sobre el Estado y la Sociedad</w:t>
              </w:r>
              <w:r>
                <w:rPr>
                  <w:noProof/>
                  <w:lang w:val="es-ES"/>
                </w:rPr>
                <w:t>.</w:t>
              </w:r>
            </w:p>
            <w:p w:rsidR="00711BDF" w:rsidRDefault="00711BDF" w:rsidP="00711BDF">
              <w:pPr>
                <w:pStyle w:val="Bibliografa"/>
                <w:ind w:left="720" w:hanging="720"/>
                <w:rPr>
                  <w:noProof/>
                  <w:lang w:val="es-ES"/>
                </w:rPr>
              </w:pPr>
              <w:r>
                <w:rPr>
                  <w:noProof/>
                  <w:lang w:val="es-ES"/>
                </w:rPr>
                <w:t xml:space="preserve">Marotte, J. P. (2008). Insatisfacción en las democracias: Causas y orígenes del malestar. </w:t>
              </w:r>
              <w:r>
                <w:rPr>
                  <w:i/>
                  <w:iCs/>
                  <w:noProof/>
                  <w:lang w:val="es-ES"/>
                </w:rPr>
                <w:t>Revista de ciencia politica, de la ciudad de Buenos Aires a la aldea global.</w:t>
              </w:r>
              <w:r>
                <w:rPr>
                  <w:noProof/>
                  <w:lang w:val="es-ES"/>
                </w:rPr>
                <w:t xml:space="preserve"> </w:t>
              </w:r>
            </w:p>
            <w:p w:rsidR="00711BDF" w:rsidRPr="00A66404" w:rsidRDefault="00711BDF" w:rsidP="00711BDF">
              <w:pPr>
                <w:pStyle w:val="Bibliografa"/>
                <w:ind w:left="720" w:hanging="720"/>
                <w:rPr>
                  <w:noProof/>
                  <w:lang w:val="en-US"/>
                </w:rPr>
              </w:pPr>
              <w:r>
                <w:rPr>
                  <w:noProof/>
                  <w:lang w:val="es-ES"/>
                </w:rPr>
                <w:t xml:space="preserve">Martínez, E., Ramírez, J., &amp; Pico, D. (2014). </w:t>
              </w:r>
              <w:r>
                <w:rPr>
                  <w:i/>
                  <w:iCs/>
                  <w:noProof/>
                  <w:lang w:val="es-ES"/>
                </w:rPr>
                <w:t>25 años de la Elección Popular de Alcaldes en Colombia.</w:t>
              </w:r>
              <w:r>
                <w:rPr>
                  <w:noProof/>
                  <w:lang w:val="es-ES"/>
                </w:rPr>
                <w:t xml:space="preserve"> </w:t>
              </w:r>
              <w:r w:rsidRPr="00A66404">
                <w:rPr>
                  <w:noProof/>
                  <w:lang w:val="en-US"/>
                </w:rPr>
                <w:t>Bogotá: ESAP.</w:t>
              </w:r>
            </w:p>
            <w:p w:rsidR="00711BDF" w:rsidRDefault="00711BDF" w:rsidP="00711BDF">
              <w:pPr>
                <w:pStyle w:val="Bibliografa"/>
                <w:ind w:left="720" w:hanging="720"/>
                <w:rPr>
                  <w:noProof/>
                  <w:lang w:val="es-ES"/>
                </w:rPr>
              </w:pPr>
              <w:r w:rsidRPr="00A66404">
                <w:rPr>
                  <w:noProof/>
                  <w:lang w:val="en-US"/>
                </w:rPr>
                <w:t xml:space="preserve">Miller, A. H., &amp; Listhaug, O. (1990). Political Parties and Confidence in Government: A Comparison of Norway, Sweden and the United States. </w:t>
              </w:r>
              <w:r>
                <w:rPr>
                  <w:i/>
                  <w:iCs/>
                  <w:noProof/>
                  <w:lang w:val="es-ES"/>
                </w:rPr>
                <w:t>British Journal of Political Science 20</w:t>
              </w:r>
              <w:r>
                <w:rPr>
                  <w:noProof/>
                  <w:lang w:val="es-ES"/>
                </w:rPr>
                <w:t>, 357-386.</w:t>
              </w:r>
            </w:p>
            <w:p w:rsidR="00711BDF" w:rsidRDefault="00711BDF" w:rsidP="00711BDF">
              <w:pPr>
                <w:pStyle w:val="Bibliografa"/>
                <w:ind w:left="720" w:hanging="720"/>
                <w:rPr>
                  <w:noProof/>
                  <w:lang w:val="es-ES"/>
                </w:rPr>
              </w:pPr>
              <w:r>
                <w:rPr>
                  <w:noProof/>
                  <w:lang w:val="es-ES"/>
                </w:rPr>
                <w:t>Min Tic. (2012). Manual 3.1 para la implementación de la estrategia de Gobierno en Línea.</w:t>
              </w:r>
            </w:p>
            <w:p w:rsidR="00711BDF" w:rsidRDefault="00711BDF" w:rsidP="00711BDF">
              <w:pPr>
                <w:pStyle w:val="Bibliografa"/>
                <w:ind w:left="720" w:hanging="720"/>
                <w:rPr>
                  <w:noProof/>
                  <w:lang w:val="es-ES"/>
                </w:rPr>
              </w:pPr>
              <w:r w:rsidRPr="00A66404">
                <w:rPr>
                  <w:noProof/>
                  <w:lang w:val="en-US"/>
                </w:rPr>
                <w:lastRenderedPageBreak/>
                <w:t xml:space="preserve">Montero, J., Zmerli, S., &amp; Newton, K. (2008). </w:t>
              </w:r>
              <w:r>
                <w:rPr>
                  <w:noProof/>
                  <w:lang w:val="es-ES"/>
                </w:rPr>
                <w:t xml:space="preserve">Confianza social, confianza política y satisfacción con la democracia. </w:t>
              </w:r>
              <w:r>
                <w:rPr>
                  <w:i/>
                  <w:iCs/>
                  <w:noProof/>
                  <w:lang w:val="es-ES"/>
                </w:rPr>
                <w:t>Revista Española de Investigaciones Sociológicas</w:t>
              </w:r>
              <w:r>
                <w:rPr>
                  <w:noProof/>
                  <w:lang w:val="es-ES"/>
                </w:rPr>
                <w:t>, 11-54.</w:t>
              </w:r>
            </w:p>
            <w:p w:rsidR="00711BDF" w:rsidRPr="00A66404" w:rsidRDefault="00711BDF" w:rsidP="00711BDF">
              <w:pPr>
                <w:pStyle w:val="Bibliografa"/>
                <w:ind w:left="720" w:hanging="720"/>
                <w:rPr>
                  <w:noProof/>
                  <w:lang w:val="en-US"/>
                </w:rPr>
              </w:pPr>
              <w:r>
                <w:rPr>
                  <w:noProof/>
                  <w:lang w:val="es-ES"/>
                </w:rPr>
                <w:t xml:space="preserve">Nohlen, D. (2011). </w:t>
              </w:r>
              <w:r>
                <w:rPr>
                  <w:i/>
                  <w:iCs/>
                  <w:noProof/>
                  <w:lang w:val="es-ES"/>
                </w:rPr>
                <w:t>La Democracia: Instituciones, Conceptos y Contexto.</w:t>
              </w:r>
              <w:r>
                <w:rPr>
                  <w:noProof/>
                  <w:lang w:val="es-ES"/>
                </w:rPr>
                <w:t xml:space="preserve"> </w:t>
              </w:r>
              <w:r w:rsidRPr="00A66404">
                <w:rPr>
                  <w:noProof/>
                  <w:lang w:val="en-US"/>
                </w:rPr>
                <w:t>Ciudad de México: Universidad Autónoma de México.</w:t>
              </w:r>
            </w:p>
            <w:p w:rsidR="00711BDF" w:rsidRPr="00A66404" w:rsidRDefault="00711BDF" w:rsidP="00711BDF">
              <w:pPr>
                <w:pStyle w:val="Bibliografa"/>
                <w:ind w:left="720" w:hanging="720"/>
                <w:rPr>
                  <w:noProof/>
                  <w:lang w:val="en-US"/>
                </w:rPr>
              </w:pPr>
              <w:r w:rsidRPr="00A66404">
                <w:rPr>
                  <w:noProof/>
                  <w:lang w:val="en-US"/>
                </w:rPr>
                <w:t xml:space="preserve">O’Hara, K. (2009). Transparency, Open Data and Trust in Government: Shaping the Infosphere . </w:t>
              </w:r>
              <w:r w:rsidRPr="00A66404">
                <w:rPr>
                  <w:i/>
                  <w:iCs/>
                  <w:noProof/>
                  <w:lang w:val="en-US"/>
                </w:rPr>
                <w:t>Electronics and Computer - Science University of Southampton Highfield</w:t>
              </w:r>
              <w:r w:rsidRPr="00A66404">
                <w:rPr>
                  <w:noProof/>
                  <w:lang w:val="en-US"/>
                </w:rPr>
                <w:t>.</w:t>
              </w:r>
            </w:p>
            <w:p w:rsidR="00711BDF" w:rsidRDefault="00711BDF" w:rsidP="00711BDF">
              <w:pPr>
                <w:pStyle w:val="Bibliografa"/>
                <w:ind w:left="720" w:hanging="720"/>
                <w:rPr>
                  <w:noProof/>
                  <w:lang w:val="es-ES"/>
                </w:rPr>
              </w:pPr>
              <w:r w:rsidRPr="00A66404">
                <w:rPr>
                  <w:noProof/>
                  <w:lang w:val="en-US"/>
                </w:rPr>
                <w:t xml:space="preserve">O'Donnell, G., Schinitter, R., &amp; Whitehead, L. (1988). </w:t>
              </w:r>
              <w:r>
                <w:rPr>
                  <w:i/>
                  <w:iCs/>
                  <w:noProof/>
                  <w:lang w:val="es-ES"/>
                </w:rPr>
                <w:t>Transiciones desde gobiernos autoritarios. Conclusiones tentativas sobre democracias inciertas.</w:t>
              </w:r>
              <w:r>
                <w:rPr>
                  <w:noProof/>
                  <w:lang w:val="es-ES"/>
                </w:rPr>
                <w:t xml:space="preserve"> Buenos Aires: Paidós.</w:t>
              </w:r>
            </w:p>
            <w:p w:rsidR="00711BDF" w:rsidRDefault="00711BDF" w:rsidP="00711BDF">
              <w:pPr>
                <w:pStyle w:val="Bibliografa"/>
                <w:ind w:left="720" w:hanging="720"/>
                <w:rPr>
                  <w:noProof/>
                  <w:lang w:val="es-ES"/>
                </w:rPr>
              </w:pPr>
              <w:r>
                <w:rPr>
                  <w:noProof/>
                  <w:lang w:val="es-ES"/>
                </w:rPr>
                <w:t xml:space="preserve">PNUD. (2004). </w:t>
              </w:r>
              <w:r>
                <w:rPr>
                  <w:i/>
                  <w:iCs/>
                  <w:noProof/>
                  <w:lang w:val="es-ES"/>
                </w:rPr>
                <w:t>La democracia en América Latina. Hacia una democracia de ciudadanas y ciudadanos.</w:t>
              </w:r>
              <w:r>
                <w:rPr>
                  <w:noProof/>
                  <w:lang w:val="es-ES"/>
                </w:rPr>
                <w:t xml:space="preserve"> Buenos Aires: Alfaguara.</w:t>
              </w:r>
            </w:p>
            <w:p w:rsidR="00711BDF" w:rsidRDefault="00711BDF" w:rsidP="00711BDF">
              <w:pPr>
                <w:pStyle w:val="Bibliografa"/>
                <w:ind w:left="720" w:hanging="720"/>
                <w:rPr>
                  <w:noProof/>
                  <w:lang w:val="es-ES"/>
                </w:rPr>
              </w:pPr>
              <w:r>
                <w:rPr>
                  <w:noProof/>
                  <w:lang w:val="es-ES"/>
                </w:rPr>
                <w:t xml:space="preserve">Prats, J. (2005). </w:t>
              </w:r>
              <w:r>
                <w:rPr>
                  <w:i/>
                  <w:iCs/>
                  <w:noProof/>
                  <w:lang w:val="es-ES"/>
                </w:rPr>
                <w:t>De la burocracia al management: del management a la gobernanza.</w:t>
              </w:r>
              <w:r>
                <w:rPr>
                  <w:noProof/>
                  <w:lang w:val="es-ES"/>
                </w:rPr>
                <w:t xml:space="preserve"> Madrid: INAP.</w:t>
              </w:r>
            </w:p>
            <w:p w:rsidR="00711BDF" w:rsidRDefault="00711BDF" w:rsidP="00711BDF">
              <w:pPr>
                <w:pStyle w:val="Bibliografa"/>
                <w:ind w:left="720" w:hanging="720"/>
                <w:rPr>
                  <w:noProof/>
                  <w:lang w:val="es-ES"/>
                </w:rPr>
              </w:pPr>
              <w:r>
                <w:rPr>
                  <w:noProof/>
                  <w:lang w:val="es-ES"/>
                </w:rPr>
                <w:t xml:space="preserve">Ramírez-Alujas, A. (2010). Innovación en la Gestión Pública y Open Government (Gobierno Abierto): Una vieja nueva idea. </w:t>
              </w:r>
              <w:r>
                <w:rPr>
                  <w:i/>
                  <w:iCs/>
                  <w:noProof/>
                  <w:lang w:val="es-ES"/>
                </w:rPr>
                <w:t>Buen Gobierno No. 9:94-</w:t>
              </w:r>
              <w:r>
                <w:rPr>
                  <w:noProof/>
                  <w:lang w:val="es-ES"/>
                </w:rPr>
                <w:t>, 2-13.</w:t>
              </w:r>
            </w:p>
            <w:p w:rsidR="00711BDF" w:rsidRDefault="00711BDF" w:rsidP="00711BDF">
              <w:pPr>
                <w:pStyle w:val="Bibliografa"/>
                <w:ind w:left="720" w:hanging="720"/>
                <w:rPr>
                  <w:noProof/>
                  <w:lang w:val="es-ES"/>
                </w:rPr>
              </w:pPr>
              <w:r>
                <w:rPr>
                  <w:noProof/>
                  <w:lang w:val="es-ES"/>
                </w:rPr>
                <w:t xml:space="preserve">Rojas, M., &amp; Marin, S. (2006). Aproximaciones a la medición de confianza. </w:t>
              </w:r>
              <w:r>
                <w:rPr>
                  <w:i/>
                  <w:iCs/>
                  <w:noProof/>
                  <w:lang w:val="es-ES"/>
                </w:rPr>
                <w:t>Dyna, Año 73, Nro. 150</w:t>
              </w:r>
              <w:r>
                <w:rPr>
                  <w:noProof/>
                  <w:lang w:val="es-ES"/>
                </w:rPr>
                <w:t>, 119-130.</w:t>
              </w:r>
            </w:p>
            <w:p w:rsidR="00711BDF" w:rsidRDefault="00711BDF" w:rsidP="00711BDF">
              <w:pPr>
                <w:pStyle w:val="Bibliografa"/>
                <w:ind w:left="720" w:hanging="720"/>
                <w:rPr>
                  <w:noProof/>
                  <w:lang w:val="es-ES"/>
                </w:rPr>
              </w:pPr>
              <w:r>
                <w:rPr>
                  <w:noProof/>
                  <w:lang w:val="es-ES"/>
                </w:rPr>
                <w:t xml:space="preserve">Sanchez, J. (2000). </w:t>
              </w:r>
              <w:r>
                <w:rPr>
                  <w:i/>
                  <w:iCs/>
                  <w:noProof/>
                  <w:lang w:val="es-ES"/>
                </w:rPr>
                <w:t>Cofianza en el gobierno: Medidas para fortalecer el marco etico en los paises de la OCDE.</w:t>
              </w:r>
              <w:r>
                <w:rPr>
                  <w:noProof/>
                  <w:lang w:val="es-ES"/>
                </w:rPr>
                <w:t xml:space="preserve"> Mexico: OCDE.</w:t>
              </w:r>
            </w:p>
            <w:p w:rsidR="00711BDF" w:rsidRDefault="00711BDF" w:rsidP="00711BDF">
              <w:pPr>
                <w:pStyle w:val="Bibliografa"/>
                <w:ind w:left="720" w:hanging="720"/>
                <w:rPr>
                  <w:noProof/>
                  <w:lang w:val="es-ES"/>
                </w:rPr>
              </w:pPr>
              <w:r>
                <w:rPr>
                  <w:noProof/>
                  <w:lang w:val="es-ES"/>
                </w:rPr>
                <w:t xml:space="preserve">Sanz, S., Ruiz, C., &amp; Perez, I. (2009). Concepto, dimensiones y antecedentes de la confianza en los entornos virtuales. </w:t>
              </w:r>
              <w:r>
                <w:rPr>
                  <w:i/>
                  <w:iCs/>
                  <w:noProof/>
                  <w:lang w:val="es-ES"/>
                </w:rPr>
                <w:t>Teoria y praxis 6</w:t>
              </w:r>
              <w:r>
                <w:rPr>
                  <w:noProof/>
                  <w:lang w:val="es-ES"/>
                </w:rPr>
                <w:t>, 31-56.</w:t>
              </w:r>
            </w:p>
            <w:p w:rsidR="00711BDF" w:rsidRDefault="00711BDF" w:rsidP="00711BDF">
              <w:pPr>
                <w:pStyle w:val="Bibliografa"/>
                <w:ind w:left="720" w:hanging="720"/>
                <w:rPr>
                  <w:noProof/>
                  <w:lang w:val="es-ES"/>
                </w:rPr>
              </w:pPr>
              <w:r>
                <w:rPr>
                  <w:noProof/>
                  <w:lang w:val="es-ES"/>
                </w:rPr>
                <w:t xml:space="preserve">Tilly, C. (2010). </w:t>
              </w:r>
              <w:r>
                <w:rPr>
                  <w:i/>
                  <w:iCs/>
                  <w:noProof/>
                  <w:lang w:val="es-ES"/>
                </w:rPr>
                <w:t>Confianza y Gobierno.</w:t>
              </w:r>
              <w:r>
                <w:rPr>
                  <w:noProof/>
                  <w:lang w:val="es-ES"/>
                </w:rPr>
                <w:t xml:space="preserve"> Buenos Aires: Amorrortu.</w:t>
              </w:r>
            </w:p>
            <w:p w:rsidR="00711BDF" w:rsidRDefault="00A736F3" w:rsidP="00711BDF">
              <w:r>
                <w:rPr>
                  <w:b/>
                  <w:bCs/>
                </w:rPr>
                <w:fldChar w:fldCharType="end"/>
              </w:r>
            </w:p>
          </w:sdtContent>
        </w:sdt>
      </w:sdtContent>
    </w:sdt>
    <w:p w:rsidR="00711BDF" w:rsidRDefault="00711BDF"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023D69" w:rsidRDefault="00023D69" w:rsidP="00520D81">
      <w:pPr>
        <w:tabs>
          <w:tab w:val="left" w:pos="4169"/>
        </w:tabs>
        <w:spacing w:line="240" w:lineRule="auto"/>
        <w:jc w:val="both"/>
        <w:rPr>
          <w:rFonts w:cs="Arial"/>
          <w:b/>
        </w:rPr>
      </w:pPr>
    </w:p>
    <w:p w:rsidR="00023D69" w:rsidRDefault="00023D69" w:rsidP="00520D81">
      <w:pPr>
        <w:tabs>
          <w:tab w:val="left" w:pos="4169"/>
        </w:tabs>
        <w:spacing w:line="240" w:lineRule="auto"/>
        <w:jc w:val="both"/>
        <w:rPr>
          <w:rFonts w:cs="Arial"/>
          <w:b/>
        </w:rPr>
      </w:pPr>
    </w:p>
    <w:p w:rsidR="009571AD" w:rsidRDefault="009571AD"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711BDF" w:rsidRDefault="00711BDF" w:rsidP="00520D81">
      <w:pPr>
        <w:tabs>
          <w:tab w:val="left" w:pos="4169"/>
        </w:tabs>
        <w:spacing w:line="240" w:lineRule="auto"/>
        <w:jc w:val="both"/>
        <w:rPr>
          <w:rFonts w:cs="Arial"/>
          <w:b/>
        </w:rPr>
      </w:pPr>
    </w:p>
    <w:p w:rsidR="00D91C21" w:rsidRPr="00BD3DFF" w:rsidRDefault="00711BDF" w:rsidP="00BD3DFF">
      <w:pPr>
        <w:tabs>
          <w:tab w:val="left" w:pos="4169"/>
        </w:tabs>
        <w:spacing w:line="240" w:lineRule="auto"/>
        <w:jc w:val="both"/>
        <w:rPr>
          <w:rFonts w:cs="Arial"/>
          <w:b/>
          <w:sz w:val="32"/>
        </w:rPr>
      </w:pPr>
      <w:r w:rsidRPr="00711BDF">
        <w:rPr>
          <w:rFonts w:cs="Arial"/>
          <w:b/>
          <w:sz w:val="32"/>
        </w:rPr>
        <w:lastRenderedPageBreak/>
        <w:t>Anexos.</w:t>
      </w: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334A62" w:rsidRDefault="00334A62" w:rsidP="00D91C21">
      <w:pPr>
        <w:spacing w:after="0" w:line="240" w:lineRule="auto"/>
        <w:jc w:val="both"/>
        <w:rPr>
          <w:b/>
        </w:rPr>
      </w:pPr>
    </w:p>
    <w:p w:rsidR="00D91C21" w:rsidRDefault="00D91C21" w:rsidP="00D91C21">
      <w:pPr>
        <w:spacing w:after="0" w:line="240" w:lineRule="auto"/>
        <w:jc w:val="both"/>
        <w:rPr>
          <w:b/>
        </w:rPr>
      </w:pPr>
      <w:r>
        <w:rPr>
          <w:b/>
        </w:rPr>
        <w:lastRenderedPageBreak/>
        <w:t xml:space="preserve">Anexo </w:t>
      </w:r>
      <w:r w:rsidR="00BD3DFF">
        <w:rPr>
          <w:b/>
        </w:rPr>
        <w:t>1.</w:t>
      </w:r>
      <w:r w:rsidRPr="00947DCB">
        <w:rPr>
          <w:b/>
        </w:rPr>
        <w:t xml:space="preserve">  </w:t>
      </w:r>
      <w:r>
        <w:rPr>
          <w:b/>
        </w:rPr>
        <w:t xml:space="preserve">Resultados consolidados del </w:t>
      </w:r>
      <w:r w:rsidRPr="00947DCB">
        <w:rPr>
          <w:b/>
        </w:rPr>
        <w:t xml:space="preserve"> </w:t>
      </w:r>
      <w:r>
        <w:rPr>
          <w:b/>
        </w:rPr>
        <w:t xml:space="preserve">ICD, </w:t>
      </w:r>
      <w:r w:rsidRPr="00947DCB">
        <w:rPr>
          <w:b/>
        </w:rPr>
        <w:t xml:space="preserve">IAIM </w:t>
      </w:r>
      <w:r>
        <w:rPr>
          <w:b/>
        </w:rPr>
        <w:t xml:space="preserve">y IPEM </w:t>
      </w:r>
      <w:r w:rsidRPr="00947DCB">
        <w:rPr>
          <w:b/>
        </w:rPr>
        <w:t>por municipio del Departamento de Cundinamarca.</w:t>
      </w:r>
    </w:p>
    <w:p w:rsidR="00FD3331" w:rsidRDefault="009C2BB8" w:rsidP="00D91C21">
      <w:r w:rsidRPr="009C2BB8">
        <w:rPr>
          <w:noProof/>
          <w:lang w:eastAsia="es-CO"/>
        </w:rPr>
        <w:drawing>
          <wp:anchor distT="0" distB="0" distL="114300" distR="114300" simplePos="0" relativeHeight="251642880" behindDoc="1" locked="0" layoutInCell="1" allowOverlap="1">
            <wp:simplePos x="0" y="0"/>
            <wp:positionH relativeFrom="column">
              <wp:posOffset>3166745</wp:posOffset>
            </wp:positionH>
            <wp:positionV relativeFrom="paragraph">
              <wp:posOffset>6350</wp:posOffset>
            </wp:positionV>
            <wp:extent cx="2611302" cy="804862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1302" cy="8048625"/>
                    </a:xfrm>
                    <a:prstGeom prst="rect">
                      <a:avLst/>
                    </a:prstGeom>
                    <a:noFill/>
                    <a:ln>
                      <a:noFill/>
                    </a:ln>
                  </pic:spPr>
                </pic:pic>
              </a:graphicData>
            </a:graphic>
          </wp:anchor>
        </w:drawing>
      </w:r>
      <w:r w:rsidRPr="009C2BB8">
        <w:rPr>
          <w:noProof/>
          <w:lang w:eastAsia="es-CO"/>
        </w:rPr>
        <w:drawing>
          <wp:anchor distT="0" distB="0" distL="114300" distR="114300" simplePos="0" relativeHeight="251652096" behindDoc="1" locked="0" layoutInCell="1" allowOverlap="1">
            <wp:simplePos x="0" y="0"/>
            <wp:positionH relativeFrom="column">
              <wp:posOffset>185420</wp:posOffset>
            </wp:positionH>
            <wp:positionV relativeFrom="paragraph">
              <wp:posOffset>6350</wp:posOffset>
            </wp:positionV>
            <wp:extent cx="2543175" cy="8102619"/>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3175" cy="8102619"/>
                    </a:xfrm>
                    <a:prstGeom prst="rect">
                      <a:avLst/>
                    </a:prstGeom>
                    <a:noFill/>
                    <a:ln>
                      <a:noFill/>
                    </a:ln>
                  </pic:spPr>
                </pic:pic>
              </a:graphicData>
            </a:graphic>
          </wp:anchor>
        </w:drawing>
      </w:r>
    </w:p>
    <w:p w:rsidR="009C2BB8" w:rsidRPr="00D91C21" w:rsidRDefault="009C2BB8" w:rsidP="00D91C21"/>
    <w:p w:rsidR="00D91C21" w:rsidRPr="00D91C21" w:rsidRDefault="00D91C21" w:rsidP="00D91C21"/>
    <w:p w:rsidR="00D91C21" w:rsidRPr="00D91C21" w:rsidRDefault="00D91C21" w:rsidP="00D91C21"/>
    <w:p w:rsidR="00D91C21" w:rsidRPr="00D91C21" w:rsidRDefault="00D91C21" w:rsidP="00D91C21"/>
    <w:p w:rsidR="00D91C21" w:rsidRPr="00D91C21" w:rsidRDefault="00D91C21" w:rsidP="00D91C21"/>
    <w:p w:rsidR="00520D81" w:rsidRPr="00D91C21" w:rsidRDefault="00520D81" w:rsidP="00D91C21">
      <w:pPr>
        <w:ind w:firstLine="708"/>
        <w:rPr>
          <w:rFonts w:cs="Arial"/>
        </w:rPr>
      </w:pPr>
    </w:p>
    <w:p w:rsidR="00520D81" w:rsidRDefault="00520D81" w:rsidP="00520D81">
      <w:pPr>
        <w:tabs>
          <w:tab w:val="left" w:pos="4169"/>
        </w:tabs>
        <w:spacing w:line="240" w:lineRule="auto"/>
        <w:jc w:val="both"/>
        <w:rPr>
          <w:rFonts w:cs="Arial"/>
        </w:rPr>
      </w:pPr>
    </w:p>
    <w:p w:rsidR="00520D81" w:rsidRDefault="00520D81" w:rsidP="00520D81">
      <w:pPr>
        <w:tabs>
          <w:tab w:val="left" w:pos="4169"/>
        </w:tabs>
        <w:spacing w:line="240" w:lineRule="auto"/>
        <w:jc w:val="both"/>
        <w:rPr>
          <w:rFonts w:cs="Arial"/>
        </w:rPr>
      </w:pPr>
    </w:p>
    <w:p w:rsidR="00520D81" w:rsidRDefault="00520D81" w:rsidP="00520D81">
      <w:pPr>
        <w:tabs>
          <w:tab w:val="left" w:pos="4169"/>
        </w:tabs>
        <w:spacing w:line="240" w:lineRule="auto"/>
        <w:jc w:val="both"/>
        <w:rPr>
          <w:rFonts w:cs="Arial"/>
        </w:rPr>
      </w:pPr>
    </w:p>
    <w:p w:rsidR="00520D81" w:rsidRPr="00512E15" w:rsidRDefault="00520D81" w:rsidP="00520D81">
      <w:pPr>
        <w:spacing w:line="240" w:lineRule="auto"/>
        <w:jc w:val="both"/>
      </w:pPr>
    </w:p>
    <w:p w:rsidR="00520D81" w:rsidRDefault="00520D81" w:rsidP="00520D81">
      <w:pPr>
        <w:spacing w:line="240" w:lineRule="auto"/>
        <w:jc w:val="both"/>
      </w:pPr>
    </w:p>
    <w:p w:rsidR="00520D81" w:rsidRDefault="00520D81" w:rsidP="00520D81">
      <w:pPr>
        <w:spacing w:line="240" w:lineRule="auto"/>
        <w:jc w:val="both"/>
      </w:pPr>
    </w:p>
    <w:p w:rsidR="00520D81" w:rsidRDefault="00520D81" w:rsidP="00520D81">
      <w:pPr>
        <w:spacing w:line="240" w:lineRule="auto"/>
        <w:jc w:val="both"/>
      </w:pPr>
    </w:p>
    <w:p w:rsidR="00520D81" w:rsidRPr="00947DCB" w:rsidRDefault="00520D81" w:rsidP="00520D81"/>
    <w:p w:rsidR="00520D81" w:rsidRPr="00947DCB" w:rsidRDefault="00520D81" w:rsidP="009C7134"/>
    <w:sectPr w:rsidR="00520D81" w:rsidRPr="00947DCB" w:rsidSect="005B3349">
      <w:type w:val="continuous"/>
      <w:pgSz w:w="12240" w:h="15840"/>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E00" w:rsidRDefault="007A7E00" w:rsidP="00520D81">
      <w:pPr>
        <w:spacing w:after="0" w:line="240" w:lineRule="auto"/>
      </w:pPr>
      <w:r>
        <w:separator/>
      </w:r>
    </w:p>
  </w:endnote>
  <w:endnote w:type="continuationSeparator" w:id="0">
    <w:p w:rsidR="007A7E00" w:rsidRDefault="007A7E00" w:rsidP="00520D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979096"/>
      <w:docPartObj>
        <w:docPartGallery w:val="Page Numbers (Bottom of Page)"/>
        <w:docPartUnique/>
      </w:docPartObj>
    </w:sdtPr>
    <w:sdtContent>
      <w:p w:rsidR="00F01E29" w:rsidRDefault="00A736F3">
        <w:pPr>
          <w:pStyle w:val="Piedepgina"/>
          <w:jc w:val="right"/>
        </w:pPr>
        <w:r w:rsidRPr="00A736F3">
          <w:fldChar w:fldCharType="begin"/>
        </w:r>
        <w:r w:rsidR="00F01E29">
          <w:instrText>PAGE   \* MERGEFORMAT</w:instrText>
        </w:r>
        <w:r w:rsidRPr="00A736F3">
          <w:fldChar w:fldCharType="separate"/>
        </w:r>
        <w:r w:rsidR="00BF020D" w:rsidRPr="00BF020D">
          <w:rPr>
            <w:noProof/>
            <w:lang w:val="es-ES"/>
          </w:rPr>
          <w:t>1</w:t>
        </w:r>
        <w:r>
          <w:rPr>
            <w:noProof/>
            <w:lang w:val="es-ES"/>
          </w:rPr>
          <w:fldChar w:fldCharType="end"/>
        </w:r>
      </w:p>
    </w:sdtContent>
  </w:sdt>
  <w:p w:rsidR="00F01E29" w:rsidRDefault="00F01E2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E00" w:rsidRDefault="007A7E00" w:rsidP="00520D81">
      <w:pPr>
        <w:spacing w:after="0" w:line="240" w:lineRule="auto"/>
      </w:pPr>
      <w:r>
        <w:separator/>
      </w:r>
    </w:p>
  </w:footnote>
  <w:footnote w:type="continuationSeparator" w:id="0">
    <w:p w:rsidR="007A7E00" w:rsidRDefault="007A7E00" w:rsidP="00520D81">
      <w:pPr>
        <w:spacing w:after="0" w:line="240" w:lineRule="auto"/>
      </w:pPr>
      <w:r>
        <w:continuationSeparator/>
      </w:r>
    </w:p>
  </w:footnote>
  <w:footnote w:id="1">
    <w:p w:rsidR="00F01E29" w:rsidRPr="00512E15" w:rsidRDefault="00F01E29" w:rsidP="00520D81">
      <w:pPr>
        <w:pStyle w:val="Textonotapie"/>
        <w:jc w:val="both"/>
      </w:pPr>
      <w:r w:rsidRPr="00512E15">
        <w:rPr>
          <w:vertAlign w:val="superscript"/>
        </w:rPr>
        <w:footnoteRef/>
      </w:r>
      <w:r w:rsidRPr="00512E15">
        <w:t xml:space="preserve"> Doctor en Estudios Políticos ©, Profesor Titular ESAP, Colombia, edgamart@esap.edu.co.</w:t>
      </w:r>
    </w:p>
  </w:footnote>
  <w:footnote w:id="2">
    <w:p w:rsidR="00F01E29" w:rsidRPr="00544BC6" w:rsidRDefault="00F01E29" w:rsidP="00520D81">
      <w:pPr>
        <w:pStyle w:val="Textonotapie"/>
        <w:rPr>
          <w:rFonts w:ascii="Times New Roman" w:hAnsi="Times New Roman" w:cs="Times New Roman"/>
        </w:rPr>
      </w:pPr>
      <w:r w:rsidRPr="00512E15">
        <w:rPr>
          <w:vertAlign w:val="superscript"/>
        </w:rPr>
        <w:footnoteRef/>
      </w:r>
      <w:r w:rsidRPr="00512E15">
        <w:t xml:space="preserve"> MBA &amp; Dirección de proyectos ©, </w:t>
      </w:r>
      <w:r>
        <w:t>Investigador ESAP</w:t>
      </w:r>
      <w:r w:rsidRPr="00512E15">
        <w:t>,</w:t>
      </w:r>
      <w:r>
        <w:t xml:space="preserve"> Colombia,</w:t>
      </w:r>
      <w:r w:rsidRPr="00512E15">
        <w:t xml:space="preserve"> Harold.pico104@esap.gov.co.</w:t>
      </w:r>
    </w:p>
  </w:footnote>
  <w:footnote w:id="3">
    <w:p w:rsidR="00F01E29" w:rsidRDefault="00F01E29" w:rsidP="00520D81">
      <w:pPr>
        <w:pStyle w:val="Textonotapie"/>
        <w:jc w:val="both"/>
      </w:pPr>
      <w:r>
        <w:rPr>
          <w:rStyle w:val="Refdenotaalpie"/>
        </w:rPr>
        <w:footnoteRef/>
      </w:r>
      <w:r>
        <w:t xml:space="preserve"> Se excluye la ciudad de Bogotá que aunque es la capital del departamento, posee un estatuto orgánico independiente al ser también la capital del país.</w:t>
      </w:r>
    </w:p>
  </w:footnote>
  <w:footnote w:id="4">
    <w:p w:rsidR="00F01E29" w:rsidRDefault="00F01E29" w:rsidP="00520D81">
      <w:pPr>
        <w:pStyle w:val="Textonotapie"/>
      </w:pPr>
      <w:r>
        <w:rPr>
          <w:rStyle w:val="Refdenotaalpie"/>
        </w:rPr>
        <w:footnoteRef/>
      </w:r>
      <w:r>
        <w:t xml:space="preserve"> El nivel subnacional en Colombia está conformado por 32 departamentos y 1102 municipios</w:t>
      </w:r>
    </w:p>
  </w:footnote>
  <w:footnote w:id="5">
    <w:p w:rsidR="00F01E29" w:rsidRDefault="00F01E29" w:rsidP="00520D81">
      <w:pPr>
        <w:pStyle w:val="Textonotapie"/>
        <w:jc w:val="both"/>
      </w:pPr>
      <w:r>
        <w:rPr>
          <w:rStyle w:val="Refdenotaalpie"/>
        </w:rPr>
        <w:footnoteRef/>
      </w:r>
      <w:r>
        <w:t xml:space="preserve"> </w:t>
      </w:r>
      <w:r w:rsidRPr="00512E15">
        <w:t>Como señala la OCDE, la integridad se ha convertido en la condición fundamental de los gobiernos, con el fin de proveer un marco confiable y efectivo para la vida económica y social de sus ciudadanos.</w:t>
      </w:r>
    </w:p>
  </w:footnote>
  <w:footnote w:id="6">
    <w:p w:rsidR="00F01E29" w:rsidRDefault="00F01E29">
      <w:pPr>
        <w:pStyle w:val="Textonotapie"/>
      </w:pPr>
      <w:r>
        <w:rPr>
          <w:rStyle w:val="Refdenotaalpie"/>
        </w:rPr>
        <w:footnoteRef/>
      </w:r>
      <w:r>
        <w:t xml:space="preserve"> Se tomó como base poblacional municipal las proyecciones realizadas por el Departamento Nacional de Estadística DANE para el año 2011.</w:t>
      </w:r>
    </w:p>
  </w:footnote>
  <w:footnote w:id="7">
    <w:p w:rsidR="00F01E29" w:rsidRDefault="00F01E29" w:rsidP="001E0B98">
      <w:pPr>
        <w:pStyle w:val="Textonotapie"/>
        <w:jc w:val="both"/>
      </w:pPr>
      <w:r>
        <w:rPr>
          <w:rStyle w:val="Refdenotaalpie"/>
        </w:rPr>
        <w:footnoteRef/>
      </w:r>
      <w:r>
        <w:t xml:space="preserve"> </w:t>
      </w:r>
      <w:r w:rsidRPr="001E3F0B">
        <w:rPr>
          <w:sz w:val="18"/>
        </w:rPr>
        <w:t xml:space="preserve">Adicionalmente la información que posee las entidades conforman un bien público, el cual puede ser utilizado por terceros para la creación de valor para la ciudadanía en general a través de esquemas de datos abiertos, los cuales ofrecen una ventana de oportunidad para la generación de más y mejores servicios apalancados en las condiciones del mercado. </w:t>
      </w:r>
      <w:sdt>
        <w:sdtPr>
          <w:rPr>
            <w:sz w:val="18"/>
          </w:rPr>
          <w:id w:val="-526792647"/>
          <w:citation/>
        </w:sdtPr>
        <w:sdtContent>
          <w:r w:rsidR="00A736F3" w:rsidRPr="001E3F0B">
            <w:rPr>
              <w:sz w:val="18"/>
            </w:rPr>
            <w:fldChar w:fldCharType="begin"/>
          </w:r>
          <w:r w:rsidRPr="001E3F0B">
            <w:rPr>
              <w:sz w:val="18"/>
            </w:rPr>
            <w:instrText xml:space="preserve"> CITATION Min12 \l 9226 </w:instrText>
          </w:r>
          <w:r w:rsidR="00A736F3" w:rsidRPr="001E3F0B">
            <w:rPr>
              <w:sz w:val="18"/>
            </w:rPr>
            <w:fldChar w:fldCharType="separate"/>
          </w:r>
          <w:r w:rsidRPr="001E3F0B">
            <w:rPr>
              <w:noProof/>
              <w:sz w:val="18"/>
            </w:rPr>
            <w:t>(Min Tic, 2012)</w:t>
          </w:r>
          <w:r w:rsidR="00A736F3" w:rsidRPr="001E3F0B">
            <w:rPr>
              <w:sz w:val="18"/>
            </w:rPr>
            <w:fldChar w:fldCharType="end"/>
          </w:r>
        </w:sdtContent>
      </w:sdt>
    </w:p>
  </w:footnote>
  <w:footnote w:id="8">
    <w:p w:rsidR="00F01E29" w:rsidRDefault="00F01E29">
      <w:pPr>
        <w:pStyle w:val="Textonotapie"/>
      </w:pPr>
      <w:r>
        <w:rPr>
          <w:rStyle w:val="Refdenotaalpie"/>
        </w:rPr>
        <w:footnoteRef/>
      </w:r>
      <w:r>
        <w:t xml:space="preserve"> La penetración del internet es una medida mundial adoptada, en la cual se calcula el porcentaje de población por territorio que logra tener acceso efectivo a la Word </w:t>
      </w:r>
      <w:proofErr w:type="spellStart"/>
      <w:r>
        <w:t>Wide</w:t>
      </w:r>
      <w:proofErr w:type="spellEnd"/>
      <w:r>
        <w:t xml:space="preserve"> Web.</w:t>
      </w:r>
    </w:p>
  </w:footnote>
  <w:footnote w:id="9">
    <w:p w:rsidR="00F01E29" w:rsidRDefault="00F01E29">
      <w:pPr>
        <w:pStyle w:val="Textonotapie"/>
      </w:pPr>
      <w:r>
        <w:rPr>
          <w:rStyle w:val="Refdenotaalpie"/>
        </w:rPr>
        <w:footnoteRef/>
      </w:r>
      <w:r>
        <w:t xml:space="preserve"> Por sus siglas en Ingles Word </w:t>
      </w:r>
      <w:proofErr w:type="spellStart"/>
      <w:r>
        <w:t>Wide</w:t>
      </w:r>
      <w:proofErr w:type="spellEnd"/>
      <w:r>
        <w:t xml:space="preserve"> Web.</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C44C6"/>
    <w:multiLevelType w:val="hybridMultilevel"/>
    <w:tmpl w:val="05362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15613C0"/>
    <w:multiLevelType w:val="hybridMultilevel"/>
    <w:tmpl w:val="C51E9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7E11E8D"/>
    <w:multiLevelType w:val="hybridMultilevel"/>
    <w:tmpl w:val="983CD5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3E93029"/>
    <w:multiLevelType w:val="hybridMultilevel"/>
    <w:tmpl w:val="BB0AE7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50B7171"/>
    <w:multiLevelType w:val="hybridMultilevel"/>
    <w:tmpl w:val="B23C2F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F905AA2"/>
    <w:multiLevelType w:val="multilevel"/>
    <w:tmpl w:val="9190C0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B827623"/>
    <w:multiLevelType w:val="multilevel"/>
    <w:tmpl w:val="9ED6DD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20D81"/>
    <w:rsid w:val="00006EAD"/>
    <w:rsid w:val="00015345"/>
    <w:rsid w:val="00023D69"/>
    <w:rsid w:val="00025E25"/>
    <w:rsid w:val="00034D2A"/>
    <w:rsid w:val="0004321E"/>
    <w:rsid w:val="00045654"/>
    <w:rsid w:val="00060373"/>
    <w:rsid w:val="00073A7E"/>
    <w:rsid w:val="00073E11"/>
    <w:rsid w:val="00093EEF"/>
    <w:rsid w:val="000951CC"/>
    <w:rsid w:val="000B6BF3"/>
    <w:rsid w:val="000C1BD9"/>
    <w:rsid w:val="000C5F95"/>
    <w:rsid w:val="000D7E06"/>
    <w:rsid w:val="000E20F1"/>
    <w:rsid w:val="00106D60"/>
    <w:rsid w:val="00127DB4"/>
    <w:rsid w:val="001375C5"/>
    <w:rsid w:val="00160BE2"/>
    <w:rsid w:val="001617D8"/>
    <w:rsid w:val="0018584F"/>
    <w:rsid w:val="001A07D7"/>
    <w:rsid w:val="001A2A56"/>
    <w:rsid w:val="001A4F95"/>
    <w:rsid w:val="001C5856"/>
    <w:rsid w:val="001E0B98"/>
    <w:rsid w:val="001E174B"/>
    <w:rsid w:val="001E3CE2"/>
    <w:rsid w:val="001F1685"/>
    <w:rsid w:val="001F7066"/>
    <w:rsid w:val="002038DF"/>
    <w:rsid w:val="002266A3"/>
    <w:rsid w:val="0023339D"/>
    <w:rsid w:val="00244390"/>
    <w:rsid w:val="00250DAD"/>
    <w:rsid w:val="00261C78"/>
    <w:rsid w:val="002775A9"/>
    <w:rsid w:val="00281801"/>
    <w:rsid w:val="00285694"/>
    <w:rsid w:val="002C1DC4"/>
    <w:rsid w:val="002C6C2D"/>
    <w:rsid w:val="002D15E8"/>
    <w:rsid w:val="002D1799"/>
    <w:rsid w:val="002E55F0"/>
    <w:rsid w:val="002E5FF0"/>
    <w:rsid w:val="002E7079"/>
    <w:rsid w:val="002F024C"/>
    <w:rsid w:val="00311E1A"/>
    <w:rsid w:val="0032502B"/>
    <w:rsid w:val="00332C80"/>
    <w:rsid w:val="00334A62"/>
    <w:rsid w:val="00343822"/>
    <w:rsid w:val="00356BB9"/>
    <w:rsid w:val="003732F5"/>
    <w:rsid w:val="00373A5A"/>
    <w:rsid w:val="00381F0D"/>
    <w:rsid w:val="0038404D"/>
    <w:rsid w:val="003851D9"/>
    <w:rsid w:val="003A4B87"/>
    <w:rsid w:val="003A5DEE"/>
    <w:rsid w:val="003B09C0"/>
    <w:rsid w:val="003B1FF9"/>
    <w:rsid w:val="003D1239"/>
    <w:rsid w:val="003E79AB"/>
    <w:rsid w:val="003F736A"/>
    <w:rsid w:val="003F7C95"/>
    <w:rsid w:val="0040020A"/>
    <w:rsid w:val="00401868"/>
    <w:rsid w:val="00404447"/>
    <w:rsid w:val="00411DEC"/>
    <w:rsid w:val="00423BCB"/>
    <w:rsid w:val="0043157F"/>
    <w:rsid w:val="00477CA1"/>
    <w:rsid w:val="00480BA1"/>
    <w:rsid w:val="00485836"/>
    <w:rsid w:val="004859BB"/>
    <w:rsid w:val="004871B3"/>
    <w:rsid w:val="004A7542"/>
    <w:rsid w:val="004B0EF4"/>
    <w:rsid w:val="004B2F1F"/>
    <w:rsid w:val="004B3936"/>
    <w:rsid w:val="004D6543"/>
    <w:rsid w:val="004E5DB6"/>
    <w:rsid w:val="00500C46"/>
    <w:rsid w:val="00511D1E"/>
    <w:rsid w:val="00516189"/>
    <w:rsid w:val="00520D81"/>
    <w:rsid w:val="0052339C"/>
    <w:rsid w:val="005310B4"/>
    <w:rsid w:val="00532606"/>
    <w:rsid w:val="00532974"/>
    <w:rsid w:val="00537321"/>
    <w:rsid w:val="00551841"/>
    <w:rsid w:val="005624DC"/>
    <w:rsid w:val="005639B7"/>
    <w:rsid w:val="00576BE7"/>
    <w:rsid w:val="005917B3"/>
    <w:rsid w:val="0059630A"/>
    <w:rsid w:val="005B17AC"/>
    <w:rsid w:val="005B3349"/>
    <w:rsid w:val="005B68E2"/>
    <w:rsid w:val="005C4026"/>
    <w:rsid w:val="005D1448"/>
    <w:rsid w:val="005D385E"/>
    <w:rsid w:val="005D4835"/>
    <w:rsid w:val="005D6B73"/>
    <w:rsid w:val="005E17BF"/>
    <w:rsid w:val="005E6A71"/>
    <w:rsid w:val="005E7B64"/>
    <w:rsid w:val="006018A5"/>
    <w:rsid w:val="00607178"/>
    <w:rsid w:val="00641988"/>
    <w:rsid w:val="00661E49"/>
    <w:rsid w:val="00675EB8"/>
    <w:rsid w:val="00681239"/>
    <w:rsid w:val="00682EDB"/>
    <w:rsid w:val="00693D37"/>
    <w:rsid w:val="006A6059"/>
    <w:rsid w:val="006A7264"/>
    <w:rsid w:val="006B00A8"/>
    <w:rsid w:val="006B5DE6"/>
    <w:rsid w:val="006B5E1B"/>
    <w:rsid w:val="006C313A"/>
    <w:rsid w:val="006D4510"/>
    <w:rsid w:val="006E5BCC"/>
    <w:rsid w:val="00705F9B"/>
    <w:rsid w:val="007073E1"/>
    <w:rsid w:val="00711BDF"/>
    <w:rsid w:val="007139A4"/>
    <w:rsid w:val="00734518"/>
    <w:rsid w:val="00741FDC"/>
    <w:rsid w:val="00744583"/>
    <w:rsid w:val="00744BD3"/>
    <w:rsid w:val="007455A1"/>
    <w:rsid w:val="0074688D"/>
    <w:rsid w:val="007560FF"/>
    <w:rsid w:val="00772DF0"/>
    <w:rsid w:val="00773FD7"/>
    <w:rsid w:val="0077418D"/>
    <w:rsid w:val="00784697"/>
    <w:rsid w:val="00796B2E"/>
    <w:rsid w:val="007A3E85"/>
    <w:rsid w:val="007A7E00"/>
    <w:rsid w:val="007B5443"/>
    <w:rsid w:val="007C310C"/>
    <w:rsid w:val="007C7527"/>
    <w:rsid w:val="007E2B67"/>
    <w:rsid w:val="007F5E1C"/>
    <w:rsid w:val="0081549D"/>
    <w:rsid w:val="0082587F"/>
    <w:rsid w:val="00834C7B"/>
    <w:rsid w:val="00843F90"/>
    <w:rsid w:val="0084505F"/>
    <w:rsid w:val="00861B58"/>
    <w:rsid w:val="00866435"/>
    <w:rsid w:val="008A4DFF"/>
    <w:rsid w:val="008A5906"/>
    <w:rsid w:val="008B498A"/>
    <w:rsid w:val="008C50B5"/>
    <w:rsid w:val="008C50DA"/>
    <w:rsid w:val="008C6A33"/>
    <w:rsid w:val="00905087"/>
    <w:rsid w:val="00910BC0"/>
    <w:rsid w:val="00917DD0"/>
    <w:rsid w:val="009408BA"/>
    <w:rsid w:val="0095704C"/>
    <w:rsid w:val="009571AD"/>
    <w:rsid w:val="00961767"/>
    <w:rsid w:val="00972549"/>
    <w:rsid w:val="009842AB"/>
    <w:rsid w:val="0098633D"/>
    <w:rsid w:val="00990780"/>
    <w:rsid w:val="009A0A17"/>
    <w:rsid w:val="009C0C2F"/>
    <w:rsid w:val="009C2BB8"/>
    <w:rsid w:val="009C67B3"/>
    <w:rsid w:val="009C7134"/>
    <w:rsid w:val="009E0D15"/>
    <w:rsid w:val="009F15E1"/>
    <w:rsid w:val="009F4F40"/>
    <w:rsid w:val="00A151FC"/>
    <w:rsid w:val="00A162FB"/>
    <w:rsid w:val="00A16B3C"/>
    <w:rsid w:val="00A47C7F"/>
    <w:rsid w:val="00A66404"/>
    <w:rsid w:val="00A726FB"/>
    <w:rsid w:val="00A736F3"/>
    <w:rsid w:val="00A85CDA"/>
    <w:rsid w:val="00A87951"/>
    <w:rsid w:val="00A95EDD"/>
    <w:rsid w:val="00AA2224"/>
    <w:rsid w:val="00AA386D"/>
    <w:rsid w:val="00AB49E5"/>
    <w:rsid w:val="00AD0DB4"/>
    <w:rsid w:val="00AD3544"/>
    <w:rsid w:val="00AD3E2F"/>
    <w:rsid w:val="00AF5A96"/>
    <w:rsid w:val="00AF6CEF"/>
    <w:rsid w:val="00B24EEB"/>
    <w:rsid w:val="00B26AB8"/>
    <w:rsid w:val="00B27D11"/>
    <w:rsid w:val="00B42CD1"/>
    <w:rsid w:val="00B555C6"/>
    <w:rsid w:val="00B60657"/>
    <w:rsid w:val="00B6130E"/>
    <w:rsid w:val="00B62FCD"/>
    <w:rsid w:val="00B7141A"/>
    <w:rsid w:val="00B76021"/>
    <w:rsid w:val="00B9618B"/>
    <w:rsid w:val="00BA3F46"/>
    <w:rsid w:val="00BA7E66"/>
    <w:rsid w:val="00BB04FB"/>
    <w:rsid w:val="00BB333C"/>
    <w:rsid w:val="00BC04D3"/>
    <w:rsid w:val="00BC53E5"/>
    <w:rsid w:val="00BC6089"/>
    <w:rsid w:val="00BD3DFF"/>
    <w:rsid w:val="00BD4BED"/>
    <w:rsid w:val="00BE34BA"/>
    <w:rsid w:val="00BF020D"/>
    <w:rsid w:val="00BF3230"/>
    <w:rsid w:val="00BF60BB"/>
    <w:rsid w:val="00C03208"/>
    <w:rsid w:val="00C0326D"/>
    <w:rsid w:val="00C173D9"/>
    <w:rsid w:val="00C20D7C"/>
    <w:rsid w:val="00C25524"/>
    <w:rsid w:val="00C30369"/>
    <w:rsid w:val="00C308D2"/>
    <w:rsid w:val="00C341FA"/>
    <w:rsid w:val="00C469E4"/>
    <w:rsid w:val="00C5084E"/>
    <w:rsid w:val="00C50EDF"/>
    <w:rsid w:val="00CA744B"/>
    <w:rsid w:val="00CB6833"/>
    <w:rsid w:val="00CC7AE7"/>
    <w:rsid w:val="00CD2B4E"/>
    <w:rsid w:val="00CD72F6"/>
    <w:rsid w:val="00CE03E7"/>
    <w:rsid w:val="00CE35CF"/>
    <w:rsid w:val="00CF6E5E"/>
    <w:rsid w:val="00D13F66"/>
    <w:rsid w:val="00D20804"/>
    <w:rsid w:val="00D31058"/>
    <w:rsid w:val="00D331DA"/>
    <w:rsid w:val="00D365E2"/>
    <w:rsid w:val="00D36ABD"/>
    <w:rsid w:val="00D529F4"/>
    <w:rsid w:val="00D560F7"/>
    <w:rsid w:val="00D667A8"/>
    <w:rsid w:val="00D71E70"/>
    <w:rsid w:val="00D729D2"/>
    <w:rsid w:val="00D765A3"/>
    <w:rsid w:val="00D812C8"/>
    <w:rsid w:val="00D869DE"/>
    <w:rsid w:val="00D90378"/>
    <w:rsid w:val="00D91C21"/>
    <w:rsid w:val="00D936A1"/>
    <w:rsid w:val="00D97593"/>
    <w:rsid w:val="00DA4D1E"/>
    <w:rsid w:val="00DC7945"/>
    <w:rsid w:val="00DE7A88"/>
    <w:rsid w:val="00E04D23"/>
    <w:rsid w:val="00E13DE9"/>
    <w:rsid w:val="00E47AEC"/>
    <w:rsid w:val="00E60BE3"/>
    <w:rsid w:val="00E61493"/>
    <w:rsid w:val="00E61B2F"/>
    <w:rsid w:val="00E631CA"/>
    <w:rsid w:val="00E7059C"/>
    <w:rsid w:val="00E706AE"/>
    <w:rsid w:val="00EA75A8"/>
    <w:rsid w:val="00EB0493"/>
    <w:rsid w:val="00EC1C6F"/>
    <w:rsid w:val="00EC3B97"/>
    <w:rsid w:val="00ED1DB9"/>
    <w:rsid w:val="00EE2F24"/>
    <w:rsid w:val="00EE6678"/>
    <w:rsid w:val="00F01563"/>
    <w:rsid w:val="00F01DAA"/>
    <w:rsid w:val="00F01E29"/>
    <w:rsid w:val="00F2146D"/>
    <w:rsid w:val="00F37129"/>
    <w:rsid w:val="00F62FC8"/>
    <w:rsid w:val="00F87C5B"/>
    <w:rsid w:val="00FB2C7E"/>
    <w:rsid w:val="00FB5224"/>
    <w:rsid w:val="00FD3331"/>
    <w:rsid w:val="00FD6C50"/>
    <w:rsid w:val="00FF7C3E"/>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D81"/>
  </w:style>
  <w:style w:type="paragraph" w:styleId="Ttulo1">
    <w:name w:val="heading 1"/>
    <w:basedOn w:val="Normal"/>
    <w:next w:val="Normal"/>
    <w:link w:val="Ttulo1Car"/>
    <w:uiPriority w:val="9"/>
    <w:qFormat/>
    <w:rsid w:val="00711BDF"/>
    <w:pPr>
      <w:keepNext/>
      <w:keepLines/>
      <w:spacing w:before="240" w:after="0"/>
      <w:outlineLvl w:val="0"/>
    </w:pPr>
    <w:rPr>
      <w:rFonts w:asciiTheme="majorHAnsi" w:eastAsiaTheme="majorEastAsia" w:hAnsiTheme="majorHAnsi" w:cstheme="majorBidi"/>
      <w:color w:val="A5A5A5" w:themeColor="accent1" w:themeShade="BF"/>
      <w:sz w:val="32"/>
      <w:szCs w:val="32"/>
      <w:lang w:eastAsia="es-CO"/>
    </w:rPr>
  </w:style>
  <w:style w:type="paragraph" w:styleId="Ttulo2">
    <w:name w:val="heading 2"/>
    <w:basedOn w:val="Normal"/>
    <w:next w:val="Normal"/>
    <w:link w:val="Ttulo2Car"/>
    <w:uiPriority w:val="9"/>
    <w:unhideWhenUsed/>
    <w:qFormat/>
    <w:rsid w:val="00520D81"/>
    <w:pPr>
      <w:keepNext/>
      <w:keepLines/>
      <w:spacing w:before="200" w:after="0"/>
      <w:outlineLvl w:val="1"/>
    </w:pPr>
    <w:rPr>
      <w:rFonts w:asciiTheme="majorHAnsi" w:eastAsiaTheme="majorEastAsia" w:hAnsiTheme="majorHAnsi" w:cstheme="majorBidi"/>
      <w:b/>
      <w:bCs/>
      <w:color w:val="DDDDD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20D81"/>
    <w:rPr>
      <w:rFonts w:asciiTheme="majorHAnsi" w:eastAsiaTheme="majorEastAsia" w:hAnsiTheme="majorHAnsi" w:cstheme="majorBidi"/>
      <w:b/>
      <w:bCs/>
      <w:color w:val="DDDDDD" w:themeColor="accent1"/>
      <w:sz w:val="26"/>
      <w:szCs w:val="26"/>
    </w:rPr>
  </w:style>
  <w:style w:type="character" w:customStyle="1" w:styleId="apple-converted-space">
    <w:name w:val="apple-converted-space"/>
    <w:basedOn w:val="Fuentedeprrafopredeter"/>
    <w:rsid w:val="00520D81"/>
  </w:style>
  <w:style w:type="character" w:styleId="nfasis">
    <w:name w:val="Emphasis"/>
    <w:basedOn w:val="Fuentedeprrafopredeter"/>
    <w:uiPriority w:val="20"/>
    <w:qFormat/>
    <w:rsid w:val="00520D81"/>
    <w:rPr>
      <w:i/>
      <w:iCs/>
    </w:rPr>
  </w:style>
  <w:style w:type="paragraph" w:styleId="Textonotapie">
    <w:name w:val="footnote text"/>
    <w:basedOn w:val="Normal"/>
    <w:link w:val="TextonotapieCar"/>
    <w:uiPriority w:val="99"/>
    <w:semiHidden/>
    <w:unhideWhenUsed/>
    <w:rsid w:val="00520D8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20D81"/>
    <w:rPr>
      <w:sz w:val="20"/>
      <w:szCs w:val="20"/>
    </w:rPr>
  </w:style>
  <w:style w:type="character" w:styleId="Refdenotaalpie">
    <w:name w:val="footnote reference"/>
    <w:basedOn w:val="Fuentedeprrafopredeter"/>
    <w:uiPriority w:val="99"/>
    <w:semiHidden/>
    <w:unhideWhenUsed/>
    <w:rsid w:val="00520D81"/>
    <w:rPr>
      <w:vertAlign w:val="superscript"/>
    </w:rPr>
  </w:style>
  <w:style w:type="paragraph" w:styleId="Prrafodelista">
    <w:name w:val="List Paragraph"/>
    <w:basedOn w:val="Normal"/>
    <w:uiPriority w:val="34"/>
    <w:qFormat/>
    <w:rsid w:val="00520D81"/>
    <w:pPr>
      <w:ind w:left="720"/>
      <w:contextualSpacing/>
    </w:pPr>
  </w:style>
  <w:style w:type="character" w:styleId="Refdecomentario">
    <w:name w:val="annotation reference"/>
    <w:basedOn w:val="Fuentedeprrafopredeter"/>
    <w:uiPriority w:val="99"/>
    <w:semiHidden/>
    <w:unhideWhenUsed/>
    <w:rsid w:val="00D667A8"/>
    <w:rPr>
      <w:sz w:val="16"/>
      <w:szCs w:val="16"/>
    </w:rPr>
  </w:style>
  <w:style w:type="paragraph" w:styleId="Textocomentario">
    <w:name w:val="annotation text"/>
    <w:basedOn w:val="Normal"/>
    <w:link w:val="TextocomentarioCar"/>
    <w:uiPriority w:val="99"/>
    <w:semiHidden/>
    <w:unhideWhenUsed/>
    <w:rsid w:val="00D667A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67A8"/>
    <w:rPr>
      <w:sz w:val="20"/>
      <w:szCs w:val="20"/>
    </w:rPr>
  </w:style>
  <w:style w:type="paragraph" w:styleId="Asuntodelcomentario">
    <w:name w:val="annotation subject"/>
    <w:basedOn w:val="Textocomentario"/>
    <w:next w:val="Textocomentario"/>
    <w:link w:val="AsuntodelcomentarioCar"/>
    <w:uiPriority w:val="99"/>
    <w:semiHidden/>
    <w:unhideWhenUsed/>
    <w:rsid w:val="00D667A8"/>
    <w:rPr>
      <w:b/>
      <w:bCs/>
    </w:rPr>
  </w:style>
  <w:style w:type="character" w:customStyle="1" w:styleId="AsuntodelcomentarioCar">
    <w:name w:val="Asunto del comentario Car"/>
    <w:basedOn w:val="TextocomentarioCar"/>
    <w:link w:val="Asuntodelcomentario"/>
    <w:uiPriority w:val="99"/>
    <w:semiHidden/>
    <w:rsid w:val="00D667A8"/>
    <w:rPr>
      <w:b/>
      <w:bCs/>
      <w:sz w:val="20"/>
      <w:szCs w:val="20"/>
    </w:rPr>
  </w:style>
  <w:style w:type="paragraph" w:styleId="Revisin">
    <w:name w:val="Revision"/>
    <w:hidden/>
    <w:uiPriority w:val="99"/>
    <w:semiHidden/>
    <w:rsid w:val="00D667A8"/>
    <w:pPr>
      <w:spacing w:after="0" w:line="240" w:lineRule="auto"/>
    </w:pPr>
  </w:style>
  <w:style w:type="paragraph" w:styleId="Textodeglobo">
    <w:name w:val="Balloon Text"/>
    <w:basedOn w:val="Normal"/>
    <w:link w:val="TextodegloboCar"/>
    <w:uiPriority w:val="99"/>
    <w:semiHidden/>
    <w:unhideWhenUsed/>
    <w:rsid w:val="00D667A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667A8"/>
    <w:rPr>
      <w:rFonts w:ascii="Tahoma" w:hAnsi="Tahoma" w:cs="Tahoma"/>
      <w:sz w:val="16"/>
      <w:szCs w:val="16"/>
    </w:rPr>
  </w:style>
  <w:style w:type="table" w:styleId="Tablaconcuadrcula">
    <w:name w:val="Table Grid"/>
    <w:basedOn w:val="Tablanormal"/>
    <w:uiPriority w:val="59"/>
    <w:rsid w:val="00905087"/>
    <w:pPr>
      <w:spacing w:beforeAutospacing="1" w:after="0" w:afterAutospacing="1"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711BDF"/>
    <w:rPr>
      <w:rFonts w:asciiTheme="majorHAnsi" w:eastAsiaTheme="majorEastAsia" w:hAnsiTheme="majorHAnsi" w:cstheme="majorBidi"/>
      <w:color w:val="A5A5A5" w:themeColor="accent1" w:themeShade="BF"/>
      <w:sz w:val="32"/>
      <w:szCs w:val="32"/>
      <w:lang w:eastAsia="es-CO"/>
    </w:rPr>
  </w:style>
  <w:style w:type="paragraph" w:styleId="Bibliografa">
    <w:name w:val="Bibliography"/>
    <w:basedOn w:val="Normal"/>
    <w:next w:val="Normal"/>
    <w:uiPriority w:val="37"/>
    <w:unhideWhenUsed/>
    <w:rsid w:val="00711BDF"/>
  </w:style>
  <w:style w:type="character" w:styleId="Hipervnculo">
    <w:name w:val="Hyperlink"/>
    <w:basedOn w:val="Fuentedeprrafopredeter"/>
    <w:uiPriority w:val="99"/>
    <w:semiHidden/>
    <w:unhideWhenUsed/>
    <w:rsid w:val="00411DEC"/>
    <w:rPr>
      <w:color w:val="0000FF"/>
      <w:u w:val="single"/>
    </w:rPr>
  </w:style>
  <w:style w:type="paragraph" w:styleId="Epgrafe">
    <w:name w:val="caption"/>
    <w:basedOn w:val="Normal"/>
    <w:next w:val="Normal"/>
    <w:uiPriority w:val="35"/>
    <w:unhideWhenUsed/>
    <w:qFormat/>
    <w:rsid w:val="003F7C95"/>
    <w:pPr>
      <w:spacing w:beforeAutospacing="1" w:after="200" w:afterAutospacing="1" w:line="240" w:lineRule="auto"/>
      <w:jc w:val="both"/>
    </w:pPr>
    <w:rPr>
      <w:rFonts w:ascii="Times New Roman" w:eastAsia="Times New Roman" w:hAnsi="Times New Roman"/>
      <w:b/>
      <w:bCs/>
      <w:color w:val="DDDDDD" w:themeColor="accent1"/>
      <w:sz w:val="18"/>
      <w:szCs w:val="18"/>
    </w:rPr>
  </w:style>
  <w:style w:type="character" w:styleId="Referenciasutil">
    <w:name w:val="Subtle Reference"/>
    <w:basedOn w:val="Fuentedeprrafopredeter"/>
    <w:uiPriority w:val="31"/>
    <w:qFormat/>
    <w:rsid w:val="003F7C95"/>
    <w:rPr>
      <w:smallCaps/>
      <w:color w:val="B2B2B2" w:themeColor="accent2"/>
      <w:u w:val="single"/>
    </w:rPr>
  </w:style>
  <w:style w:type="paragraph" w:styleId="Encabezado">
    <w:name w:val="header"/>
    <w:basedOn w:val="Normal"/>
    <w:link w:val="EncabezadoCar"/>
    <w:uiPriority w:val="99"/>
    <w:unhideWhenUsed/>
    <w:rsid w:val="008C50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C50DA"/>
  </w:style>
  <w:style w:type="paragraph" w:styleId="Piedepgina">
    <w:name w:val="footer"/>
    <w:basedOn w:val="Normal"/>
    <w:link w:val="PiedepginaCar"/>
    <w:uiPriority w:val="99"/>
    <w:unhideWhenUsed/>
    <w:rsid w:val="008C50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C50DA"/>
  </w:style>
</w:styles>
</file>

<file path=word/webSettings.xml><?xml version="1.0" encoding="utf-8"?>
<w:webSettings xmlns:r="http://schemas.openxmlformats.org/officeDocument/2006/relationships" xmlns:w="http://schemas.openxmlformats.org/wordprocessingml/2006/main">
  <w:divs>
    <w:div w:id="12271109">
      <w:bodyDiv w:val="1"/>
      <w:marLeft w:val="0"/>
      <w:marRight w:val="0"/>
      <w:marTop w:val="0"/>
      <w:marBottom w:val="0"/>
      <w:divBdr>
        <w:top w:val="none" w:sz="0" w:space="0" w:color="auto"/>
        <w:left w:val="none" w:sz="0" w:space="0" w:color="auto"/>
        <w:bottom w:val="none" w:sz="0" w:space="0" w:color="auto"/>
        <w:right w:val="none" w:sz="0" w:space="0" w:color="auto"/>
      </w:divBdr>
    </w:div>
    <w:div w:id="97069471">
      <w:bodyDiv w:val="1"/>
      <w:marLeft w:val="0"/>
      <w:marRight w:val="0"/>
      <w:marTop w:val="0"/>
      <w:marBottom w:val="0"/>
      <w:divBdr>
        <w:top w:val="none" w:sz="0" w:space="0" w:color="auto"/>
        <w:left w:val="none" w:sz="0" w:space="0" w:color="auto"/>
        <w:bottom w:val="none" w:sz="0" w:space="0" w:color="auto"/>
        <w:right w:val="none" w:sz="0" w:space="0" w:color="auto"/>
      </w:divBdr>
    </w:div>
    <w:div w:id="148139005">
      <w:bodyDiv w:val="1"/>
      <w:marLeft w:val="0"/>
      <w:marRight w:val="0"/>
      <w:marTop w:val="0"/>
      <w:marBottom w:val="0"/>
      <w:divBdr>
        <w:top w:val="none" w:sz="0" w:space="0" w:color="auto"/>
        <w:left w:val="none" w:sz="0" w:space="0" w:color="auto"/>
        <w:bottom w:val="none" w:sz="0" w:space="0" w:color="auto"/>
        <w:right w:val="none" w:sz="0" w:space="0" w:color="auto"/>
      </w:divBdr>
    </w:div>
    <w:div w:id="189878031">
      <w:bodyDiv w:val="1"/>
      <w:marLeft w:val="0"/>
      <w:marRight w:val="0"/>
      <w:marTop w:val="0"/>
      <w:marBottom w:val="0"/>
      <w:divBdr>
        <w:top w:val="none" w:sz="0" w:space="0" w:color="auto"/>
        <w:left w:val="none" w:sz="0" w:space="0" w:color="auto"/>
        <w:bottom w:val="none" w:sz="0" w:space="0" w:color="auto"/>
        <w:right w:val="none" w:sz="0" w:space="0" w:color="auto"/>
      </w:divBdr>
    </w:div>
    <w:div w:id="195848685">
      <w:bodyDiv w:val="1"/>
      <w:marLeft w:val="0"/>
      <w:marRight w:val="0"/>
      <w:marTop w:val="0"/>
      <w:marBottom w:val="0"/>
      <w:divBdr>
        <w:top w:val="none" w:sz="0" w:space="0" w:color="auto"/>
        <w:left w:val="none" w:sz="0" w:space="0" w:color="auto"/>
        <w:bottom w:val="none" w:sz="0" w:space="0" w:color="auto"/>
        <w:right w:val="none" w:sz="0" w:space="0" w:color="auto"/>
      </w:divBdr>
    </w:div>
    <w:div w:id="233006854">
      <w:bodyDiv w:val="1"/>
      <w:marLeft w:val="0"/>
      <w:marRight w:val="0"/>
      <w:marTop w:val="0"/>
      <w:marBottom w:val="0"/>
      <w:divBdr>
        <w:top w:val="none" w:sz="0" w:space="0" w:color="auto"/>
        <w:left w:val="none" w:sz="0" w:space="0" w:color="auto"/>
        <w:bottom w:val="none" w:sz="0" w:space="0" w:color="auto"/>
        <w:right w:val="none" w:sz="0" w:space="0" w:color="auto"/>
      </w:divBdr>
    </w:div>
    <w:div w:id="281115677">
      <w:bodyDiv w:val="1"/>
      <w:marLeft w:val="0"/>
      <w:marRight w:val="0"/>
      <w:marTop w:val="0"/>
      <w:marBottom w:val="0"/>
      <w:divBdr>
        <w:top w:val="none" w:sz="0" w:space="0" w:color="auto"/>
        <w:left w:val="none" w:sz="0" w:space="0" w:color="auto"/>
        <w:bottom w:val="none" w:sz="0" w:space="0" w:color="auto"/>
        <w:right w:val="none" w:sz="0" w:space="0" w:color="auto"/>
      </w:divBdr>
    </w:div>
    <w:div w:id="394592496">
      <w:bodyDiv w:val="1"/>
      <w:marLeft w:val="0"/>
      <w:marRight w:val="0"/>
      <w:marTop w:val="0"/>
      <w:marBottom w:val="0"/>
      <w:divBdr>
        <w:top w:val="none" w:sz="0" w:space="0" w:color="auto"/>
        <w:left w:val="none" w:sz="0" w:space="0" w:color="auto"/>
        <w:bottom w:val="none" w:sz="0" w:space="0" w:color="auto"/>
        <w:right w:val="none" w:sz="0" w:space="0" w:color="auto"/>
      </w:divBdr>
    </w:div>
    <w:div w:id="468866501">
      <w:bodyDiv w:val="1"/>
      <w:marLeft w:val="0"/>
      <w:marRight w:val="0"/>
      <w:marTop w:val="0"/>
      <w:marBottom w:val="0"/>
      <w:divBdr>
        <w:top w:val="none" w:sz="0" w:space="0" w:color="auto"/>
        <w:left w:val="none" w:sz="0" w:space="0" w:color="auto"/>
        <w:bottom w:val="none" w:sz="0" w:space="0" w:color="auto"/>
        <w:right w:val="none" w:sz="0" w:space="0" w:color="auto"/>
      </w:divBdr>
    </w:div>
    <w:div w:id="633029544">
      <w:bodyDiv w:val="1"/>
      <w:marLeft w:val="0"/>
      <w:marRight w:val="0"/>
      <w:marTop w:val="0"/>
      <w:marBottom w:val="0"/>
      <w:divBdr>
        <w:top w:val="none" w:sz="0" w:space="0" w:color="auto"/>
        <w:left w:val="none" w:sz="0" w:space="0" w:color="auto"/>
        <w:bottom w:val="none" w:sz="0" w:space="0" w:color="auto"/>
        <w:right w:val="none" w:sz="0" w:space="0" w:color="auto"/>
      </w:divBdr>
    </w:div>
    <w:div w:id="756754895">
      <w:bodyDiv w:val="1"/>
      <w:marLeft w:val="0"/>
      <w:marRight w:val="0"/>
      <w:marTop w:val="0"/>
      <w:marBottom w:val="0"/>
      <w:divBdr>
        <w:top w:val="none" w:sz="0" w:space="0" w:color="auto"/>
        <w:left w:val="none" w:sz="0" w:space="0" w:color="auto"/>
        <w:bottom w:val="none" w:sz="0" w:space="0" w:color="auto"/>
        <w:right w:val="none" w:sz="0" w:space="0" w:color="auto"/>
      </w:divBdr>
    </w:div>
    <w:div w:id="827676596">
      <w:bodyDiv w:val="1"/>
      <w:marLeft w:val="0"/>
      <w:marRight w:val="0"/>
      <w:marTop w:val="0"/>
      <w:marBottom w:val="0"/>
      <w:divBdr>
        <w:top w:val="none" w:sz="0" w:space="0" w:color="auto"/>
        <w:left w:val="none" w:sz="0" w:space="0" w:color="auto"/>
        <w:bottom w:val="none" w:sz="0" w:space="0" w:color="auto"/>
        <w:right w:val="none" w:sz="0" w:space="0" w:color="auto"/>
      </w:divBdr>
    </w:div>
    <w:div w:id="836070993">
      <w:bodyDiv w:val="1"/>
      <w:marLeft w:val="0"/>
      <w:marRight w:val="0"/>
      <w:marTop w:val="0"/>
      <w:marBottom w:val="0"/>
      <w:divBdr>
        <w:top w:val="none" w:sz="0" w:space="0" w:color="auto"/>
        <w:left w:val="none" w:sz="0" w:space="0" w:color="auto"/>
        <w:bottom w:val="none" w:sz="0" w:space="0" w:color="auto"/>
        <w:right w:val="none" w:sz="0" w:space="0" w:color="auto"/>
      </w:divBdr>
    </w:div>
    <w:div w:id="838547443">
      <w:bodyDiv w:val="1"/>
      <w:marLeft w:val="0"/>
      <w:marRight w:val="0"/>
      <w:marTop w:val="0"/>
      <w:marBottom w:val="0"/>
      <w:divBdr>
        <w:top w:val="none" w:sz="0" w:space="0" w:color="auto"/>
        <w:left w:val="none" w:sz="0" w:space="0" w:color="auto"/>
        <w:bottom w:val="none" w:sz="0" w:space="0" w:color="auto"/>
        <w:right w:val="none" w:sz="0" w:space="0" w:color="auto"/>
      </w:divBdr>
    </w:div>
    <w:div w:id="884021475">
      <w:bodyDiv w:val="1"/>
      <w:marLeft w:val="0"/>
      <w:marRight w:val="0"/>
      <w:marTop w:val="0"/>
      <w:marBottom w:val="0"/>
      <w:divBdr>
        <w:top w:val="none" w:sz="0" w:space="0" w:color="auto"/>
        <w:left w:val="none" w:sz="0" w:space="0" w:color="auto"/>
        <w:bottom w:val="none" w:sz="0" w:space="0" w:color="auto"/>
        <w:right w:val="none" w:sz="0" w:space="0" w:color="auto"/>
      </w:divBdr>
    </w:div>
    <w:div w:id="975646099">
      <w:bodyDiv w:val="1"/>
      <w:marLeft w:val="0"/>
      <w:marRight w:val="0"/>
      <w:marTop w:val="0"/>
      <w:marBottom w:val="0"/>
      <w:divBdr>
        <w:top w:val="none" w:sz="0" w:space="0" w:color="auto"/>
        <w:left w:val="none" w:sz="0" w:space="0" w:color="auto"/>
        <w:bottom w:val="none" w:sz="0" w:space="0" w:color="auto"/>
        <w:right w:val="none" w:sz="0" w:space="0" w:color="auto"/>
      </w:divBdr>
    </w:div>
    <w:div w:id="1151602577">
      <w:bodyDiv w:val="1"/>
      <w:marLeft w:val="0"/>
      <w:marRight w:val="0"/>
      <w:marTop w:val="0"/>
      <w:marBottom w:val="0"/>
      <w:divBdr>
        <w:top w:val="none" w:sz="0" w:space="0" w:color="auto"/>
        <w:left w:val="none" w:sz="0" w:space="0" w:color="auto"/>
        <w:bottom w:val="none" w:sz="0" w:space="0" w:color="auto"/>
        <w:right w:val="none" w:sz="0" w:space="0" w:color="auto"/>
      </w:divBdr>
    </w:div>
    <w:div w:id="1226448415">
      <w:bodyDiv w:val="1"/>
      <w:marLeft w:val="0"/>
      <w:marRight w:val="0"/>
      <w:marTop w:val="0"/>
      <w:marBottom w:val="0"/>
      <w:divBdr>
        <w:top w:val="none" w:sz="0" w:space="0" w:color="auto"/>
        <w:left w:val="none" w:sz="0" w:space="0" w:color="auto"/>
        <w:bottom w:val="none" w:sz="0" w:space="0" w:color="auto"/>
        <w:right w:val="none" w:sz="0" w:space="0" w:color="auto"/>
      </w:divBdr>
    </w:div>
    <w:div w:id="1261912614">
      <w:bodyDiv w:val="1"/>
      <w:marLeft w:val="0"/>
      <w:marRight w:val="0"/>
      <w:marTop w:val="0"/>
      <w:marBottom w:val="0"/>
      <w:divBdr>
        <w:top w:val="none" w:sz="0" w:space="0" w:color="auto"/>
        <w:left w:val="none" w:sz="0" w:space="0" w:color="auto"/>
        <w:bottom w:val="none" w:sz="0" w:space="0" w:color="auto"/>
        <w:right w:val="none" w:sz="0" w:space="0" w:color="auto"/>
      </w:divBdr>
    </w:div>
    <w:div w:id="1309945280">
      <w:bodyDiv w:val="1"/>
      <w:marLeft w:val="0"/>
      <w:marRight w:val="0"/>
      <w:marTop w:val="0"/>
      <w:marBottom w:val="0"/>
      <w:divBdr>
        <w:top w:val="none" w:sz="0" w:space="0" w:color="auto"/>
        <w:left w:val="none" w:sz="0" w:space="0" w:color="auto"/>
        <w:bottom w:val="none" w:sz="0" w:space="0" w:color="auto"/>
        <w:right w:val="none" w:sz="0" w:space="0" w:color="auto"/>
      </w:divBdr>
    </w:div>
    <w:div w:id="1538346227">
      <w:bodyDiv w:val="1"/>
      <w:marLeft w:val="0"/>
      <w:marRight w:val="0"/>
      <w:marTop w:val="0"/>
      <w:marBottom w:val="0"/>
      <w:divBdr>
        <w:top w:val="none" w:sz="0" w:space="0" w:color="auto"/>
        <w:left w:val="none" w:sz="0" w:space="0" w:color="auto"/>
        <w:bottom w:val="none" w:sz="0" w:space="0" w:color="auto"/>
        <w:right w:val="none" w:sz="0" w:space="0" w:color="auto"/>
      </w:divBdr>
    </w:div>
    <w:div w:id="1597248309">
      <w:bodyDiv w:val="1"/>
      <w:marLeft w:val="0"/>
      <w:marRight w:val="0"/>
      <w:marTop w:val="0"/>
      <w:marBottom w:val="0"/>
      <w:divBdr>
        <w:top w:val="none" w:sz="0" w:space="0" w:color="auto"/>
        <w:left w:val="none" w:sz="0" w:space="0" w:color="auto"/>
        <w:bottom w:val="none" w:sz="0" w:space="0" w:color="auto"/>
        <w:right w:val="none" w:sz="0" w:space="0" w:color="auto"/>
      </w:divBdr>
    </w:div>
    <w:div w:id="1603369718">
      <w:bodyDiv w:val="1"/>
      <w:marLeft w:val="0"/>
      <w:marRight w:val="0"/>
      <w:marTop w:val="0"/>
      <w:marBottom w:val="0"/>
      <w:divBdr>
        <w:top w:val="none" w:sz="0" w:space="0" w:color="auto"/>
        <w:left w:val="none" w:sz="0" w:space="0" w:color="auto"/>
        <w:bottom w:val="none" w:sz="0" w:space="0" w:color="auto"/>
        <w:right w:val="none" w:sz="0" w:space="0" w:color="auto"/>
      </w:divBdr>
    </w:div>
    <w:div w:id="1649435086">
      <w:bodyDiv w:val="1"/>
      <w:marLeft w:val="0"/>
      <w:marRight w:val="0"/>
      <w:marTop w:val="0"/>
      <w:marBottom w:val="0"/>
      <w:divBdr>
        <w:top w:val="none" w:sz="0" w:space="0" w:color="auto"/>
        <w:left w:val="none" w:sz="0" w:space="0" w:color="auto"/>
        <w:bottom w:val="none" w:sz="0" w:space="0" w:color="auto"/>
        <w:right w:val="none" w:sz="0" w:space="0" w:color="auto"/>
      </w:divBdr>
    </w:div>
    <w:div w:id="1676810392">
      <w:bodyDiv w:val="1"/>
      <w:marLeft w:val="0"/>
      <w:marRight w:val="0"/>
      <w:marTop w:val="0"/>
      <w:marBottom w:val="0"/>
      <w:divBdr>
        <w:top w:val="none" w:sz="0" w:space="0" w:color="auto"/>
        <w:left w:val="none" w:sz="0" w:space="0" w:color="auto"/>
        <w:bottom w:val="none" w:sz="0" w:space="0" w:color="auto"/>
        <w:right w:val="none" w:sz="0" w:space="0" w:color="auto"/>
      </w:divBdr>
    </w:div>
    <w:div w:id="1693140445">
      <w:bodyDiv w:val="1"/>
      <w:marLeft w:val="0"/>
      <w:marRight w:val="0"/>
      <w:marTop w:val="0"/>
      <w:marBottom w:val="0"/>
      <w:divBdr>
        <w:top w:val="none" w:sz="0" w:space="0" w:color="auto"/>
        <w:left w:val="none" w:sz="0" w:space="0" w:color="auto"/>
        <w:bottom w:val="none" w:sz="0" w:space="0" w:color="auto"/>
        <w:right w:val="none" w:sz="0" w:space="0" w:color="auto"/>
      </w:divBdr>
    </w:div>
    <w:div w:id="1716080904">
      <w:bodyDiv w:val="1"/>
      <w:marLeft w:val="0"/>
      <w:marRight w:val="0"/>
      <w:marTop w:val="0"/>
      <w:marBottom w:val="0"/>
      <w:divBdr>
        <w:top w:val="none" w:sz="0" w:space="0" w:color="auto"/>
        <w:left w:val="none" w:sz="0" w:space="0" w:color="auto"/>
        <w:bottom w:val="none" w:sz="0" w:space="0" w:color="auto"/>
        <w:right w:val="none" w:sz="0" w:space="0" w:color="auto"/>
      </w:divBdr>
    </w:div>
    <w:div w:id="1727798006">
      <w:bodyDiv w:val="1"/>
      <w:marLeft w:val="0"/>
      <w:marRight w:val="0"/>
      <w:marTop w:val="0"/>
      <w:marBottom w:val="0"/>
      <w:divBdr>
        <w:top w:val="none" w:sz="0" w:space="0" w:color="auto"/>
        <w:left w:val="none" w:sz="0" w:space="0" w:color="auto"/>
        <w:bottom w:val="none" w:sz="0" w:space="0" w:color="auto"/>
        <w:right w:val="none" w:sz="0" w:space="0" w:color="auto"/>
      </w:divBdr>
    </w:div>
    <w:div w:id="1754862460">
      <w:bodyDiv w:val="1"/>
      <w:marLeft w:val="0"/>
      <w:marRight w:val="0"/>
      <w:marTop w:val="0"/>
      <w:marBottom w:val="0"/>
      <w:divBdr>
        <w:top w:val="none" w:sz="0" w:space="0" w:color="auto"/>
        <w:left w:val="none" w:sz="0" w:space="0" w:color="auto"/>
        <w:bottom w:val="none" w:sz="0" w:space="0" w:color="auto"/>
        <w:right w:val="none" w:sz="0" w:space="0" w:color="auto"/>
      </w:divBdr>
    </w:div>
    <w:div w:id="1756441378">
      <w:bodyDiv w:val="1"/>
      <w:marLeft w:val="0"/>
      <w:marRight w:val="0"/>
      <w:marTop w:val="0"/>
      <w:marBottom w:val="0"/>
      <w:divBdr>
        <w:top w:val="none" w:sz="0" w:space="0" w:color="auto"/>
        <w:left w:val="none" w:sz="0" w:space="0" w:color="auto"/>
        <w:bottom w:val="none" w:sz="0" w:space="0" w:color="auto"/>
        <w:right w:val="none" w:sz="0" w:space="0" w:color="auto"/>
      </w:divBdr>
    </w:div>
    <w:div w:id="1770001908">
      <w:bodyDiv w:val="1"/>
      <w:marLeft w:val="0"/>
      <w:marRight w:val="0"/>
      <w:marTop w:val="0"/>
      <w:marBottom w:val="0"/>
      <w:divBdr>
        <w:top w:val="none" w:sz="0" w:space="0" w:color="auto"/>
        <w:left w:val="none" w:sz="0" w:space="0" w:color="auto"/>
        <w:bottom w:val="none" w:sz="0" w:space="0" w:color="auto"/>
        <w:right w:val="none" w:sz="0" w:space="0" w:color="auto"/>
      </w:divBdr>
    </w:div>
    <w:div w:id="1932884107">
      <w:bodyDiv w:val="1"/>
      <w:marLeft w:val="0"/>
      <w:marRight w:val="0"/>
      <w:marTop w:val="0"/>
      <w:marBottom w:val="0"/>
      <w:divBdr>
        <w:top w:val="none" w:sz="0" w:space="0" w:color="auto"/>
        <w:left w:val="none" w:sz="0" w:space="0" w:color="auto"/>
        <w:bottom w:val="none" w:sz="0" w:space="0" w:color="auto"/>
        <w:right w:val="none" w:sz="0" w:space="0" w:color="auto"/>
      </w:divBdr>
    </w:div>
    <w:div w:id="1952738209">
      <w:bodyDiv w:val="1"/>
      <w:marLeft w:val="0"/>
      <w:marRight w:val="0"/>
      <w:marTop w:val="0"/>
      <w:marBottom w:val="0"/>
      <w:divBdr>
        <w:top w:val="none" w:sz="0" w:space="0" w:color="auto"/>
        <w:left w:val="none" w:sz="0" w:space="0" w:color="auto"/>
        <w:bottom w:val="none" w:sz="0" w:space="0" w:color="auto"/>
        <w:right w:val="none" w:sz="0" w:space="0" w:color="auto"/>
      </w:divBdr>
    </w:div>
    <w:div w:id="1976174297">
      <w:bodyDiv w:val="1"/>
      <w:marLeft w:val="0"/>
      <w:marRight w:val="0"/>
      <w:marTop w:val="0"/>
      <w:marBottom w:val="0"/>
      <w:divBdr>
        <w:top w:val="none" w:sz="0" w:space="0" w:color="auto"/>
        <w:left w:val="none" w:sz="0" w:space="0" w:color="auto"/>
        <w:bottom w:val="none" w:sz="0" w:space="0" w:color="auto"/>
        <w:right w:val="none" w:sz="0" w:space="0" w:color="auto"/>
      </w:divBdr>
    </w:div>
    <w:div w:id="211643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iudadano" TargetMode="External"/><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3.emf"/><Relationship Id="rId10" Type="http://schemas.openxmlformats.org/officeDocument/2006/relationships/diagramLayout" Target="diagrams/layout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image" Target="media/image2.emf"/></Relationships>
</file>

<file path=word/charts/_rels/chart1.xml.rels><?xml version="1.0" encoding="UTF-8" standalone="yes"?>
<Relationships xmlns="http://schemas.openxmlformats.org/package/2006/relationships"><Relationship Id="rId1" Type="http://schemas.openxmlformats.org/officeDocument/2006/relationships/oleObject" Target="file:///C:\Users\David\Dropbox\Confianza%20en%20el%20gobierno\DATO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avid\Dropbox\Confianza%20en%20el%20gobierno\DATO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avid\Dropbox\Confianza%20en%20el%20gobierno\DATO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avid\Dropbox\Confianza%20en%20el%20gobierno\DATO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Edgar%20E%20Mart&#237;nez%20C\Desktop\MUNICIPIOS%20MAS%20DEMOCRATICO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avid\Dropbox\Confianza%20en%20el%20gobierno\DAT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CO"/>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solidFill>
            <a:ln>
              <a:noFill/>
            </a:ln>
            <a:effectLst/>
            <a:sp3d/>
          </c:spPr>
          <c:dPt>
            <c:idx val="0"/>
            <c:spPr>
              <a:pattFill prst="pct5">
                <a:fgClr>
                  <a:schemeClr val="accent1"/>
                </a:fgClr>
                <a:bgClr>
                  <a:schemeClr val="bg1"/>
                </a:bgClr>
              </a:pattFill>
              <a:ln>
                <a:noFill/>
              </a:ln>
              <a:effectLst/>
              <a:sp3d/>
            </c:spPr>
          </c:dPt>
          <c:dPt>
            <c:idx val="1"/>
            <c:spPr>
              <a:pattFill prst="pct75">
                <a:fgClr>
                  <a:schemeClr val="accent1"/>
                </a:fgClr>
                <a:bgClr>
                  <a:schemeClr val="bg1"/>
                </a:bgClr>
              </a:pattFill>
              <a:ln>
                <a:noFill/>
              </a:ln>
              <a:effectLst/>
              <a:sp3d/>
            </c:spPr>
          </c:dPt>
          <c:dLbls>
            <c:dLbl>
              <c:idx val="0"/>
              <c:layout>
                <c:manualLayout>
                  <c:x val="0"/>
                  <c:y val="0.259259259259259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Val val="1"/>
              <c:extLst>
                <c:ext xmlns:c15="http://schemas.microsoft.com/office/drawing/2012/chart" uri="{CE6537A1-D6FC-4f65-9D91-7224C49458BB}"/>
              </c:extLst>
            </c:dLbl>
            <c:dLbl>
              <c:idx val="1"/>
              <c:layout>
                <c:manualLayout>
                  <c:x val="0"/>
                  <c:y val="0.18055555555555555"/>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CONSOLIDADOS!$Q$23:$Q$24</c:f>
              <c:strCache>
                <c:ptCount val="2"/>
                <c:pt idx="0">
                  <c:v>Alta Apertura</c:v>
                </c:pt>
                <c:pt idx="1">
                  <c:v>Baja Apertura</c:v>
                </c:pt>
              </c:strCache>
            </c:strRef>
          </c:cat>
          <c:val>
            <c:numRef>
              <c:f>CONSOLIDADOS!$R$23:$R$24</c:f>
              <c:numCache>
                <c:formatCode>General</c:formatCode>
                <c:ptCount val="2"/>
                <c:pt idx="0">
                  <c:v>68</c:v>
                </c:pt>
                <c:pt idx="1">
                  <c:v>48</c:v>
                </c:pt>
              </c:numCache>
            </c:numRef>
          </c:val>
        </c:ser>
        <c:dLbls>
          <c:showVal val="1"/>
        </c:dLbls>
        <c:shape val="box"/>
        <c:axId val="72108288"/>
        <c:axId val="72118272"/>
        <c:axId val="0"/>
      </c:bar3DChart>
      <c:catAx>
        <c:axId val="7210828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72118272"/>
        <c:crosses val="autoZero"/>
        <c:auto val="1"/>
        <c:lblAlgn val="ctr"/>
        <c:lblOffset val="100"/>
      </c:catAx>
      <c:valAx>
        <c:axId val="7211827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721082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s-CO"/>
  <c:style val="1"/>
  <c:chart>
    <c:autoTitleDeleted val="1"/>
    <c:plotArea>
      <c:layout>
        <c:manualLayout>
          <c:layoutTarget val="inner"/>
          <c:xMode val="edge"/>
          <c:yMode val="edge"/>
          <c:x val="0.26303101833898174"/>
          <c:y val="0.17451628840512595"/>
          <c:w val="0.47393796332203675"/>
          <c:h val="0.65096773197467961"/>
        </c:manualLayout>
      </c:layout>
      <c:radarChart>
        <c:radarStyle val="marker"/>
        <c:ser>
          <c:idx val="0"/>
          <c:order val="0"/>
          <c:spPr>
            <a:ln w="28575" cap="rnd">
              <a:solidFill>
                <a:schemeClr val="dk1">
                  <a:tint val="88500"/>
                </a:schemeClr>
              </a:solidFill>
              <a:round/>
            </a:ln>
            <a:effectLst/>
          </c:spPr>
          <c:marker>
            <c:symbol val="none"/>
          </c:marker>
          <c:cat>
            <c:strRef>
              <c:f>PROVINCIAS!$D$2:$L$2</c:f>
              <c:strCache>
                <c:ptCount val="9"/>
                <c:pt idx="0">
                  <c:v>Información de la entidad</c:v>
                </c:pt>
                <c:pt idx="1">
                  <c:v>Datos basicos de contacto</c:v>
                </c:pt>
                <c:pt idx="2">
                  <c:v>Atención al ciudadano</c:v>
                </c:pt>
                <c:pt idx="3">
                  <c:v>Normatividad, politicas y lineamientos</c:v>
                </c:pt>
                <c:pt idx="4">
                  <c:v>Información financiera y contable</c:v>
                </c:pt>
                <c:pt idx="5">
                  <c:v>Planeación y gestión</c:v>
                </c:pt>
                <c:pt idx="6">
                  <c:v>Control fiscal</c:v>
                </c:pt>
                <c:pt idx="7">
                  <c:v>Tramítes y servicios</c:v>
                </c:pt>
                <c:pt idx="8">
                  <c:v>Recursos humanos</c:v>
                </c:pt>
              </c:strCache>
            </c:strRef>
          </c:cat>
          <c:val>
            <c:numRef>
              <c:f>PROVINCIAS!$D$18:$L$18</c:f>
              <c:numCache>
                <c:formatCode>0</c:formatCode>
                <c:ptCount val="9"/>
                <c:pt idx="0">
                  <c:v>91.31314324194328</c:v>
                </c:pt>
                <c:pt idx="1">
                  <c:v>90.028687301587269</c:v>
                </c:pt>
                <c:pt idx="2">
                  <c:v>90.870379028378991</c:v>
                </c:pt>
                <c:pt idx="3">
                  <c:v>84.61753246753247</c:v>
                </c:pt>
                <c:pt idx="4">
                  <c:v>45.927970658970665</c:v>
                </c:pt>
                <c:pt idx="5">
                  <c:v>73.712160365560365</c:v>
                </c:pt>
                <c:pt idx="6">
                  <c:v>89.698880808080744</c:v>
                </c:pt>
                <c:pt idx="7">
                  <c:v>60.56481481481481</c:v>
                </c:pt>
                <c:pt idx="8">
                  <c:v>59.804305435305416</c:v>
                </c:pt>
              </c:numCache>
            </c:numRef>
          </c:val>
        </c:ser>
        <c:axId val="72129536"/>
        <c:axId val="72139520"/>
      </c:radarChart>
      <c:catAx>
        <c:axId val="721295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s-CO"/>
          </a:p>
        </c:txPr>
        <c:crossAx val="72139520"/>
        <c:crosses val="autoZero"/>
        <c:auto val="1"/>
        <c:lblAlgn val="ctr"/>
        <c:lblOffset val="100"/>
      </c:catAx>
      <c:valAx>
        <c:axId val="72139520"/>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in"/>
        <c:minorTickMark val="in"/>
        <c:tickLblPos val="nextTo"/>
        <c:spPr>
          <a:noFill/>
          <a:ln w="3175" cmpd="sng">
            <a:solidFill>
              <a:schemeClr val="bg1">
                <a:lumMod val="75000"/>
              </a:schemeClr>
            </a:solidFill>
            <a:prstDash val="soli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s-CO"/>
          </a:p>
        </c:txPr>
        <c:crossAx val="72129536"/>
        <c:crosses val="autoZero"/>
        <c:crossBetween val="between"/>
      </c:valAx>
      <c:spPr>
        <a:noFill/>
        <a:ln>
          <a:noFill/>
        </a:ln>
        <a:effectLst/>
      </c:spPr>
    </c:plotArea>
    <c:plotVisOnly val="1"/>
    <c:dispBlanksAs val="gap"/>
  </c:chart>
  <c:spPr>
    <a:solidFill>
      <a:schemeClr val="bg1"/>
    </a:solidFill>
    <a:ln w="9525" cap="flat" cmpd="sng" algn="ctr">
      <a:noFill/>
      <a:round/>
    </a:ln>
    <a:effectLst/>
  </c:spPr>
  <c:txPr>
    <a:bodyPr/>
    <a:lstStyle/>
    <a:p>
      <a:pPr>
        <a:defRPr>
          <a:ln>
            <a:noFill/>
          </a:ln>
        </a:defRPr>
      </a:pPr>
      <a:endParaRPr lang="es-CO"/>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s-CO"/>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solidFill>
            <a:ln>
              <a:noFill/>
            </a:ln>
            <a:effectLst/>
            <a:sp3d/>
          </c:spPr>
          <c:dPt>
            <c:idx val="0"/>
            <c:spPr>
              <a:pattFill prst="pct5">
                <a:fgClr>
                  <a:schemeClr val="accent1"/>
                </a:fgClr>
                <a:bgClr>
                  <a:schemeClr val="bg1"/>
                </a:bgClr>
              </a:pattFill>
              <a:ln>
                <a:noFill/>
              </a:ln>
              <a:effectLst/>
              <a:sp3d/>
            </c:spPr>
          </c:dPt>
          <c:dPt>
            <c:idx val="1"/>
            <c:spPr>
              <a:pattFill prst="pct75">
                <a:fgClr>
                  <a:schemeClr val="accent1"/>
                </a:fgClr>
                <a:bgClr>
                  <a:schemeClr val="bg1"/>
                </a:bgClr>
              </a:pattFill>
              <a:ln>
                <a:noFill/>
              </a:ln>
              <a:effectLst/>
              <a:sp3d/>
            </c:spPr>
          </c:dPt>
          <c:dLbls>
            <c:dLbl>
              <c:idx val="0"/>
              <c:layout>
                <c:manualLayout>
                  <c:x val="0"/>
                  <c:y val="0.2592592592592593"/>
                </c:manualLayout>
              </c:layout>
              <c:showVal val="1"/>
              <c:extLst>
                <c:ext xmlns:c15="http://schemas.microsoft.com/office/drawing/2012/chart" uri="{CE6537A1-D6FC-4f65-9D91-7224C49458BB}"/>
              </c:extLst>
            </c:dLbl>
            <c:dLbl>
              <c:idx val="1"/>
              <c:layout>
                <c:manualLayout>
                  <c:x val="0"/>
                  <c:y val="0.18055555555555555"/>
                </c:manualLayout>
              </c:layou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CONSOLIDADOS!$Q$23:$Q$24</c:f>
              <c:strCache>
                <c:ptCount val="2"/>
                <c:pt idx="0">
                  <c:v>Alta Interacción</c:v>
                </c:pt>
                <c:pt idx="1">
                  <c:v>Baja Interacción</c:v>
                </c:pt>
              </c:strCache>
            </c:strRef>
          </c:cat>
          <c:val>
            <c:numRef>
              <c:f>CONSOLIDADOS!$R$23:$R$24</c:f>
              <c:numCache>
                <c:formatCode>General</c:formatCode>
                <c:ptCount val="2"/>
                <c:pt idx="0">
                  <c:v>37</c:v>
                </c:pt>
                <c:pt idx="1">
                  <c:v>79</c:v>
                </c:pt>
              </c:numCache>
            </c:numRef>
          </c:val>
        </c:ser>
        <c:dLbls>
          <c:showVal val="1"/>
        </c:dLbls>
        <c:shape val="box"/>
        <c:axId val="72504448"/>
        <c:axId val="72505984"/>
        <c:axId val="0"/>
      </c:bar3DChart>
      <c:catAx>
        <c:axId val="7250444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72505984"/>
        <c:crosses val="autoZero"/>
        <c:auto val="1"/>
        <c:lblAlgn val="ctr"/>
        <c:lblOffset val="100"/>
      </c:catAx>
      <c:valAx>
        <c:axId val="7250598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7250444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s-CO"/>
  <c:style val="6"/>
  <c:chart>
    <c:autoTitleDeleted val="1"/>
    <c:plotArea>
      <c:layout/>
      <c:pieChart>
        <c:varyColors val="1"/>
        <c:ser>
          <c:idx val="0"/>
          <c:order val="0"/>
          <c:dPt>
            <c:idx val="0"/>
            <c:spPr>
              <a:solidFill>
                <a:schemeClr val="accent4">
                  <a:shade val="58000"/>
                </a:schemeClr>
              </a:solidFill>
              <a:ln w="19050">
                <a:solidFill>
                  <a:schemeClr val="lt1"/>
                </a:solidFill>
              </a:ln>
              <a:effectLst/>
            </c:spPr>
          </c:dPt>
          <c:dPt>
            <c:idx val="1"/>
            <c:spPr>
              <a:solidFill>
                <a:schemeClr val="accent4">
                  <a:shade val="86000"/>
                </a:schemeClr>
              </a:solidFill>
              <a:ln w="19050">
                <a:solidFill>
                  <a:schemeClr val="lt1"/>
                </a:solidFill>
              </a:ln>
              <a:effectLst/>
            </c:spPr>
          </c:dPt>
          <c:dPt>
            <c:idx val="2"/>
            <c:spPr>
              <a:solidFill>
                <a:schemeClr val="accent4">
                  <a:tint val="86000"/>
                </a:schemeClr>
              </a:solidFill>
              <a:ln w="19050">
                <a:solidFill>
                  <a:schemeClr val="lt1"/>
                </a:solidFill>
              </a:ln>
              <a:effectLst/>
            </c:spPr>
          </c:dPt>
          <c:dPt>
            <c:idx val="3"/>
            <c:spPr>
              <a:solidFill>
                <a:schemeClr val="accent4">
                  <a:tint val="58000"/>
                </a:schemeClr>
              </a:solidFill>
              <a:ln w="19050">
                <a:solidFill>
                  <a:schemeClr val="lt1"/>
                </a:solidFill>
              </a:ln>
              <a:effectLst/>
            </c:spPr>
          </c:dPt>
          <c:dLbls>
            <c:dLbl>
              <c:idx val="0"/>
              <c:layout>
                <c:manualLayout>
                  <c:x val="1.8435251272878195E-2"/>
                  <c:y val="-1.4723890738954077E-2"/>
                </c:manualLayout>
              </c:layout>
              <c:dLblPos val="bestFit"/>
              <c:showVal val="1"/>
              <c:extLst>
                <c:ext xmlns:c15="http://schemas.microsoft.com/office/drawing/2012/chart" uri="{CE6537A1-D6FC-4f65-9D91-7224C49458BB}"/>
              </c:extLst>
            </c:dLbl>
            <c:dLbl>
              <c:idx val="1"/>
              <c:layout>
                <c:manualLayout>
                  <c:x val="-4.0919512009773826E-2"/>
                  <c:y val="-2.2623219528388999E-2"/>
                </c:manualLayout>
              </c:layout>
              <c:dLblPos val="bestFit"/>
              <c:showVal val="1"/>
              <c:extLst>
                <c:ext xmlns:c15="http://schemas.microsoft.com/office/drawing/2012/chart" uri="{CE6537A1-D6FC-4f65-9D91-7224C49458BB}"/>
              </c:extLst>
            </c:dLbl>
            <c:dLbl>
              <c:idx val="2"/>
              <c:layout>
                <c:manualLayout>
                  <c:x val="-1.0194833663609421E-2"/>
                  <c:y val="2.471797744649509E-2"/>
                </c:manualLayout>
              </c:layout>
              <c:dLblPos val="bestFit"/>
              <c:showVal val="1"/>
              <c:extLst>
                <c:ext xmlns:c15="http://schemas.microsoft.com/office/drawing/2012/chart" uri="{CE6537A1-D6FC-4f65-9D91-7224C49458BB}"/>
              </c:extLst>
            </c:dLbl>
            <c:dLbl>
              <c:idx val="3"/>
              <c:layout>
                <c:manualLayout>
                  <c:x val="-1.6489369786460442E-2"/>
                  <c:y val="1.7383419957880761E-2"/>
                </c:manualLayout>
              </c:layout>
              <c:dLblPos val="bestFi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bestFit"/>
            <c:showVal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CONSOLIDADOS!$N$73:$N$76</c:f>
              <c:strCache>
                <c:ptCount val="4"/>
                <c:pt idx="0">
                  <c:v>Bajo IPEM - Alto IAIM</c:v>
                </c:pt>
                <c:pt idx="1">
                  <c:v>Bajo IPEM - Bajo IAIM</c:v>
                </c:pt>
                <c:pt idx="2">
                  <c:v>Alto IPEM - Alto IAIM</c:v>
                </c:pt>
                <c:pt idx="3">
                  <c:v>Alto IPEM - Bajo IAIM</c:v>
                </c:pt>
              </c:strCache>
            </c:strRef>
          </c:cat>
          <c:val>
            <c:numRef>
              <c:f>CONSOLIDADOS!$O$73:$O$76</c:f>
              <c:numCache>
                <c:formatCode>0%</c:formatCode>
                <c:ptCount val="4"/>
                <c:pt idx="0">
                  <c:v>0.39655172413793138</c:v>
                </c:pt>
                <c:pt idx="1">
                  <c:v>0.28448275862069</c:v>
                </c:pt>
                <c:pt idx="2">
                  <c:v>0.1896551724137932</c:v>
                </c:pt>
                <c:pt idx="3">
                  <c:v>0.12931034482758624</c:v>
                </c:pt>
              </c:numCache>
            </c:numRef>
          </c:val>
        </c:ser>
        <c:dLbls>
          <c:showVal val="1"/>
        </c:dLbls>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CO"/>
  <c:style val="1"/>
  <c:chart>
    <c:autoTitleDeleted val="1"/>
    <c:plotArea>
      <c:layout>
        <c:manualLayout>
          <c:layoutTarget val="inner"/>
          <c:xMode val="edge"/>
          <c:yMode val="edge"/>
          <c:x val="0.26300499466639726"/>
          <c:y val="0.26255461469041352"/>
          <c:w val="0.62867243180619892"/>
          <c:h val="0.73854414965922777"/>
        </c:manualLayout>
      </c:layout>
      <c:radarChart>
        <c:radarStyle val="marker"/>
        <c:ser>
          <c:idx val="0"/>
          <c:order val="0"/>
          <c:spPr>
            <a:ln w="19050" cap="rnd" cmpd="sng" algn="ctr">
              <a:solidFill>
                <a:schemeClr val="dk1">
                  <a:tint val="88500"/>
                </a:schemeClr>
              </a:solidFill>
              <a:prstDash val="solid"/>
              <a:round/>
            </a:ln>
            <a:effectLst/>
          </c:spPr>
          <c:marker>
            <c:symbol val="none"/>
          </c:marker>
          <c:cat>
            <c:strRef>
              <c:f>Hoja1!$H$57:$H$71</c:f>
              <c:strCache>
                <c:ptCount val="15"/>
                <c:pt idx="0">
                  <c:v>ALTO MAGDALENA</c:v>
                </c:pt>
                <c:pt idx="1">
                  <c:v>GUALIVÁ</c:v>
                </c:pt>
                <c:pt idx="2">
                  <c:v>TEQUENDAMA</c:v>
                </c:pt>
                <c:pt idx="3">
                  <c:v>SUMAPAZ</c:v>
                </c:pt>
                <c:pt idx="4">
                  <c:v>SABANA OCCIDENTE</c:v>
                </c:pt>
                <c:pt idx="5">
                  <c:v>SABANA CENTRO</c:v>
                </c:pt>
                <c:pt idx="6">
                  <c:v>ORIENTE</c:v>
                </c:pt>
                <c:pt idx="7">
                  <c:v>UBATE</c:v>
                </c:pt>
                <c:pt idx="8">
                  <c:v>ALMEIDAS</c:v>
                </c:pt>
                <c:pt idx="9">
                  <c:v>GUAVIO</c:v>
                </c:pt>
                <c:pt idx="10">
                  <c:v>BAJO MAGDALENA</c:v>
                </c:pt>
                <c:pt idx="11">
                  <c:v>MAGDALENA CENTRO</c:v>
                </c:pt>
                <c:pt idx="12">
                  <c:v>SOACHA</c:v>
                </c:pt>
                <c:pt idx="13">
                  <c:v>MEDINA</c:v>
                </c:pt>
                <c:pt idx="14">
                  <c:v>RIONEGRO</c:v>
                </c:pt>
              </c:strCache>
            </c:strRef>
          </c:cat>
          <c:val>
            <c:numRef>
              <c:f>Hoja1!$I$57:$I$71</c:f>
              <c:numCache>
                <c:formatCode>General</c:formatCode>
                <c:ptCount val="15"/>
                <c:pt idx="0">
                  <c:v>4</c:v>
                </c:pt>
                <c:pt idx="1">
                  <c:v>6</c:v>
                </c:pt>
                <c:pt idx="2">
                  <c:v>6</c:v>
                </c:pt>
                <c:pt idx="3">
                  <c:v>5</c:v>
                </c:pt>
                <c:pt idx="4">
                  <c:v>7</c:v>
                </c:pt>
                <c:pt idx="5">
                  <c:v>11</c:v>
                </c:pt>
                <c:pt idx="6">
                  <c:v>6</c:v>
                </c:pt>
                <c:pt idx="7">
                  <c:v>8</c:v>
                </c:pt>
                <c:pt idx="8">
                  <c:v>4</c:v>
                </c:pt>
                <c:pt idx="9">
                  <c:v>4</c:v>
                </c:pt>
                <c:pt idx="10">
                  <c:v>2</c:v>
                </c:pt>
                <c:pt idx="11">
                  <c:v>1</c:v>
                </c:pt>
                <c:pt idx="12">
                  <c:v>2</c:v>
                </c:pt>
                <c:pt idx="13">
                  <c:v>1</c:v>
                </c:pt>
                <c:pt idx="14">
                  <c:v>1</c:v>
                </c:pt>
              </c:numCache>
            </c:numRef>
          </c:val>
        </c:ser>
        <c:axId val="72435200"/>
        <c:axId val="72436736"/>
      </c:radarChart>
      <c:catAx>
        <c:axId val="72435200"/>
        <c:scaling>
          <c:orientation val="minMax"/>
        </c:scaling>
        <c:axPos val="b"/>
        <c:majorGridlines>
          <c:spPr>
            <a:ln w="6350" cap="flat" cmpd="sng" algn="ctr">
              <a:solidFill>
                <a:schemeClr val="tx1">
                  <a:tint val="75000"/>
                </a:schemeClr>
              </a:solidFill>
              <a:prstDash val="solid"/>
              <a:round/>
            </a:ln>
            <a:effectLst/>
          </c:spPr>
        </c:majorGridlines>
        <c:numFmt formatCode="General" sourceLinked="0"/>
        <c:majorTickMark val="none"/>
        <c:tickLblPos val="nextTo"/>
        <c:spPr>
          <a:noFill/>
          <a:ln w="9525" cap="flat" cmpd="sng" algn="ctr">
            <a:no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CO"/>
          </a:p>
        </c:txPr>
        <c:crossAx val="72436736"/>
        <c:crosses val="autoZero"/>
        <c:auto val="1"/>
        <c:lblAlgn val="ctr"/>
        <c:lblOffset val="100"/>
      </c:catAx>
      <c:valAx>
        <c:axId val="72436736"/>
        <c:scaling>
          <c:orientation val="minMax"/>
        </c:scaling>
        <c:axPos val="l"/>
        <c:majorGridlines>
          <c:spPr>
            <a:ln w="6350" cap="flat" cmpd="sng" algn="ctr">
              <a:solidFill>
                <a:schemeClr val="tx1">
                  <a:tint val="75000"/>
                </a:schemeClr>
              </a:solidFill>
              <a:prstDash val="solid"/>
              <a:round/>
            </a:ln>
            <a:effectLst/>
          </c:spPr>
        </c:majorGridlines>
        <c:numFmt formatCode="General" sourceLinked="1"/>
        <c:majorTickMark val="none"/>
        <c:tickLblPos val="nextTo"/>
        <c:spPr>
          <a:solidFill>
            <a:schemeClr val="bg1"/>
          </a:solidFill>
          <a:ln w="6350" cap="flat" cmpd="sng" algn="ctr">
            <a:solidFill>
              <a:schemeClr val="bg1">
                <a:lumMod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CO"/>
          </a:p>
        </c:txPr>
        <c:crossAx val="72435200"/>
        <c:crosses val="autoZero"/>
        <c:crossBetween val="between"/>
      </c:valAx>
      <c:spPr>
        <a:solidFill>
          <a:schemeClr val="bg1"/>
        </a:solidFill>
        <a:ln>
          <a:noFill/>
        </a:ln>
        <a:effectLst/>
      </c:spPr>
    </c:plotArea>
    <c:plotVisOnly val="1"/>
    <c:dispBlanksAs val="gap"/>
  </c:chart>
  <c:spPr>
    <a:solidFill>
      <a:schemeClr val="bg1"/>
    </a:solidFill>
    <a:ln w="6350" cap="flat" cmpd="sng" algn="ctr">
      <a:noFill/>
      <a:prstDash val="solid"/>
      <a:round/>
    </a:ln>
    <a:effectLst/>
  </c:spPr>
  <c:txPr>
    <a:bodyPr/>
    <a:lstStyle/>
    <a:p>
      <a:pPr>
        <a:defRPr/>
      </a:pPr>
      <a:endParaRPr lang="es-CO"/>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CO"/>
  <c:style val="7"/>
  <c:chart>
    <c:autoTitleDeleted val="1"/>
    <c:plotArea>
      <c:layout/>
      <c:pieChart>
        <c:varyColors val="1"/>
        <c:ser>
          <c:idx val="0"/>
          <c:order val="0"/>
          <c:dPt>
            <c:idx val="0"/>
            <c:spPr>
              <a:solidFill>
                <a:schemeClr val="accent5">
                  <a:shade val="58000"/>
                </a:schemeClr>
              </a:solidFill>
              <a:ln w="19050">
                <a:solidFill>
                  <a:schemeClr val="lt1"/>
                </a:solidFill>
              </a:ln>
              <a:effectLst/>
            </c:spPr>
          </c:dPt>
          <c:dPt>
            <c:idx val="1"/>
            <c:spPr>
              <a:solidFill>
                <a:schemeClr val="accent5">
                  <a:shade val="86000"/>
                </a:schemeClr>
              </a:solidFill>
              <a:ln w="19050">
                <a:solidFill>
                  <a:schemeClr val="lt1"/>
                </a:solidFill>
              </a:ln>
              <a:effectLst/>
            </c:spPr>
          </c:dPt>
          <c:dPt>
            <c:idx val="2"/>
            <c:spPr>
              <a:solidFill>
                <a:schemeClr val="accent5">
                  <a:tint val="86000"/>
                </a:schemeClr>
              </a:solidFill>
              <a:ln w="19050">
                <a:solidFill>
                  <a:schemeClr val="lt1"/>
                </a:solidFill>
              </a:ln>
              <a:effectLst/>
            </c:spPr>
          </c:dPt>
          <c:dPt>
            <c:idx val="3"/>
            <c:spPr>
              <a:solidFill>
                <a:schemeClr val="accent5">
                  <a:tint val="58000"/>
                </a:schemeClr>
              </a:solidFill>
              <a:ln w="19050">
                <a:solidFill>
                  <a:schemeClr val="lt1"/>
                </a:solidFill>
              </a:ln>
              <a:effectLst/>
            </c:spPr>
          </c:dPt>
          <c:dLbls>
            <c:dLbl>
              <c:idx val="0"/>
              <c:layout>
                <c:manualLayout>
                  <c:x val="9.3746719160105046E-3"/>
                  <c:y val="2.4001531058617676E-2"/>
                </c:manualLayout>
              </c:layout>
              <c:dLblPos val="bestFit"/>
              <c:showVal val="1"/>
              <c:extLst>
                <c:ext xmlns:c15="http://schemas.microsoft.com/office/drawing/2012/chart" uri="{CE6537A1-D6FC-4f65-9D91-7224C49458BB}"/>
              </c:extLst>
            </c:dLbl>
            <c:dLbl>
              <c:idx val="1"/>
              <c:layout>
                <c:manualLayout>
                  <c:x val="3.3319116360454946E-2"/>
                  <c:y val="-8.0819480898221052E-2"/>
                </c:manualLayout>
              </c:layout>
              <c:dLblPos val="bestFit"/>
              <c:showVal val="1"/>
              <c:extLst>
                <c:ext xmlns:c15="http://schemas.microsoft.com/office/drawing/2012/chart" uri="{CE6537A1-D6FC-4f65-9D91-7224C49458BB}"/>
              </c:extLst>
            </c:dLbl>
            <c:dLbl>
              <c:idx val="2"/>
              <c:layout>
                <c:manualLayout>
                  <c:x val="-2.2876202974628241E-3"/>
                  <c:y val="-1.2376057159521758E-2"/>
                </c:manualLayout>
              </c:layout>
              <c:dLblPos val="bestFit"/>
              <c:showVal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dLblPos val="bestFit"/>
            <c:showVal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CLUSTERS!$G$279:$G$282</c:f>
              <c:strCache>
                <c:ptCount val="4"/>
                <c:pt idx="0">
                  <c:v>Alto desempeño</c:v>
                </c:pt>
                <c:pt idx="1">
                  <c:v>Medio desempeño</c:v>
                </c:pt>
                <c:pt idx="2">
                  <c:v>Bajo desempeño</c:v>
                </c:pt>
                <c:pt idx="3">
                  <c:v>Nulo desempeño</c:v>
                </c:pt>
              </c:strCache>
            </c:strRef>
          </c:cat>
          <c:val>
            <c:numRef>
              <c:f>CLUSTERS!$H$279:$H$282</c:f>
              <c:numCache>
                <c:formatCode>0.00%</c:formatCode>
                <c:ptCount val="4"/>
                <c:pt idx="0">
                  <c:v>0.14600000000000016</c:v>
                </c:pt>
                <c:pt idx="1">
                  <c:v>0.43900000000000033</c:v>
                </c:pt>
                <c:pt idx="2">
                  <c:v>0.36200000000000032</c:v>
                </c:pt>
                <c:pt idx="3">
                  <c:v>5.1700000000000003E-2</c:v>
                </c:pt>
              </c:numCache>
            </c:numRef>
          </c:val>
        </c:ser>
        <c:dLbls>
          <c:showVal val="1"/>
        </c:dLbls>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276D41-F0AB-40D3-900A-967F1E52D658}" type="doc">
      <dgm:prSet loTypeId="urn:microsoft.com/office/officeart/2005/8/layout/process4" loCatId="list" qsTypeId="urn:microsoft.com/office/officeart/2005/8/quickstyle/3d3" qsCatId="3D" csTypeId="urn:microsoft.com/office/officeart/2005/8/colors/accent3_1" csCatId="accent3" phldr="1"/>
      <dgm:spPr/>
      <dgm:t>
        <a:bodyPr/>
        <a:lstStyle/>
        <a:p>
          <a:endParaRPr lang="es-CO"/>
        </a:p>
      </dgm:t>
    </dgm:pt>
    <dgm:pt modelId="{80F044A0-63DA-4DB9-AD25-579105DB83E8}">
      <dgm:prSet phldrT="[Texto]" custT="1"/>
      <dgm:spPr/>
      <dgm:t>
        <a:bodyPr/>
        <a:lstStyle/>
        <a:p>
          <a:pPr algn="ctr"/>
          <a:r>
            <a:rPr lang="es-CO" sz="800"/>
            <a:t>1. PUBLICACIÓN DE INFORMACIÓN</a:t>
          </a:r>
        </a:p>
      </dgm:t>
    </dgm:pt>
    <dgm:pt modelId="{4B9AA48C-9877-446F-9EE4-DC8595E9FD37}" type="parTrans" cxnId="{AA38C637-B267-42E3-A9B3-27DF8774657F}">
      <dgm:prSet/>
      <dgm:spPr/>
      <dgm:t>
        <a:bodyPr/>
        <a:lstStyle/>
        <a:p>
          <a:endParaRPr lang="es-CO" sz="1200"/>
        </a:p>
      </dgm:t>
    </dgm:pt>
    <dgm:pt modelId="{6F69BBF9-C207-4F8B-9ABE-0609C8548F10}" type="sibTrans" cxnId="{AA38C637-B267-42E3-A9B3-27DF8774657F}">
      <dgm:prSet/>
      <dgm:spPr/>
      <dgm:t>
        <a:bodyPr/>
        <a:lstStyle/>
        <a:p>
          <a:endParaRPr lang="es-CO" sz="1200"/>
        </a:p>
      </dgm:t>
    </dgm:pt>
    <dgm:pt modelId="{89E64AB9-6B5C-4EAA-8402-7E402C8737D4}">
      <dgm:prSet phldrT="[Texto]" custT="1"/>
      <dgm:spPr/>
      <dgm:t>
        <a:bodyPr/>
        <a:lstStyle/>
        <a:p>
          <a:r>
            <a:rPr lang="es-CO" sz="800"/>
            <a:t>Politica Editorial</a:t>
          </a:r>
        </a:p>
      </dgm:t>
    </dgm:pt>
    <dgm:pt modelId="{3AF2D498-08C8-47CD-8EAC-F046CEFCF757}" type="parTrans" cxnId="{8E91AAFC-F85D-416D-A14C-D944ED08C7E5}">
      <dgm:prSet/>
      <dgm:spPr/>
      <dgm:t>
        <a:bodyPr/>
        <a:lstStyle/>
        <a:p>
          <a:endParaRPr lang="es-CO" sz="1200"/>
        </a:p>
      </dgm:t>
    </dgm:pt>
    <dgm:pt modelId="{D2EBB222-85D5-474B-B410-B4D6992AA0FD}" type="sibTrans" cxnId="{8E91AAFC-F85D-416D-A14C-D944ED08C7E5}">
      <dgm:prSet/>
      <dgm:spPr/>
      <dgm:t>
        <a:bodyPr/>
        <a:lstStyle/>
        <a:p>
          <a:endParaRPr lang="es-CO" sz="1200"/>
        </a:p>
      </dgm:t>
    </dgm:pt>
    <dgm:pt modelId="{460482F6-992C-4CA3-9786-2237BE7FA8DC}">
      <dgm:prSet phldrT="[Texto]" custT="1"/>
      <dgm:spPr/>
      <dgm:t>
        <a:bodyPr/>
        <a:lstStyle/>
        <a:p>
          <a:r>
            <a:rPr lang="es-CO" sz="800"/>
            <a:t>Acceso Multicanal</a:t>
          </a:r>
        </a:p>
      </dgm:t>
    </dgm:pt>
    <dgm:pt modelId="{27AD2FCC-4914-47C7-95BF-CEA1F850F82B}" type="parTrans" cxnId="{F2E7F4B4-324D-4119-824C-74ED07D29750}">
      <dgm:prSet/>
      <dgm:spPr/>
      <dgm:t>
        <a:bodyPr/>
        <a:lstStyle/>
        <a:p>
          <a:endParaRPr lang="es-CO" sz="1200"/>
        </a:p>
      </dgm:t>
    </dgm:pt>
    <dgm:pt modelId="{36369439-3F18-43D7-B086-0431662D79CC}" type="sibTrans" cxnId="{F2E7F4B4-324D-4119-824C-74ED07D29750}">
      <dgm:prSet/>
      <dgm:spPr/>
      <dgm:t>
        <a:bodyPr/>
        <a:lstStyle/>
        <a:p>
          <a:endParaRPr lang="es-CO" sz="1200"/>
        </a:p>
      </dgm:t>
    </dgm:pt>
    <dgm:pt modelId="{508E6750-0C8B-4EC3-AE4D-0B301AE54EBA}">
      <dgm:prSet phldrT="[Texto]" custT="1"/>
      <dgm:spPr/>
      <dgm:t>
        <a:bodyPr/>
        <a:lstStyle/>
        <a:p>
          <a:r>
            <a:rPr lang="es-CO" sz="800"/>
            <a:t>2. PUBLICACIÓN DE DATOS ABIERTOS</a:t>
          </a:r>
        </a:p>
      </dgm:t>
    </dgm:pt>
    <dgm:pt modelId="{3E434728-70F9-4456-8203-26D568DD73A6}" type="parTrans" cxnId="{7DD688D7-C975-4280-A167-54A296D040A7}">
      <dgm:prSet/>
      <dgm:spPr/>
      <dgm:t>
        <a:bodyPr/>
        <a:lstStyle/>
        <a:p>
          <a:endParaRPr lang="es-CO" sz="1200"/>
        </a:p>
      </dgm:t>
    </dgm:pt>
    <dgm:pt modelId="{372B25B5-FDD6-4BE5-B154-16B82C7D5760}" type="sibTrans" cxnId="{7DD688D7-C975-4280-A167-54A296D040A7}">
      <dgm:prSet/>
      <dgm:spPr/>
      <dgm:t>
        <a:bodyPr/>
        <a:lstStyle/>
        <a:p>
          <a:endParaRPr lang="es-CO" sz="1200"/>
        </a:p>
      </dgm:t>
    </dgm:pt>
    <dgm:pt modelId="{27BE1845-9356-4545-8D54-5DA795D825BF}">
      <dgm:prSet phldrT="[Texto]" custT="1"/>
      <dgm:spPr/>
      <dgm:t>
        <a:bodyPr/>
        <a:lstStyle/>
        <a:p>
          <a:r>
            <a:rPr lang="es-CO" sz="800"/>
            <a:t>Inventario de información</a:t>
          </a:r>
        </a:p>
      </dgm:t>
    </dgm:pt>
    <dgm:pt modelId="{255E47C0-8F36-4230-9B20-9B286435B77A}" type="parTrans" cxnId="{05DCA895-ADF1-4D3A-9E0C-DBDCF2FC5375}">
      <dgm:prSet/>
      <dgm:spPr/>
      <dgm:t>
        <a:bodyPr/>
        <a:lstStyle/>
        <a:p>
          <a:endParaRPr lang="es-CO" sz="1200"/>
        </a:p>
      </dgm:t>
    </dgm:pt>
    <dgm:pt modelId="{89F7FA09-5DBE-41D7-911A-58428047870C}" type="sibTrans" cxnId="{05DCA895-ADF1-4D3A-9E0C-DBDCF2FC5375}">
      <dgm:prSet/>
      <dgm:spPr/>
      <dgm:t>
        <a:bodyPr/>
        <a:lstStyle/>
        <a:p>
          <a:endParaRPr lang="es-CO" sz="1200"/>
        </a:p>
      </dgm:t>
    </dgm:pt>
    <dgm:pt modelId="{D26C8978-53B1-44CB-AC23-2A9FDE91D695}">
      <dgm:prSet phldrT="[Texto]" custT="1"/>
      <dgm:spPr/>
      <dgm:t>
        <a:bodyPr/>
        <a:lstStyle/>
        <a:p>
          <a:r>
            <a:rPr lang="es-CO" sz="800"/>
            <a:t>Apertura de datos.</a:t>
          </a:r>
        </a:p>
      </dgm:t>
    </dgm:pt>
    <dgm:pt modelId="{F1BDCEB7-1AE3-404A-A6FD-51E3BC3D0F5F}" type="parTrans" cxnId="{912EF545-4889-494C-9568-257C10CBFFCD}">
      <dgm:prSet/>
      <dgm:spPr/>
      <dgm:t>
        <a:bodyPr/>
        <a:lstStyle/>
        <a:p>
          <a:endParaRPr lang="es-CO" sz="1200"/>
        </a:p>
      </dgm:t>
    </dgm:pt>
    <dgm:pt modelId="{686F3E80-61E8-4417-AA34-FAB3DE5EE5F4}" type="sibTrans" cxnId="{912EF545-4889-494C-9568-257C10CBFFCD}">
      <dgm:prSet/>
      <dgm:spPr/>
      <dgm:t>
        <a:bodyPr/>
        <a:lstStyle/>
        <a:p>
          <a:endParaRPr lang="es-CO" sz="1200"/>
        </a:p>
      </dgm:t>
    </dgm:pt>
    <dgm:pt modelId="{C786DEBE-785D-40E4-8AE4-107CFD02F66E}">
      <dgm:prSet phldrT="[Texto]" custT="1"/>
      <dgm:spPr/>
      <dgm:t>
        <a:bodyPr/>
        <a:lstStyle/>
        <a:p>
          <a:r>
            <a:rPr lang="es-CO" sz="800"/>
            <a:t>Publicación</a:t>
          </a:r>
          <a:r>
            <a:rPr lang="es-CO" sz="900"/>
            <a:t> </a:t>
          </a:r>
          <a:r>
            <a:rPr lang="es-CO" sz="800"/>
            <a:t>de informacion </a:t>
          </a:r>
          <a:endParaRPr lang="es-CO" sz="900"/>
        </a:p>
      </dgm:t>
    </dgm:pt>
    <dgm:pt modelId="{D9B1F92E-A26D-4C25-B88D-FFB278DE6965}" type="parTrans" cxnId="{C2EFADBA-858C-4BCC-A3FA-173F362FE19D}">
      <dgm:prSet/>
      <dgm:spPr/>
      <dgm:t>
        <a:bodyPr/>
        <a:lstStyle/>
        <a:p>
          <a:endParaRPr lang="es-CO" sz="1200"/>
        </a:p>
      </dgm:t>
    </dgm:pt>
    <dgm:pt modelId="{301729B4-4F74-4022-9C4B-EAF206976EE1}" type="sibTrans" cxnId="{C2EFADBA-858C-4BCC-A3FA-173F362FE19D}">
      <dgm:prSet/>
      <dgm:spPr/>
      <dgm:t>
        <a:bodyPr/>
        <a:lstStyle/>
        <a:p>
          <a:endParaRPr lang="es-CO" sz="1200"/>
        </a:p>
      </dgm:t>
    </dgm:pt>
    <dgm:pt modelId="{50F0C7F5-F88C-4B8F-A34C-905BAD39FE07}" type="pres">
      <dgm:prSet presAssocID="{72276D41-F0AB-40D3-900A-967F1E52D658}" presName="Name0" presStyleCnt="0">
        <dgm:presLayoutVars>
          <dgm:dir/>
          <dgm:animLvl val="lvl"/>
          <dgm:resizeHandles val="exact"/>
        </dgm:presLayoutVars>
      </dgm:prSet>
      <dgm:spPr/>
      <dgm:t>
        <a:bodyPr/>
        <a:lstStyle/>
        <a:p>
          <a:endParaRPr lang="es-CO"/>
        </a:p>
      </dgm:t>
    </dgm:pt>
    <dgm:pt modelId="{D2F5880C-5D7A-4076-A887-0FD52F223DB9}" type="pres">
      <dgm:prSet presAssocID="{508E6750-0C8B-4EC3-AE4D-0B301AE54EBA}" presName="boxAndChildren" presStyleCnt="0"/>
      <dgm:spPr/>
      <dgm:t>
        <a:bodyPr/>
        <a:lstStyle/>
        <a:p>
          <a:endParaRPr lang="es-CO"/>
        </a:p>
      </dgm:t>
    </dgm:pt>
    <dgm:pt modelId="{5C2ED641-FC57-4047-97BE-9417EF2495FC}" type="pres">
      <dgm:prSet presAssocID="{508E6750-0C8B-4EC3-AE4D-0B301AE54EBA}" presName="parentTextBox" presStyleLbl="node1" presStyleIdx="0" presStyleCnt="2"/>
      <dgm:spPr/>
      <dgm:t>
        <a:bodyPr/>
        <a:lstStyle/>
        <a:p>
          <a:endParaRPr lang="es-CO"/>
        </a:p>
      </dgm:t>
    </dgm:pt>
    <dgm:pt modelId="{BCF1975E-4752-4EC3-816C-CAC6D839CF0F}" type="pres">
      <dgm:prSet presAssocID="{508E6750-0C8B-4EC3-AE4D-0B301AE54EBA}" presName="entireBox" presStyleLbl="node1" presStyleIdx="0" presStyleCnt="2"/>
      <dgm:spPr/>
      <dgm:t>
        <a:bodyPr/>
        <a:lstStyle/>
        <a:p>
          <a:endParaRPr lang="es-CO"/>
        </a:p>
      </dgm:t>
    </dgm:pt>
    <dgm:pt modelId="{F2F94112-F3AA-4E58-9E2A-DF4271808E28}" type="pres">
      <dgm:prSet presAssocID="{508E6750-0C8B-4EC3-AE4D-0B301AE54EBA}" presName="descendantBox" presStyleCnt="0"/>
      <dgm:spPr/>
      <dgm:t>
        <a:bodyPr/>
        <a:lstStyle/>
        <a:p>
          <a:endParaRPr lang="es-CO"/>
        </a:p>
      </dgm:t>
    </dgm:pt>
    <dgm:pt modelId="{02651147-575E-41E5-B218-8166314565D5}" type="pres">
      <dgm:prSet presAssocID="{27BE1845-9356-4545-8D54-5DA795D825BF}" presName="childTextBox" presStyleLbl="fgAccFollowNode1" presStyleIdx="0" presStyleCnt="5">
        <dgm:presLayoutVars>
          <dgm:bulletEnabled val="1"/>
        </dgm:presLayoutVars>
      </dgm:prSet>
      <dgm:spPr/>
      <dgm:t>
        <a:bodyPr/>
        <a:lstStyle/>
        <a:p>
          <a:endParaRPr lang="es-CO"/>
        </a:p>
      </dgm:t>
    </dgm:pt>
    <dgm:pt modelId="{99B5A2E3-BDFD-4F4B-85CE-A8CF64A0D5BF}" type="pres">
      <dgm:prSet presAssocID="{D26C8978-53B1-44CB-AC23-2A9FDE91D695}" presName="childTextBox" presStyleLbl="fgAccFollowNode1" presStyleIdx="1" presStyleCnt="5">
        <dgm:presLayoutVars>
          <dgm:bulletEnabled val="1"/>
        </dgm:presLayoutVars>
      </dgm:prSet>
      <dgm:spPr/>
      <dgm:t>
        <a:bodyPr/>
        <a:lstStyle/>
        <a:p>
          <a:endParaRPr lang="es-CO"/>
        </a:p>
      </dgm:t>
    </dgm:pt>
    <dgm:pt modelId="{F1A8A3EB-BF5C-466B-B8C6-0C8D966D52CF}" type="pres">
      <dgm:prSet presAssocID="{6F69BBF9-C207-4F8B-9ABE-0609C8548F10}" presName="sp" presStyleCnt="0"/>
      <dgm:spPr/>
      <dgm:t>
        <a:bodyPr/>
        <a:lstStyle/>
        <a:p>
          <a:endParaRPr lang="es-CO"/>
        </a:p>
      </dgm:t>
    </dgm:pt>
    <dgm:pt modelId="{A116E0F3-5651-4C54-8630-12F05A822FF7}" type="pres">
      <dgm:prSet presAssocID="{80F044A0-63DA-4DB9-AD25-579105DB83E8}" presName="arrowAndChildren" presStyleCnt="0"/>
      <dgm:spPr/>
      <dgm:t>
        <a:bodyPr/>
        <a:lstStyle/>
        <a:p>
          <a:endParaRPr lang="es-CO"/>
        </a:p>
      </dgm:t>
    </dgm:pt>
    <dgm:pt modelId="{D356BFD4-4D74-42E9-9C4E-A875DAA54CCC}" type="pres">
      <dgm:prSet presAssocID="{80F044A0-63DA-4DB9-AD25-579105DB83E8}" presName="parentTextArrow" presStyleLbl="node1" presStyleIdx="0" presStyleCnt="2"/>
      <dgm:spPr/>
      <dgm:t>
        <a:bodyPr/>
        <a:lstStyle/>
        <a:p>
          <a:endParaRPr lang="es-CO"/>
        </a:p>
      </dgm:t>
    </dgm:pt>
    <dgm:pt modelId="{4FB6FC6F-8103-4BDE-A6C8-5B8622328170}" type="pres">
      <dgm:prSet presAssocID="{80F044A0-63DA-4DB9-AD25-579105DB83E8}" presName="arrow" presStyleLbl="node1" presStyleIdx="1" presStyleCnt="2"/>
      <dgm:spPr/>
      <dgm:t>
        <a:bodyPr/>
        <a:lstStyle/>
        <a:p>
          <a:endParaRPr lang="es-CO"/>
        </a:p>
      </dgm:t>
    </dgm:pt>
    <dgm:pt modelId="{64582A5A-CF4A-4C78-9802-226EB2B9D1DD}" type="pres">
      <dgm:prSet presAssocID="{80F044A0-63DA-4DB9-AD25-579105DB83E8}" presName="descendantArrow" presStyleCnt="0"/>
      <dgm:spPr/>
      <dgm:t>
        <a:bodyPr/>
        <a:lstStyle/>
        <a:p>
          <a:endParaRPr lang="es-CO"/>
        </a:p>
      </dgm:t>
    </dgm:pt>
    <dgm:pt modelId="{83CBEDC5-50C5-4E1E-B034-AAB842C9A3F3}" type="pres">
      <dgm:prSet presAssocID="{89E64AB9-6B5C-4EAA-8402-7E402C8737D4}" presName="childTextArrow" presStyleLbl="fgAccFollowNode1" presStyleIdx="2" presStyleCnt="5">
        <dgm:presLayoutVars>
          <dgm:bulletEnabled val="1"/>
        </dgm:presLayoutVars>
      </dgm:prSet>
      <dgm:spPr/>
      <dgm:t>
        <a:bodyPr/>
        <a:lstStyle/>
        <a:p>
          <a:endParaRPr lang="es-CO"/>
        </a:p>
      </dgm:t>
    </dgm:pt>
    <dgm:pt modelId="{D1661115-9712-4D64-A076-B632D6039182}" type="pres">
      <dgm:prSet presAssocID="{C786DEBE-785D-40E4-8AE4-107CFD02F66E}" presName="childTextArrow" presStyleLbl="fgAccFollowNode1" presStyleIdx="3" presStyleCnt="5">
        <dgm:presLayoutVars>
          <dgm:bulletEnabled val="1"/>
        </dgm:presLayoutVars>
      </dgm:prSet>
      <dgm:spPr/>
      <dgm:t>
        <a:bodyPr/>
        <a:lstStyle/>
        <a:p>
          <a:endParaRPr lang="es-CO"/>
        </a:p>
      </dgm:t>
    </dgm:pt>
    <dgm:pt modelId="{12E6D4D9-6434-4D16-BB4F-761CC946D45E}" type="pres">
      <dgm:prSet presAssocID="{460482F6-992C-4CA3-9786-2237BE7FA8DC}" presName="childTextArrow" presStyleLbl="fgAccFollowNode1" presStyleIdx="4" presStyleCnt="5">
        <dgm:presLayoutVars>
          <dgm:bulletEnabled val="1"/>
        </dgm:presLayoutVars>
      </dgm:prSet>
      <dgm:spPr/>
      <dgm:t>
        <a:bodyPr/>
        <a:lstStyle/>
        <a:p>
          <a:endParaRPr lang="es-CO"/>
        </a:p>
      </dgm:t>
    </dgm:pt>
  </dgm:ptLst>
  <dgm:cxnLst>
    <dgm:cxn modelId="{CEB17E07-777B-4B4E-9118-5028681148FB}" type="presOf" srcId="{80F044A0-63DA-4DB9-AD25-579105DB83E8}" destId="{D356BFD4-4D74-42E9-9C4E-A875DAA54CCC}" srcOrd="0" destOrd="0" presId="urn:microsoft.com/office/officeart/2005/8/layout/process4"/>
    <dgm:cxn modelId="{E99499C8-305E-4B43-BB5F-718ECC8B14C0}" type="presOf" srcId="{460482F6-992C-4CA3-9786-2237BE7FA8DC}" destId="{12E6D4D9-6434-4D16-BB4F-761CC946D45E}" srcOrd="0" destOrd="0" presId="urn:microsoft.com/office/officeart/2005/8/layout/process4"/>
    <dgm:cxn modelId="{3DFF584E-ADB9-47A5-B22B-E46EBE9EF968}" type="presOf" srcId="{508E6750-0C8B-4EC3-AE4D-0B301AE54EBA}" destId="{5C2ED641-FC57-4047-97BE-9417EF2495FC}" srcOrd="0" destOrd="0" presId="urn:microsoft.com/office/officeart/2005/8/layout/process4"/>
    <dgm:cxn modelId="{066DE52C-F556-4958-81B9-5C579ABB22FC}" type="presOf" srcId="{72276D41-F0AB-40D3-900A-967F1E52D658}" destId="{50F0C7F5-F88C-4B8F-A34C-905BAD39FE07}" srcOrd="0" destOrd="0" presId="urn:microsoft.com/office/officeart/2005/8/layout/process4"/>
    <dgm:cxn modelId="{05DCA895-ADF1-4D3A-9E0C-DBDCF2FC5375}" srcId="{508E6750-0C8B-4EC3-AE4D-0B301AE54EBA}" destId="{27BE1845-9356-4545-8D54-5DA795D825BF}" srcOrd="0" destOrd="0" parTransId="{255E47C0-8F36-4230-9B20-9B286435B77A}" sibTransId="{89F7FA09-5DBE-41D7-911A-58428047870C}"/>
    <dgm:cxn modelId="{7DD688D7-C975-4280-A167-54A296D040A7}" srcId="{72276D41-F0AB-40D3-900A-967F1E52D658}" destId="{508E6750-0C8B-4EC3-AE4D-0B301AE54EBA}" srcOrd="1" destOrd="0" parTransId="{3E434728-70F9-4456-8203-26D568DD73A6}" sibTransId="{372B25B5-FDD6-4BE5-B154-16B82C7D5760}"/>
    <dgm:cxn modelId="{629894A9-0C84-4E11-B5D4-14BB145259F2}" type="presOf" srcId="{89E64AB9-6B5C-4EAA-8402-7E402C8737D4}" destId="{83CBEDC5-50C5-4E1E-B034-AAB842C9A3F3}" srcOrd="0" destOrd="0" presId="urn:microsoft.com/office/officeart/2005/8/layout/process4"/>
    <dgm:cxn modelId="{912EF545-4889-494C-9568-257C10CBFFCD}" srcId="{508E6750-0C8B-4EC3-AE4D-0B301AE54EBA}" destId="{D26C8978-53B1-44CB-AC23-2A9FDE91D695}" srcOrd="1" destOrd="0" parTransId="{F1BDCEB7-1AE3-404A-A6FD-51E3BC3D0F5F}" sibTransId="{686F3E80-61E8-4417-AA34-FAB3DE5EE5F4}"/>
    <dgm:cxn modelId="{C2EFADBA-858C-4BCC-A3FA-173F362FE19D}" srcId="{80F044A0-63DA-4DB9-AD25-579105DB83E8}" destId="{C786DEBE-785D-40E4-8AE4-107CFD02F66E}" srcOrd="1" destOrd="0" parTransId="{D9B1F92E-A26D-4C25-B88D-FFB278DE6965}" sibTransId="{301729B4-4F74-4022-9C4B-EAF206976EE1}"/>
    <dgm:cxn modelId="{3DB80EB5-7798-4C2D-8C41-9AE94377B0DD}" type="presOf" srcId="{80F044A0-63DA-4DB9-AD25-579105DB83E8}" destId="{4FB6FC6F-8103-4BDE-A6C8-5B8622328170}" srcOrd="1" destOrd="0" presId="urn:microsoft.com/office/officeart/2005/8/layout/process4"/>
    <dgm:cxn modelId="{AA38C637-B267-42E3-A9B3-27DF8774657F}" srcId="{72276D41-F0AB-40D3-900A-967F1E52D658}" destId="{80F044A0-63DA-4DB9-AD25-579105DB83E8}" srcOrd="0" destOrd="0" parTransId="{4B9AA48C-9877-446F-9EE4-DC8595E9FD37}" sibTransId="{6F69BBF9-C207-4F8B-9ABE-0609C8548F10}"/>
    <dgm:cxn modelId="{94B4FAF1-DBEF-41D3-91FD-1E498034CBAA}" type="presOf" srcId="{D26C8978-53B1-44CB-AC23-2A9FDE91D695}" destId="{99B5A2E3-BDFD-4F4B-85CE-A8CF64A0D5BF}" srcOrd="0" destOrd="0" presId="urn:microsoft.com/office/officeart/2005/8/layout/process4"/>
    <dgm:cxn modelId="{5B6754DF-74ED-429D-A182-30CE4B71FC0F}" type="presOf" srcId="{508E6750-0C8B-4EC3-AE4D-0B301AE54EBA}" destId="{BCF1975E-4752-4EC3-816C-CAC6D839CF0F}" srcOrd="1" destOrd="0" presId="urn:microsoft.com/office/officeart/2005/8/layout/process4"/>
    <dgm:cxn modelId="{8E91AAFC-F85D-416D-A14C-D944ED08C7E5}" srcId="{80F044A0-63DA-4DB9-AD25-579105DB83E8}" destId="{89E64AB9-6B5C-4EAA-8402-7E402C8737D4}" srcOrd="0" destOrd="0" parTransId="{3AF2D498-08C8-47CD-8EAC-F046CEFCF757}" sibTransId="{D2EBB222-85D5-474B-B410-B4D6992AA0FD}"/>
    <dgm:cxn modelId="{3E908A1B-9958-4E15-8ED2-2EF02DC42408}" type="presOf" srcId="{C786DEBE-785D-40E4-8AE4-107CFD02F66E}" destId="{D1661115-9712-4D64-A076-B632D6039182}" srcOrd="0" destOrd="0" presId="urn:microsoft.com/office/officeart/2005/8/layout/process4"/>
    <dgm:cxn modelId="{F2E7F4B4-324D-4119-824C-74ED07D29750}" srcId="{80F044A0-63DA-4DB9-AD25-579105DB83E8}" destId="{460482F6-992C-4CA3-9786-2237BE7FA8DC}" srcOrd="2" destOrd="0" parTransId="{27AD2FCC-4914-47C7-95BF-CEA1F850F82B}" sibTransId="{36369439-3F18-43D7-B086-0431662D79CC}"/>
    <dgm:cxn modelId="{5F40268F-FF3A-4B33-A57E-1E3583AC3AD0}" type="presOf" srcId="{27BE1845-9356-4545-8D54-5DA795D825BF}" destId="{02651147-575E-41E5-B218-8166314565D5}" srcOrd="0" destOrd="0" presId="urn:microsoft.com/office/officeart/2005/8/layout/process4"/>
    <dgm:cxn modelId="{4BD3D9DC-6EC2-4A83-90D2-058B58EFD00A}" type="presParOf" srcId="{50F0C7F5-F88C-4B8F-A34C-905BAD39FE07}" destId="{D2F5880C-5D7A-4076-A887-0FD52F223DB9}" srcOrd="0" destOrd="0" presId="urn:microsoft.com/office/officeart/2005/8/layout/process4"/>
    <dgm:cxn modelId="{29A05FDC-EBC5-4919-A7A1-DC348789A7F7}" type="presParOf" srcId="{D2F5880C-5D7A-4076-A887-0FD52F223DB9}" destId="{5C2ED641-FC57-4047-97BE-9417EF2495FC}" srcOrd="0" destOrd="0" presId="urn:microsoft.com/office/officeart/2005/8/layout/process4"/>
    <dgm:cxn modelId="{366EB95F-40BB-45D2-87B6-65440C992076}" type="presParOf" srcId="{D2F5880C-5D7A-4076-A887-0FD52F223DB9}" destId="{BCF1975E-4752-4EC3-816C-CAC6D839CF0F}" srcOrd="1" destOrd="0" presId="urn:microsoft.com/office/officeart/2005/8/layout/process4"/>
    <dgm:cxn modelId="{25FA8926-0471-4A5D-A438-28E5385FEC7F}" type="presParOf" srcId="{D2F5880C-5D7A-4076-A887-0FD52F223DB9}" destId="{F2F94112-F3AA-4E58-9E2A-DF4271808E28}" srcOrd="2" destOrd="0" presId="urn:microsoft.com/office/officeart/2005/8/layout/process4"/>
    <dgm:cxn modelId="{8854D662-ED0F-467D-8863-554B261E0260}" type="presParOf" srcId="{F2F94112-F3AA-4E58-9E2A-DF4271808E28}" destId="{02651147-575E-41E5-B218-8166314565D5}" srcOrd="0" destOrd="0" presId="urn:microsoft.com/office/officeart/2005/8/layout/process4"/>
    <dgm:cxn modelId="{EF03F892-4FBE-4AA9-A031-26FBB64148F5}" type="presParOf" srcId="{F2F94112-F3AA-4E58-9E2A-DF4271808E28}" destId="{99B5A2E3-BDFD-4F4B-85CE-A8CF64A0D5BF}" srcOrd="1" destOrd="0" presId="urn:microsoft.com/office/officeart/2005/8/layout/process4"/>
    <dgm:cxn modelId="{FD21AF71-2811-4C53-BA3E-037D9180F166}" type="presParOf" srcId="{50F0C7F5-F88C-4B8F-A34C-905BAD39FE07}" destId="{F1A8A3EB-BF5C-466B-B8C6-0C8D966D52CF}" srcOrd="1" destOrd="0" presId="urn:microsoft.com/office/officeart/2005/8/layout/process4"/>
    <dgm:cxn modelId="{DCF9CAB3-2EF3-4925-84CF-F9D0D5F63EFA}" type="presParOf" srcId="{50F0C7F5-F88C-4B8F-A34C-905BAD39FE07}" destId="{A116E0F3-5651-4C54-8630-12F05A822FF7}" srcOrd="2" destOrd="0" presId="urn:microsoft.com/office/officeart/2005/8/layout/process4"/>
    <dgm:cxn modelId="{0C697F8A-E11A-48E4-93F7-E1BE58587B56}" type="presParOf" srcId="{A116E0F3-5651-4C54-8630-12F05A822FF7}" destId="{D356BFD4-4D74-42E9-9C4E-A875DAA54CCC}" srcOrd="0" destOrd="0" presId="urn:microsoft.com/office/officeart/2005/8/layout/process4"/>
    <dgm:cxn modelId="{D32D0A10-60A2-4924-ABA1-C005DA4D5DB2}" type="presParOf" srcId="{A116E0F3-5651-4C54-8630-12F05A822FF7}" destId="{4FB6FC6F-8103-4BDE-A6C8-5B8622328170}" srcOrd="1" destOrd="0" presId="urn:microsoft.com/office/officeart/2005/8/layout/process4"/>
    <dgm:cxn modelId="{C732A17D-0CA9-4058-9E85-CAA9883AC2B4}" type="presParOf" srcId="{A116E0F3-5651-4C54-8630-12F05A822FF7}" destId="{64582A5A-CF4A-4C78-9802-226EB2B9D1DD}" srcOrd="2" destOrd="0" presId="urn:microsoft.com/office/officeart/2005/8/layout/process4"/>
    <dgm:cxn modelId="{198172B2-7C2F-465B-B38E-9D571B6BE011}" type="presParOf" srcId="{64582A5A-CF4A-4C78-9802-226EB2B9D1DD}" destId="{83CBEDC5-50C5-4E1E-B034-AAB842C9A3F3}" srcOrd="0" destOrd="0" presId="urn:microsoft.com/office/officeart/2005/8/layout/process4"/>
    <dgm:cxn modelId="{C8AA27DD-EF32-44AE-8F4A-71C0F028E351}" type="presParOf" srcId="{64582A5A-CF4A-4C78-9802-226EB2B9D1DD}" destId="{D1661115-9712-4D64-A076-B632D6039182}" srcOrd="1" destOrd="0" presId="urn:microsoft.com/office/officeart/2005/8/layout/process4"/>
    <dgm:cxn modelId="{DDDC24A8-3CA5-47D3-87E6-8BD4E801F7C5}" type="presParOf" srcId="{64582A5A-CF4A-4C78-9802-226EB2B9D1DD}" destId="{12E6D4D9-6434-4D16-BB4F-761CC946D45E}" srcOrd="2" destOrd="0" presId="urn:microsoft.com/office/officeart/2005/8/layout/process4"/>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CF1975E-4752-4EC3-816C-CAC6D839CF0F}">
      <dsp:nvSpPr>
        <dsp:cNvPr id="0" name=""/>
        <dsp:cNvSpPr/>
      </dsp:nvSpPr>
      <dsp:spPr>
        <a:xfrm>
          <a:off x="0" y="649619"/>
          <a:ext cx="4552950" cy="426220"/>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s-CO" sz="800" kern="1200"/>
            <a:t>2. PUBLICACIÓN DE DATOS ABIERTOS</a:t>
          </a:r>
        </a:p>
      </dsp:txBody>
      <dsp:txXfrm>
        <a:off x="0" y="649619"/>
        <a:ext cx="4552950" cy="230159"/>
      </dsp:txXfrm>
    </dsp:sp>
    <dsp:sp modelId="{02651147-575E-41E5-B218-8166314565D5}">
      <dsp:nvSpPr>
        <dsp:cNvPr id="0" name=""/>
        <dsp:cNvSpPr/>
      </dsp:nvSpPr>
      <dsp:spPr>
        <a:xfrm>
          <a:off x="0" y="871253"/>
          <a:ext cx="2276475" cy="196061"/>
        </a:xfrm>
        <a:prstGeom prst="rect">
          <a:avLst/>
        </a:prstGeom>
        <a:solidFill>
          <a:schemeClr val="l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s-CO" sz="800" kern="1200"/>
            <a:t>Inventario de información</a:t>
          </a:r>
        </a:p>
      </dsp:txBody>
      <dsp:txXfrm>
        <a:off x="0" y="871253"/>
        <a:ext cx="2276475" cy="196061"/>
      </dsp:txXfrm>
    </dsp:sp>
    <dsp:sp modelId="{99B5A2E3-BDFD-4F4B-85CE-A8CF64A0D5BF}">
      <dsp:nvSpPr>
        <dsp:cNvPr id="0" name=""/>
        <dsp:cNvSpPr/>
      </dsp:nvSpPr>
      <dsp:spPr>
        <a:xfrm>
          <a:off x="2276475" y="871253"/>
          <a:ext cx="2276475" cy="196061"/>
        </a:xfrm>
        <a:prstGeom prst="rect">
          <a:avLst/>
        </a:prstGeom>
        <a:solidFill>
          <a:schemeClr val="l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s-CO" sz="800" kern="1200"/>
            <a:t>Apertura de datos.</a:t>
          </a:r>
        </a:p>
      </dsp:txBody>
      <dsp:txXfrm>
        <a:off x="2276475" y="871253"/>
        <a:ext cx="2276475" cy="196061"/>
      </dsp:txXfrm>
    </dsp:sp>
    <dsp:sp modelId="{4FB6FC6F-8103-4BDE-A6C8-5B8622328170}">
      <dsp:nvSpPr>
        <dsp:cNvPr id="0" name=""/>
        <dsp:cNvSpPr/>
      </dsp:nvSpPr>
      <dsp:spPr>
        <a:xfrm rot="10800000">
          <a:off x="0" y="485"/>
          <a:ext cx="4552950" cy="655527"/>
        </a:xfrm>
        <a:prstGeom prst="upArrowCallou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es-CO" sz="800" kern="1200"/>
            <a:t>1. PUBLICACIÓN DE INFORMACIÓN</a:t>
          </a:r>
        </a:p>
      </dsp:txBody>
      <dsp:txXfrm>
        <a:off x="0" y="485"/>
        <a:ext cx="4552950" cy="230090"/>
      </dsp:txXfrm>
    </dsp:sp>
    <dsp:sp modelId="{83CBEDC5-50C5-4E1E-B034-AAB842C9A3F3}">
      <dsp:nvSpPr>
        <dsp:cNvPr id="0" name=""/>
        <dsp:cNvSpPr/>
      </dsp:nvSpPr>
      <dsp:spPr>
        <a:xfrm>
          <a:off x="2223" y="230575"/>
          <a:ext cx="1516167" cy="196002"/>
        </a:xfrm>
        <a:prstGeom prst="rect">
          <a:avLst/>
        </a:prstGeom>
        <a:solidFill>
          <a:schemeClr val="l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s-CO" sz="800" kern="1200"/>
            <a:t>Politica Editorial</a:t>
          </a:r>
        </a:p>
      </dsp:txBody>
      <dsp:txXfrm>
        <a:off x="2223" y="230575"/>
        <a:ext cx="1516167" cy="196002"/>
      </dsp:txXfrm>
    </dsp:sp>
    <dsp:sp modelId="{D1661115-9712-4D64-A076-B632D6039182}">
      <dsp:nvSpPr>
        <dsp:cNvPr id="0" name=""/>
        <dsp:cNvSpPr/>
      </dsp:nvSpPr>
      <dsp:spPr>
        <a:xfrm>
          <a:off x="1518391" y="230575"/>
          <a:ext cx="1516167" cy="196002"/>
        </a:xfrm>
        <a:prstGeom prst="rect">
          <a:avLst/>
        </a:prstGeom>
        <a:solidFill>
          <a:schemeClr val="l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s-CO" sz="800" kern="1200"/>
            <a:t>Publicación</a:t>
          </a:r>
          <a:r>
            <a:rPr lang="es-CO" sz="900" kern="1200"/>
            <a:t> </a:t>
          </a:r>
          <a:r>
            <a:rPr lang="es-CO" sz="800" kern="1200"/>
            <a:t>de informacion </a:t>
          </a:r>
          <a:endParaRPr lang="es-CO" sz="900" kern="1200"/>
        </a:p>
      </dsp:txBody>
      <dsp:txXfrm>
        <a:off x="1518391" y="230575"/>
        <a:ext cx="1516167" cy="196002"/>
      </dsp:txXfrm>
    </dsp:sp>
    <dsp:sp modelId="{12E6D4D9-6434-4D16-BB4F-761CC946D45E}">
      <dsp:nvSpPr>
        <dsp:cNvPr id="0" name=""/>
        <dsp:cNvSpPr/>
      </dsp:nvSpPr>
      <dsp:spPr>
        <a:xfrm>
          <a:off x="3034558" y="230575"/>
          <a:ext cx="1516167" cy="196002"/>
        </a:xfrm>
        <a:prstGeom prst="rect">
          <a:avLst/>
        </a:prstGeom>
        <a:solidFill>
          <a:schemeClr val="l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es-CO" sz="800" kern="1200"/>
            <a:t>Acceso Multicanal</a:t>
          </a:r>
        </a:p>
      </dsp:txBody>
      <dsp:txXfrm>
        <a:off x="3034558" y="230575"/>
        <a:ext cx="1516167" cy="19600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Mar14</b:Tag>
    <b:SourceType>Book</b:SourceType>
    <b:Guid>{6278C7C0-5DE9-4718-AF02-900FFE33B88E}</b:Guid>
    <b:Author>
      <b:Author>
        <b:NameList>
          <b:Person>
            <b:Last>Martínez</b:Last>
            <b:First>E</b:First>
          </b:Person>
          <b:Person>
            <b:Last>Ramírez</b:Last>
            <b:First>J</b:First>
          </b:Person>
          <b:Person>
            <b:Last>Pico</b:Last>
            <b:First>D</b:First>
          </b:Person>
        </b:NameList>
      </b:Author>
    </b:Author>
    <b:Title>25 años de la Elección Popular de Alcaldes en Colombia</b:Title>
    <b:Year>2014</b:Year>
    <b:City>Bogotá</b:City>
    <b:Publisher>ESAP</b:Publisher>
    <b:RefOrder>1</b:RefOrder>
  </b:Source>
  <b:Source>
    <b:Tag>Fuk96</b:Tag>
    <b:SourceType>Book</b:SourceType>
    <b:Guid>{1E744D21-2009-472E-A388-8433EB67B132}</b:Guid>
    <b:Author>
      <b:Author>
        <b:NameList>
          <b:Person>
            <b:Last>Fukuyama</b:Last>
            <b:First>F</b:First>
          </b:Person>
        </b:NameList>
      </b:Author>
    </b:Author>
    <b:Title>Confianza. Las virtudes sociales y la capacidad de generar prosperidad</b:Title>
    <b:Year>1996</b:Year>
    <b:City>Buenos aires</b:City>
    <b:Publisher>Atlantida</b:Publisher>
    <b:RefOrder>26</b:RefOrder>
  </b:Source>
  <b:Source>
    <b:Tag>Cha10</b:Tag>
    <b:SourceType>Book</b:SourceType>
    <b:Guid>{C944D0A1-CEB0-454F-90CE-D077F349DDAD}</b:Guid>
    <b:Author>
      <b:Author>
        <b:NameList>
          <b:Person>
            <b:Last>Tilly</b:Last>
            <b:First>Charles</b:First>
          </b:Person>
        </b:NameList>
      </b:Author>
    </b:Author>
    <b:Title>Confianza y Gobierno</b:Title>
    <b:Year>2010</b:Year>
    <b:City>Buenos Aires</b:City>
    <b:Publisher>Amorrortu</b:Publisher>
    <b:RefOrder>15</b:RefOrder>
  </b:Source>
  <b:Source>
    <b:Tag>REt06</b:Tag>
    <b:SourceType>JournalArticle</b:SourceType>
    <b:Guid>{AC97671C-B59B-4D02-9CAB-6451B0157688}</b:Guid>
    <b:Title>Confianza en la organización: Caso de la industria turistica turca</b:Title>
    <b:Year>2006</b:Year>
    <b:Author>
      <b:Author>
        <b:NameList>
          <b:Person>
            <b:Last>Ethiyar</b:Last>
            <b:First>R</b:First>
          </b:Person>
          <b:Person>
            <b:Last>Aktas</b:Last>
            <b:First>Aylin</b:First>
          </b:Person>
        </b:NameList>
      </b:Author>
    </b:Author>
    <b:JournalName>Estudios y perspectivas en turismo</b:JournalName>
    <b:Pages>293 - 311</b:Pages>
    <b:RefOrder>27</b:RefOrder>
  </b:Source>
  <b:Source>
    <b:Tag>Huf05</b:Tag>
    <b:SourceType>JournalArticle</b:SourceType>
    <b:Guid>{1775AFEB-3BED-4CD8-AA1B-C56DF65BB50C}</b:Guid>
    <b:Author>
      <b:Author>
        <b:NameList>
          <b:Person>
            <b:Last>Huff</b:Last>
            <b:First>Leanard</b:First>
          </b:Person>
        </b:NameList>
      </b:Author>
    </b:Author>
    <b:Title>Is collectivism a viability? The impact of culture on organizational trust and customer orientation: a seven nation study</b:Title>
    <b:JournalName>Journal and bussines research</b:JournalName>
    <b:Year>2005</b:Year>
    <b:Pages>58 - 102</b:Pages>
    <b:RefOrder>28</b:RefOrder>
  </b:Source>
  <b:Source>
    <b:Tag>Sil09</b:Tag>
    <b:SourceType>JournalArticle</b:SourceType>
    <b:Guid>{5B033CBA-AC56-414C-BEAD-41F139A2646E}</b:Guid>
    <b:Title>Concepto, dimensiones y antecedentes de la confianza en los entornos virtuales.</b:Title>
    <b:Year>2009</b:Year>
    <b:Author>
      <b:Author>
        <b:NameList>
          <b:Person>
            <b:Last>Sanz</b:Last>
            <b:First>Silvia</b:First>
          </b:Person>
          <b:Person>
            <b:Last>Ruiz</b:Last>
            <b:First>Carla</b:First>
          </b:Person>
          <b:Person>
            <b:Last>Perez</b:Last>
            <b:First>Isabel</b:First>
          </b:Person>
        </b:NameList>
      </b:Author>
    </b:Author>
    <b:JournalName>Teoria y praxis 6</b:JournalName>
    <b:Pages>31-56</b:Pages>
    <b:RefOrder>29</b:RefOrder>
  </b:Source>
  <b:Source>
    <b:Tag>Col90</b:Tag>
    <b:SourceType>JournalArticle</b:SourceType>
    <b:Guid>{F9F989C9-BB53-4D5D-AE0D-CCA9F5BE8B48}</b:Guid>
    <b:Author>
      <b:Author>
        <b:NameList>
          <b:Person>
            <b:Last>Coleman</b:Last>
            <b:First>J.</b:First>
          </b:Person>
        </b:NameList>
      </b:Author>
    </b:Author>
    <b:Title>Fundación de la teoria social</b:Title>
    <b:JournalName>Cambridge: Harvar University Press.</b:JournalName>
    <b:Year>1990</b:Year>
    <b:RefOrder>30</b:RefOrder>
  </b:Source>
  <b:Source>
    <b:Tag>Roj06</b:Tag>
    <b:SourceType>JournalArticle</b:SourceType>
    <b:Guid>{355002F0-10F8-4CC9-859C-5CD47A87FEB9}</b:Guid>
    <b:Author>
      <b:Author>
        <b:NameList>
          <b:Person>
            <b:Last>Rojas</b:Last>
            <b:First>M</b:First>
          </b:Person>
          <b:Person>
            <b:Last>Marin</b:Last>
            <b:First>S.</b:First>
          </b:Person>
        </b:NameList>
      </b:Author>
    </b:Author>
    <b:Title>Aproximaciones a la medición de confianza</b:Title>
    <b:JournalName>Dyna, Año 73, Nro. 150</b:JournalName>
    <b:Year>2006</b:Year>
    <b:Pages>119-130</b:Pages>
    <b:RefOrder>31</b:RefOrder>
  </b:Source>
  <b:Source>
    <b:Tag>Jav08</b:Tag>
    <b:SourceType>JournalArticle</b:SourceType>
    <b:Guid>{6D6C063C-C06E-46FD-8D28-E17C94C4FAF0}</b:Guid>
    <b:Author>
      <b:Author>
        <b:NameList>
          <b:Person>
            <b:Last>Marotte</b:Last>
            <b:First>Javier</b:First>
            <b:Middle>Pablo</b:Middle>
          </b:Person>
        </b:NameList>
      </b:Author>
    </b:Author>
    <b:Title>Insatisfacción en las democracias: Causas y orígenes del malestar</b:Title>
    <b:JournalName>Revista de ciencia politica, de la ciudad de Buenos Aires a la aldea global.</b:JournalName>
    <b:Year>2008</b:Year>
    <b:RefOrder>11</b:RefOrder>
  </b:Source>
  <b:Source>
    <b:Tag>Mil90</b:Tag>
    <b:SourceType>JournalArticle</b:SourceType>
    <b:Guid>{D3900DD2-19A7-4A74-A4EB-632336C12712}</b:Guid>
    <b:Title>Political Parties and Confidence in Government: A Comparison of Norway, Sweden and the United States</b:Title>
    <b:Year>1990</b:Year>
    <b:Author>
      <b:Author>
        <b:NameList>
          <b:Person>
            <b:Last>Miller</b:Last>
            <b:First>A.</b:First>
            <b:Middle>H</b:Middle>
          </b:Person>
          <b:Person>
            <b:Last>Listhaug</b:Last>
            <b:First>O</b:First>
          </b:Person>
        </b:NameList>
      </b:Author>
    </b:Author>
    <b:JournalName>British Journal of Political Science 20</b:JournalName>
    <b:Pages>357-386</b:Pages>
    <b:RefOrder>13</b:RefOrder>
  </b:Source>
  <b:Source>
    <b:Tag>San00</b:Tag>
    <b:SourceType>Book</b:SourceType>
    <b:Guid>{BD37EF55-37B6-4829-9170-DCD529E8A914}</b:Guid>
    <b:Title>Cofianza en el gobierno: Medidas para fortalecer el marco etico en los paises de la OCDE</b:Title>
    <b:Year>2000</b:Year>
    <b:Author>
      <b:Author>
        <b:NameList>
          <b:Person>
            <b:Last>Sanchez</b:Last>
            <b:First>Jorge</b:First>
          </b:Person>
        </b:NameList>
      </b:Author>
    </b:Author>
    <b:City>Mexico</b:City>
    <b:Publisher>OCDE</b:Publisher>
    <b:RefOrder>14</b:RefOrder>
  </b:Source>
  <b:Source>
    <b:Tag>Bli06</b:Tag>
    <b:SourceType>JournalArticle</b:SourceType>
    <b:Guid>{9474A94D-F8A9-4488-9010-D04FC7864FC6}</b:Guid>
    <b:Title>Building trust in government in the twenty-first century:  Review of Literature and Emerging Issues</b:Title>
    <b:Year>2006</b:Year>
    <b:Author>
      <b:Author>
        <b:NameList>
          <b:Person>
            <b:Last>Blind</b:Last>
            <b:First>Peri</b:First>
          </b:Person>
        </b:NameList>
      </b:Author>
    </b:Author>
    <b:JournalName>UNDESA</b:JournalName>
    <b:Pages>1 - 21</b:Pages>
    <b:RefOrder>12</b:RefOrder>
  </b:Source>
  <b:Source>
    <b:Tag>Pra05</b:Tag>
    <b:SourceType>Book</b:SourceType>
    <b:Guid>{F34EEEF0-5483-4289-B024-F3942C07178E}</b:Guid>
    <b:Author>
      <b:Author>
        <b:NameList>
          <b:Person>
            <b:Last>Prats</b:Last>
            <b:First>Joan</b:First>
          </b:Person>
        </b:NameList>
      </b:Author>
    </b:Author>
    <b:Title>De la burocracia al management: del management a la gobernanza</b:Title>
    <b:Year>2005</b:Year>
    <b:City>Madrid</b:City>
    <b:Publisher>INAP</b:Publisher>
    <b:RefOrder>18</b:RefOrder>
  </b:Source>
  <b:Source>
    <b:Tag>Fin70</b:Tag>
    <b:SourceType>JournalArticle</b:SourceType>
    <b:Guid>{C1A64D0F-E444-4B49-BB46-9923EC407E43}</b:Guid>
    <b:Title>Alienation, Dimensions of Political</b:Title>
    <b:Year>1970</b:Year>
    <b:Author>
      <b:Author>
        <b:NameList>
          <b:Person>
            <b:Last>Finifter</b:Last>
            <b:First>A.W</b:First>
          </b:Person>
        </b:NameList>
      </b:Author>
    </b:Author>
    <b:JournalName>American Political Science Review 64,</b:JournalName>
    <b:Pages> 389-410</b:Pages>
    <b:RefOrder>19</b:RefOrder>
  </b:Source>
  <b:Source>
    <b:Tag>Job05</b:Tag>
    <b:SourceType>JournalArticle</b:SourceType>
    <b:Guid>{EC222B80-183F-44F1-9077-9BE57D0F71A1}</b:Guid>
    <b:Author>
      <b:Author>
        <b:NameList>
          <b:Person>
            <b:Last>Job</b:Last>
            <b:First>Jenny</b:First>
          </b:Person>
        </b:NameList>
      </b:Author>
    </b:Author>
    <b:Title>How is Trust in Government Created? It Begins at Home, but Ends in the Parliament</b:Title>
    <b:JournalName>Australian Review of Public Affairs 6</b:JournalName>
    <b:Year>2005</b:Year>
    <b:Pages>1-23</b:Pages>
    <b:RefOrder>17</b:RefOrder>
  </b:Source>
  <b:Source>
    <b:Tag>Ram10</b:Tag>
    <b:SourceType>JournalArticle</b:SourceType>
    <b:Guid>{F35DD219-1F41-4EA9-AAD0-C59AC7FC0452}</b:Guid>
    <b:Author>
      <b:Author>
        <b:NameList>
          <b:Person>
            <b:Last>Ramírez-Alujas</b:Last>
            <b:First>Alvaro</b:First>
          </b:Person>
        </b:NameList>
      </b:Author>
    </b:Author>
    <b:Title>Innovación en la Gestión Pública y Open Government (Gobierno Abierto): Una vieja nueva idea.</b:Title>
    <b:JournalName>Buen Gobierno No. 9:94-</b:JournalName>
    <b:Year>2010</b:Year>
    <b:Pages>2-13</b:Pages>
    <b:RefOrder>20</b:RefOrder>
  </b:Source>
  <b:Source>
    <b:Tag>Kal06</b:Tag>
    <b:SourceType>JournalArticle</b:SourceType>
    <b:Guid>{F5F8D843-853E-4824-BE3E-E353FF7C660F}</b:Guid>
    <b:Title>Citizenship, Administrative Responsbility, and Participation in Governance: One more look</b:Title>
    <b:Year>2006</b:Year>
    <b:Author>
      <b:Author>
        <b:NameList>
          <b:Person>
            <b:Last>Kalu</b:Last>
            <b:First>K.</b:First>
            <b:Middle>N</b:Middle>
          </b:Person>
        </b:NameList>
      </b:Author>
    </b:Author>
    <b:JournalName>Governance, Strategy and Policy: Seven Critical Essays</b:JournalName>
    <b:Pages>73 - 94</b:Pages>
    <b:RefOrder>21</b:RefOrder>
  </b:Source>
  <b:Source>
    <b:Tag>Dec12</b:Tag>
    <b:SourceType>Misc</b:SourceType>
    <b:Guid>{6B3FD47C-F8D8-4930-B52A-E317E4B8953E}</b:Guid>
    <b:Title>Decreto 2693</b:Title>
    <b:Year>2012</b:Year>
    <b:RefOrder>22</b:RefOrder>
  </b:Source>
  <b:Source>
    <b:Tag>Min12</b:Tag>
    <b:SourceType>Misc</b:SourceType>
    <b:Guid>{536156A5-80C1-4CCD-901B-2356F03141AB}</b:Guid>
    <b:Author>
      <b:Author>
        <b:Corporate>Min Tic</b:Corporate>
      </b:Author>
    </b:Author>
    <b:Title>Manual 3.1 para la implementación de la estrategia de Gobierno en Línea.</b:Title>
    <b:Year>2012</b:Year>
    <b:RefOrder>25</b:RefOrder>
  </b:Source>
  <b:Source>
    <b:Tag>OHa09</b:Tag>
    <b:SourceType>JournalArticle</b:SourceType>
    <b:Guid>{4CBD8435-360E-4D6C-8392-A39B177AC0F1}</b:Guid>
    <b:Title>Transparency, Open Data and Trust in Government: Shaping the Infosphere </b:Title>
    <b:Year>2009</b:Year>
    <b:Author>
      <b:Author>
        <b:NameList>
          <b:Person>
            <b:Last>O’Hara</b:Last>
            <b:First>Kieron</b:First>
          </b:Person>
        </b:NameList>
      </b:Author>
    </b:Author>
    <b:JournalName>Electronics and Computer - Science University of Southampton Highfield</b:JournalName>
    <b:RefOrder>16</b:RefOrder>
  </b:Source>
  <b:Source>
    <b:Tag>Noh11</b:Tag>
    <b:SourceType>Book</b:SourceType>
    <b:Guid>{7904C0E4-239A-4EB9-AD9E-6ADEAAC3301A}</b:Guid>
    <b:Author>
      <b:Author>
        <b:NameList>
          <b:Person>
            <b:Last>Nohlen</b:Last>
            <b:First>D</b:First>
          </b:Person>
        </b:NameList>
      </b:Author>
    </b:Author>
    <b:Title>La Democracia: Instituciones, Conceptos y Contexto</b:Title>
    <b:Year>2011</b:Year>
    <b:City>Ciudad de México</b:City>
    <b:Publisher>Universidad Autónoma de México</b:Publisher>
    <b:RefOrder>2</b:RefOrder>
  </b:Source>
  <b:Source>
    <b:Tag>Hun94</b:Tag>
    <b:SourceType>Book</b:SourceType>
    <b:Guid>{E51C088A-92A6-473B-9775-D8C8F006EA72}</b:Guid>
    <b:Author>
      <b:Author>
        <b:NameList>
          <b:Person>
            <b:Last>Huntington</b:Last>
            <b:First>S</b:First>
          </b:Person>
        </b:NameList>
      </b:Author>
    </b:Author>
    <b:Title>La tercera ola. La democratización a finales del siglo XX</b:Title>
    <b:Year>1994</b:Year>
    <b:City>Barcelona</b:City>
    <b:Publisher>Paidós Ibérica, S.A.</b:Publisher>
    <b:RefOrder>3</b:RefOrder>
  </b:Source>
  <b:Source>
    <b:Tag>PNU04</b:Tag>
    <b:SourceType>Book</b:SourceType>
    <b:Guid>{FB1AE95D-941C-4FDD-B473-89B5A433C457}</b:Guid>
    <b:Author>
      <b:Author>
        <b:Corporate>PNUD</b:Corporate>
      </b:Author>
    </b:Author>
    <b:Title>La democracia en América Latina. Hacia una democracia de ciudadanas y ciudadanos</b:Title>
    <b:Year>2004</b:Year>
    <b:City>Buenos Aires</b:City>
    <b:Publisher>Alfaguara</b:Publisher>
    <b:RefOrder>4</b:RefOrder>
  </b:Source>
  <b:Source>
    <b:Tag>Lin96</b:Tag>
    <b:SourceType>JournalArticle</b:SourceType>
    <b:Guid>{07509F24-CFAA-4376-B6D8-0B08A7B4181B}</b:Guid>
    <b:Author>
      <b:Author>
        <b:NameList>
          <b:Person>
            <b:Last>Linz</b:Last>
            <b:First>J</b:First>
          </b:Person>
          <b:Person>
            <b:Last>Stepan</b:Last>
            <b:First>A</b:First>
          </b:Person>
        </b:NameList>
      </b:Author>
    </b:Author>
    <b:Title>Hacia la consolidación democrática</b:Title>
    <b:Year>1996</b:Year>
    <b:JournalName>La Política. Revista sobre el Estado y la Sociedad</b:JournalName>
    <b:RefOrder>5</b:RefOrder>
  </b:Source>
  <b:Source>
    <b:Tag>Dia041</b:Tag>
    <b:SourceType>JournalArticle</b:SourceType>
    <b:Guid>{8329B343-20B5-4E87-92FB-CFD3FE4ADB90}</b:Guid>
    <b:Author>
      <b:Author>
        <b:NameList>
          <b:Person>
            <b:Last>Diamond</b:Last>
            <b:First>L</b:First>
          </b:Person>
          <b:Person>
            <b:Last>Morlino</b:Last>
            <b:First>L</b:First>
          </b:Person>
        </b:NameList>
      </b:Author>
    </b:Author>
    <b:Title>The Quality of Democracy. An Overview</b:Title>
    <b:JournalName>Journal of Democracy</b:JournalName>
    <b:Year>2004</b:Year>
    <b:Pages>20-31</b:Pages>
    <b:RefOrder>6</b:RefOrder>
  </b:Source>
  <b:Source>
    <b:Tag>ODo</b:Tag>
    <b:SourceType>Book</b:SourceType>
    <b:Guid>{B22F8C79-DAA6-418E-BE64-12D3B78F391A}</b:Guid>
    <b:Author>
      <b:Author>
        <b:NameList>
          <b:Person>
            <b:Last>O'Donnell</b:Last>
            <b:First>G</b:First>
          </b:Person>
          <b:Person>
            <b:Last>Schinitter</b:Last>
            <b:First>R</b:First>
          </b:Person>
          <b:Person>
            <b:Last>Whitehead</b:Last>
            <b:First>L.</b:First>
          </b:Person>
        </b:NameList>
      </b:Author>
    </b:Author>
    <b:Title>Transiciones desde gobiernos autoritarios. Conclusiones tentativas sobre democracias inciertas</b:Title>
    <b:City>Buenos Aires</b:City>
    <b:Publisher>Paidós</b:Publisher>
    <b:Year>1988</b:Year>
    <b:RefOrder>7</b:RefOrder>
  </b:Source>
  <b:Source>
    <b:Tag>Cor15</b:Tag>
    <b:SourceType>InternetSite</b:SourceType>
    <b:Guid>{5BD514D9-3D17-4A54-8DB2-5D84115437F3}</b:Guid>
    <b:Author>
      <b:Author>
        <b:Corporate>Corporación Latinbarómetro</b:Corporate>
      </b:Author>
    </b:Author>
    <b:Title>Banco de Datos</b:Title>
    <b:Year>2015</b:Year>
    <b:Month>03</b:Month>
    <b:Day>10</b:Day>
    <b:URL>http://www.latinobarometro.org/lat.jsp</b:URL>
    <b:InternetSiteTitle>Corporación Latinbarómetro</b:InternetSiteTitle>
    <b:RefOrder>8</b:RefOrder>
  </b:Source>
  <b:Source>
    <b:Tag>JMo08</b:Tag>
    <b:SourceType>JournalArticle</b:SourceType>
    <b:Guid>{04B6A5F3-E744-4736-9E68-99D15236B836}</b:Guid>
    <b:Author>
      <b:Author>
        <b:NameList>
          <b:Person>
            <b:Last>Montero</b:Last>
            <b:First>J</b:First>
          </b:Person>
          <b:Person>
            <b:Last>Zmerli</b:Last>
            <b:First>S</b:First>
          </b:Person>
          <b:Person>
            <b:Last>Newton</b:Last>
            <b:First>K</b:First>
          </b:Person>
        </b:NameList>
      </b:Author>
    </b:Author>
    <b:Title>Confianza social, confianza política y satisfacción con la democracia</b:Title>
    <b:Year>2008</b:Year>
    <b:JournalName>Revista Española de Investigaciones Sociológicas</b:JournalName>
    <b:Pages>11-54</b:Pages>
    <b:RefOrder>9</b:RefOrder>
  </b:Source>
  <b:Source>
    <b:Tag>Fis11</b:Tag>
    <b:SourceType>JournalArticle</b:SourceType>
    <b:Guid>{EE6F93A1-1DEE-448B-BCC0-90FD2AF9BFF3}</b:Guid>
    <b:Author>
      <b:Author>
        <b:NameList>
          <b:Person>
            <b:Last>Fishkin</b:Last>
            <b:First>James</b:First>
          </b:Person>
        </b:NameList>
      </b:Author>
    </b:Author>
    <b:Title>Deliberative Democracy in Context: Reflections on Theory and Practice</b:Title>
    <b:JournalName> Yale-Oslo conference on Epistemic Democracy</b:JournalName>
    <b:Year>2011</b:Year>
    <b:Pages>1-15</b:Pages>
    <b:RefOrder>10</b:RefOrder>
  </b:Source>
  <b:Source>
    <b:Tag>Lev071</b:Tag>
    <b:SourceType>JournalArticle</b:SourceType>
    <b:Guid>{B5590C7F-4FE0-4727-990E-7A8BE0CFAD63}</b:Guid>
    <b:Author>
      <b:Author>
        <b:NameList>
          <b:Person>
            <b:Last>Levine</b:Last>
            <b:First>D</b:First>
          </b:Person>
          <b:Person>
            <b:Last>Molina</b:Last>
            <b:First>J</b:First>
          </b:Person>
        </b:NameList>
      </b:Author>
    </b:Author>
    <b:Title>La calidad de la democracia en América Latina: una visión comparada</b:Title>
    <b:JournalName>América Latina Hoy</b:JournalName>
    <b:Year>2007</b:Year>
    <b:Pages>17-46</b:Pages>
    <b:RefOrder>23</b:RefOrder>
  </b:Source>
  <b:Source>
    <b:Tag>Dah99</b:Tag>
    <b:SourceType>Book</b:SourceType>
    <b:Guid>{BF2FC401-FA61-4284-B564-9C5F13F9FBCB}</b:Guid>
    <b:Author>
      <b:Author>
        <b:NameList>
          <b:Person>
            <b:Last>Dahl</b:Last>
            <b:First>R</b:First>
          </b:Person>
        </b:NameList>
      </b:Author>
    </b:Author>
    <b:Title>La democracia y sus críticos</b:Title>
    <b:Year>1999</b:Year>
    <b:City>Barcelona </b:City>
    <b:Publisher>Paidós</b:Publisher>
    <b:RefOrder>24</b:RefOrder>
  </b:Source>
  <b:Source>
    <b:Tag>Mas08</b:Tag>
    <b:SourceType>DocumentFromInternetSite</b:SourceType>
    <b:Guid>{0683938A-684A-4EBB-A7ED-A1A3ED21A83A}</b:Guid>
    <b:Author>
      <b:Author>
        <b:NameList>
          <b:Person>
            <b:Last>Mascareño</b:Last>
            <b:First>Carlos</b:First>
          </b:Person>
        </b:NameList>
      </b:Author>
    </b:Author>
    <b:Title>The University of Maryland, College Park</b:Title>
    <b:Year>2008</b:Year>
    <b:YearAccessed>2010</b:YearAccessed>
    <b:MonthAccessed>10</b:MonthAccessed>
    <b:DayAccessed>13</b:DayAccessed>
    <b:URL>http://www.lasc.umd.edu/Publications/WorkingPapers/NewLASCSeries/WP23(CarlosMascareno).pdf</b:URL>
    <b:RefOrder>32</b:RefOrder>
  </b:Source>
  <b:Source>
    <b:Tag>Von90</b:Tag>
    <b:SourceType>JournalArticle</b:SourceType>
    <b:Guid>{4405F4E4-FEA7-41CE-9500-0E38074891AF}</b:Guid>
    <b:Author>
      <b:Author>
        <b:NameList>
          <b:Person>
            <b:Last>Von Haldenwang</b:Last>
            <b:First>C</b:First>
          </b:Person>
        </b:NameList>
      </b:Author>
    </b:Author>
    <b:Title>Hacia un concepto politológico de la descentralización del Estado en América Latina</b:Title>
    <b:Year>1990</b:Year>
    <b:JournalName>EURE Revista Latinoamericana de Estudios Urbano Regionales</b:JournalName>
    <b:Pages>61-77</b:Pages>
    <b:Volume>16</b:Volume>
    <b:Issue>50</b:Issue>
    <b:RefOrder>33</b:RefOrder>
  </b:Source>
  <b:Source>
    <b:Tag>Res061</b:Tag>
    <b:SourceType>Book</b:SourceType>
    <b:Guid>{8B312FA3-1359-4E2D-A0D9-159BA0A31D3D}</b:Guid>
    <b:Author>
      <b:Author>
        <b:NameList>
          <b:Person>
            <b:Last>Restrepo</b:Last>
            <b:First>D.</b:First>
          </b:Person>
        </b:NameList>
      </b:Author>
    </b:Author>
    <b:Title>Historias de la descentralización: Transformación del régimen político y cambio en el modelo de desarrollo América Ltina, Europa y EUA</b:Title>
    <b:Year>2006</b:Year>
    <b:City>Bogotá</b:City>
    <b:Publisher>Universidad Nacional de Colombia</b:Publisher>
    <b:RefOrder>34</b:RefOrder>
  </b:Source>
  <b:Source>
    <b:Tag>MarcadorDePosición4</b:Tag>
    <b:SourceType>Book</b:SourceType>
    <b:Guid>{50AC54F7-437A-4C85-9ADE-9288DA8857FF}</b:Guid>
    <b:Author>
      <b:Author>
        <b:NameList>
          <b:Person>
            <b:Last>Diamond</b:Last>
            <b:First>L</b:First>
          </b:Person>
        </b:NameList>
      </b:Author>
    </b:Author>
    <b:Title>Developing Democracy. Toward Consolidation</b:Title>
    <b:Year>1999</b:Year>
    <b:City>Baltimore</b:City>
    <b:Publisher>The Johns Hopkins University Press</b:Publisher>
    <b:RefOrder>35</b:RefOrder>
  </b:Source>
  <b:Source>
    <b:Tag>MarcadorDePosición3</b:Tag>
    <b:SourceType>Book</b:SourceType>
    <b:Guid>{CD3BB0E5-1785-4CC5-96C1-A4E9D5EA4A92}</b:Guid>
    <b:Author>
      <b:Author>
        <b:NameList>
          <b:Person>
            <b:Last>Montero</b:Last>
            <b:First>A</b:First>
          </b:Person>
          <b:Person>
            <b:Last>Samuels</b:Last>
            <b:First>D</b:First>
          </b:Person>
        </b:NameList>
      </b:Author>
    </b:Author>
    <b:Title>The political determinants of decentralization in Latin American: Causes and consequences</b:Title>
    <b:Year>2004</b:Year>
    <b:City>Indiana</b:City>
    <b:Publisher>University of Notre Dame Press</b:Publisher>
    <b:RefOrder>36</b:RefOrder>
  </b:Source>
  <b:Source>
    <b:Tag>Beh11</b:Tag>
    <b:SourceType>JournalArticle</b:SourceType>
    <b:Guid>{B4AF07DE-5BC8-44C3-ACB1-57D970EEE77A}</b:Guid>
    <b:Author>
      <b:Author>
        <b:NameList>
          <b:Person>
            <b:Last>Behrend</b:Last>
            <b:First>Jacqueline</b:First>
          </b:Person>
        </b:NameList>
      </b:Author>
    </b:Author>
    <b:Title>Introducción: política subnacional y democracia</b:Title>
    <b:Year>2011</b:Year>
    <b:Pages>249-260</b:Pages>
    <b:JournalName>Revista SAAP</b:JournalName>
    <b:Volume>5</b:Volume>
    <b:Issue>2</b:Issue>
    <b:RefOrder>37</b:RefOrder>
  </b:Source>
  <b:Source>
    <b:Tag>Ger05</b:Tag>
    <b:SourceType>JournalArticle</b:SourceType>
    <b:Guid>{9A872B1B-0F20-43D4-87CE-985FC360EDB7}</b:Guid>
    <b:Author>
      <b:Author>
        <b:NameList>
          <b:Person>
            <b:Last>Gervasoni</b:Last>
            <b:First>Carlos</b:First>
          </b:Person>
        </b:NameList>
      </b:Author>
    </b:Author>
    <b:Title>Poliarquía a nivel subnacional. Aspectos conceptuales y normativos en el contexto de las democracias federales</b:Title>
    <b:Year>2005</b:Year>
    <b:JournalName>Colección</b:JournalName>
    <b:Pages>83-122</b:Pages>
    <b:Issue>16</b:Issue>
    <b:RefOrder>38</b:RefOrder>
  </b:Source>
  <b:Source>
    <b:Tag>Dah02</b:Tag>
    <b:SourceType>Book</b:SourceType>
    <b:Guid>{356E5ADC-F166-4CA0-82D2-E5A584DD5880}</b:Guid>
    <b:Author>
      <b:Author>
        <b:NameList>
          <b:Person>
            <b:Last>Dahl</b:Last>
            <b:First>Robert</b:First>
            <b:Middle>A.</b:Middle>
          </b:Person>
        </b:NameList>
      </b:Author>
    </b:Author>
    <b:Title>La poliarquia: participación y oposición</b:Title>
    <b:Year>1993</b:Year>
    <b:City>México</b:City>
    <b:Publisher>Red Editorial Iberoamericana</b:Publisher>
    <b:RefOrder>39</b:RefOrder>
  </b:Source>
  <b:Source>
    <b:Tag>Bal12</b:Tag>
    <b:SourceType>DocumentFromInternetSite</b:SourceType>
    <b:Guid>{07761801-2100-41AA-9B2A-ED770B76672D}</b:Guid>
    <b:Author>
      <b:Author>
        <b:NameList>
          <b:Person>
            <b:Last>Balán</b:Last>
            <b:First>Pablo</b:First>
            <b:Middle>E</b:Middle>
          </b:Person>
        </b:NameList>
      </b:Author>
    </b:Author>
    <b:Title>Autoritarismo subnacional: clasificación, causas, teoría</b:Title>
    <b:Year>2012</b:Year>
    <b:InternetSiteTitle>http://www.academia.edu/</b:InternetSiteTitle>
    <b:YearAccessed>2012</b:YearAccessed>
    <b:MonthAccessed>11</b:MonthAccessed>
    <b:DayAccessed>18</b:DayAccessed>
    <b:URL>http://www.academia.edu/1611708/Autoritarismo_subnacional_clasificacion_causas_teoria</b:URL>
    <b:RefOrder>40</b:RefOrder>
  </b:Source>
  <b:Source>
    <b:Tag>Sny01</b:Tag>
    <b:SourceType>JournalArticle</b:SourceType>
    <b:Guid>{05A4AEC7-B8A2-4BB2-A1CF-14940D224D7F}</b:Guid>
    <b:Author>
      <b:Author>
        <b:NameList>
          <b:Person>
            <b:Last>Snyder</b:Last>
            <b:First>R.</b:First>
          </b:Person>
        </b:NameList>
      </b:Author>
    </b:Author>
    <b:Title>Scaling Down: The Subnational Comparative method</b:Title>
    <b:Year>2001</b:Year>
    <b:JournalName>Studies in Comparative International Development</b:JournalName>
    <b:Pages>93-110</b:Pages>
    <b:Volume>36</b:Volume>
    <b:Issue>1</b:Issue>
    <b:RefOrder>41</b:RefOrder>
  </b:Source>
</b:Sources>
</file>

<file path=customXml/itemProps1.xml><?xml version="1.0" encoding="utf-8"?>
<ds:datastoreItem xmlns:ds="http://schemas.openxmlformats.org/officeDocument/2006/customXml" ds:itemID="{4C59D8D1-B5CF-4F7E-95AB-B72284269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10338</Words>
  <Characters>56865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Pico</dc:creator>
  <cp:lastModifiedBy>GRACIELA</cp:lastModifiedBy>
  <cp:revision>3</cp:revision>
  <dcterms:created xsi:type="dcterms:W3CDTF">2015-06-24T13:31:00Z</dcterms:created>
  <dcterms:modified xsi:type="dcterms:W3CDTF">2015-06-24T13:34:00Z</dcterms:modified>
</cp:coreProperties>
</file>