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9B0BA3" w14:textId="77777777" w:rsidR="0080294D" w:rsidRPr="009E4C6E" w:rsidRDefault="0080294D" w:rsidP="009E4C6E">
      <w:pPr>
        <w:jc w:val="center"/>
        <w:rPr>
          <w:b/>
        </w:rPr>
      </w:pPr>
      <w:r w:rsidRPr="009E4C6E">
        <w:rPr>
          <w:b/>
        </w:rPr>
        <w:t>La démocratie participative a-t-elle un sexe ?</w:t>
      </w:r>
    </w:p>
    <w:p w14:paraId="281A0E16" w14:textId="010E642D" w:rsidR="0080294D" w:rsidRDefault="009E4C6E" w:rsidP="00425F5E">
      <w:pPr>
        <w:jc w:val="both"/>
      </w:pPr>
      <w:r>
        <w:t>Marion Paoletti, chercheure au Centre Emile-Durkheim (UMR 5116), Université de Bordeaux</w:t>
      </w:r>
    </w:p>
    <w:p w14:paraId="4A623590" w14:textId="2025CCF2" w:rsidR="009E4C6E" w:rsidRPr="00425F5E" w:rsidRDefault="009E4C6E" w:rsidP="00425F5E">
      <w:pPr>
        <w:jc w:val="both"/>
      </w:pPr>
      <w:r>
        <w:t>Sandrine Rui, chercheure au Centre Emile-Durkheim, Université de Bordeaux</w:t>
      </w:r>
    </w:p>
    <w:p w14:paraId="0A9B24DD" w14:textId="77777777" w:rsidR="0080294D" w:rsidRPr="00425F5E" w:rsidRDefault="0080294D" w:rsidP="00425F5E">
      <w:pPr>
        <w:jc w:val="both"/>
      </w:pPr>
    </w:p>
    <w:p w14:paraId="6534150A" w14:textId="77777777" w:rsidR="009E4C6E" w:rsidRDefault="009E4C6E" w:rsidP="00425F5E">
      <w:pPr>
        <w:jc w:val="both"/>
      </w:pPr>
    </w:p>
    <w:p w14:paraId="7CE1F5AE" w14:textId="40CB4F1A" w:rsidR="0080294D" w:rsidRPr="00425F5E" w:rsidRDefault="0080294D" w:rsidP="00425F5E">
      <w:pPr>
        <w:jc w:val="both"/>
        <w:rPr>
          <w:rFonts w:eastAsia="Times New Roman"/>
        </w:rPr>
      </w:pPr>
      <w:r w:rsidRPr="00425F5E">
        <w:t xml:space="preserve">La démocratie représentative a longtemps, indubitablement et officiellement, eu un seul sexe. </w:t>
      </w:r>
      <w:r w:rsidR="0098473C">
        <w:rPr>
          <w:rFonts w:eastAsia="Times New Roman"/>
        </w:rPr>
        <w:t>E</w:t>
      </w:r>
      <w:r w:rsidRPr="00425F5E">
        <w:rPr>
          <w:rFonts w:eastAsia="Times New Roman"/>
        </w:rPr>
        <w:t>n France, « il a même fallu » comme le rappelle Michèle Riot-Sarcey, « inventé un mot pour permettre aux femmes de parvenir à la représentation publique comme à la gestion des affaires de la cité »</w:t>
      </w:r>
      <w:r w:rsidR="00C61119">
        <w:rPr>
          <w:rFonts w:eastAsia="Times New Roman"/>
        </w:rPr>
        <w:t xml:space="preserve"> (Riot-Sarcey, 2013)</w:t>
      </w:r>
      <w:r w:rsidRPr="00425F5E">
        <w:rPr>
          <w:rFonts w:eastAsia="Times New Roman"/>
        </w:rPr>
        <w:t xml:space="preserve">. Le terme « parité » est de ce fait, </w:t>
      </w:r>
      <w:r w:rsidR="00B24462" w:rsidRPr="00425F5E">
        <w:rPr>
          <w:rFonts w:eastAsia="Times New Roman"/>
        </w:rPr>
        <w:t>« </w:t>
      </w:r>
      <w:r w:rsidRPr="00425F5E">
        <w:rPr>
          <w:rFonts w:eastAsia="Times New Roman"/>
        </w:rPr>
        <w:t>un aveu d’impuissance</w:t>
      </w:r>
      <w:r w:rsidR="00B24462" w:rsidRPr="00425F5E">
        <w:rPr>
          <w:rFonts w:eastAsia="Times New Roman"/>
        </w:rPr>
        <w:t> »</w:t>
      </w:r>
      <w:r w:rsidR="00190BC4" w:rsidRPr="00425F5E">
        <w:rPr>
          <w:rFonts w:eastAsia="Times New Roman"/>
        </w:rPr>
        <w:t>, ajoute-t-elle. Les usages de la parité dans sa mise en œuvre depuis plus de 15 ans ont</w:t>
      </w:r>
      <w:r w:rsidRPr="00425F5E">
        <w:rPr>
          <w:rFonts w:eastAsia="Times New Roman"/>
        </w:rPr>
        <w:t xml:space="preserve"> d’ailleurs contribué à fixer une « identité » des femmes en politique et à faire exister leur  précieuse différence. </w:t>
      </w:r>
    </w:p>
    <w:p w14:paraId="039B1009" w14:textId="77777777" w:rsidR="0080294D" w:rsidRPr="00425F5E" w:rsidRDefault="0080294D" w:rsidP="00425F5E">
      <w:pPr>
        <w:jc w:val="both"/>
        <w:rPr>
          <w:rFonts w:eastAsia="Times New Roman"/>
        </w:rPr>
      </w:pPr>
    </w:p>
    <w:p w14:paraId="583B12A2" w14:textId="53F28A51" w:rsidR="003B5F55" w:rsidRPr="00425F5E" w:rsidRDefault="0080294D" w:rsidP="003B5F55">
      <w:pPr>
        <w:jc w:val="both"/>
        <w:rPr>
          <w:rFonts w:eastAsia="Times New Roman"/>
        </w:rPr>
      </w:pPr>
      <w:r w:rsidRPr="00425F5E">
        <w:rPr>
          <w:rFonts w:eastAsia="Times New Roman"/>
        </w:rPr>
        <w:t>Par contraste, cet autre modèle de démocratie que constitue la démocratie participative a pu apparaître co</w:t>
      </w:r>
      <w:r w:rsidR="00C61119">
        <w:rPr>
          <w:rFonts w:eastAsia="Times New Roman"/>
        </w:rPr>
        <w:t>mme le terrain par excellence que</w:t>
      </w:r>
      <w:r w:rsidRPr="00425F5E">
        <w:rPr>
          <w:rFonts w:eastAsia="Times New Roman"/>
        </w:rPr>
        <w:t xml:space="preserve"> </w:t>
      </w:r>
      <w:r w:rsidRPr="00361970">
        <w:rPr>
          <w:rFonts w:eastAsia="Times New Roman"/>
        </w:rPr>
        <w:t>pourraient</w:t>
      </w:r>
      <w:r w:rsidR="00015ABA">
        <w:rPr>
          <w:rFonts w:eastAsia="Times New Roman"/>
        </w:rPr>
        <w:t>/devaient</w:t>
      </w:r>
      <w:r w:rsidRPr="00361970">
        <w:rPr>
          <w:rFonts w:eastAsia="Times New Roman"/>
        </w:rPr>
        <w:t xml:space="preserve"> </w:t>
      </w:r>
      <w:r w:rsidR="00C61119">
        <w:rPr>
          <w:rFonts w:eastAsia="Times New Roman"/>
        </w:rPr>
        <w:t>investir</w:t>
      </w:r>
      <w:r w:rsidR="0098473C" w:rsidRPr="00361970">
        <w:rPr>
          <w:rFonts w:eastAsia="Times New Roman"/>
        </w:rPr>
        <w:t xml:space="preserve"> les femmes en politique</w:t>
      </w:r>
      <w:r w:rsidR="0098473C">
        <w:rPr>
          <w:rFonts w:eastAsia="Times New Roman"/>
        </w:rPr>
        <w:t xml:space="preserve">. </w:t>
      </w:r>
      <w:r w:rsidR="001F2F93">
        <w:rPr>
          <w:rFonts w:eastAsia="Times New Roman"/>
        </w:rPr>
        <w:t>Affichant ses ambitions inclusives</w:t>
      </w:r>
      <w:r w:rsidR="003B00D5">
        <w:rPr>
          <w:rFonts w:eastAsia="Times New Roman"/>
        </w:rPr>
        <w:t xml:space="preserve"> et égalitaristes</w:t>
      </w:r>
      <w:r w:rsidR="001F2F93">
        <w:rPr>
          <w:rFonts w:eastAsia="Times New Roman"/>
        </w:rPr>
        <w:t>, la démocratie participative s’est imposée</w:t>
      </w:r>
      <w:r w:rsidR="00361970">
        <w:rPr>
          <w:rFonts w:eastAsia="Times New Roman"/>
        </w:rPr>
        <w:t xml:space="preserve"> comme une proposition corrective pour tous les groupes subalternes historiquement exclus de la représentation politique. </w:t>
      </w:r>
      <w:r w:rsidR="00D26679">
        <w:rPr>
          <w:rFonts w:eastAsia="Times New Roman"/>
        </w:rPr>
        <w:t>Mais d’autres</w:t>
      </w:r>
      <w:r w:rsidR="00B02840" w:rsidRPr="00425F5E">
        <w:rPr>
          <w:rFonts w:eastAsia="Times New Roman"/>
        </w:rPr>
        <w:t xml:space="preserve"> éléments hétérogènes</w:t>
      </w:r>
      <w:r w:rsidR="00361970">
        <w:rPr>
          <w:rFonts w:eastAsia="Times New Roman"/>
        </w:rPr>
        <w:t>, à la fois théoriques et politiques,</w:t>
      </w:r>
      <w:r w:rsidR="00B02840" w:rsidRPr="00425F5E">
        <w:rPr>
          <w:rFonts w:eastAsia="Times New Roman"/>
        </w:rPr>
        <w:t xml:space="preserve"> contribuent à </w:t>
      </w:r>
      <w:r w:rsidR="004829A0">
        <w:rPr>
          <w:rFonts w:eastAsia="Times New Roman"/>
        </w:rPr>
        <w:t xml:space="preserve">une </w:t>
      </w:r>
      <w:r w:rsidR="00B02840" w:rsidRPr="00425F5E">
        <w:rPr>
          <w:rFonts w:eastAsia="Times New Roman"/>
        </w:rPr>
        <w:t xml:space="preserve">association spontanée </w:t>
      </w:r>
      <w:r w:rsidR="00C61119">
        <w:rPr>
          <w:rFonts w:eastAsia="Times New Roman"/>
        </w:rPr>
        <w:t xml:space="preserve">et particulière </w:t>
      </w:r>
      <w:r w:rsidR="00B02840" w:rsidRPr="00425F5E">
        <w:rPr>
          <w:rFonts w:eastAsia="Times New Roman"/>
        </w:rPr>
        <w:t>entre fem</w:t>
      </w:r>
      <w:r w:rsidR="00E05386">
        <w:rPr>
          <w:rFonts w:eastAsia="Times New Roman"/>
        </w:rPr>
        <w:t xml:space="preserve">mes et démocratie participative. </w:t>
      </w:r>
      <w:r w:rsidR="00361970" w:rsidRPr="00651CDD">
        <w:rPr>
          <w:rFonts w:eastAsia="Times New Roman"/>
        </w:rPr>
        <w:t>D</w:t>
      </w:r>
      <w:r w:rsidRPr="00651CDD">
        <w:rPr>
          <w:rFonts w:eastAsia="Times New Roman"/>
        </w:rPr>
        <w:t xml:space="preserve">es projets politiques féministes plus ou moins explicites </w:t>
      </w:r>
      <w:r w:rsidR="00121A67" w:rsidRPr="00651CDD">
        <w:rPr>
          <w:rFonts w:eastAsia="Times New Roman"/>
        </w:rPr>
        <w:t>envisagent ce modèle comme étant</w:t>
      </w:r>
      <w:r w:rsidR="00121A67">
        <w:rPr>
          <w:rFonts w:eastAsia="Times New Roman"/>
        </w:rPr>
        <w:t xml:space="preserve"> </w:t>
      </w:r>
      <w:r w:rsidR="00121A67" w:rsidRPr="00AB20F7">
        <w:rPr>
          <w:rFonts w:eastAsia="Times New Roman"/>
        </w:rPr>
        <w:t xml:space="preserve">plus ajusté à leurs rapports à la politique, ou encore aux représentations de </w:t>
      </w:r>
      <w:r w:rsidR="00E167E5" w:rsidRPr="00AB20F7">
        <w:rPr>
          <w:rFonts w:eastAsia="Times New Roman"/>
        </w:rPr>
        <w:t xml:space="preserve">compétences et de </w:t>
      </w:r>
      <w:r w:rsidR="00121A67" w:rsidRPr="00AB20F7">
        <w:rPr>
          <w:rFonts w:eastAsia="Times New Roman"/>
        </w:rPr>
        <w:t xml:space="preserve">qualités </w:t>
      </w:r>
      <w:r w:rsidR="003B5F55" w:rsidRPr="00AB20F7">
        <w:rPr>
          <w:rFonts w:eastAsia="Times New Roman"/>
        </w:rPr>
        <w:t xml:space="preserve">perçues comme </w:t>
      </w:r>
      <w:r w:rsidR="00121A67" w:rsidRPr="00AB20F7">
        <w:rPr>
          <w:rFonts w:eastAsia="Times New Roman"/>
        </w:rPr>
        <w:t>féminines.</w:t>
      </w:r>
      <w:r w:rsidR="00B02840" w:rsidRPr="00AB20F7">
        <w:rPr>
          <w:rFonts w:eastAsia="Times New Roman"/>
        </w:rPr>
        <w:t xml:space="preserve"> </w:t>
      </w:r>
      <w:r w:rsidR="002B6D4A" w:rsidRPr="00AB20F7">
        <w:rPr>
          <w:rFonts w:eastAsia="Times New Roman"/>
        </w:rPr>
        <w:t>D</w:t>
      </w:r>
      <w:r w:rsidRPr="00AB20F7">
        <w:rPr>
          <w:rFonts w:eastAsia="Times New Roman"/>
        </w:rPr>
        <w:t>es t</w:t>
      </w:r>
      <w:r w:rsidR="0061282B" w:rsidRPr="00AB20F7">
        <w:rPr>
          <w:rFonts w:eastAsia="Times New Roman"/>
        </w:rPr>
        <w:t>héo</w:t>
      </w:r>
      <w:r w:rsidRPr="00AB20F7">
        <w:rPr>
          <w:rFonts w:eastAsia="Times New Roman"/>
        </w:rPr>
        <w:t>riciennes fém</w:t>
      </w:r>
      <w:r w:rsidR="00B02840" w:rsidRPr="00AB20F7">
        <w:rPr>
          <w:rFonts w:eastAsia="Times New Roman"/>
        </w:rPr>
        <w:t xml:space="preserve">inistes centrales </w:t>
      </w:r>
      <w:r w:rsidR="00AB20F7" w:rsidRPr="00AB20F7">
        <w:rPr>
          <w:rFonts w:eastAsia="Times New Roman"/>
        </w:rPr>
        <w:t xml:space="preserve">nourrissent </w:t>
      </w:r>
      <w:r w:rsidR="0061282B" w:rsidRPr="00AB20F7">
        <w:rPr>
          <w:rFonts w:eastAsia="Times New Roman"/>
        </w:rPr>
        <w:t xml:space="preserve">une controverse importante depuis une vingtaine </w:t>
      </w:r>
      <w:r w:rsidR="00B02840" w:rsidRPr="00AB20F7">
        <w:rPr>
          <w:rFonts w:eastAsia="Times New Roman"/>
        </w:rPr>
        <w:t>d’année sur les dilemmes de la</w:t>
      </w:r>
      <w:r w:rsidR="0061282B" w:rsidRPr="00AB20F7">
        <w:rPr>
          <w:rFonts w:eastAsia="Times New Roman"/>
        </w:rPr>
        <w:t xml:space="preserve"> représentation </w:t>
      </w:r>
      <w:r w:rsidR="000E3BF0">
        <w:rPr>
          <w:rFonts w:eastAsia="Times New Roman"/>
        </w:rPr>
        <w:t>des femmes</w:t>
      </w:r>
      <w:r w:rsidR="00104A64" w:rsidRPr="00AB20F7">
        <w:rPr>
          <w:rFonts w:eastAsia="Times New Roman"/>
        </w:rPr>
        <w:t xml:space="preserve"> </w:t>
      </w:r>
      <w:r w:rsidR="0061282B" w:rsidRPr="00AB20F7">
        <w:rPr>
          <w:rFonts w:eastAsia="Times New Roman"/>
        </w:rPr>
        <w:t>dans les processus et</w:t>
      </w:r>
      <w:r w:rsidR="002B6D4A" w:rsidRPr="00AB20F7">
        <w:rPr>
          <w:rFonts w:eastAsia="Times New Roman"/>
        </w:rPr>
        <w:t xml:space="preserve"> dispositifs participatifs.</w:t>
      </w:r>
      <w:r w:rsidR="004829A0" w:rsidRPr="00AB20F7">
        <w:rPr>
          <w:rFonts w:eastAsia="Times New Roman"/>
        </w:rPr>
        <w:t xml:space="preserve"> </w:t>
      </w:r>
      <w:r w:rsidR="003B5F55" w:rsidRPr="00AB20F7">
        <w:rPr>
          <w:rFonts w:eastAsia="Times New Roman"/>
        </w:rPr>
        <w:t>Le modèle de démocratie participative reste traversé par le rêve de rapports plus horizontaux</w:t>
      </w:r>
      <w:r w:rsidR="003B5F55" w:rsidRPr="00425F5E">
        <w:rPr>
          <w:rFonts w:eastAsia="Times New Roman"/>
        </w:rPr>
        <w:t xml:space="preserve"> (entre groupes sociaux et entre gouvernants/gouvernés) que ne l’est la </w:t>
      </w:r>
      <w:r w:rsidR="003B5F55" w:rsidRPr="004829A0">
        <w:rPr>
          <w:rFonts w:eastAsia="Times New Roman"/>
          <w:i/>
        </w:rPr>
        <w:t>libido dominandi</w:t>
      </w:r>
      <w:r w:rsidR="003B5F55" w:rsidRPr="00425F5E">
        <w:rPr>
          <w:rFonts w:eastAsia="Times New Roman"/>
        </w:rPr>
        <w:t xml:space="preserve"> qui structure la lutte pour les postes</w:t>
      </w:r>
      <w:r w:rsidR="003B5F55">
        <w:rPr>
          <w:rFonts w:eastAsia="Times New Roman"/>
        </w:rPr>
        <w:t>/places</w:t>
      </w:r>
      <w:r w:rsidR="003B5F55" w:rsidRPr="00425F5E">
        <w:rPr>
          <w:rFonts w:eastAsia="Times New Roman"/>
        </w:rPr>
        <w:t xml:space="preserve"> de </w:t>
      </w:r>
      <w:r w:rsidR="003B5F55">
        <w:rPr>
          <w:rFonts w:eastAsia="Times New Roman"/>
        </w:rPr>
        <w:t xml:space="preserve">la </w:t>
      </w:r>
      <w:r w:rsidR="003B5F55" w:rsidRPr="00425F5E">
        <w:rPr>
          <w:rFonts w:eastAsia="Times New Roman"/>
        </w:rPr>
        <w:t xml:space="preserve">représentation politique. </w:t>
      </w:r>
    </w:p>
    <w:p w14:paraId="42ACF34E" w14:textId="77777777" w:rsidR="00B02840" w:rsidRPr="00425F5E" w:rsidRDefault="00B02840" w:rsidP="00425F5E">
      <w:pPr>
        <w:jc w:val="both"/>
        <w:rPr>
          <w:rFonts w:eastAsia="Times New Roman"/>
        </w:rPr>
      </w:pPr>
    </w:p>
    <w:p w14:paraId="7FFEBCCA" w14:textId="2EA900D9" w:rsidR="00B02840" w:rsidRPr="00425F5E" w:rsidRDefault="00651CDD" w:rsidP="00425F5E">
      <w:pPr>
        <w:jc w:val="both"/>
        <w:rPr>
          <w:rFonts w:eastAsia="Times New Roman"/>
        </w:rPr>
      </w:pPr>
      <w:r>
        <w:rPr>
          <w:rFonts w:eastAsia="Times New Roman"/>
        </w:rPr>
        <w:t xml:space="preserve">Ce numéro de </w:t>
      </w:r>
      <w:r w:rsidRPr="00651CDD">
        <w:rPr>
          <w:rFonts w:eastAsia="Times New Roman"/>
          <w:i/>
        </w:rPr>
        <w:t>P</w:t>
      </w:r>
      <w:r w:rsidR="00B02840" w:rsidRPr="00651CDD">
        <w:rPr>
          <w:rFonts w:eastAsia="Times New Roman"/>
          <w:i/>
        </w:rPr>
        <w:t>articipation</w:t>
      </w:r>
      <w:r w:rsidRPr="00651CDD">
        <w:rPr>
          <w:rFonts w:eastAsia="Times New Roman"/>
          <w:i/>
        </w:rPr>
        <w:t>s</w:t>
      </w:r>
      <w:r w:rsidR="00B02840" w:rsidRPr="00425F5E">
        <w:rPr>
          <w:rFonts w:eastAsia="Times New Roman"/>
        </w:rPr>
        <w:t xml:space="preserve"> cherche à voir comment les femmes et les hommes</w:t>
      </w:r>
      <w:r w:rsidR="004A54FF" w:rsidRPr="00425F5E">
        <w:rPr>
          <w:rFonts w:eastAsia="Times New Roman"/>
        </w:rPr>
        <w:t>, ensemble ou séparément,</w:t>
      </w:r>
      <w:r w:rsidR="00B02840" w:rsidRPr="00425F5E">
        <w:rPr>
          <w:rFonts w:eastAsia="Times New Roman"/>
        </w:rPr>
        <w:t xml:space="preserve"> prennent part, s’expriment, interviennent, sont entendu.e.s,</w:t>
      </w:r>
      <w:r w:rsidR="004A54FF" w:rsidRPr="00425F5E">
        <w:rPr>
          <w:rFonts w:eastAsia="Times New Roman"/>
        </w:rPr>
        <w:t xml:space="preserve"> dans les dispositifs participatifs contemporains. </w:t>
      </w:r>
      <w:r w:rsidR="00C25B9D" w:rsidRPr="00425F5E">
        <w:rPr>
          <w:rFonts w:eastAsia="Times New Roman"/>
        </w:rPr>
        <w:t xml:space="preserve">Les exclues historiques de la démocratie représentative et de l’espace public trouvent-elles </w:t>
      </w:r>
      <w:r w:rsidR="0069118A" w:rsidRPr="00425F5E">
        <w:rPr>
          <w:rFonts w:eastAsia="Times New Roman"/>
        </w:rPr>
        <w:t xml:space="preserve">aujourd’hui </w:t>
      </w:r>
      <w:r w:rsidR="00C25B9D" w:rsidRPr="00425F5E">
        <w:rPr>
          <w:rFonts w:eastAsia="Times New Roman"/>
        </w:rPr>
        <w:t>leur place, leur voie</w:t>
      </w:r>
      <w:r w:rsidR="006D2D2A">
        <w:rPr>
          <w:rFonts w:eastAsia="Times New Roman"/>
        </w:rPr>
        <w:t xml:space="preserve">, </w:t>
      </w:r>
      <w:r w:rsidR="00C25B9D" w:rsidRPr="00425F5E">
        <w:rPr>
          <w:rFonts w:eastAsia="Times New Roman"/>
        </w:rPr>
        <w:t>da</w:t>
      </w:r>
      <w:r>
        <w:rPr>
          <w:rFonts w:eastAsia="Times New Roman"/>
        </w:rPr>
        <w:t xml:space="preserve">ns les dispositifs découlant de l’impératif participatif </w:t>
      </w:r>
      <w:r w:rsidR="00C25B9D" w:rsidRPr="00425F5E">
        <w:rPr>
          <w:rFonts w:eastAsia="Times New Roman"/>
        </w:rPr>
        <w:t xml:space="preserve">? Les monopolisateurs historiques de ce même espace public tendent-ils à reconnaître des voix éventuellement différentes ? </w:t>
      </w:r>
      <w:r w:rsidR="004A54FF" w:rsidRPr="00425F5E">
        <w:rPr>
          <w:rFonts w:eastAsia="Times New Roman"/>
        </w:rPr>
        <w:t>La mixité de la démocratie participative permet-elle si ce n’est un dépassement</w:t>
      </w:r>
      <w:r w:rsidR="002B6D4A">
        <w:rPr>
          <w:rFonts w:eastAsia="Times New Roman"/>
        </w:rPr>
        <w:t xml:space="preserve"> et une neutralisation</w:t>
      </w:r>
      <w:r w:rsidR="004A54FF" w:rsidRPr="00425F5E">
        <w:rPr>
          <w:rFonts w:eastAsia="Times New Roman"/>
        </w:rPr>
        <w:t xml:space="preserve"> du genre et des assignations sexuées</w:t>
      </w:r>
      <w:r w:rsidR="00B24462" w:rsidRPr="00425F5E">
        <w:rPr>
          <w:rFonts w:eastAsia="Times New Roman"/>
        </w:rPr>
        <w:t>,</w:t>
      </w:r>
      <w:r w:rsidR="004A54FF" w:rsidRPr="00425F5E">
        <w:rPr>
          <w:rFonts w:eastAsia="Times New Roman"/>
        </w:rPr>
        <w:t xml:space="preserve"> du moins une égale expression et prise en compt</w:t>
      </w:r>
      <w:r w:rsidR="00742EE7" w:rsidRPr="00425F5E">
        <w:rPr>
          <w:rFonts w:eastAsia="Times New Roman"/>
        </w:rPr>
        <w:t>e des préoccupations de tou.te.s</w:t>
      </w:r>
      <w:r w:rsidR="004A54FF" w:rsidRPr="00425F5E">
        <w:rPr>
          <w:rFonts w:eastAsia="Times New Roman"/>
        </w:rPr>
        <w:t xml:space="preserve"> ? </w:t>
      </w:r>
      <w:r w:rsidR="0069118A" w:rsidRPr="00425F5E">
        <w:rPr>
          <w:rFonts w:eastAsia="Times New Roman"/>
        </w:rPr>
        <w:t>Elargit-elle les thèmes portés</w:t>
      </w:r>
      <w:r w:rsidR="00B24462" w:rsidRPr="00425F5E">
        <w:rPr>
          <w:rFonts w:eastAsia="Times New Roman"/>
        </w:rPr>
        <w:t xml:space="preserve"> dans les arènes de la démocratie part</w:t>
      </w:r>
      <w:r w:rsidR="00430D68">
        <w:rPr>
          <w:rFonts w:eastAsia="Times New Roman"/>
        </w:rPr>
        <w:t>i</w:t>
      </w:r>
      <w:r w:rsidR="00B24462" w:rsidRPr="00425F5E">
        <w:rPr>
          <w:rFonts w:eastAsia="Times New Roman"/>
        </w:rPr>
        <w:t>cipative</w:t>
      </w:r>
      <w:r w:rsidR="00E05386">
        <w:rPr>
          <w:rFonts w:eastAsia="Times New Roman"/>
        </w:rPr>
        <w:t xml:space="preserve"> </w:t>
      </w:r>
      <w:r w:rsidR="0069118A" w:rsidRPr="00425F5E">
        <w:rPr>
          <w:rFonts w:eastAsia="Times New Roman"/>
        </w:rPr>
        <w:t xml:space="preserve">et grandit-elle leur dignité ? </w:t>
      </w:r>
      <w:r w:rsidR="00845FC8" w:rsidRPr="00425F5E">
        <w:rPr>
          <w:rFonts w:eastAsia="Times New Roman"/>
        </w:rPr>
        <w:t xml:space="preserve">C’est à cet ensemble de questions que s’attachent à répondre, à partir le plus souvent d’observations </w:t>
      </w:r>
      <w:r>
        <w:rPr>
          <w:rFonts w:eastAsia="Times New Roman"/>
        </w:rPr>
        <w:t xml:space="preserve">ethnographiques </w:t>
      </w:r>
      <w:r w:rsidR="00845FC8" w:rsidRPr="00425F5E">
        <w:rPr>
          <w:rFonts w:eastAsia="Times New Roman"/>
        </w:rPr>
        <w:t xml:space="preserve">et d’entretiens avec les </w:t>
      </w:r>
      <w:r w:rsidR="00845FC8" w:rsidRPr="000F7A02">
        <w:rPr>
          <w:rFonts w:eastAsia="Times New Roman"/>
        </w:rPr>
        <w:t xml:space="preserve">participant.e.s, </w:t>
      </w:r>
      <w:r w:rsidR="006F4106" w:rsidRPr="000F7A02">
        <w:rPr>
          <w:rFonts w:eastAsia="Times New Roman"/>
        </w:rPr>
        <w:t xml:space="preserve">les </w:t>
      </w:r>
      <w:r w:rsidR="00845FC8" w:rsidRPr="000F7A02">
        <w:rPr>
          <w:rFonts w:eastAsia="Times New Roman"/>
        </w:rPr>
        <w:t xml:space="preserve">textes </w:t>
      </w:r>
      <w:r w:rsidR="00BE31CE" w:rsidRPr="000F7A02">
        <w:rPr>
          <w:rFonts w:eastAsia="Times New Roman"/>
        </w:rPr>
        <w:t>de ce dossier. Ces derniers</w:t>
      </w:r>
      <w:r w:rsidR="00845FC8" w:rsidRPr="000F7A02">
        <w:rPr>
          <w:rFonts w:eastAsia="Times New Roman"/>
        </w:rPr>
        <w:t xml:space="preserve"> couvrent un champ </w:t>
      </w:r>
      <w:r w:rsidR="006F4106" w:rsidRPr="000F7A02">
        <w:rPr>
          <w:rFonts w:eastAsia="Times New Roman"/>
        </w:rPr>
        <w:t xml:space="preserve">participatif </w:t>
      </w:r>
      <w:r w:rsidR="00845FC8" w:rsidRPr="000F7A02">
        <w:rPr>
          <w:rFonts w:eastAsia="Times New Roman"/>
        </w:rPr>
        <w:t>large</w:t>
      </w:r>
      <w:r w:rsidR="0059714E" w:rsidRPr="000F7A02">
        <w:rPr>
          <w:rFonts w:eastAsia="Times New Roman"/>
        </w:rPr>
        <w:t xml:space="preserve"> et varié</w:t>
      </w:r>
      <w:r w:rsidR="00912286" w:rsidRPr="000F7A02">
        <w:rPr>
          <w:rFonts w:eastAsia="Times New Roman"/>
        </w:rPr>
        <w:t xml:space="preserve">, </w:t>
      </w:r>
      <w:r w:rsidR="0059714E" w:rsidRPr="000F7A02">
        <w:rPr>
          <w:rFonts w:eastAsia="Times New Roman"/>
        </w:rPr>
        <w:t>d’</w:t>
      </w:r>
      <w:r w:rsidR="00912286" w:rsidRPr="000F7A02">
        <w:rPr>
          <w:rFonts w:eastAsia="Times New Roman"/>
        </w:rPr>
        <w:t xml:space="preserve">ici et </w:t>
      </w:r>
      <w:r w:rsidR="0059714E" w:rsidRPr="000F7A02">
        <w:rPr>
          <w:rFonts w:eastAsia="Times New Roman"/>
        </w:rPr>
        <w:t>d’</w:t>
      </w:r>
      <w:r w:rsidR="00912286" w:rsidRPr="000F7A02">
        <w:rPr>
          <w:rFonts w:eastAsia="Times New Roman"/>
        </w:rPr>
        <w:t>ailleurs</w:t>
      </w:r>
      <w:r w:rsidR="006D2D2A" w:rsidRPr="000F7A02">
        <w:rPr>
          <w:rFonts w:eastAsia="Times New Roman"/>
        </w:rPr>
        <w:t xml:space="preserve">, </w:t>
      </w:r>
      <w:r w:rsidR="004707D3" w:rsidRPr="000F7A02">
        <w:rPr>
          <w:rFonts w:eastAsia="Times New Roman"/>
        </w:rPr>
        <w:t>du niveau local</w:t>
      </w:r>
      <w:r w:rsidR="006D2D2A" w:rsidRPr="000F7A02">
        <w:rPr>
          <w:rFonts w:eastAsia="Times New Roman"/>
        </w:rPr>
        <w:t xml:space="preserve"> </w:t>
      </w:r>
      <w:r w:rsidR="004707D3" w:rsidRPr="000F7A02">
        <w:rPr>
          <w:rFonts w:eastAsia="Times New Roman"/>
        </w:rPr>
        <w:t>au niveau transnational</w:t>
      </w:r>
      <w:r w:rsidR="00845FC8" w:rsidRPr="000F7A02">
        <w:rPr>
          <w:rFonts w:eastAsia="Times New Roman"/>
        </w:rPr>
        <w:t>. A la fois</w:t>
      </w:r>
      <w:r w:rsidR="00912286" w:rsidRPr="000F7A02">
        <w:rPr>
          <w:rFonts w:eastAsia="Times New Roman"/>
        </w:rPr>
        <w:t xml:space="preserve"> des dispositifs désormais assez routinisés</w:t>
      </w:r>
      <w:r>
        <w:rPr>
          <w:rFonts w:eastAsia="Times New Roman"/>
        </w:rPr>
        <w:t xml:space="preserve"> : des </w:t>
      </w:r>
      <w:r w:rsidR="006F4106" w:rsidRPr="000F7A02">
        <w:rPr>
          <w:rFonts w:eastAsia="Times New Roman"/>
        </w:rPr>
        <w:t xml:space="preserve">démarches participatives </w:t>
      </w:r>
      <w:r w:rsidR="00912286" w:rsidRPr="000F7A02">
        <w:rPr>
          <w:rFonts w:eastAsia="Times New Roman"/>
        </w:rPr>
        <w:t>à l’éc</w:t>
      </w:r>
      <w:r w:rsidR="0059714E" w:rsidRPr="000F7A02">
        <w:rPr>
          <w:rFonts w:eastAsia="Times New Roman"/>
        </w:rPr>
        <w:t xml:space="preserve">helle </w:t>
      </w:r>
      <w:r>
        <w:rPr>
          <w:rFonts w:eastAsia="Times New Roman"/>
        </w:rPr>
        <w:t xml:space="preserve">communale en Espagne, un dispositif </w:t>
      </w:r>
      <w:r w:rsidR="00F3056A" w:rsidRPr="000F7A02">
        <w:rPr>
          <w:rFonts w:eastAsia="Times New Roman"/>
        </w:rPr>
        <w:t>de</w:t>
      </w:r>
      <w:r w:rsidR="00BE31CE" w:rsidRPr="000F7A02">
        <w:rPr>
          <w:rFonts w:eastAsia="Times New Roman"/>
        </w:rPr>
        <w:t xml:space="preserve"> consultation relative </w:t>
      </w:r>
      <w:r w:rsidR="00AB20F7">
        <w:rPr>
          <w:rFonts w:eastAsia="Times New Roman"/>
        </w:rPr>
        <w:t>aux mobilités sur le territoire</w:t>
      </w:r>
      <w:r w:rsidR="00912286" w:rsidRPr="000F7A02">
        <w:rPr>
          <w:rFonts w:eastAsia="Times New Roman"/>
        </w:rPr>
        <w:t xml:space="preserve"> d’une métropole </w:t>
      </w:r>
      <w:r>
        <w:rPr>
          <w:rFonts w:eastAsia="Times New Roman"/>
        </w:rPr>
        <w:t>franç</w:t>
      </w:r>
      <w:r w:rsidR="00C61119">
        <w:rPr>
          <w:rFonts w:eastAsia="Times New Roman"/>
        </w:rPr>
        <w:t>aise, mais aussi, moins étudiés ;</w:t>
      </w:r>
      <w:r>
        <w:rPr>
          <w:rFonts w:eastAsia="Times New Roman"/>
        </w:rPr>
        <w:t xml:space="preserve"> </w:t>
      </w:r>
      <w:r w:rsidR="002B6D4A" w:rsidRPr="000F7A02">
        <w:rPr>
          <w:rFonts w:eastAsia="Times New Roman"/>
        </w:rPr>
        <w:t xml:space="preserve">un comité </w:t>
      </w:r>
      <w:r w:rsidR="007701D3" w:rsidRPr="000F7A02">
        <w:rPr>
          <w:rFonts w:eastAsia="Times New Roman"/>
        </w:rPr>
        <w:t xml:space="preserve">de réflexion éthique </w:t>
      </w:r>
      <w:r w:rsidR="00912286" w:rsidRPr="000F7A02">
        <w:rPr>
          <w:rFonts w:eastAsia="Times New Roman"/>
        </w:rPr>
        <w:t>dan</w:t>
      </w:r>
      <w:r w:rsidR="00BE31CE" w:rsidRPr="000F7A02">
        <w:rPr>
          <w:rFonts w:eastAsia="Times New Roman"/>
        </w:rPr>
        <w:t xml:space="preserve">s un hôpital ou encore, un espace de </w:t>
      </w:r>
      <w:r w:rsidR="00912286" w:rsidRPr="000F7A02">
        <w:rPr>
          <w:rFonts w:eastAsia="Times New Roman"/>
        </w:rPr>
        <w:t xml:space="preserve">prise de parole en ligne sur la politique. </w:t>
      </w:r>
      <w:r w:rsidR="005E586A">
        <w:rPr>
          <w:rFonts w:eastAsia="Times New Roman"/>
        </w:rPr>
        <w:t xml:space="preserve">A la fois </w:t>
      </w:r>
      <w:r w:rsidR="00BE31CE" w:rsidRPr="000F7A02">
        <w:rPr>
          <w:rFonts w:eastAsia="Times New Roman"/>
        </w:rPr>
        <w:t xml:space="preserve">des dispositifs </w:t>
      </w:r>
      <w:r w:rsidR="00F3056A" w:rsidRPr="000F7A02">
        <w:rPr>
          <w:rFonts w:eastAsia="Times New Roman"/>
        </w:rPr>
        <w:t xml:space="preserve">participatifs </w:t>
      </w:r>
      <w:r w:rsidR="00616A81">
        <w:rPr>
          <w:rFonts w:eastAsia="Times New Roman"/>
        </w:rPr>
        <w:t xml:space="preserve">mixtes et </w:t>
      </w:r>
      <w:r w:rsidR="00BE31CE" w:rsidRPr="000F7A02">
        <w:rPr>
          <w:rFonts w:eastAsia="Times New Roman"/>
        </w:rPr>
        <w:t>non-mixtes</w:t>
      </w:r>
      <w:r w:rsidR="00F3056A" w:rsidRPr="000F7A02">
        <w:rPr>
          <w:rFonts w:eastAsia="Times New Roman"/>
        </w:rPr>
        <w:t xml:space="preserve">, </w:t>
      </w:r>
      <w:r w:rsidR="005E586A">
        <w:rPr>
          <w:rFonts w:eastAsia="Times New Roman"/>
        </w:rPr>
        <w:t xml:space="preserve">ici </w:t>
      </w:r>
      <w:r w:rsidR="007701D3" w:rsidRPr="000F7A02">
        <w:rPr>
          <w:rFonts w:eastAsia="Times New Roman"/>
        </w:rPr>
        <w:t>spécifiquement r</w:t>
      </w:r>
      <w:r w:rsidR="004707D3" w:rsidRPr="000F7A02">
        <w:rPr>
          <w:rFonts w:eastAsia="Times New Roman"/>
        </w:rPr>
        <w:t>éservés</w:t>
      </w:r>
      <w:r w:rsidR="00C61119">
        <w:rPr>
          <w:rFonts w:eastAsia="Times New Roman"/>
        </w:rPr>
        <w:t xml:space="preserve"> aux femmes, au Brésil ou</w:t>
      </w:r>
      <w:r w:rsidR="007701D3" w:rsidRPr="000F7A02">
        <w:rPr>
          <w:rFonts w:eastAsia="Times New Roman"/>
        </w:rPr>
        <w:t xml:space="preserve"> au B</w:t>
      </w:r>
      <w:r w:rsidR="005E586A">
        <w:rPr>
          <w:rFonts w:eastAsia="Times New Roman"/>
        </w:rPr>
        <w:t>urundi dans un contexte d’après-</w:t>
      </w:r>
      <w:r w:rsidR="007701D3" w:rsidRPr="000F7A02">
        <w:rPr>
          <w:rFonts w:eastAsia="Times New Roman"/>
        </w:rPr>
        <w:t xml:space="preserve">guerre, </w:t>
      </w:r>
      <w:r w:rsidR="00F3056A" w:rsidRPr="000F7A02">
        <w:rPr>
          <w:rFonts w:eastAsia="Times New Roman"/>
        </w:rPr>
        <w:t xml:space="preserve">ou encore </w:t>
      </w:r>
      <w:r w:rsidR="007701D3" w:rsidRPr="000F7A02">
        <w:rPr>
          <w:rFonts w:eastAsia="Times New Roman"/>
        </w:rPr>
        <w:t xml:space="preserve">dans le domaine des relations internationales, </w:t>
      </w:r>
      <w:r w:rsidR="000F7A02" w:rsidRPr="000F7A02">
        <w:rPr>
          <w:rFonts w:eastAsia="Times New Roman"/>
        </w:rPr>
        <w:t xml:space="preserve">avec </w:t>
      </w:r>
      <w:r w:rsidR="005E586A">
        <w:rPr>
          <w:rFonts w:eastAsia="Times New Roman"/>
        </w:rPr>
        <w:t xml:space="preserve">la participation </w:t>
      </w:r>
      <w:r w:rsidR="007701D3" w:rsidRPr="000F7A02">
        <w:rPr>
          <w:rFonts w:eastAsia="Times New Roman"/>
        </w:rPr>
        <w:t>des mouvemen</w:t>
      </w:r>
      <w:r w:rsidR="000F7A02" w:rsidRPr="000F7A02">
        <w:rPr>
          <w:rFonts w:eastAsia="Times New Roman"/>
        </w:rPr>
        <w:t xml:space="preserve">ts transnationaux de femmes </w:t>
      </w:r>
      <w:r w:rsidR="007701D3" w:rsidRPr="000F7A02">
        <w:rPr>
          <w:rFonts w:eastAsia="Times New Roman"/>
        </w:rPr>
        <w:t>aux pratiques politiques de représentation au sein de l’ONU.</w:t>
      </w:r>
      <w:r w:rsidR="007701D3" w:rsidRPr="00425F5E">
        <w:rPr>
          <w:rFonts w:eastAsia="Times New Roman"/>
        </w:rPr>
        <w:t xml:space="preserve"> </w:t>
      </w:r>
    </w:p>
    <w:p w14:paraId="6A9DA032" w14:textId="77777777" w:rsidR="00CF55AC" w:rsidRPr="00425F5E" w:rsidRDefault="00CF55AC" w:rsidP="00425F5E">
      <w:pPr>
        <w:jc w:val="both"/>
        <w:rPr>
          <w:rFonts w:eastAsia="Times New Roman"/>
        </w:rPr>
      </w:pPr>
    </w:p>
    <w:p w14:paraId="00286155" w14:textId="1C72333D" w:rsidR="00671180" w:rsidRDefault="008960C0" w:rsidP="009C4C18">
      <w:pPr>
        <w:jc w:val="both"/>
        <w:rPr>
          <w:rFonts w:eastAsia="Times New Roman"/>
        </w:rPr>
      </w:pPr>
      <w:r w:rsidRPr="004E5FEC">
        <w:rPr>
          <w:rFonts w:eastAsia="Times New Roman"/>
        </w:rPr>
        <w:lastRenderedPageBreak/>
        <w:t xml:space="preserve">On le voit, on </w:t>
      </w:r>
      <w:r w:rsidR="00CF55AC" w:rsidRPr="004E5FEC">
        <w:rPr>
          <w:rFonts w:eastAsia="Times New Roman"/>
        </w:rPr>
        <w:t>a du mal à échapper à une pensée dichotomique dès lors qu’il s’agit d’envisager</w:t>
      </w:r>
      <w:r w:rsidR="00616A81">
        <w:rPr>
          <w:rFonts w:eastAsia="Times New Roman"/>
        </w:rPr>
        <w:t xml:space="preserve"> le sexe de la </w:t>
      </w:r>
      <w:r w:rsidR="00CF55AC" w:rsidRPr="00425F5E">
        <w:rPr>
          <w:rFonts w:eastAsia="Times New Roman"/>
        </w:rPr>
        <w:t xml:space="preserve">démocratie participative. Dichotomie contestable en premier lieu entre démocratie participative et démocratie représentative alors que les penser dans un continuum est sans doute davantage pertinent. </w:t>
      </w:r>
      <w:r w:rsidR="005E586A">
        <w:rPr>
          <w:rFonts w:eastAsia="Times New Roman"/>
        </w:rPr>
        <w:t xml:space="preserve">Ce dossier assume d’ailleurs une acception large de la participation citoyenne à la sphère publique, nécessairement mosaïque, qui offre des formes de délibération publique </w:t>
      </w:r>
      <w:r w:rsidR="004E5FEC">
        <w:rPr>
          <w:rFonts w:eastAsia="Times New Roman"/>
        </w:rPr>
        <w:t>en présence et on-line</w:t>
      </w:r>
      <w:r w:rsidR="005E586A">
        <w:rPr>
          <w:rFonts w:eastAsia="Times New Roman"/>
        </w:rPr>
        <w:t xml:space="preserve">, </w:t>
      </w:r>
      <w:r w:rsidR="00671180">
        <w:rPr>
          <w:rFonts w:eastAsia="Times New Roman"/>
        </w:rPr>
        <w:t xml:space="preserve">initiées par des acteurs institutionnels ou des mouvements sociaux, et donc plus ou moins institutionnalisées, plus ou moins pérennes, plus ou moins articulées au système de représentation et d’action publiques. </w:t>
      </w:r>
    </w:p>
    <w:p w14:paraId="087FEB47" w14:textId="77777777" w:rsidR="00671180" w:rsidRDefault="00671180" w:rsidP="009C4C18">
      <w:pPr>
        <w:jc w:val="both"/>
        <w:rPr>
          <w:rFonts w:eastAsia="Times New Roman"/>
        </w:rPr>
      </w:pPr>
    </w:p>
    <w:p w14:paraId="3B44972E" w14:textId="0F1C9F7E" w:rsidR="00E059C9" w:rsidRDefault="00CF55AC" w:rsidP="00425F5E">
      <w:pPr>
        <w:jc w:val="both"/>
      </w:pPr>
      <w:r w:rsidRPr="00425F5E">
        <w:rPr>
          <w:rFonts w:eastAsia="Times New Roman"/>
        </w:rPr>
        <w:t>Dichotomie problématique ensuite entre le</w:t>
      </w:r>
      <w:r w:rsidR="00D26679">
        <w:rPr>
          <w:rFonts w:eastAsia="Times New Roman"/>
        </w:rPr>
        <w:t xml:space="preserve"> groupe des hommes et le groupe</w:t>
      </w:r>
      <w:r w:rsidRPr="00425F5E">
        <w:rPr>
          <w:rFonts w:eastAsia="Times New Roman"/>
        </w:rPr>
        <w:t xml:space="preserve"> des femmes, tendant à être homogénéisés, réifiés, unifiés ensuite. </w:t>
      </w:r>
      <w:r w:rsidR="00227D19" w:rsidRPr="00425F5E">
        <w:rPr>
          <w:rFonts w:eastAsia="Times New Roman"/>
        </w:rPr>
        <w:t xml:space="preserve">Le genre, quelle que soit sa </w:t>
      </w:r>
      <w:r w:rsidR="00845FC8" w:rsidRPr="00425F5E">
        <w:rPr>
          <w:rFonts w:eastAsia="Times New Roman"/>
        </w:rPr>
        <w:t xml:space="preserve">considérable </w:t>
      </w:r>
      <w:r w:rsidR="00227D19" w:rsidRPr="00425F5E">
        <w:rPr>
          <w:rFonts w:eastAsia="Times New Roman"/>
        </w:rPr>
        <w:t>portée heuristique, est un outil qui peut être critiqué justement pour cett</w:t>
      </w:r>
      <w:r w:rsidR="00104A64">
        <w:rPr>
          <w:rFonts w:eastAsia="Times New Roman"/>
        </w:rPr>
        <w:t>e dichotomisation</w:t>
      </w:r>
      <w:r w:rsidR="004707D3">
        <w:rPr>
          <w:rFonts w:eastAsia="Times New Roman"/>
        </w:rPr>
        <w:t xml:space="preserve"> même</w:t>
      </w:r>
      <w:r w:rsidR="00227D19" w:rsidRPr="00425F5E">
        <w:rPr>
          <w:rFonts w:eastAsia="Times New Roman"/>
        </w:rPr>
        <w:t xml:space="preserve">. </w:t>
      </w:r>
      <w:r w:rsidR="009C4C18" w:rsidRPr="001753E4">
        <w:t>« La notion de genre n’échappera jamais définitivement à cette ambiguïté fondatrice : encore aujourd’hui, elle reste prise dans une double logique, potentiellement contradictoire – entre catégorie normative et outil critique. Autrement dit, le genre est, sinon par nature, du moins d’origine</w:t>
      </w:r>
      <w:r w:rsidR="009C4C18">
        <w:t>, une arme à double tranchant»</w:t>
      </w:r>
      <w:r w:rsidR="00C64B60">
        <w:t xml:space="preserve"> (Fassin, 2008</w:t>
      </w:r>
      <w:r w:rsidR="001766DB">
        <w:t>, p. 378</w:t>
      </w:r>
      <w:r w:rsidR="00C64B60">
        <w:t>)</w:t>
      </w:r>
      <w:r w:rsidR="009C4C18">
        <w:t>.</w:t>
      </w:r>
      <w:r w:rsidR="00671180">
        <w:t xml:space="preserve"> </w:t>
      </w:r>
      <w:r w:rsidR="0049704A">
        <w:t xml:space="preserve">Ce dossier assume d’ailleurs de faire du système de genre l’arme et la cible des interrogations. </w:t>
      </w:r>
      <w:r w:rsidR="00227D19" w:rsidRPr="00425F5E">
        <w:rPr>
          <w:rFonts w:eastAsia="Times New Roman"/>
        </w:rPr>
        <w:t xml:space="preserve">Dichotomie </w:t>
      </w:r>
      <w:r w:rsidR="00E059C9" w:rsidRPr="00425F5E">
        <w:rPr>
          <w:rFonts w:eastAsia="Times New Roman"/>
        </w:rPr>
        <w:t xml:space="preserve">hiérarchisée </w:t>
      </w:r>
      <w:r w:rsidR="00227D19" w:rsidRPr="00425F5E">
        <w:rPr>
          <w:rFonts w:eastAsia="Times New Roman"/>
        </w:rPr>
        <w:t>ensuite entre espace public et espace privé qui vient redoubler celle du genre</w:t>
      </w:r>
      <w:r w:rsidR="00E059C9" w:rsidRPr="00425F5E">
        <w:t>, leur parfaite adéquation historique tendant à naturaliser leur association : « </w:t>
      </w:r>
      <w:r w:rsidR="00E059C9" w:rsidRPr="00425F5E">
        <w:rPr>
          <w:bCs/>
        </w:rPr>
        <w:t>Le genre se rapporte aux processus sociaux de différenciation et de hiérarchisation du masculin sur le féminin</w:t>
      </w:r>
      <w:r w:rsidR="00E059C9" w:rsidRPr="00425F5E">
        <w:t xml:space="preserve">, dynamiques qui renvoient à la </w:t>
      </w:r>
      <w:r w:rsidR="00E059C9" w:rsidRPr="00425F5E">
        <w:rPr>
          <w:bCs/>
        </w:rPr>
        <w:t>séparation entre la sphère publique, dont l'espace politique a pendant longtemps été réservé aux hommes, et la sphère privée, symbolisée par les activités domestiques se déroulant au foyer  et tenues par les femmes</w:t>
      </w:r>
      <w:r w:rsidR="00E059C9" w:rsidRPr="00425F5E">
        <w:t>. La notion de genre traduit ainsi une catégorisation fondée sur la division du travail, dont les formes, les contenus et les modalités sont essentiellement variables dans le temps, dans l'espace et dans les différents champs soc</w:t>
      </w:r>
      <w:r w:rsidR="007F6629">
        <w:t>iétaux ». (Marques-Pereira, 2002</w:t>
      </w:r>
      <w:r w:rsidR="00E059C9" w:rsidRPr="00425F5E">
        <w:t xml:space="preserve">). </w:t>
      </w:r>
    </w:p>
    <w:p w14:paraId="32CBDF85" w14:textId="77777777" w:rsidR="00E059C9" w:rsidRPr="00425F5E" w:rsidRDefault="00E059C9" w:rsidP="00425F5E">
      <w:pPr>
        <w:jc w:val="both"/>
      </w:pPr>
    </w:p>
    <w:p w14:paraId="4906C509" w14:textId="2F046F67" w:rsidR="00FF4A55" w:rsidRPr="00FF4A55" w:rsidRDefault="0069118A" w:rsidP="00FF4A55">
      <w:pPr>
        <w:jc w:val="both"/>
        <w:rPr>
          <w:rFonts w:eastAsia="Times New Roman"/>
        </w:rPr>
      </w:pPr>
      <w:r w:rsidRPr="00425F5E">
        <w:t xml:space="preserve">Si </w:t>
      </w:r>
      <w:r w:rsidR="00A63764">
        <w:t xml:space="preserve">ce numéro de </w:t>
      </w:r>
      <w:r w:rsidR="00A63764" w:rsidRPr="00737736">
        <w:rPr>
          <w:i/>
        </w:rPr>
        <w:t>Participation</w:t>
      </w:r>
      <w:r w:rsidR="00737736" w:rsidRPr="00737736">
        <w:rPr>
          <w:i/>
        </w:rPr>
        <w:t>s</w:t>
      </w:r>
      <w:r w:rsidR="00A63764">
        <w:t xml:space="preserve"> n’échappe pas pleinement </w:t>
      </w:r>
      <w:r w:rsidRPr="00425F5E">
        <w:t xml:space="preserve">à ce processus de dichotomisation, c’est sans doute parce que l’historique dilemme des femmes dans leur rapport à la politique et à l’espace public se renouvelle constamment, dilemme dont pourrait seule venir à bout une égalité </w:t>
      </w:r>
      <w:r w:rsidR="00737736">
        <w:t xml:space="preserve">réelle </w:t>
      </w:r>
      <w:r w:rsidRPr="00425F5E">
        <w:t>des conditions de vie des femmes et des hommes</w:t>
      </w:r>
      <w:r w:rsidR="009C4C18">
        <w:t xml:space="preserve"> et une indifférenciation des rôles sociaux de sexe</w:t>
      </w:r>
      <w:r w:rsidRPr="00425F5E">
        <w:t xml:space="preserve">, toujours inaboutie, </w:t>
      </w:r>
      <w:r w:rsidR="009C4C18">
        <w:t>ailleurs plus qu’</w:t>
      </w:r>
      <w:r w:rsidRPr="00425F5E">
        <w:t>en France</w:t>
      </w:r>
      <w:r w:rsidR="00742EE7" w:rsidRPr="00425F5E">
        <w:t xml:space="preserve"> et en Europe</w:t>
      </w:r>
      <w:r w:rsidRPr="00425F5E">
        <w:t xml:space="preserve">. </w:t>
      </w:r>
      <w:r w:rsidR="00593CD6" w:rsidRPr="00425F5E">
        <w:t>L’inégal</w:t>
      </w:r>
      <w:r w:rsidR="004707D3">
        <w:t>e</w:t>
      </w:r>
      <w:r w:rsidR="00593CD6" w:rsidRPr="00425F5E">
        <w:t xml:space="preserve"> répar</w:t>
      </w:r>
      <w:r w:rsidR="00845FC8" w:rsidRPr="00425F5E">
        <w:t xml:space="preserve">tition du travail domestique, </w:t>
      </w:r>
      <w:r w:rsidR="00593CD6" w:rsidRPr="00425F5E">
        <w:t>familial</w:t>
      </w:r>
      <w:r w:rsidR="00845FC8" w:rsidRPr="00425F5E">
        <w:t>, du soin</w:t>
      </w:r>
      <w:r w:rsidR="00593CD6" w:rsidRPr="00425F5E">
        <w:t xml:space="preserve"> et la coupure historique et théorique entre « privé » et « public » ne cessent d’actualiser ce</w:t>
      </w:r>
      <w:r w:rsidR="000E3BF0">
        <w:rPr>
          <w:rFonts w:eastAsia="Times New Roman"/>
        </w:rPr>
        <w:t xml:space="preserve"> que Carole Pateman (1988</w:t>
      </w:r>
      <w:r w:rsidR="001052FA" w:rsidRPr="00425F5E">
        <w:rPr>
          <w:rFonts w:eastAsia="Times New Roman"/>
        </w:rPr>
        <w:t>) nomme le « dilemme de Mary Wollstonecraft</w:t>
      </w:r>
      <w:r w:rsidR="000E3BF0">
        <w:rPr>
          <w:rFonts w:eastAsia="Times New Roman"/>
        </w:rPr>
        <w:t> »</w:t>
      </w:r>
      <w:r w:rsidR="001052FA" w:rsidRPr="00425F5E">
        <w:rPr>
          <w:rFonts w:eastAsia="Times New Roman"/>
        </w:rPr>
        <w:t xml:space="preserve"> : les femmes doivent-elles réclamer de participer </w:t>
      </w:r>
      <w:r w:rsidR="001052FA" w:rsidRPr="00FF4A55">
        <w:rPr>
          <w:rFonts w:eastAsia="Times New Roman"/>
        </w:rPr>
        <w:t>pleinement à la vie politique sur la base de leur commune humanité partagée avec les hommes ou sur la base de leurs différences avec eux</w:t>
      </w:r>
      <w:r w:rsidR="00F3056A" w:rsidRPr="00FF4A55">
        <w:rPr>
          <w:rFonts w:eastAsia="Times New Roman"/>
        </w:rPr>
        <w:t xml:space="preserve"> </w:t>
      </w:r>
      <w:r w:rsidR="001052FA" w:rsidRPr="00FF4A55">
        <w:rPr>
          <w:rFonts w:eastAsia="Times New Roman"/>
        </w:rPr>
        <w:t xml:space="preserve">? </w:t>
      </w:r>
      <w:r w:rsidR="00593CD6" w:rsidRPr="00FF4A55">
        <w:rPr>
          <w:rFonts w:eastAsia="Times New Roman"/>
        </w:rPr>
        <w:t>La question est récurrente et s’est constamment posé</w:t>
      </w:r>
      <w:r w:rsidR="00104A64" w:rsidRPr="00FF4A55">
        <w:rPr>
          <w:rFonts w:eastAsia="Times New Roman"/>
        </w:rPr>
        <w:t>e</w:t>
      </w:r>
      <w:r w:rsidR="00593CD6" w:rsidRPr="00FF4A55">
        <w:rPr>
          <w:rFonts w:eastAsia="Times New Roman"/>
        </w:rPr>
        <w:t xml:space="preserve"> sous forme de dilemme</w:t>
      </w:r>
      <w:r w:rsidR="00A63764" w:rsidRPr="00FF4A55">
        <w:rPr>
          <w:rFonts w:eastAsia="Times New Roman"/>
        </w:rPr>
        <w:t>s</w:t>
      </w:r>
      <w:r w:rsidR="00D26679" w:rsidRPr="00FF4A55">
        <w:rPr>
          <w:rFonts w:eastAsia="Times New Roman"/>
        </w:rPr>
        <w:t>, de paradoxe</w:t>
      </w:r>
      <w:r w:rsidR="00A63764" w:rsidRPr="00FF4A55">
        <w:rPr>
          <w:rFonts w:eastAsia="Times New Roman"/>
        </w:rPr>
        <w:t>s</w:t>
      </w:r>
      <w:r w:rsidR="00D26679" w:rsidRPr="00FF4A55">
        <w:rPr>
          <w:rFonts w:eastAsia="Times New Roman"/>
        </w:rPr>
        <w:t>, de contradictions</w:t>
      </w:r>
      <w:r w:rsidR="00593CD6" w:rsidRPr="00FF4A55">
        <w:rPr>
          <w:rFonts w:eastAsia="Times New Roman"/>
        </w:rPr>
        <w:t xml:space="preserve"> au groupe des femmes dans sa prétention à accéder à </w:t>
      </w:r>
      <w:r w:rsidR="00104A64" w:rsidRPr="00FF4A55">
        <w:rPr>
          <w:rFonts w:eastAsia="Times New Roman"/>
        </w:rPr>
        <w:t>l’universel supposé ne</w:t>
      </w:r>
      <w:r w:rsidR="00B24462" w:rsidRPr="00FF4A55">
        <w:rPr>
          <w:rFonts w:eastAsia="Times New Roman"/>
        </w:rPr>
        <w:t xml:space="preserve">utre mais, </w:t>
      </w:r>
      <w:r w:rsidR="00593CD6" w:rsidRPr="00FF4A55">
        <w:rPr>
          <w:rFonts w:eastAsia="Times New Roman"/>
        </w:rPr>
        <w:t>on le sait, indubitablement masculin</w:t>
      </w:r>
      <w:r w:rsidR="00F3056A" w:rsidRPr="00FF4A55">
        <w:rPr>
          <w:rFonts w:eastAsia="Times New Roman"/>
        </w:rPr>
        <w:t>.</w:t>
      </w:r>
      <w:r w:rsidR="00593CD6" w:rsidRPr="00FF4A55">
        <w:rPr>
          <w:rFonts w:eastAsia="Times New Roman"/>
        </w:rPr>
        <w:t xml:space="preserve"> </w:t>
      </w:r>
      <w:r w:rsidR="007463C7">
        <w:rPr>
          <w:rFonts w:eastAsia="Times New Roman"/>
        </w:rPr>
        <w:t xml:space="preserve">Ainsi si la participation des hommes semble placée sous le sceau de l’évidence, les femmes </w:t>
      </w:r>
      <w:r w:rsidR="007463C7" w:rsidRPr="00737736">
        <w:rPr>
          <w:rFonts w:eastAsia="Times New Roman"/>
        </w:rPr>
        <w:t xml:space="preserve">n’auraient en la matière que </w:t>
      </w:r>
      <w:r w:rsidR="000A74E9" w:rsidRPr="00737736">
        <w:rPr>
          <w:rFonts w:eastAsia="Times New Roman"/>
        </w:rPr>
        <w:t xml:space="preserve">« des paradoxes à offrir », comme l’a montré </w:t>
      </w:r>
      <w:r w:rsidR="00D26679" w:rsidRPr="00737736">
        <w:rPr>
          <w:rFonts w:eastAsia="Times New Roman"/>
        </w:rPr>
        <w:t>Joan Scott</w:t>
      </w:r>
      <w:r w:rsidR="00FF4A55" w:rsidRPr="00737736">
        <w:rPr>
          <w:rFonts w:eastAsia="Times New Roman"/>
        </w:rPr>
        <w:t xml:space="preserve"> </w:t>
      </w:r>
      <w:r w:rsidR="00D26679" w:rsidRPr="00737736">
        <w:rPr>
          <w:rFonts w:eastAsia="Times New Roman"/>
        </w:rPr>
        <w:t xml:space="preserve">à propos des </w:t>
      </w:r>
      <w:r w:rsidR="00FF4A55" w:rsidRPr="00737736">
        <w:rPr>
          <w:rFonts w:eastAsia="Times New Roman"/>
        </w:rPr>
        <w:t xml:space="preserve">premières féministes françaises </w:t>
      </w:r>
      <w:r w:rsidR="0049704A" w:rsidRPr="00737736">
        <w:rPr>
          <w:rFonts w:eastAsia="Times New Roman"/>
        </w:rPr>
        <w:t xml:space="preserve">qui </w:t>
      </w:r>
      <w:r w:rsidR="00FF4A55" w:rsidRPr="00737736">
        <w:t>« plaidaient d’un même souffle la pertinence et la non-pertinence de leur sexe en politique, l’égalité de tous les individus et la différence des</w:t>
      </w:r>
      <w:r w:rsidR="00FF4A55" w:rsidRPr="00FF4A55">
        <w:t xml:space="preserve"> femmes. Elles refusaient d’être des femmes dans les termes qu’imposait la société, tout en parlant au nom de ces mêmes femmes.» </w:t>
      </w:r>
      <w:r w:rsidR="0017626B">
        <w:t>(J. Scott, 1998</w:t>
      </w:r>
      <w:r w:rsidR="00102ED4">
        <w:t>, p. 29</w:t>
      </w:r>
      <w:r w:rsidR="0017626B">
        <w:t>)</w:t>
      </w:r>
    </w:p>
    <w:p w14:paraId="0CCF33AB" w14:textId="77777777" w:rsidR="00776724" w:rsidRPr="00FF4A55" w:rsidRDefault="00776724" w:rsidP="00425F5E">
      <w:pPr>
        <w:jc w:val="both"/>
        <w:rPr>
          <w:rFonts w:eastAsia="Times New Roman"/>
        </w:rPr>
      </w:pPr>
    </w:p>
    <w:p w14:paraId="11782014" w14:textId="6F00D370" w:rsidR="00F33B30" w:rsidRDefault="00845FC8" w:rsidP="00B11B6D">
      <w:pPr>
        <w:jc w:val="both"/>
        <w:rPr>
          <w:rFonts w:eastAsia="Times New Roman"/>
        </w:rPr>
      </w:pPr>
      <w:r w:rsidRPr="00425F5E">
        <w:rPr>
          <w:rFonts w:eastAsia="Times New Roman"/>
        </w:rPr>
        <w:t>Dès lors</w:t>
      </w:r>
      <w:r w:rsidR="00742EE7" w:rsidRPr="00425F5E">
        <w:rPr>
          <w:rFonts w:eastAsia="Times New Roman"/>
        </w:rPr>
        <w:t xml:space="preserve">, si nous n’échappons pas à une pensée dichotomique consistant à étudier la participation des femmes par rapport à celles des hommes (plus que l’inverse !), </w:t>
      </w:r>
      <w:r w:rsidR="00A63764">
        <w:rPr>
          <w:rFonts w:eastAsia="Times New Roman"/>
        </w:rPr>
        <w:t>l’enjeu de ce dossier est bien pourtant d’apporter des éléments pour dé</w:t>
      </w:r>
      <w:r w:rsidR="000268B9">
        <w:rPr>
          <w:rFonts w:eastAsia="Times New Roman"/>
        </w:rPr>
        <w:t>passer une telle dichotomie</w:t>
      </w:r>
      <w:r w:rsidR="00A63764">
        <w:rPr>
          <w:rFonts w:eastAsia="Times New Roman"/>
        </w:rPr>
        <w:t xml:space="preserve">. </w:t>
      </w:r>
      <w:r w:rsidR="00F90A84">
        <w:rPr>
          <w:rFonts w:eastAsia="Times New Roman"/>
        </w:rPr>
        <w:t xml:space="preserve">En particulier, </w:t>
      </w:r>
      <w:r w:rsidR="000268B9">
        <w:rPr>
          <w:rFonts w:eastAsia="Times New Roman"/>
        </w:rPr>
        <w:t xml:space="preserve">il s’agit de porter </w:t>
      </w:r>
      <w:r w:rsidR="00776724">
        <w:rPr>
          <w:rFonts w:eastAsia="Times New Roman"/>
        </w:rPr>
        <w:t>l’</w:t>
      </w:r>
      <w:r w:rsidR="00742EE7" w:rsidRPr="00425F5E">
        <w:rPr>
          <w:rFonts w:eastAsia="Times New Roman"/>
        </w:rPr>
        <w:t>attention</w:t>
      </w:r>
      <w:r w:rsidR="007B556E" w:rsidRPr="00425F5E">
        <w:rPr>
          <w:rFonts w:eastAsia="Times New Roman"/>
        </w:rPr>
        <w:t xml:space="preserve"> sur ce qui produit de la séparation, de la division, de la minoration au-delà des effets de cad</w:t>
      </w:r>
      <w:r w:rsidR="0049704A">
        <w:rPr>
          <w:rFonts w:eastAsia="Times New Roman"/>
        </w:rPr>
        <w:t>rage théorique, c’est-à-</w:t>
      </w:r>
      <w:r w:rsidR="00F90A84">
        <w:rPr>
          <w:rFonts w:eastAsia="Times New Roman"/>
        </w:rPr>
        <w:t xml:space="preserve">dire </w:t>
      </w:r>
      <w:r w:rsidR="00776724">
        <w:rPr>
          <w:rFonts w:eastAsia="Times New Roman"/>
        </w:rPr>
        <w:t xml:space="preserve">en s’attachant </w:t>
      </w:r>
      <w:r w:rsidR="00F90A84">
        <w:rPr>
          <w:rFonts w:eastAsia="Times New Roman"/>
        </w:rPr>
        <w:t>aux effets des dispositifs eux-mêmes et d</w:t>
      </w:r>
      <w:r w:rsidR="007B556E" w:rsidRPr="00425F5E">
        <w:rPr>
          <w:rFonts w:eastAsia="Times New Roman"/>
        </w:rPr>
        <w:t xml:space="preserve">es pratiques en leur sein comme le fait l’ensemble des textes qui suit. </w:t>
      </w:r>
      <w:r w:rsidR="004B51B5">
        <w:rPr>
          <w:rFonts w:eastAsia="Times New Roman"/>
        </w:rPr>
        <w:t xml:space="preserve">Il </w:t>
      </w:r>
      <w:r w:rsidR="0049704A">
        <w:rPr>
          <w:rFonts w:eastAsia="Times New Roman"/>
        </w:rPr>
        <w:t>s’agit aussi de traquer la façon dont les dilemmes sont, si ce n’est résolus, travaillés et problématisés au sein d’arènes investies par des individus</w:t>
      </w:r>
      <w:r w:rsidR="00310F63">
        <w:rPr>
          <w:rFonts w:eastAsia="Times New Roman"/>
        </w:rPr>
        <w:t xml:space="preserve">, incarnés et sexués, qui sont surtout insérés </w:t>
      </w:r>
      <w:r w:rsidR="005819B1">
        <w:rPr>
          <w:rFonts w:eastAsia="Times New Roman"/>
        </w:rPr>
        <w:t xml:space="preserve">et toujours </w:t>
      </w:r>
      <w:r w:rsidR="00310F63">
        <w:rPr>
          <w:rFonts w:eastAsia="Times New Roman"/>
        </w:rPr>
        <w:t xml:space="preserve">dans des rapports sociaux. Des rapports de force et de pouvoir structurés par le genre, mais pas seulement. </w:t>
      </w:r>
    </w:p>
    <w:p w14:paraId="0DBC5764" w14:textId="77777777" w:rsidR="00B11B6D" w:rsidRPr="00425F5E" w:rsidRDefault="00B11B6D" w:rsidP="00B11B6D">
      <w:pPr>
        <w:jc w:val="both"/>
        <w:rPr>
          <w:rFonts w:eastAsia="Times New Roman"/>
        </w:rPr>
      </w:pPr>
    </w:p>
    <w:p w14:paraId="48735E0E" w14:textId="1C645689" w:rsidR="00F33B30" w:rsidRDefault="00F33B30" w:rsidP="00425F5E">
      <w:pPr>
        <w:jc w:val="both"/>
        <w:rPr>
          <w:rFonts w:eastAsia="Times New Roman"/>
          <w:i/>
        </w:rPr>
      </w:pPr>
      <w:r w:rsidRPr="00425F5E">
        <w:rPr>
          <w:rFonts w:eastAsia="Times New Roman"/>
          <w:i/>
        </w:rPr>
        <w:t xml:space="preserve">Des femmes bien présentes dans les dispositifs participatifs ! </w:t>
      </w:r>
    </w:p>
    <w:p w14:paraId="35FBD51B" w14:textId="77777777" w:rsidR="00F90A84" w:rsidRPr="00425F5E" w:rsidRDefault="00F90A84" w:rsidP="00425F5E">
      <w:pPr>
        <w:jc w:val="both"/>
        <w:rPr>
          <w:rFonts w:eastAsia="Times New Roman"/>
          <w:i/>
        </w:rPr>
      </w:pPr>
    </w:p>
    <w:p w14:paraId="599F486E" w14:textId="6D5466B9" w:rsidR="00AE3887" w:rsidRDefault="0032774C" w:rsidP="00425F5E">
      <w:pPr>
        <w:jc w:val="both"/>
      </w:pPr>
      <w:r w:rsidRPr="00425F5E">
        <w:rPr>
          <w:rFonts w:eastAsia="Times New Roman"/>
        </w:rPr>
        <w:t xml:space="preserve">Premier constat, et non des moindres, les femmes sont présentes et bien présentes dans les dispositifs participatifs, du niveau local au niveau international, dans les espaces physiques comme dans les espaces en ligne, dans les dispositifs désormais </w:t>
      </w:r>
      <w:r w:rsidR="00F90A84">
        <w:rPr>
          <w:rFonts w:eastAsia="Times New Roman"/>
        </w:rPr>
        <w:t xml:space="preserve">routinisés </w:t>
      </w:r>
      <w:r w:rsidRPr="00425F5E">
        <w:rPr>
          <w:rFonts w:eastAsia="Times New Roman"/>
        </w:rPr>
        <w:t xml:space="preserve">comme dans les dispositifs les plus innovants. </w:t>
      </w:r>
      <w:r w:rsidR="00D23722">
        <w:rPr>
          <w:rFonts w:eastAsia="Times New Roman"/>
        </w:rPr>
        <w:t xml:space="preserve">Elles répondent massivement </w:t>
      </w:r>
      <w:r w:rsidR="00242273" w:rsidRPr="00425F5E">
        <w:rPr>
          <w:rFonts w:eastAsia="Times New Roman"/>
        </w:rPr>
        <w:t xml:space="preserve">présentes à l’appel à prendre part à des dispositifs qui leur sont spécifiquement réservés,  et tiennent leur place </w:t>
      </w:r>
      <w:r w:rsidR="004707D3">
        <w:rPr>
          <w:rFonts w:eastAsia="Times New Roman"/>
        </w:rPr>
        <w:t xml:space="preserve">dans les dispositifs mixtes. Au </w:t>
      </w:r>
      <w:r w:rsidR="00DA647B" w:rsidRPr="00425F5E">
        <w:rPr>
          <w:rFonts w:eastAsia="Times New Roman"/>
        </w:rPr>
        <w:t xml:space="preserve">sein des dispositifs d’innovation démocratique </w:t>
      </w:r>
      <w:r w:rsidR="00F90A84">
        <w:rPr>
          <w:rFonts w:eastAsia="Times New Roman"/>
        </w:rPr>
        <w:t>de la communauté autonome du P</w:t>
      </w:r>
      <w:r w:rsidR="00242273" w:rsidRPr="00425F5E">
        <w:rPr>
          <w:rFonts w:eastAsia="Times New Roman"/>
        </w:rPr>
        <w:t>ays basque, elles représentent toujours entre 20% et 50% des par</w:t>
      </w:r>
      <w:r w:rsidR="00DA647B" w:rsidRPr="00425F5E">
        <w:rPr>
          <w:rFonts w:eastAsia="Times New Roman"/>
        </w:rPr>
        <w:t>ticipant.e.s. Elles sont majoritaires parmi les membres fondateurs d’un dispositif participatif pilote de réflexion éthique au sein de l’hôpital. Les femmes et leurs organisations sont constamment mobilisées</w:t>
      </w:r>
      <w:r w:rsidR="00EA2DF5" w:rsidRPr="00425F5E">
        <w:rPr>
          <w:rFonts w:eastAsia="Times New Roman"/>
        </w:rPr>
        <w:t xml:space="preserve"> pour participer au système onusien</w:t>
      </w:r>
      <w:r w:rsidR="00DA647B" w:rsidRPr="00425F5E">
        <w:rPr>
          <w:rFonts w:eastAsia="Times New Roman"/>
        </w:rPr>
        <w:t xml:space="preserve"> depuis le XIXème siècle</w:t>
      </w:r>
      <w:r w:rsidR="00E423BD" w:rsidRPr="00425F5E">
        <w:rPr>
          <w:rFonts w:eastAsia="Times New Roman"/>
        </w:rPr>
        <w:t xml:space="preserve"> et luttent contre leur récurrente marginalisation. Elles ont considérablement investi le Web et les dispositifs de sociabilité comme les réseaux sociaux (en 2013, en France</w:t>
      </w:r>
      <w:r w:rsidR="00567D6D" w:rsidRPr="00425F5E">
        <w:rPr>
          <w:rFonts w:eastAsia="Times New Roman"/>
        </w:rPr>
        <w:t xml:space="preserve">, </w:t>
      </w:r>
      <w:r w:rsidR="00E423BD" w:rsidRPr="00425F5E">
        <w:rPr>
          <w:rFonts w:eastAsia="Times New Roman"/>
        </w:rPr>
        <w:t xml:space="preserve"> 66% des femmes</w:t>
      </w:r>
      <w:r w:rsidR="00EE39B8">
        <w:rPr>
          <w:rFonts w:eastAsia="Times New Roman"/>
        </w:rPr>
        <w:t xml:space="preserve"> contre</w:t>
      </w:r>
      <w:r w:rsidR="00567D6D" w:rsidRPr="00425F5E">
        <w:rPr>
          <w:rFonts w:eastAsia="Times New Roman"/>
        </w:rPr>
        <w:t xml:space="preserve"> 60% des hommes détiennent</w:t>
      </w:r>
      <w:r w:rsidR="00E423BD" w:rsidRPr="00425F5E">
        <w:rPr>
          <w:rFonts w:eastAsia="Times New Roman"/>
        </w:rPr>
        <w:t xml:space="preserve"> un compte Facebook). Sous-représentées parmi les émetteurs de commentaires politiques en ligne, elles interviennent pourtant, notamment sur </w:t>
      </w:r>
      <w:r w:rsidR="00567D6D" w:rsidRPr="00425F5E">
        <w:rPr>
          <w:rFonts w:eastAsia="Times New Roman"/>
        </w:rPr>
        <w:t>les enjeux internationaux, et selon un régime d’énonciation comparable à celui des hommes. Le dispositif qui apparait le plus monopolisé par les hommes, à</w:t>
      </w:r>
      <w:r w:rsidR="00EE39B8">
        <w:rPr>
          <w:rFonts w:eastAsia="Times New Roman"/>
        </w:rPr>
        <w:t xml:space="preserve"> la fois quant à la présence, au</w:t>
      </w:r>
      <w:r w:rsidR="00567D6D" w:rsidRPr="00425F5E">
        <w:rPr>
          <w:rFonts w:eastAsia="Times New Roman"/>
        </w:rPr>
        <w:t xml:space="preserve"> nombre </w:t>
      </w:r>
      <w:r w:rsidR="00EE39B8">
        <w:rPr>
          <w:rFonts w:eastAsia="Times New Roman"/>
        </w:rPr>
        <w:t xml:space="preserve">et à la durée </w:t>
      </w:r>
      <w:r w:rsidR="00567D6D" w:rsidRPr="00425F5E">
        <w:rPr>
          <w:rFonts w:eastAsia="Times New Roman"/>
        </w:rPr>
        <w:t>de</w:t>
      </w:r>
      <w:r w:rsidR="00EE39B8">
        <w:rPr>
          <w:rFonts w:eastAsia="Times New Roman"/>
        </w:rPr>
        <w:t>s</w:t>
      </w:r>
      <w:r w:rsidR="00567D6D" w:rsidRPr="00425F5E">
        <w:rPr>
          <w:rFonts w:eastAsia="Times New Roman"/>
        </w:rPr>
        <w:t xml:space="preserve"> prises de parole, est celui </w:t>
      </w:r>
      <w:r w:rsidR="00EE39B8">
        <w:rPr>
          <w:rFonts w:eastAsia="Times New Roman"/>
        </w:rPr>
        <w:t xml:space="preserve">de </w:t>
      </w:r>
      <w:r w:rsidR="00567D6D" w:rsidRPr="00425F5E">
        <w:rPr>
          <w:rFonts w:eastAsia="Times New Roman"/>
        </w:rPr>
        <w:t>la consultation mise en place par la Communauté Urbaine de Bordeaux et l’Agence d’Urbanisme d’Aquitaine sur les schémas de mobilité urbaine des vingt prochaines années. Par exemple, lors d’une réunion plé</w:t>
      </w:r>
      <w:r w:rsidR="00B86CC7" w:rsidRPr="00425F5E">
        <w:rPr>
          <w:rFonts w:eastAsia="Times New Roman"/>
        </w:rPr>
        <w:t>nière, les hommes représentent 7</w:t>
      </w:r>
      <w:r w:rsidR="00567D6D" w:rsidRPr="00425F5E">
        <w:rPr>
          <w:rFonts w:eastAsia="Times New Roman"/>
        </w:rPr>
        <w:t xml:space="preserve">6% des participant.e.s, ils prennent la parole 39 fois et les femmes 7 fois, le temps moyen </w:t>
      </w:r>
      <w:r w:rsidR="00AE3887" w:rsidRPr="00425F5E">
        <w:rPr>
          <w:rFonts w:eastAsia="Times New Roman"/>
        </w:rPr>
        <w:t xml:space="preserve">de </w:t>
      </w:r>
      <w:r w:rsidR="00567D6D" w:rsidRPr="00425F5E">
        <w:rPr>
          <w:rFonts w:eastAsia="Times New Roman"/>
        </w:rPr>
        <w:t xml:space="preserve">leur prise de parole est de </w:t>
      </w:r>
      <w:r w:rsidR="00AE3887" w:rsidRPr="00425F5E">
        <w:rPr>
          <w:rFonts w:eastAsia="Times New Roman"/>
        </w:rPr>
        <w:t xml:space="preserve">3mn 25 </w:t>
      </w:r>
      <w:r w:rsidR="00D35B66">
        <w:rPr>
          <w:rFonts w:eastAsia="Times New Roman"/>
        </w:rPr>
        <w:t>contre 1mn 32 pour les femmes. Mais lors des ateliers, tous</w:t>
      </w:r>
      <w:r w:rsidR="00AE3887" w:rsidRPr="00425F5E">
        <w:rPr>
          <w:rFonts w:eastAsia="Times New Roman"/>
        </w:rPr>
        <w:t xml:space="preserve"> ces i</w:t>
      </w:r>
      <w:r w:rsidR="00D35B66">
        <w:rPr>
          <w:rFonts w:eastAsia="Times New Roman"/>
        </w:rPr>
        <w:t>ndicateurs ont tendance à se réé</w:t>
      </w:r>
      <w:r w:rsidR="00AE3887" w:rsidRPr="00425F5E">
        <w:rPr>
          <w:rFonts w:eastAsia="Times New Roman"/>
        </w:rPr>
        <w:t>quilibrer.</w:t>
      </w:r>
      <w:r w:rsidR="008960C0">
        <w:rPr>
          <w:rFonts w:eastAsia="Times New Roman"/>
        </w:rPr>
        <w:t xml:space="preserve"> </w:t>
      </w:r>
    </w:p>
    <w:p w14:paraId="45A3091C" w14:textId="77777777" w:rsidR="001A4514" w:rsidRPr="00425F5E" w:rsidRDefault="001A4514" w:rsidP="00425F5E">
      <w:pPr>
        <w:jc w:val="both"/>
        <w:rPr>
          <w:rFonts w:eastAsia="Times New Roman"/>
        </w:rPr>
      </w:pPr>
    </w:p>
    <w:p w14:paraId="2B642BE5" w14:textId="6022EE05" w:rsidR="00EE4465" w:rsidRPr="00425F5E" w:rsidRDefault="00104A64" w:rsidP="00425F5E">
      <w:pPr>
        <w:jc w:val="both"/>
      </w:pPr>
      <w:r>
        <w:rPr>
          <w:rFonts w:eastAsia="Times New Roman"/>
        </w:rPr>
        <w:t>Même</w:t>
      </w:r>
      <w:r w:rsidR="00EE39B8">
        <w:rPr>
          <w:rFonts w:eastAsia="Times New Roman"/>
        </w:rPr>
        <w:t xml:space="preserve"> si comme on le verra, la </w:t>
      </w:r>
      <w:r>
        <w:rPr>
          <w:rFonts w:eastAsia="Times New Roman"/>
        </w:rPr>
        <w:t xml:space="preserve">sous-représentation </w:t>
      </w:r>
      <w:r w:rsidR="00EE39B8">
        <w:rPr>
          <w:rFonts w:eastAsia="Times New Roman"/>
        </w:rPr>
        <w:t xml:space="preserve">et la minoration </w:t>
      </w:r>
      <w:r>
        <w:rPr>
          <w:rFonts w:eastAsia="Times New Roman"/>
        </w:rPr>
        <w:t>des femmes</w:t>
      </w:r>
      <w:r w:rsidR="007754F1">
        <w:rPr>
          <w:rFonts w:eastAsia="Times New Roman"/>
        </w:rPr>
        <w:t xml:space="preserve"> restent au cœur des analyses</w:t>
      </w:r>
      <w:r>
        <w:rPr>
          <w:rFonts w:eastAsia="Times New Roman"/>
        </w:rPr>
        <w:t xml:space="preserve">, </w:t>
      </w:r>
      <w:r w:rsidR="007754F1">
        <w:rPr>
          <w:rFonts w:eastAsia="Times New Roman"/>
        </w:rPr>
        <w:t xml:space="preserve">tout comme </w:t>
      </w:r>
      <w:r w:rsidR="00EE39B8">
        <w:rPr>
          <w:rFonts w:eastAsia="Times New Roman"/>
        </w:rPr>
        <w:t>les obstacles et les entraves qu’elles ont à affronter</w:t>
      </w:r>
      <w:r w:rsidR="007754F1">
        <w:rPr>
          <w:rFonts w:eastAsia="Times New Roman"/>
        </w:rPr>
        <w:t>,</w:t>
      </w:r>
      <w:r>
        <w:rPr>
          <w:rFonts w:eastAsia="Times New Roman"/>
        </w:rPr>
        <w:t xml:space="preserve"> les femmes ne sont </w:t>
      </w:r>
      <w:r w:rsidR="00142E99">
        <w:rPr>
          <w:rFonts w:eastAsia="Times New Roman"/>
        </w:rPr>
        <w:t xml:space="preserve">donc </w:t>
      </w:r>
      <w:r>
        <w:rPr>
          <w:rFonts w:eastAsia="Times New Roman"/>
        </w:rPr>
        <w:t xml:space="preserve">pas cantonnées dans l’espace </w:t>
      </w:r>
      <w:r w:rsidR="00E7085D">
        <w:rPr>
          <w:rFonts w:eastAsia="Times New Roman"/>
        </w:rPr>
        <w:t>domestique, elles sont de plain-</w:t>
      </w:r>
      <w:r>
        <w:rPr>
          <w:rFonts w:eastAsia="Times New Roman"/>
        </w:rPr>
        <w:t xml:space="preserve">pied dans l’espace public, sous toutes ses formes. </w:t>
      </w:r>
      <w:r w:rsidR="001A4514" w:rsidRPr="00425F5E">
        <w:rPr>
          <w:rFonts w:eastAsia="Times New Roman"/>
        </w:rPr>
        <w:t xml:space="preserve">Cette présence active des femmes dans les dispositifs participatifs est en soi un résultat remarquable au regard de leur histoire. Si celle-ci est désormais connue, peut-être n’est-il pas inutile de rappeler ici </w:t>
      </w:r>
      <w:r w:rsidR="00D17957" w:rsidRPr="00425F5E">
        <w:rPr>
          <w:rFonts w:eastAsia="Times New Roman"/>
        </w:rPr>
        <w:t>combien l’histoire de la démocratie et de la construction de l’espace public repose sur leur exclusion</w:t>
      </w:r>
      <w:r w:rsidR="008637E6">
        <w:rPr>
          <w:rFonts w:eastAsia="Times New Roman"/>
        </w:rPr>
        <w:t xml:space="preserve"> (Fraisse, 1989)</w:t>
      </w:r>
      <w:r w:rsidR="00D17957" w:rsidRPr="00425F5E">
        <w:rPr>
          <w:rFonts w:eastAsia="Times New Roman"/>
        </w:rPr>
        <w:t xml:space="preserve">. </w:t>
      </w:r>
      <w:r w:rsidR="00EE4465" w:rsidRPr="00425F5E">
        <w:t>D’emblée, la démocra</w:t>
      </w:r>
      <w:r w:rsidR="007754F1">
        <w:t xml:space="preserve">tie s’est </w:t>
      </w:r>
      <w:r w:rsidR="00142E99">
        <w:t>faite sans elles ; d’emblée, e</w:t>
      </w:r>
      <w:r w:rsidR="00EE4465" w:rsidRPr="00425F5E">
        <w:t>lles sont hors du politique de la cité athénienne. Les révolutionnaires reprennent à leur compte les présupposés de la division et de la hiérarchie entre les femmes et les hommes. Les hommes ont vocation à investir l’espace public en tant que citoyens, et à exercer leur puissance maritale dans l’espace privé (celui du domestique et de la reproduction) où sont c</w:t>
      </w:r>
      <w:r w:rsidR="007754F1">
        <w:t>onfinées</w:t>
      </w:r>
      <w:r w:rsidR="00EE4465" w:rsidRPr="00425F5E">
        <w:t xml:space="preserve"> les femmes. Au moment où les révolutionnaires français congédiaient Dieu pour trouver au sein de la société les fondements du pouvoir politique, ils convoquaient on le sait la nature pour exclure les femmes de l’espace public et politique</w:t>
      </w:r>
      <w:r w:rsidR="008637E6">
        <w:t xml:space="preserve"> (Gardey, Lowy, 1998)</w:t>
      </w:r>
      <w:r w:rsidR="00B86CC7" w:rsidRPr="00425F5E">
        <w:t>. La République a</w:t>
      </w:r>
      <w:r w:rsidR="00A25396" w:rsidRPr="00425F5E">
        <w:t xml:space="preserve">  été exclusive et fratriarcale</w:t>
      </w:r>
      <w:r w:rsidR="00B86CC7" w:rsidRPr="00425F5E">
        <w:t>, même si</w:t>
      </w:r>
      <w:r w:rsidR="00EE4465" w:rsidRPr="00425F5E">
        <w:t xml:space="preserve"> ce n’est pas le lieu de refaire ici l’histoire de l’accès des femmes au droit de suffrage et d’éligibilité. En dépit de ces conditions difficiles, des</w:t>
      </w:r>
      <w:r w:rsidR="00B86CC7" w:rsidRPr="00425F5E">
        <w:t xml:space="preserve"> historiennes </w:t>
      </w:r>
      <w:r w:rsidR="00EC2B69">
        <w:t xml:space="preserve"> </w:t>
      </w:r>
      <w:r w:rsidR="00B86CC7" w:rsidRPr="00425F5E">
        <w:t>ont montré combien</w:t>
      </w:r>
      <w:r w:rsidR="00EE4465" w:rsidRPr="00425F5E">
        <w:t xml:space="preserve"> des femmes ont toujours été présentes dans des m</w:t>
      </w:r>
      <w:r w:rsidR="00D23722">
        <w:t>obilisations multiples, quelle que soit</w:t>
      </w:r>
      <w:r w:rsidR="00EE4465" w:rsidRPr="00425F5E">
        <w:t xml:space="preserve"> l’invisibilisation </w:t>
      </w:r>
      <w:r w:rsidR="0000222F">
        <w:t xml:space="preserve">ultérieure </w:t>
      </w:r>
      <w:r w:rsidR="00EE4465" w:rsidRPr="00425F5E">
        <w:t>de leur présence</w:t>
      </w:r>
      <w:r w:rsidR="00E57E88" w:rsidRPr="00E57E88">
        <w:t xml:space="preserve">, </w:t>
      </w:r>
      <w:r w:rsidR="00EE4465" w:rsidRPr="00E57E88">
        <w:t>e</w:t>
      </w:r>
      <w:r w:rsidR="00EE4465" w:rsidRPr="00425F5E">
        <w:t xml:space="preserve">t ont lutté par ailleurs pour leur inclusion dans l’espace public et politique. Que les femmes contemporaines répondent à l’appel à la participation tel qu’adressé par les autorités politiques à tous les niveaux </w:t>
      </w:r>
      <w:r w:rsidR="007754F1">
        <w:t>ne surprend pas</w:t>
      </w:r>
      <w:r w:rsidR="00CB49E6">
        <w:t>. Il reste que</w:t>
      </w:r>
      <w:r w:rsidR="007754F1" w:rsidRPr="00553FC3">
        <w:t xml:space="preserve"> </w:t>
      </w:r>
      <w:r w:rsidR="006B4C6A" w:rsidRPr="00553FC3">
        <w:t>cette participation devenue ordinaire et banale</w:t>
      </w:r>
      <w:r w:rsidR="00776724" w:rsidRPr="00553FC3">
        <w:t xml:space="preserve"> n’est </w:t>
      </w:r>
      <w:r w:rsidR="00CB49E6">
        <w:t xml:space="preserve">pourtant </w:t>
      </w:r>
      <w:r w:rsidR="00776724" w:rsidRPr="00553FC3">
        <w:t xml:space="preserve">pas </w:t>
      </w:r>
      <w:r w:rsidR="00D8704A" w:rsidRPr="00553FC3">
        <w:t>pleinement évidente.</w:t>
      </w:r>
    </w:p>
    <w:p w14:paraId="2BCE709B" w14:textId="77777777" w:rsidR="00381B09" w:rsidRDefault="00381B09" w:rsidP="00425F5E">
      <w:pPr>
        <w:jc w:val="both"/>
      </w:pPr>
    </w:p>
    <w:p w14:paraId="582F837A" w14:textId="2D95E864" w:rsidR="00B01E30" w:rsidRDefault="00B01E30" w:rsidP="00B01E30">
      <w:pPr>
        <w:jc w:val="both"/>
        <w:rPr>
          <w:i/>
        </w:rPr>
      </w:pPr>
      <w:r>
        <w:rPr>
          <w:i/>
        </w:rPr>
        <w:t xml:space="preserve">Entraves et </w:t>
      </w:r>
      <w:r w:rsidR="001A013D">
        <w:rPr>
          <w:i/>
        </w:rPr>
        <w:t xml:space="preserve">décalages </w:t>
      </w:r>
    </w:p>
    <w:p w14:paraId="31D3C706" w14:textId="77777777" w:rsidR="00B01E30" w:rsidRPr="00425F5E" w:rsidRDefault="00B01E30" w:rsidP="00B01E30">
      <w:pPr>
        <w:jc w:val="both"/>
      </w:pPr>
    </w:p>
    <w:p w14:paraId="2486F3A5" w14:textId="77777777" w:rsidR="00B01E30" w:rsidRDefault="00B01E30" w:rsidP="00B01E30">
      <w:pPr>
        <w:jc w:val="both"/>
        <w:rPr>
          <w:rFonts w:eastAsia="Times New Roman"/>
        </w:rPr>
      </w:pPr>
      <w:r>
        <w:rPr>
          <w:rFonts w:eastAsia="Times New Roman"/>
        </w:rPr>
        <w:t>En dépit du discours que la démocratie participative tient sur elle-même, ses dispositifs demeurent structurés par des rapports sociaux de sexe et des rapports de pouvoir, bien au cœur des différents articles. Quels que soient les paradigmes et les concepts mobilisés par les auteur.e.s, ces dernier.e.s s’efforcent de déplier les conditions qui rendent possibles ou qui entravent la participation, qu’il s’agisse d’accéder aux scènes d’échanges, de s’y exprimer, d’y être reconnu comme interlocuteur et interlocutrice légitime. Retenant tantôt le système sexe-genre à domination masculine, tantôt celui de l’hégémonie, qui produisent hiérarchisation et différenciation, stéréotypes et inégale distribution du pouvoir, les grilles d’analyse sont diverses mais les perspectives se rejoignent pour dresser l’inventaire des entorses à l’idéal démocratique que reconduisent les innovations participatives.</w:t>
      </w:r>
    </w:p>
    <w:p w14:paraId="683DB8D6" w14:textId="77777777" w:rsidR="00B01E30" w:rsidRDefault="00B01E30" w:rsidP="00B01E30">
      <w:pPr>
        <w:jc w:val="both"/>
        <w:rPr>
          <w:rFonts w:eastAsia="Times New Roman"/>
        </w:rPr>
      </w:pPr>
    </w:p>
    <w:p w14:paraId="22E8D6EA" w14:textId="706C3025" w:rsidR="00B01E30" w:rsidRPr="00BD2E57" w:rsidRDefault="00B01E30" w:rsidP="00B01E30">
      <w:pPr>
        <w:jc w:val="both"/>
        <w:rPr>
          <w:rFonts w:eastAsia="Times New Roman"/>
        </w:rPr>
      </w:pPr>
      <w:r>
        <w:rPr>
          <w:rFonts w:eastAsia="Times New Roman"/>
        </w:rPr>
        <w:t xml:space="preserve">Si les femmes y sont bien présentes, les hommes constituent  toujours plus de la moitié des participant.e.s des dispositifs participatifs mixtes étudiés ici. </w:t>
      </w:r>
      <w:r w:rsidRPr="006537F6">
        <w:t>Ils ont souvent la main sur le design et l’animation du dispositif,</w:t>
      </w:r>
      <w:r w:rsidR="006537F6">
        <w:rPr>
          <w:rFonts w:eastAsia="Times New Roman"/>
        </w:rPr>
        <w:t xml:space="preserve"> s</w:t>
      </w:r>
      <w:r>
        <w:rPr>
          <w:rFonts w:eastAsia="Times New Roman"/>
        </w:rPr>
        <w:t>ur la définition des enjeux et des thèmes à débattre.  P</w:t>
      </w:r>
      <w:r w:rsidRPr="00BD2E57">
        <w:rPr>
          <w:rFonts w:eastAsia="Times New Roman"/>
        </w:rPr>
        <w:t xml:space="preserve">lus encore l’universel-neutre-masculin constitue bien la référence centrale à l’aune de laquelle les prises de parole sont, si ce n’est toujours émises, </w:t>
      </w:r>
      <w:r>
        <w:rPr>
          <w:rFonts w:eastAsia="Times New Roman"/>
        </w:rPr>
        <w:t xml:space="preserve">généralement </w:t>
      </w:r>
      <w:r w:rsidRPr="00BD2E57">
        <w:rPr>
          <w:rFonts w:eastAsia="Times New Roman"/>
        </w:rPr>
        <w:t xml:space="preserve">reçues. Le genre joue comme un régime normatif d’autant plus puissant </w:t>
      </w:r>
      <w:r w:rsidRPr="00BD2E57">
        <w:t>que les femmes ne sont pas des subalternes tout à fait comme les autres. En raison même de l’ambiguïté de la considération dont elles font l’objet</w:t>
      </w:r>
      <w:r w:rsidR="00A82D8F">
        <w:t>,</w:t>
      </w:r>
      <w:r w:rsidRPr="00BD2E57">
        <w:t xml:space="preserve"> et des libertés juridiques et politiques dont elles bénéficient dans le contexte contemporain étudié</w:t>
      </w:r>
      <w:r w:rsidRPr="00BD2E57">
        <w:rPr>
          <w:vertAlign w:val="superscript"/>
        </w:rPr>
        <w:footnoteReference w:id="1"/>
      </w:r>
      <w:r w:rsidR="006537F6">
        <w:t>,</w:t>
      </w:r>
      <w:r>
        <w:t xml:space="preserve">les participantes peuvent ne pas décoder les situations de dialogue comme étant à leur désavantage, tout comme les participants peuvent ne pas mesurer la charge de déconsidération que contiennent leurs propres modes d’intercommunication  ; celles-ci intériorisent - et ceux-là naturalisent – les incapacités, comme autant d’attributs et de dispositions personnelles qu’il faudrait au mieux travailler à dépasser, au pire qu’il serait vain de nier. </w:t>
      </w:r>
    </w:p>
    <w:p w14:paraId="59899B6F" w14:textId="77777777" w:rsidR="00B01E30" w:rsidRDefault="00B01E30" w:rsidP="00B01E30">
      <w:pPr>
        <w:jc w:val="both"/>
        <w:rPr>
          <w:rFonts w:eastAsia="Times New Roman"/>
        </w:rPr>
      </w:pPr>
    </w:p>
    <w:p w14:paraId="0F1CD5A8" w14:textId="77777777" w:rsidR="00B01E30" w:rsidRDefault="00B01E30" w:rsidP="00B01E30">
      <w:pPr>
        <w:jc w:val="both"/>
        <w:rPr>
          <w:rFonts w:eastAsia="Times New Roman"/>
        </w:rPr>
      </w:pPr>
      <w:r>
        <w:rPr>
          <w:rFonts w:eastAsia="Times New Roman"/>
        </w:rPr>
        <w:t xml:space="preserve">Mais par les décalages qu’elle propose, la démocratie participative a aussi des effets productifs. Si en situation, la dévalorisation de l’expérience des femmes et de leurs modes de communication est observable, les analyses révèlent des jeux participatifs où se combinent « rapports structuraux de domination et capacités d’action », où mouvements hégémoniques et contre-hégémoniques (Hall, 1977) sont en tension, où des formes même ténues de résistance ne sont pas rares, y compris du côté des citoyennes paradoxales ordinaires, qui regrettent tout à la fois leur soumission à l’émotion, à la discrétion, à la docilité et à l’empathie, tout en cherchant par quels moyens faire de ces qualités/handicaps supposées féminines des modes légitimes d’engagement dans l’espace public, leur permettant de débattre à égalité avec les hommes. De ce point de vue, le texte de Coralie Le Caroff montre tout l’intérêt que présentent les travaux sur les forums de délibération on-line, tant  </w:t>
      </w:r>
      <w:r w:rsidRPr="00425F5E">
        <w:rPr>
          <w:rFonts w:eastAsia="Times New Roman"/>
        </w:rPr>
        <w:t>« l’élargissement de l’espace public en ligne à des régimes de prises de parole fondés sur le modèle de la conversation ordinaire et du bavardage favorise l’intervention des hommes et des femmes dans des régimes discursifs et des modalités interactionnelles communs ». La communication autour du politique en ligne est moins systématiquement genrée que celle repérée au sein d</w:t>
      </w:r>
      <w:r>
        <w:rPr>
          <w:rFonts w:eastAsia="Times New Roman"/>
        </w:rPr>
        <w:t>es espaces spécifiquement dédiés à la parole publique, tant elle semble pouvoir s’affranchir des protocoles et des postures</w:t>
      </w:r>
      <w:r w:rsidRPr="00425F5E">
        <w:rPr>
          <w:rFonts w:eastAsia="Times New Roman"/>
        </w:rPr>
        <w:t xml:space="preserve"> </w:t>
      </w:r>
      <w:r>
        <w:rPr>
          <w:rFonts w:eastAsia="Times New Roman"/>
        </w:rPr>
        <w:t xml:space="preserve">qui gouvernent les arènes participatives. </w:t>
      </w:r>
    </w:p>
    <w:p w14:paraId="603D49D3" w14:textId="77777777" w:rsidR="00B01E30" w:rsidRDefault="00B01E30" w:rsidP="00B01E30">
      <w:pPr>
        <w:jc w:val="both"/>
        <w:rPr>
          <w:rFonts w:eastAsia="Times New Roman"/>
        </w:rPr>
      </w:pPr>
    </w:p>
    <w:p w14:paraId="2A45FB8B" w14:textId="26A931E5" w:rsidR="00B01E30" w:rsidRDefault="00B01E30" w:rsidP="00B01E30">
      <w:pPr>
        <w:jc w:val="both"/>
        <w:rPr>
          <w:rFonts w:eastAsia="Times New Roman"/>
        </w:rPr>
      </w:pPr>
      <w:r>
        <w:rPr>
          <w:rFonts w:eastAsia="Times New Roman"/>
        </w:rPr>
        <w:t>Mais comme le montrent Poletta et Chen, à partir de leur propre observation de forums de débat électronique « </w:t>
      </w:r>
      <w:r w:rsidRPr="00560311">
        <w:rPr>
          <w:rFonts w:eastAsia="Times New Roman"/>
          <w:i/>
        </w:rPr>
        <w:t>Listening to the City </w:t>
      </w:r>
      <w:r>
        <w:rPr>
          <w:rFonts w:eastAsia="Times New Roman"/>
        </w:rPr>
        <w:t>», ce qui est remarquable, ce n’est pas l’effacement du genre, bien présent, mais le fait que « les différences entre les styles de communication des hommes et des femmes ne se traduisent pas en inégalités. » (</w:t>
      </w:r>
      <w:r w:rsidR="001766DB">
        <w:rPr>
          <w:rFonts w:eastAsia="Times New Roman"/>
        </w:rPr>
        <w:t xml:space="preserve">Poletta et Chen 2013, </w:t>
      </w:r>
      <w:r>
        <w:rPr>
          <w:rFonts w:eastAsia="Times New Roman"/>
        </w:rPr>
        <w:t>p. 202) Pour les auteurs, il est entendu que le caractère genré des dispositifs de délibération publique puisse tenir</w:t>
      </w:r>
      <w:r w:rsidR="004F4D64">
        <w:rPr>
          <w:rFonts w:eastAsia="Times New Roman"/>
        </w:rPr>
        <w:t>, de façon combinée ou exclusive,</w:t>
      </w:r>
      <w:r>
        <w:rPr>
          <w:rFonts w:eastAsia="Times New Roman"/>
        </w:rPr>
        <w:t xml:space="preserve"> à la composition des publics et au statut d’autorité accordé aux locuteurs, aux thèmes mis en discussion et aux modes d’expression reconnus comme appropriés, acceptables et légitimes. Toutes les formes d’espace public de discussion actualisent, de fait, les différences, mais avec des incidences très variables.  Aussi Poletta &amp; Chen insistent : si les femmes sont bel et bien présentes dans les formes contemporaines de délibération publique, si la composition genrée des groupes n’a plus nécessairement d’incidence, si le codage masculin des thèmes ne limite plus nécessairement leur participation, si elles peuvent opter pour des modalités de prise de parole où l’émotion, les récits (</w:t>
      </w:r>
      <w:r w:rsidRPr="00536ED7">
        <w:rPr>
          <w:rFonts w:eastAsia="Times New Roman"/>
          <w:i/>
        </w:rPr>
        <w:t>stories</w:t>
      </w:r>
      <w:r w:rsidR="004F4D64">
        <w:rPr>
          <w:rFonts w:eastAsia="Times New Roman"/>
        </w:rPr>
        <w:t>) sont versé</w:t>
      </w:r>
      <w:r>
        <w:rPr>
          <w:rFonts w:eastAsia="Times New Roman"/>
        </w:rPr>
        <w:t xml:space="preserve">s aux débats comme fondant bel et bien leurs opinions, c’est parce que le champ contemporain de la délibération publique organisée s’est « féminisé ». Non seulement les praticiens </w:t>
      </w:r>
      <w:r w:rsidR="004F4D64">
        <w:rPr>
          <w:rFonts w:eastAsia="Times New Roman"/>
        </w:rPr>
        <w:t xml:space="preserve">américains </w:t>
      </w:r>
      <w:r>
        <w:rPr>
          <w:rFonts w:eastAsia="Times New Roman"/>
        </w:rPr>
        <w:t>de la délibération (organisateurs, animateurs, facilitateurs) sont le plus souvent des femmes (p. 306), mais quel que soit leur sexe, ces professionnels ont progressivement développé un modèle de participation qui valorise les modes de communication « stéréotypés féminins », perçus comme mieux ajustés aux enjeux d’une délibération</w:t>
      </w:r>
      <w:r w:rsidR="004F4D64">
        <w:rPr>
          <w:rFonts w:eastAsia="Times New Roman"/>
        </w:rPr>
        <w:t xml:space="preserve"> démocratique</w:t>
      </w:r>
      <w:r>
        <w:rPr>
          <w:rFonts w:eastAsia="Times New Roman"/>
        </w:rPr>
        <w:t xml:space="preserve">, et de fait compatibles avec les compétences et les qualités perçues comme féminines : souci des processus plutôt que des résultats, attention aux sentiments et aux expériences personnelles et non aux seuls arguments rationnels, dispositions à l’écoute, habiletés à la préservation des relations. Pour Poletta et Chen, le risque de marginalisation n’est </w:t>
      </w:r>
      <w:r w:rsidR="004F4D64">
        <w:rPr>
          <w:rFonts w:eastAsia="Times New Roman"/>
        </w:rPr>
        <w:t xml:space="preserve">dès lors </w:t>
      </w:r>
      <w:r>
        <w:rPr>
          <w:rFonts w:eastAsia="Times New Roman"/>
        </w:rPr>
        <w:t xml:space="preserve">plus là où on le croit : si une telle féminisation des dispositifs participatifs de délibération se poursuivait, le détournement et la désertion des hommes </w:t>
      </w:r>
      <w:r w:rsidR="004F4D64">
        <w:rPr>
          <w:rFonts w:eastAsia="Times New Roman"/>
        </w:rPr>
        <w:t xml:space="preserve">à l’égard </w:t>
      </w:r>
      <w:r>
        <w:rPr>
          <w:rFonts w:eastAsia="Times New Roman"/>
        </w:rPr>
        <w:t>de ce secteur, tels qu’on les observe pour les professions féminisées, pourraient conduire à maintenir, voire accentuer, la position subalterne de la démocratie participative par rapport au système d</w:t>
      </w:r>
      <w:r w:rsidR="004F4D64">
        <w:rPr>
          <w:rFonts w:eastAsia="Times New Roman"/>
        </w:rPr>
        <w:t>e représentation démocratique. Ses dispositifs deviendraient t</w:t>
      </w:r>
      <w:r>
        <w:rPr>
          <w:rFonts w:eastAsia="Times New Roman"/>
        </w:rPr>
        <w:t xml:space="preserve">els des salons produisant un lointain bavardage inoffensif, </w:t>
      </w:r>
      <w:r w:rsidRPr="001A013D">
        <w:rPr>
          <w:rFonts w:eastAsia="Times New Roman"/>
        </w:rPr>
        <w:t>sans</w:t>
      </w:r>
      <w:r>
        <w:rPr>
          <w:rFonts w:eastAsia="Times New Roman"/>
        </w:rPr>
        <w:t xml:space="preserve"> incidence sur le cours de l’action publique et les processus de décisions politiques.</w:t>
      </w:r>
      <w:r w:rsidR="006537F6">
        <w:rPr>
          <w:rFonts w:eastAsia="Times New Roman"/>
        </w:rPr>
        <w:t xml:space="preserve"> </w:t>
      </w:r>
    </w:p>
    <w:p w14:paraId="51D07167" w14:textId="77777777" w:rsidR="001A013D" w:rsidRPr="002A1E9D" w:rsidRDefault="001A013D" w:rsidP="00B01E30">
      <w:pPr>
        <w:jc w:val="both"/>
        <w:rPr>
          <w:rFonts w:eastAsia="Times New Roman"/>
        </w:rPr>
      </w:pPr>
    </w:p>
    <w:p w14:paraId="2D195B09" w14:textId="1518415C" w:rsidR="00001FEE" w:rsidRPr="00FE147E" w:rsidRDefault="001A013D" w:rsidP="00001FEE">
      <w:pPr>
        <w:rPr>
          <w:i/>
        </w:rPr>
      </w:pPr>
      <w:r w:rsidRPr="00FE147E">
        <w:rPr>
          <w:i/>
        </w:rPr>
        <w:t>C</w:t>
      </w:r>
      <w:r w:rsidR="00001FEE" w:rsidRPr="00FE147E">
        <w:rPr>
          <w:i/>
        </w:rPr>
        <w:t xml:space="preserve">itoyenneté et dilemme. </w:t>
      </w:r>
    </w:p>
    <w:p w14:paraId="20FA6712" w14:textId="77777777" w:rsidR="00425F5E" w:rsidRPr="00425F5E" w:rsidRDefault="00425F5E" w:rsidP="00425F5E">
      <w:pPr>
        <w:jc w:val="both"/>
      </w:pPr>
    </w:p>
    <w:p w14:paraId="0D410D00" w14:textId="7EB8D11F" w:rsidR="00425F5E" w:rsidRDefault="00425F5E" w:rsidP="00441DD9">
      <w:pPr>
        <w:pStyle w:val="Sansinterligne"/>
        <w:jc w:val="both"/>
        <w:rPr>
          <w:color w:val="0000FF"/>
          <w:lang w:val="cs-CZ"/>
        </w:rPr>
      </w:pPr>
      <w:r w:rsidRPr="00425F5E">
        <w:rPr>
          <w:lang w:val="cs-CZ"/>
        </w:rPr>
        <w:t>Le courant participationniste développé par des féministes de la citoyenneté</w:t>
      </w:r>
      <w:r w:rsidR="00001FEE">
        <w:rPr>
          <w:lang w:val="cs-CZ"/>
        </w:rPr>
        <w:t>,</w:t>
      </w:r>
      <w:r w:rsidRPr="00425F5E">
        <w:rPr>
          <w:lang w:val="cs-CZ"/>
        </w:rPr>
        <w:t xml:space="preserve"> </w:t>
      </w:r>
      <w:r w:rsidR="00001FEE">
        <w:rPr>
          <w:lang w:val="cs-CZ"/>
        </w:rPr>
        <w:t xml:space="preserve">contre le courant maternaliste invitant à adopter une vision de la conscience politique féminine qui soit ancrée dans les vertus de la sphère privée, </w:t>
      </w:r>
      <w:r w:rsidR="0004029E">
        <w:rPr>
          <w:lang w:val="cs-CZ"/>
        </w:rPr>
        <w:t xml:space="preserve">tend à </w:t>
      </w:r>
      <w:r w:rsidRPr="00425F5E">
        <w:rPr>
          <w:lang w:val="cs-CZ"/>
        </w:rPr>
        <w:t>assigne</w:t>
      </w:r>
      <w:r w:rsidR="0004029E">
        <w:rPr>
          <w:lang w:val="cs-CZ"/>
        </w:rPr>
        <w:t>r</w:t>
      </w:r>
      <w:r w:rsidRPr="00425F5E">
        <w:rPr>
          <w:lang w:val="cs-CZ"/>
        </w:rPr>
        <w:t xml:space="preserve"> aux femmes une vocation particulière en matière de participation citoyenne à la fois pour elles mêmes et pour l’ensemble des citoyens. Il pose la participation des femmes aux institutions (empowerment) et le développement attendu de la participation par des femmes (la transformation des institutions) comme une nécessité et une disposition.  Les femmes sont invitées à déployer une conscience de la démocratie souhaitable en proclamant valeurs</w:t>
      </w:r>
      <w:r w:rsidR="00001FEE">
        <w:rPr>
          <w:lang w:val="cs-CZ"/>
        </w:rPr>
        <w:t>, relation</w:t>
      </w:r>
      <w:r w:rsidRPr="00425F5E">
        <w:rPr>
          <w:lang w:val="cs-CZ"/>
        </w:rPr>
        <w:t xml:space="preserve"> et pratiques explicitement participatives</w:t>
      </w:r>
      <w:r w:rsidR="00001FEE">
        <w:rPr>
          <w:lang w:val="cs-CZ"/>
        </w:rPr>
        <w:t xml:space="preserve">. „C’est seulement en insistant sur le fait que les problèmes économiques et sociaux doivent être soulevés par l’intermédiaire de la participation active des citoyens à la sphère publique, et en valorisant la citoyenneté comme une vertu en soi, que les féministes aurant réussi à proposer un projet politique véritablement émancipateur“ </w:t>
      </w:r>
      <w:r w:rsidRPr="00425F5E">
        <w:rPr>
          <w:i/>
          <w:lang w:val="cs-CZ"/>
        </w:rPr>
        <w:t>(</w:t>
      </w:r>
      <w:r w:rsidRPr="00425F5E">
        <w:rPr>
          <w:lang w:val="cs-CZ"/>
        </w:rPr>
        <w:t>Dietz, 2000</w:t>
      </w:r>
      <w:r w:rsidR="00001FEE">
        <w:rPr>
          <w:lang w:val="cs-CZ"/>
        </w:rPr>
        <w:t>, p.152</w:t>
      </w:r>
      <w:r w:rsidRPr="00425F5E">
        <w:rPr>
          <w:lang w:val="cs-CZ"/>
        </w:rPr>
        <w:t>).</w:t>
      </w:r>
      <w:r w:rsidR="00F23775">
        <w:rPr>
          <w:lang w:val="cs-CZ"/>
        </w:rPr>
        <w:t xml:space="preserve"> </w:t>
      </w:r>
    </w:p>
    <w:p w14:paraId="133B9ADC" w14:textId="77777777" w:rsidR="00001FEE" w:rsidRDefault="00001FEE" w:rsidP="00441DD9">
      <w:pPr>
        <w:pStyle w:val="Sansinterligne"/>
        <w:jc w:val="both"/>
        <w:rPr>
          <w:color w:val="0000FF"/>
          <w:lang w:val="cs-CZ"/>
        </w:rPr>
      </w:pPr>
    </w:p>
    <w:p w14:paraId="70B0A27D" w14:textId="4164FECA" w:rsidR="00001FEE" w:rsidRPr="001A013D" w:rsidRDefault="00001FEE" w:rsidP="00441DD9">
      <w:pPr>
        <w:pStyle w:val="Sansinterligne"/>
        <w:jc w:val="both"/>
        <w:rPr>
          <w:lang w:val="cs-CZ"/>
        </w:rPr>
      </w:pPr>
      <w:r w:rsidRPr="001A013D">
        <w:rPr>
          <w:lang w:val="cs-CZ"/>
        </w:rPr>
        <w:t>C’est alors en tant qu’outsiders et profanes que les femmes améneraient une conception plus participative de la démocratie, à l’instar d’autres groupes traditionnellement exclus du champ politique (Guionnet 2005). Toutefois, à l’égard d‘autres groupes sociaux aux marges du champ politique (les jeunes, les catégories populaires, etc), le genre est une caractéristique stable et durable de la p</w:t>
      </w:r>
      <w:r w:rsidR="001404C0" w:rsidRPr="001A013D">
        <w:rPr>
          <w:lang w:val="cs-CZ"/>
        </w:rPr>
        <w:t>ersonne (contrairement à l‘âge voire à</w:t>
      </w:r>
      <w:r w:rsidRPr="001A013D">
        <w:rPr>
          <w:lang w:val="cs-CZ"/>
        </w:rPr>
        <w:t xml:space="preserve"> la catégorie sociale). Surtout, c’est un rapport social fondé spécifiquement sur la place des femmes dans la reproduction (et ses conséquences sociales</w:t>
      </w:r>
      <w:r w:rsidR="001404C0" w:rsidRPr="001A013D">
        <w:rPr>
          <w:lang w:val="cs-CZ"/>
        </w:rPr>
        <w:t xml:space="preserve"> sur la famille et la politique</w:t>
      </w:r>
      <w:r w:rsidRPr="001A013D">
        <w:rPr>
          <w:lang w:val="cs-CZ"/>
        </w:rPr>
        <w:t xml:space="preserve">). </w:t>
      </w:r>
    </w:p>
    <w:p w14:paraId="5E1D62BF" w14:textId="77777777" w:rsidR="001404C0" w:rsidRPr="001A013D" w:rsidRDefault="001404C0" w:rsidP="00441DD9">
      <w:pPr>
        <w:pStyle w:val="Sansinterligne"/>
        <w:jc w:val="both"/>
        <w:rPr>
          <w:lang w:val="cs-CZ"/>
        </w:rPr>
      </w:pPr>
    </w:p>
    <w:p w14:paraId="3656ADA9" w14:textId="77777777" w:rsidR="00F9116A" w:rsidRDefault="00F9116A" w:rsidP="00441DD9">
      <w:pPr>
        <w:jc w:val="both"/>
        <w:rPr>
          <w:rFonts w:eastAsia="Times New Roman"/>
          <w:i/>
        </w:rPr>
      </w:pPr>
    </w:p>
    <w:p w14:paraId="1396D4B0" w14:textId="5922040B" w:rsidR="00275C09" w:rsidRDefault="00DE1E2D" w:rsidP="00275C09">
      <w:pPr>
        <w:jc w:val="both"/>
      </w:pPr>
      <w:r>
        <w:rPr>
          <w:rFonts w:eastAsia="Times New Roman"/>
        </w:rPr>
        <w:t>Il existe deux manières de penser la citoyenneté différenciée à partir spécifiqu</w:t>
      </w:r>
      <w:r w:rsidR="00275C09">
        <w:rPr>
          <w:rFonts w:eastAsia="Times New Roman"/>
        </w:rPr>
        <w:t>ement de la dualité du genre humain</w:t>
      </w:r>
      <w:r>
        <w:rPr>
          <w:rFonts w:eastAsia="Times New Roman"/>
        </w:rPr>
        <w:t xml:space="preserve">. </w:t>
      </w:r>
      <w:r w:rsidR="00C8078F">
        <w:rPr>
          <w:rFonts w:eastAsia="Times New Roman"/>
        </w:rPr>
        <w:t>L’idée d’une citoyenneté différenciée entre les femmes et les hommes peut s’appuyer s</w:t>
      </w:r>
      <w:r w:rsidR="00275C09">
        <w:rPr>
          <w:rFonts w:eastAsia="Times New Roman"/>
        </w:rPr>
        <w:t>ur les liens mère/enfant</w:t>
      </w:r>
      <w:r w:rsidR="00C8078F">
        <w:rPr>
          <w:rFonts w:eastAsia="Times New Roman"/>
        </w:rPr>
        <w:t xml:space="preserve"> ou prendre appui sur les relations femmes/hommes, comme le rappelle Bérangère Marques-Perreira</w:t>
      </w:r>
      <w:r w:rsidR="00842126">
        <w:rPr>
          <w:rFonts w:eastAsia="Times New Roman"/>
        </w:rPr>
        <w:t xml:space="preserve"> dans son </w:t>
      </w:r>
      <w:r w:rsidR="00F23775">
        <w:rPr>
          <w:rFonts w:eastAsia="Times New Roman"/>
        </w:rPr>
        <w:t>panorama remarquable</w:t>
      </w:r>
      <w:r w:rsidR="00C8078F">
        <w:rPr>
          <w:rFonts w:eastAsia="Times New Roman"/>
        </w:rPr>
        <w:t xml:space="preserve">. </w:t>
      </w:r>
      <w:r w:rsidR="00275C09">
        <w:rPr>
          <w:rFonts w:eastAsia="Times New Roman"/>
        </w:rPr>
        <w:t xml:space="preserve">Ces deux positions en théorie politique ont en commun d’interroger le caractère neutre de la citoyenneté et de l’espace public et de leur corollaire, la coupure public/privé. </w:t>
      </w:r>
      <w:r w:rsidR="00275C09">
        <w:t>Des chercheuses féministes, telles que S. Moller Okin ont montré combien les théories politiques aveugles au genre conduisaient à une perpétuation non critique de la distinction public/privé et à ne pas voir le masculin derrière le neutre</w:t>
      </w:r>
      <w:r w:rsidR="002A4FF2">
        <w:t xml:space="preserve"> (S. Moller Okin, 2000)</w:t>
      </w:r>
      <w:r w:rsidR="00275C09">
        <w:t xml:space="preserve">. Dans le champ de la démocratie participative et délibérative, </w:t>
      </w:r>
      <w:r w:rsidR="00275C09">
        <w:rPr>
          <w:rFonts w:eastAsia="Times New Roman"/>
        </w:rPr>
        <w:t>la cri</w:t>
      </w:r>
      <w:r w:rsidR="003F2827">
        <w:rPr>
          <w:rFonts w:eastAsia="Times New Roman"/>
        </w:rPr>
        <w:t>tique serrée que livre Nancy Fras</w:t>
      </w:r>
      <w:r w:rsidR="00275C09">
        <w:rPr>
          <w:rFonts w:eastAsia="Times New Roman"/>
        </w:rPr>
        <w:t>er de la fausse neutralité de l’espace public habermassien est</w:t>
      </w:r>
      <w:r w:rsidR="0037420E">
        <w:rPr>
          <w:rFonts w:eastAsia="Times New Roman"/>
        </w:rPr>
        <w:t xml:space="preserve"> bien connue</w:t>
      </w:r>
      <w:r w:rsidR="0001737A">
        <w:rPr>
          <w:rFonts w:eastAsia="Times New Roman"/>
        </w:rPr>
        <w:t xml:space="preserve"> (Fraser, 2001)</w:t>
      </w:r>
      <w:r w:rsidR="00275C09">
        <w:rPr>
          <w:rFonts w:eastAsia="Times New Roman"/>
        </w:rPr>
        <w:t> : l’illusion consistant à faire comme si l’ensemble des  participant.e.s étaient égaux et indifférenciés quant à leur capacité à prendre la parole dans le registre admis</w:t>
      </w:r>
      <w:r w:rsidR="003F2827">
        <w:rPr>
          <w:rFonts w:eastAsia="Times New Roman"/>
        </w:rPr>
        <w:t xml:space="preserve"> comme légitime</w:t>
      </w:r>
      <w:r w:rsidR="00275C09">
        <w:rPr>
          <w:rFonts w:eastAsia="Times New Roman"/>
        </w:rPr>
        <w:t xml:space="preserve"> </w:t>
      </w:r>
      <w:r w:rsidR="002F7A5B">
        <w:rPr>
          <w:rFonts w:eastAsia="Times New Roman"/>
        </w:rPr>
        <w:t>conduit à occulter, sous couvert d</w:t>
      </w:r>
      <w:r w:rsidR="00275C09">
        <w:rPr>
          <w:rFonts w:eastAsia="Times New Roman"/>
        </w:rPr>
        <w:t>’espace</w:t>
      </w:r>
      <w:r w:rsidR="002F7A5B">
        <w:rPr>
          <w:rFonts w:eastAsia="Times New Roman"/>
        </w:rPr>
        <w:t xml:space="preserve"> public supposé neutre, </w:t>
      </w:r>
      <w:r w:rsidR="00275C09">
        <w:rPr>
          <w:rFonts w:eastAsia="Times New Roman"/>
        </w:rPr>
        <w:t xml:space="preserve"> le masculin tel qu’il se donne à voir pour l’universel. </w:t>
      </w:r>
    </w:p>
    <w:p w14:paraId="058E3565" w14:textId="7D0256FA" w:rsidR="00275C09" w:rsidRDefault="00275C09" w:rsidP="00275C09">
      <w:pPr>
        <w:jc w:val="both"/>
      </w:pPr>
    </w:p>
    <w:p w14:paraId="797C1840" w14:textId="38E432AC" w:rsidR="003F6E32" w:rsidRDefault="0095301C" w:rsidP="003F6E32">
      <w:pPr>
        <w:jc w:val="both"/>
        <w:rPr>
          <w:rFonts w:eastAsia="Times New Roman"/>
        </w:rPr>
      </w:pPr>
      <w:r>
        <w:rPr>
          <w:rFonts w:eastAsia="Times New Roman"/>
        </w:rPr>
        <w:t>La thèse maternaliste, qu’un réflexe féministe peut porter à tenir à distance pour ce qu’elle contient de contradictoire avec l’idée d’un individu abstrait et pour l’acception d’une reproduction de la division du travail qu’elle suppose, valorise l’idée de l’éthique d</w:t>
      </w:r>
      <w:r w:rsidR="00DA55E0">
        <w:rPr>
          <w:rFonts w:eastAsia="Times New Roman"/>
        </w:rPr>
        <w:t>e la sollicitude. Cette éthique</w:t>
      </w:r>
      <w:r>
        <w:rPr>
          <w:rFonts w:eastAsia="Times New Roman"/>
        </w:rPr>
        <w:t>, telle que la développe par exemple  Jean Elsthain</w:t>
      </w:r>
      <w:r w:rsidR="0001737A">
        <w:rPr>
          <w:rFonts w:eastAsia="Times New Roman"/>
        </w:rPr>
        <w:t xml:space="preserve"> (J. Elsthain, 1981)</w:t>
      </w:r>
      <w:r>
        <w:rPr>
          <w:rFonts w:eastAsia="Times New Roman"/>
        </w:rPr>
        <w:t xml:space="preserve">, supposée féminine, </w:t>
      </w:r>
      <w:r w:rsidR="003F6E32">
        <w:rPr>
          <w:rFonts w:eastAsia="Times New Roman"/>
        </w:rPr>
        <w:t>« permettrait de vider la vision participative et républicaine de la citoyenneté de ses aspects machistes pour la nourrir des valeurs dites maternelles</w:t>
      </w:r>
      <w:r w:rsidR="003F6E32">
        <w:rPr>
          <w:rStyle w:val="Marquenotebasdepage"/>
          <w:rFonts w:eastAsia="Times New Roman"/>
        </w:rPr>
        <w:footnoteReference w:id="2"/>
      </w:r>
      <w:r w:rsidR="003F6E32">
        <w:rPr>
          <w:rFonts w:eastAsia="Times New Roman"/>
        </w:rPr>
        <w:t xml:space="preserve"> ». </w:t>
      </w:r>
      <w:r w:rsidR="00D36CBC">
        <w:rPr>
          <w:rFonts w:eastAsia="Times New Roman"/>
        </w:rPr>
        <w:t xml:space="preserve">Il n’est pas inintéressant de relever que de telles conceptions ne sont pas absentes des conceptions des ONG et de l’ONU dans l’appel à la participation spécifique des femmes dans un contexte d’après-guerre tel qu’étudié par Marie Saiget dans ce dossier. </w:t>
      </w:r>
      <w:r w:rsidR="003F6E32">
        <w:rPr>
          <w:rFonts w:eastAsia="Times New Roman"/>
        </w:rPr>
        <w:t>La thèse d’une participation des femmes à partir d’une affirmation de la positivité d’un féminin centré sur la famille, suscite des cri</w:t>
      </w:r>
      <w:r w:rsidR="00DA55E0">
        <w:rPr>
          <w:rFonts w:eastAsia="Times New Roman"/>
        </w:rPr>
        <w:t>tiques fortes. Pour Mary Dietz,</w:t>
      </w:r>
      <w:r w:rsidR="003F6E32">
        <w:rPr>
          <w:rFonts w:eastAsia="Times New Roman"/>
        </w:rPr>
        <w:t xml:space="preserve"> la politique ne relève pas des présupposés qui régissent la relation mère/enfant mais de présupposés radicalement différents ; dès lors, aucune raison que les femmes fassent de la politique autrement que les hommes. </w:t>
      </w:r>
      <w:r w:rsidR="00504D78">
        <w:rPr>
          <w:rFonts w:eastAsia="Times New Roman"/>
        </w:rPr>
        <w:t xml:space="preserve">En outre, cette approche tend à occulter les relations père/enfant ou </w:t>
      </w:r>
      <w:r w:rsidR="003F2827">
        <w:rPr>
          <w:rFonts w:eastAsia="Times New Roman"/>
        </w:rPr>
        <w:t xml:space="preserve">à </w:t>
      </w:r>
      <w:r w:rsidR="00504D78">
        <w:rPr>
          <w:rFonts w:eastAsia="Times New Roman"/>
        </w:rPr>
        <w:t xml:space="preserve">les penser comme fondamentalement secondaires et impropres à irriguer une quelconque forme d’intervention dans l’espace public. </w:t>
      </w:r>
      <w:r w:rsidR="003F6E32">
        <w:rPr>
          <w:rFonts w:eastAsia="Times New Roman"/>
        </w:rPr>
        <w:t xml:space="preserve">Pour autant, il ne faut pas sous-estimer </w:t>
      </w:r>
      <w:r w:rsidR="003F6E32" w:rsidRPr="003F2827">
        <w:rPr>
          <w:rFonts w:eastAsia="Times New Roman"/>
          <w:i/>
        </w:rPr>
        <w:t>a priori</w:t>
      </w:r>
      <w:r w:rsidR="003F6E32">
        <w:rPr>
          <w:rFonts w:eastAsia="Times New Roman"/>
        </w:rPr>
        <w:t xml:space="preserve"> cette « voix différente » telle qu’elle peut émaner des arènes </w:t>
      </w:r>
      <w:r w:rsidR="003F2827" w:rsidRPr="006537F6">
        <w:rPr>
          <w:rFonts w:eastAsia="Times New Roman"/>
        </w:rPr>
        <w:t>participatives</w:t>
      </w:r>
      <w:r w:rsidR="003F2827">
        <w:rPr>
          <w:rFonts w:eastAsia="Times New Roman"/>
        </w:rPr>
        <w:t xml:space="preserve"> </w:t>
      </w:r>
      <w:r w:rsidR="003F6E32">
        <w:rPr>
          <w:rFonts w:eastAsia="Times New Roman"/>
        </w:rPr>
        <w:t xml:space="preserve">sauf à rejouer </w:t>
      </w:r>
      <w:r w:rsidR="008B1BB0">
        <w:rPr>
          <w:rFonts w:eastAsia="Times New Roman"/>
        </w:rPr>
        <w:t xml:space="preserve">les processus de disqualification qui structurent </w:t>
      </w:r>
      <w:r w:rsidR="003F6E32">
        <w:rPr>
          <w:rFonts w:eastAsia="Times New Roman"/>
        </w:rPr>
        <w:t>les arènes de la démocratie</w:t>
      </w:r>
      <w:r w:rsidR="008B1BB0">
        <w:rPr>
          <w:rFonts w:eastAsia="Times New Roman"/>
        </w:rPr>
        <w:t xml:space="preserve"> </w:t>
      </w:r>
      <w:r w:rsidR="008B1BB0" w:rsidRPr="006537F6">
        <w:rPr>
          <w:rFonts w:eastAsia="Times New Roman"/>
        </w:rPr>
        <w:t>représentative</w:t>
      </w:r>
      <w:r w:rsidR="00131AC8" w:rsidRPr="006537F6">
        <w:rPr>
          <w:rFonts w:eastAsia="Times New Roman"/>
        </w:rPr>
        <w:t xml:space="preserve"> (Gilligan, 1982)</w:t>
      </w:r>
      <w:r w:rsidR="003F6E32" w:rsidRPr="006537F6">
        <w:rPr>
          <w:rFonts w:eastAsia="Times New Roman"/>
        </w:rPr>
        <w:t>.</w:t>
      </w:r>
      <w:r w:rsidR="003F6E32">
        <w:rPr>
          <w:rFonts w:eastAsia="Times New Roman"/>
        </w:rPr>
        <w:t xml:space="preserve"> </w:t>
      </w:r>
      <w:r w:rsidR="00453238">
        <w:rPr>
          <w:rFonts w:eastAsia="Times New Roman"/>
        </w:rPr>
        <w:t xml:space="preserve">Il faut pouvoir rendre compte des spécificités des prises de parole sans les proposer sous l’angle du manque, du handicap, de la déficience. </w:t>
      </w:r>
      <w:r w:rsidR="00B63440">
        <w:t xml:space="preserve">Le </w:t>
      </w:r>
      <w:r w:rsidR="00B63440" w:rsidRPr="008B1BB0">
        <w:rPr>
          <w:i/>
        </w:rPr>
        <w:t>care</w:t>
      </w:r>
      <w:r w:rsidR="00B63440">
        <w:t xml:space="preserve"> a ouvert dans le</w:t>
      </w:r>
      <w:r w:rsidR="005C58B7">
        <w:t xml:space="preserve"> champ académique une controverse </w:t>
      </w:r>
      <w:r w:rsidR="00B63440">
        <w:t xml:space="preserve">importante </w:t>
      </w:r>
      <w:r w:rsidR="005C58B7">
        <w:t xml:space="preserve">depuis la parution du livre de Carol Gilligan, </w:t>
      </w:r>
      <w:r w:rsidR="005C58B7" w:rsidRPr="00AB688A">
        <w:rPr>
          <w:i/>
        </w:rPr>
        <w:t>In a different Voice</w:t>
      </w:r>
      <w:r w:rsidR="005C58B7">
        <w:t xml:space="preserve"> (1982). En un mot, s’agit-il d’un concept subversif, capable de transformer radicalement notre vision de la morale et du monde social et politique ou au contraire d’un concept dangereusement conservateur, véhiculant une  morale faible, une morale d’appoint, toujours susceptible de durcir et d’essentialiser les « différences » entre les hommes et les femmes ?</w:t>
      </w:r>
      <w:r w:rsidR="008945DB">
        <w:t xml:space="preserve"> La difficile prise en considération </w:t>
      </w:r>
      <w:r w:rsidR="00B63440">
        <w:t>du</w:t>
      </w:r>
      <w:r w:rsidR="00B63440" w:rsidRPr="00B6611B">
        <w:rPr>
          <w:i/>
        </w:rPr>
        <w:t xml:space="preserve"> care</w:t>
      </w:r>
      <w:r w:rsidR="00B63440">
        <w:t xml:space="preserve"> dans le champ académique</w:t>
      </w:r>
      <w:r w:rsidR="008945DB">
        <w:t xml:space="preserve"> (Laugier, 2011),</w:t>
      </w:r>
      <w:r w:rsidR="00B63440">
        <w:t xml:space="preserve"> en dépit du travail convaincant fourni par ses théoriciennes</w:t>
      </w:r>
      <w:r w:rsidR="008945DB">
        <w:t>,</w:t>
      </w:r>
      <w:r w:rsidR="00B63440">
        <w:t xml:space="preserve"> </w:t>
      </w:r>
      <w:r w:rsidR="00DF439D">
        <w:t xml:space="preserve">raisonne avec la place, réduite, faite à </w:t>
      </w:r>
      <w:r w:rsidR="00B63440">
        <w:t xml:space="preserve">la </w:t>
      </w:r>
      <w:r w:rsidR="00DF439D">
        <w:t xml:space="preserve">famille et la </w:t>
      </w:r>
      <w:r w:rsidR="00B63440">
        <w:t>maternité dans la théorie politique</w:t>
      </w:r>
      <w:r w:rsidR="00DF439D">
        <w:t>. On retrouve dans le féminisme de la seconde vague une telle indifférence si ce n’est méfiance</w:t>
      </w:r>
      <w:r w:rsidR="00354D4A">
        <w:t xml:space="preserve">: </w:t>
      </w:r>
      <w:r w:rsidR="008B1BB0">
        <w:t>tout à leur</w:t>
      </w:r>
      <w:r w:rsidR="00D4044C">
        <w:t xml:space="preserve"> </w:t>
      </w:r>
      <w:r w:rsidR="00354D4A">
        <w:t xml:space="preserve">projet </w:t>
      </w:r>
      <w:r w:rsidR="008B1BB0">
        <w:t xml:space="preserve">d’émancipation </w:t>
      </w:r>
      <w:r w:rsidR="00354D4A">
        <w:t>d’u</w:t>
      </w:r>
      <w:r w:rsidR="008B1BB0">
        <w:t>ne individue libre et autonome, bien des féministes ont préféré</w:t>
      </w:r>
      <w:r w:rsidR="00354D4A">
        <w:t xml:space="preserve"> </w:t>
      </w:r>
      <w:r w:rsidR="00DF439D">
        <w:t>taire, pour l’</w:t>
      </w:r>
      <w:r w:rsidR="00354D4A">
        <w:t>évacuer</w:t>
      </w:r>
      <w:r w:rsidR="00DF439D">
        <w:t xml:space="preserve">, </w:t>
      </w:r>
      <w:r w:rsidR="00354D4A">
        <w:t>la question d’un</w:t>
      </w:r>
      <w:r w:rsidR="003C2C47">
        <w:t xml:space="preserve">e maternité perçue comme contrariante, </w:t>
      </w:r>
      <w:r w:rsidR="00354D4A">
        <w:t xml:space="preserve"> aliénante</w:t>
      </w:r>
      <w:r w:rsidR="00354D4A">
        <w:rPr>
          <w:rStyle w:val="Marquenotebasdepage"/>
        </w:rPr>
        <w:footnoteReference w:id="3"/>
      </w:r>
      <w:r w:rsidR="00354D4A">
        <w:t xml:space="preserve">. </w:t>
      </w:r>
    </w:p>
    <w:p w14:paraId="46C072DD" w14:textId="77777777" w:rsidR="000C133A" w:rsidRDefault="000C133A" w:rsidP="003F6E32">
      <w:pPr>
        <w:jc w:val="both"/>
        <w:rPr>
          <w:rFonts w:eastAsia="Times New Roman"/>
        </w:rPr>
      </w:pPr>
    </w:p>
    <w:p w14:paraId="60035649" w14:textId="3332BAFA" w:rsidR="000C133A" w:rsidRDefault="000C133A" w:rsidP="003F6E32">
      <w:pPr>
        <w:jc w:val="both"/>
        <w:rPr>
          <w:rFonts w:eastAsia="Times New Roman"/>
        </w:rPr>
      </w:pPr>
      <w:r>
        <w:rPr>
          <w:rFonts w:eastAsia="Times New Roman"/>
        </w:rPr>
        <w:t xml:space="preserve">L’idée d’une citoyenneté </w:t>
      </w:r>
      <w:r w:rsidR="00504D78">
        <w:rPr>
          <w:rFonts w:eastAsia="Times New Roman"/>
        </w:rPr>
        <w:t>duale à partir du sexe s’</w:t>
      </w:r>
      <w:r w:rsidR="00F34596">
        <w:rPr>
          <w:rFonts w:eastAsia="Times New Roman"/>
        </w:rPr>
        <w:t>appuie non seulement</w:t>
      </w:r>
      <w:r w:rsidR="00504D78">
        <w:rPr>
          <w:rFonts w:eastAsia="Times New Roman"/>
        </w:rPr>
        <w:t xml:space="preserve"> sur les relations mère/enfant mais les relations femmes/hommes. </w:t>
      </w:r>
      <w:r>
        <w:rPr>
          <w:rFonts w:eastAsia="Times New Roman"/>
        </w:rPr>
        <w:t>Après avoir été une des fondatrices des théories de la démocratie participative</w:t>
      </w:r>
      <w:r w:rsidR="008A6627">
        <w:rPr>
          <w:rFonts w:eastAsia="Times New Roman"/>
        </w:rPr>
        <w:t xml:space="preserve"> contre les théories dites réalistes de la démocratie</w:t>
      </w:r>
      <w:r>
        <w:rPr>
          <w:rFonts w:eastAsia="Times New Roman"/>
        </w:rPr>
        <w:t xml:space="preserve">, </w:t>
      </w:r>
      <w:r w:rsidR="00B92AC1">
        <w:rPr>
          <w:rFonts w:eastAsia="Times New Roman"/>
        </w:rPr>
        <w:t xml:space="preserve">privilégiant </w:t>
      </w:r>
      <w:r w:rsidR="008A6627">
        <w:rPr>
          <w:rFonts w:eastAsia="Times New Roman"/>
        </w:rPr>
        <w:t>une participation limitée des citoyens, Carole Pateman</w:t>
      </w:r>
      <w:r w:rsidR="006B08BA">
        <w:rPr>
          <w:rFonts w:eastAsia="Times New Roman"/>
        </w:rPr>
        <w:t xml:space="preserve"> (2010)</w:t>
      </w:r>
      <w:r w:rsidR="008A6627">
        <w:rPr>
          <w:rFonts w:eastAsia="Times New Roman"/>
        </w:rPr>
        <w:t xml:space="preserve"> a </w:t>
      </w:r>
      <w:r w:rsidR="00B265AB">
        <w:rPr>
          <w:rFonts w:eastAsia="Times New Roman"/>
        </w:rPr>
        <w:t>montré que derrière tout contrat, se rejouait</w:t>
      </w:r>
      <w:r>
        <w:rPr>
          <w:rFonts w:eastAsia="Times New Roman"/>
        </w:rPr>
        <w:t xml:space="preserve"> un contrat sexuel, </w:t>
      </w:r>
      <w:r w:rsidR="00B265AB">
        <w:rPr>
          <w:rFonts w:eastAsia="Times New Roman"/>
        </w:rPr>
        <w:t xml:space="preserve">oppressif, </w:t>
      </w:r>
      <w:r>
        <w:rPr>
          <w:rFonts w:eastAsia="Times New Roman"/>
        </w:rPr>
        <w:t>premier et fondateur</w:t>
      </w:r>
      <w:r w:rsidR="008A6627">
        <w:rPr>
          <w:rFonts w:eastAsia="Times New Roman"/>
        </w:rPr>
        <w:t>, soit un accord passé entre les hommes en tant que groupe pour assujettir les femmes en tant que groupe, et plus spécifiquement pour se garantir un libre accès à leur corps</w:t>
      </w:r>
      <w:r w:rsidR="000B54FF">
        <w:rPr>
          <w:rFonts w:eastAsia="Times New Roman"/>
        </w:rPr>
        <w:t xml:space="preserve"> </w:t>
      </w:r>
      <w:r w:rsidR="006549A7">
        <w:rPr>
          <w:rFonts w:eastAsia="Times New Roman"/>
        </w:rPr>
        <w:t xml:space="preserve">(Garrau, 2011). </w:t>
      </w:r>
      <w:r>
        <w:rPr>
          <w:rFonts w:eastAsia="Times New Roman"/>
        </w:rPr>
        <w:t>Elle décrit la citoyenneté patriarcale fondée sur une universalité abstraite qui pose le masculin en norme d</w:t>
      </w:r>
      <w:r w:rsidR="00D36CBC">
        <w:rPr>
          <w:rFonts w:eastAsia="Times New Roman"/>
        </w:rPr>
        <w:t xml:space="preserve">e référence dans la sphère publique : « la séparation du privé et du public signifie la séparation du monde de la soumission naturelle, c’est-à-dire des femmes, et du monde des relations conventionnelles et des individus, c’est à dire des hommes. Le monde privé féminin se caractérisant par la nature, la particularité, la différenciation, l’inégalité, l’émotion, l’amour et les liens du sang, est ainsi séparé de la sphère publique, universelle –et masculine- caractérisée par les conventions, l’égalité civique ainsi que par la liberté, la raison, le consentement et le contrat». </w:t>
      </w:r>
      <w:r w:rsidR="001F7CDC">
        <w:rPr>
          <w:rFonts w:eastAsia="Times New Roman"/>
        </w:rPr>
        <w:t>(Pateman, 1988, pp. 7-8)</w:t>
      </w:r>
    </w:p>
    <w:p w14:paraId="51FC5AFF" w14:textId="77777777" w:rsidR="003F6E32" w:rsidRDefault="003F6E32" w:rsidP="003F6E32">
      <w:pPr>
        <w:jc w:val="both"/>
        <w:rPr>
          <w:rFonts w:eastAsia="Times New Roman"/>
        </w:rPr>
      </w:pPr>
    </w:p>
    <w:p w14:paraId="55E2B6DE" w14:textId="56DB4576" w:rsidR="00BF735F" w:rsidRDefault="00D36CBC" w:rsidP="003C5D39">
      <w:pPr>
        <w:jc w:val="both"/>
      </w:pPr>
      <w:r>
        <w:rPr>
          <w:rFonts w:eastAsia="Times New Roman"/>
        </w:rPr>
        <w:t xml:space="preserve">Ces deux conceptions ont en commun une tendance à l’essentialisation des genres et à leur dichotomisation en deux catégories homogènes. </w:t>
      </w:r>
      <w:r w:rsidR="00C274AB">
        <w:t xml:space="preserve">Comme le relève d’ailleurs C. Pateman  dans son chapitre conclusif, « prendre au sérieux l’identité incarnée suppose l’abandon de l’individu masculin et unitaire et exige d’ouvrir un espace pour deux figures : l’une masculine, l’autre féminine » (p. 307). </w:t>
      </w:r>
      <w:r w:rsidR="00C274AB">
        <w:rPr>
          <w:rFonts w:eastAsia="Times New Roman"/>
        </w:rPr>
        <w:t>Elle</w:t>
      </w:r>
      <w:r>
        <w:rPr>
          <w:rFonts w:eastAsia="Times New Roman"/>
        </w:rPr>
        <w:t xml:space="preserve"> situe son analyse dans les théories de la domination et du patriarcat</w:t>
      </w:r>
      <w:r w:rsidR="00D72AD3">
        <w:rPr>
          <w:rFonts w:eastAsia="Times New Roman"/>
        </w:rPr>
        <w:t xml:space="preserve"> et de leur constante  reconduction</w:t>
      </w:r>
      <w:r>
        <w:rPr>
          <w:rFonts w:eastAsia="Times New Roman"/>
        </w:rPr>
        <w:t>. De telles perspective</w:t>
      </w:r>
      <w:r w:rsidR="00B92AC1">
        <w:rPr>
          <w:rFonts w:eastAsia="Times New Roman"/>
        </w:rPr>
        <w:t xml:space="preserve">s ont pu être critiquées pour leur </w:t>
      </w:r>
      <w:r>
        <w:rPr>
          <w:rFonts w:eastAsia="Times New Roman"/>
        </w:rPr>
        <w:t>impossibilité à penser les changements intervenus au cours des dernières décennies entre les femmes et les h</w:t>
      </w:r>
      <w:r w:rsidR="003C5D39">
        <w:rPr>
          <w:rFonts w:eastAsia="Times New Roman"/>
        </w:rPr>
        <w:t>ommes en particulier en Europe</w:t>
      </w:r>
      <w:r w:rsidR="0031397C">
        <w:rPr>
          <w:rFonts w:eastAsia="Times New Roman"/>
        </w:rPr>
        <w:t xml:space="preserve"> (Froidevaux-Metterie, 2015)</w:t>
      </w:r>
      <w:r>
        <w:rPr>
          <w:rFonts w:eastAsia="Times New Roman"/>
        </w:rPr>
        <w:t>.</w:t>
      </w:r>
      <w:r w:rsidR="0031397C">
        <w:rPr>
          <w:rFonts w:eastAsia="Times New Roman"/>
        </w:rPr>
        <w:t xml:space="preserve"> Par exemple</w:t>
      </w:r>
      <w:r>
        <w:rPr>
          <w:rFonts w:eastAsia="Times New Roman"/>
        </w:rPr>
        <w:t xml:space="preserve">, Eric Macé </w:t>
      </w:r>
      <w:r w:rsidR="008325EB">
        <w:rPr>
          <w:rFonts w:eastAsia="Times New Roman"/>
        </w:rPr>
        <w:t xml:space="preserve">invite </w:t>
      </w:r>
      <w:r>
        <w:rPr>
          <w:rFonts w:eastAsia="Times New Roman"/>
        </w:rPr>
        <w:t xml:space="preserve">à envisager </w:t>
      </w:r>
      <w:r w:rsidR="00272D63">
        <w:rPr>
          <w:rFonts w:eastAsia="Times New Roman"/>
        </w:rPr>
        <w:t xml:space="preserve">la période contemporaine comme </w:t>
      </w:r>
      <w:r w:rsidRPr="001447F2">
        <w:rPr>
          <w:rFonts w:eastAsia="Times New Roman"/>
          <w:i/>
        </w:rPr>
        <w:t>l’après-p</w:t>
      </w:r>
      <w:r w:rsidR="00AD6169" w:rsidRPr="001447F2">
        <w:rPr>
          <w:rFonts w:eastAsia="Times New Roman"/>
          <w:i/>
        </w:rPr>
        <w:t>atriarcat</w:t>
      </w:r>
      <w:r w:rsidR="008325EB">
        <w:rPr>
          <w:rFonts w:eastAsia="Times New Roman"/>
        </w:rPr>
        <w:t>, dès lors que,</w:t>
      </w:r>
      <w:r w:rsidR="001447F2">
        <w:rPr>
          <w:rFonts w:eastAsia="Times New Roman"/>
        </w:rPr>
        <w:t xml:space="preserve"> </w:t>
      </w:r>
      <w:r w:rsidR="003D03A0">
        <w:rPr>
          <w:rFonts w:eastAsia="Times New Roman"/>
        </w:rPr>
        <w:t>caractéristique du patriarcat traditionnel comme moderne</w:t>
      </w:r>
      <w:r w:rsidR="00C303B1">
        <w:rPr>
          <w:rFonts w:eastAsia="Times New Roman"/>
        </w:rPr>
        <w:t xml:space="preserve"> (Macé, 2015),</w:t>
      </w:r>
      <w:r w:rsidR="001447F2">
        <w:rPr>
          <w:rFonts w:eastAsia="Times New Roman"/>
        </w:rPr>
        <w:t xml:space="preserve"> la mise en asymétrie du féminin par rapport au masculin n’est désormais ni nécessaire ni légitime</w:t>
      </w:r>
      <w:r w:rsidR="003D03A0">
        <w:rPr>
          <w:rFonts w:eastAsia="Times New Roman"/>
        </w:rPr>
        <w:t>. Pour autant, dans le cadre de ce dossier, deux auteur</w:t>
      </w:r>
      <w:r w:rsidR="00190D97">
        <w:rPr>
          <w:rFonts w:eastAsia="Times New Roman"/>
        </w:rPr>
        <w:t xml:space="preserve">.e.s mobilisent </w:t>
      </w:r>
      <w:r w:rsidR="0084663E">
        <w:rPr>
          <w:rFonts w:eastAsia="Times New Roman"/>
        </w:rPr>
        <w:t xml:space="preserve">explicitement </w:t>
      </w:r>
      <w:r w:rsidR="00190D97">
        <w:rPr>
          <w:rFonts w:eastAsia="Times New Roman"/>
        </w:rPr>
        <w:t>le</w:t>
      </w:r>
      <w:r w:rsidR="0084663E">
        <w:rPr>
          <w:rFonts w:eastAsia="Times New Roman"/>
        </w:rPr>
        <w:t>s</w:t>
      </w:r>
      <w:r w:rsidR="00190D97">
        <w:rPr>
          <w:rFonts w:eastAsia="Times New Roman"/>
        </w:rPr>
        <w:t xml:space="preserve"> cadre</w:t>
      </w:r>
      <w:r w:rsidR="0084663E">
        <w:rPr>
          <w:rFonts w:eastAsia="Times New Roman"/>
        </w:rPr>
        <w:t xml:space="preserve">s </w:t>
      </w:r>
      <w:r w:rsidR="003D03A0">
        <w:rPr>
          <w:rFonts w:eastAsia="Times New Roman"/>
        </w:rPr>
        <w:t xml:space="preserve"> de la domination et du patriarcat pour analyser les prises de parole féminines dans une assemblée mixte et les conditions de leurs réceptions. </w:t>
      </w:r>
      <w:r w:rsidR="00190D97">
        <w:rPr>
          <w:rFonts w:eastAsia="Times New Roman"/>
        </w:rPr>
        <w:t>C’est le cas de l’article d’Yves Raiba</w:t>
      </w:r>
      <w:r w:rsidR="0084663E">
        <w:rPr>
          <w:rFonts w:eastAsia="Times New Roman"/>
        </w:rPr>
        <w:t>ud, déjà présenté, à propos du</w:t>
      </w:r>
      <w:r w:rsidR="00190D97">
        <w:rPr>
          <w:rFonts w:eastAsia="Times New Roman"/>
        </w:rPr>
        <w:t xml:space="preserve"> débat sur les mobilités douces nettement monopolisé par les hommes. </w:t>
      </w:r>
      <w:r w:rsidR="0016643B">
        <w:rPr>
          <w:rFonts w:eastAsia="Times New Roman"/>
        </w:rPr>
        <w:t xml:space="preserve">Les prises de parole à partir d’expériences concrètes associées à la vie familiale et privée ou exprimées à partir des émotions sont systématiquement dévaluées. Dans les prises de parole, ce qui relève du féminin (pour les participant.e.s mais aussi pour l’auteur) vaut toujours moins que ce qui relève du masculin. </w:t>
      </w:r>
      <w:r w:rsidR="0053599E">
        <w:rPr>
          <w:rFonts w:eastAsia="Times New Roman"/>
        </w:rPr>
        <w:t xml:space="preserve">Mêmes observations de la part de </w:t>
      </w:r>
      <w:r w:rsidR="00AA57D0" w:rsidRPr="003743A9">
        <w:rPr>
          <w:lang w:val="es-ES"/>
        </w:rPr>
        <w:t>Jone Martínez Palacios, Igor Ahedo Gurrutxaga, Alicia Suso Menzada, Zuriñe Rodriguez Lara</w:t>
      </w:r>
      <w:r w:rsidR="00AA57D0">
        <w:rPr>
          <w:lang w:val="es-ES"/>
        </w:rPr>
        <w:t xml:space="preserve"> </w:t>
      </w:r>
      <w:r w:rsidR="0053599E">
        <w:rPr>
          <w:lang w:val="es-ES"/>
        </w:rPr>
        <w:t xml:space="preserve">qui </w:t>
      </w:r>
      <w:r w:rsidR="00927332">
        <w:rPr>
          <w:rFonts w:eastAsia="Times New Roman"/>
        </w:rPr>
        <w:t xml:space="preserve">mobilisent aussi les </w:t>
      </w:r>
      <w:r w:rsidR="001447F2">
        <w:rPr>
          <w:rFonts w:eastAsia="Times New Roman"/>
        </w:rPr>
        <w:t xml:space="preserve">concepts </w:t>
      </w:r>
      <w:r w:rsidR="00AD6169">
        <w:rPr>
          <w:rFonts w:eastAsia="Times New Roman"/>
        </w:rPr>
        <w:t>de</w:t>
      </w:r>
      <w:r w:rsidR="00927332">
        <w:rPr>
          <w:rFonts w:eastAsia="Times New Roman"/>
        </w:rPr>
        <w:t xml:space="preserve"> patriarcat et de domination pour rendre compte de l’expérience participative de femmes dans des dis</w:t>
      </w:r>
      <w:r w:rsidR="00AA57D0">
        <w:rPr>
          <w:rFonts w:eastAsia="Times New Roman"/>
        </w:rPr>
        <w:t>positifs participatifs mixtes au Pays Basque</w:t>
      </w:r>
      <w:r w:rsidR="00927332">
        <w:rPr>
          <w:rFonts w:eastAsia="Times New Roman"/>
        </w:rPr>
        <w:t xml:space="preserve">. </w:t>
      </w:r>
      <w:r w:rsidR="0084663E">
        <w:rPr>
          <w:rFonts w:eastAsia="Times New Roman"/>
        </w:rPr>
        <w:t>T</w:t>
      </w:r>
      <w:r w:rsidR="00927332">
        <w:rPr>
          <w:rFonts w:eastAsia="Times New Roman"/>
        </w:rPr>
        <w:t xml:space="preserve">rois tensions principales sont </w:t>
      </w:r>
      <w:r w:rsidR="0084663E">
        <w:rPr>
          <w:rFonts w:eastAsia="Times New Roman"/>
        </w:rPr>
        <w:t xml:space="preserve">alors </w:t>
      </w:r>
      <w:r w:rsidR="00927332">
        <w:rPr>
          <w:rFonts w:eastAsia="Times New Roman"/>
        </w:rPr>
        <w:t>identifié</w:t>
      </w:r>
      <w:r w:rsidR="0084663E">
        <w:rPr>
          <w:rFonts w:eastAsia="Times New Roman"/>
        </w:rPr>
        <w:t>e</w:t>
      </w:r>
      <w:r w:rsidR="00927332">
        <w:rPr>
          <w:rFonts w:eastAsia="Times New Roman"/>
        </w:rPr>
        <w:t xml:space="preserve">s qui « entravent » la participation des femmes : le dominant </w:t>
      </w:r>
      <w:r w:rsidR="0053599E">
        <w:rPr>
          <w:rFonts w:eastAsia="Times New Roman"/>
        </w:rPr>
        <w:t xml:space="preserve">contre le </w:t>
      </w:r>
      <w:r w:rsidR="00927332">
        <w:rPr>
          <w:rFonts w:eastAsia="Times New Roman"/>
        </w:rPr>
        <w:t xml:space="preserve">subalterne, le public contre le privé, la raison contre l’émotion. </w:t>
      </w:r>
      <w:r w:rsidR="002A1E9D" w:rsidRPr="003C5D39">
        <w:t>Si le mascul</w:t>
      </w:r>
      <w:r w:rsidR="002A1E9D">
        <w:t>in invisible est assimilé au neut</w:t>
      </w:r>
      <w:r w:rsidR="002A1E9D" w:rsidRPr="003C5D39">
        <w:t xml:space="preserve">re-universel, </w:t>
      </w:r>
      <w:r w:rsidR="002A1E9D">
        <w:t>les femmes sont supposées soit s’assimiler à ce neutre en gommant dans leur expression ce qui relève du féminin tel qu’il est socialement construit</w:t>
      </w:r>
      <w:r w:rsidR="0053599E">
        <w:t>,</w:t>
      </w:r>
      <w:r w:rsidR="002A1E9D">
        <w:t xml:space="preserve"> soit s’inclure dans le débat en tant que femmes au risque d’une prise de parole minorée. Cette in</w:t>
      </w:r>
      <w:r w:rsidR="0053599E">
        <w:t>jonction contradictoire entravant</w:t>
      </w:r>
      <w:r w:rsidR="002A1E9D">
        <w:t xml:space="preserve"> le processus de leur individuation</w:t>
      </w:r>
      <w:r w:rsidR="002A1E9D">
        <w:rPr>
          <w:rStyle w:val="Marquenotebasdepage"/>
        </w:rPr>
        <w:footnoteReference w:id="4"/>
      </w:r>
      <w:r w:rsidR="002A1E9D">
        <w:t xml:space="preserve">. </w:t>
      </w:r>
    </w:p>
    <w:p w14:paraId="7F5C0341" w14:textId="77777777" w:rsidR="00C6522B" w:rsidRDefault="00C6522B" w:rsidP="003C5D39">
      <w:pPr>
        <w:jc w:val="both"/>
        <w:rPr>
          <w:color w:val="FFFFFF" w:themeColor="background1"/>
        </w:rPr>
      </w:pPr>
    </w:p>
    <w:p w14:paraId="6A49D816" w14:textId="77777777" w:rsidR="00BF6FD8" w:rsidRPr="00D72AD3" w:rsidRDefault="00BF6FD8" w:rsidP="003C5D39">
      <w:pPr>
        <w:jc w:val="both"/>
        <w:rPr>
          <w:color w:val="FFFFFF" w:themeColor="background1"/>
        </w:rPr>
      </w:pPr>
    </w:p>
    <w:p w14:paraId="1EB277A2" w14:textId="01C3A474" w:rsidR="003C5D39" w:rsidRPr="00833049" w:rsidRDefault="000E0D15" w:rsidP="003C5D39">
      <w:pPr>
        <w:jc w:val="both"/>
        <w:rPr>
          <w:rFonts w:eastAsia="Times New Roman"/>
          <w:i/>
        </w:rPr>
      </w:pPr>
      <w:r w:rsidRPr="00833049">
        <w:rPr>
          <w:rFonts w:eastAsia="Times New Roman"/>
          <w:i/>
        </w:rPr>
        <w:t xml:space="preserve">Contre-publics féministes </w:t>
      </w:r>
      <w:r w:rsidR="00BF6FD8" w:rsidRPr="00833049">
        <w:rPr>
          <w:rFonts w:eastAsia="Times New Roman"/>
          <w:i/>
        </w:rPr>
        <w:t>et c</w:t>
      </w:r>
      <w:r w:rsidR="00F9116A" w:rsidRPr="00833049">
        <w:rPr>
          <w:rFonts w:eastAsia="Times New Roman"/>
          <w:i/>
        </w:rPr>
        <w:t>livages</w:t>
      </w:r>
    </w:p>
    <w:p w14:paraId="5A38A232" w14:textId="5F5BB1C7" w:rsidR="00F9116A" w:rsidRDefault="00F9116A" w:rsidP="003C5D39">
      <w:pPr>
        <w:jc w:val="both"/>
      </w:pPr>
    </w:p>
    <w:p w14:paraId="63036931" w14:textId="3E6C3498" w:rsidR="003C5D39" w:rsidRDefault="00B6611B" w:rsidP="00285F33">
      <w:pPr>
        <w:jc w:val="both"/>
        <w:rPr>
          <w:rFonts w:eastAsia="Times New Roman"/>
        </w:rPr>
      </w:pPr>
      <w:r w:rsidRPr="006537F6">
        <w:t xml:space="preserve">La sortie </w:t>
      </w:r>
      <w:r w:rsidR="00690449" w:rsidRPr="006537F6">
        <w:t>de ce dilemme passe sans doute par une dimension, bien présente dans ce dossier,</w:t>
      </w:r>
      <w:r w:rsidR="00690449">
        <w:t xml:space="preserve"> qui est celle d’une conscience militante en faveur de l’égalité entre les sexes, constituée en amont de l’entrée dans le dispositif. </w:t>
      </w:r>
      <w:r w:rsidR="00690449">
        <w:rPr>
          <w:rFonts w:eastAsia="Times New Roman"/>
        </w:rPr>
        <w:t xml:space="preserve">Le relatif échec de la mixité en matière de participation (ou de dynamique de genre) tel que </w:t>
      </w:r>
      <w:r w:rsidR="00AD6169">
        <w:rPr>
          <w:rFonts w:eastAsia="Times New Roman"/>
        </w:rPr>
        <w:t>le donne</w:t>
      </w:r>
      <w:r w:rsidR="00BF6FD8">
        <w:rPr>
          <w:rFonts w:eastAsia="Times New Roman"/>
        </w:rPr>
        <w:t>nt</w:t>
      </w:r>
      <w:r w:rsidR="00AD6169">
        <w:rPr>
          <w:rFonts w:eastAsia="Times New Roman"/>
        </w:rPr>
        <w:t xml:space="preserve"> à voir</w:t>
      </w:r>
      <w:r w:rsidR="00690449">
        <w:rPr>
          <w:rFonts w:eastAsia="Times New Roman"/>
        </w:rPr>
        <w:t xml:space="preserve"> les articles d’Yves Raibaud et des auteures espagnoles invite à examiner attentivement les dispositifs non mixtes proposés dans d’autres aires culturelles que la nôtre.</w:t>
      </w:r>
    </w:p>
    <w:p w14:paraId="4AAE902C" w14:textId="77777777" w:rsidR="00690449" w:rsidRDefault="00690449" w:rsidP="00285F33">
      <w:pPr>
        <w:jc w:val="both"/>
        <w:rPr>
          <w:rFonts w:eastAsia="Times New Roman"/>
        </w:rPr>
      </w:pPr>
    </w:p>
    <w:p w14:paraId="153AC3B3" w14:textId="441F8C77" w:rsidR="00015A4D" w:rsidRDefault="00F24428" w:rsidP="00285F33">
      <w:pPr>
        <w:jc w:val="both"/>
        <w:rPr>
          <w:rFonts w:eastAsia="Times New Roman"/>
        </w:rPr>
      </w:pPr>
      <w:r>
        <w:t xml:space="preserve">Les femmes présentes dans les dispositifs participatifs non mixtes revendiquent-elles d’intervenir en tant que femmes ? </w:t>
      </w:r>
      <w:r w:rsidR="00687BF5">
        <w:t xml:space="preserve">Doivent-elles le faire ? </w:t>
      </w:r>
      <w:r>
        <w:t xml:space="preserve">La question de savoir si la revendication d’une identité sexuée est souhaitable a fait l’objet de prises de positions théoriques nombreuses et contrastées. </w:t>
      </w:r>
      <w:r w:rsidR="001A1FF1">
        <w:t xml:space="preserve">Si dans les travaux français cette question donne lieu à une réponse centrée sur la dualité du genre humain, dans les travaux anglo-saxons la réponse porte davantage sur la reconnaissance de la diversité des groupes, comme le relève encore Bérengère Marques-Pereira. </w:t>
      </w:r>
      <w:r w:rsidR="00687BF5">
        <w:t xml:space="preserve">Là où </w:t>
      </w:r>
      <w:r w:rsidR="001A1FF1">
        <w:t>Iris Young défend la nécessité pour les différents groupes sociaux opprimés de proposer des politiques fondées su</w:t>
      </w:r>
      <w:r w:rsidR="00687BF5">
        <w:t>r leurs intérêts propres</w:t>
      </w:r>
      <w:r w:rsidR="00DE5D82">
        <w:t xml:space="preserve"> (Young, 1990)</w:t>
      </w:r>
      <w:r w:rsidR="00B24817">
        <w:t>, Anne Philip</w:t>
      </w:r>
      <w:r w:rsidR="001A1FF1">
        <w:t>s pointe le risque de réifier les différentes identités</w:t>
      </w:r>
      <w:r w:rsidR="00687BF5">
        <w:t xml:space="preserve"> et la nécessité pour l’individu de se détacher</w:t>
      </w:r>
      <w:r w:rsidR="00BF6FD8">
        <w:t xml:space="preserve"> de ses particularités propres</w:t>
      </w:r>
      <w:r w:rsidR="00B24817">
        <w:t xml:space="preserve"> (Philip</w:t>
      </w:r>
      <w:r w:rsidR="00DE5D82">
        <w:t>s, 1993)</w:t>
      </w:r>
      <w:r w:rsidR="00BF6FD8">
        <w:t xml:space="preserve">. Quant à </w:t>
      </w:r>
      <w:r w:rsidR="00687BF5">
        <w:t>Chantal Mouffe</w:t>
      </w:r>
      <w:r w:rsidR="00BF6FD8">
        <w:t>, elle</w:t>
      </w:r>
      <w:r w:rsidR="00687BF5">
        <w:t xml:space="preserve"> met en garde contre</w:t>
      </w:r>
      <w:r w:rsidR="00687BF5" w:rsidRPr="00DE5D82">
        <w:t xml:space="preserve"> le risque qu’une grammaire commune ne soit </w:t>
      </w:r>
      <w:r w:rsidR="00DE5D82" w:rsidRPr="00DE5D82">
        <w:t xml:space="preserve">pas </w:t>
      </w:r>
      <w:r w:rsidR="00687BF5" w:rsidRPr="00DE5D82">
        <w:t>préservée</w:t>
      </w:r>
      <w:r w:rsidR="006C01B4" w:rsidRPr="00DE5D82">
        <w:t xml:space="preserve"> (</w:t>
      </w:r>
      <w:r w:rsidR="00DE5D82">
        <w:t>Mouffe, 1993)</w:t>
      </w:r>
      <w:r w:rsidR="00687BF5" w:rsidRPr="00DE5D82">
        <w:t xml:space="preserve">. </w:t>
      </w:r>
      <w:r w:rsidR="00015A4D">
        <w:rPr>
          <w:rFonts w:eastAsia="Times New Roman"/>
        </w:rPr>
        <w:t>L’</w:t>
      </w:r>
      <w:r w:rsidR="00D72AD3">
        <w:rPr>
          <w:rFonts w:eastAsia="Times New Roman"/>
        </w:rPr>
        <w:t>écueil</w:t>
      </w:r>
      <w:r w:rsidR="00015A4D">
        <w:rPr>
          <w:rFonts w:eastAsia="Times New Roman"/>
        </w:rPr>
        <w:t xml:space="preserve"> est toujours de réifier les identités, fussent-elles multiples</w:t>
      </w:r>
      <w:r w:rsidR="00C05D6F">
        <w:rPr>
          <w:rFonts w:eastAsia="Times New Roman"/>
        </w:rPr>
        <w:t xml:space="preserve"> et pas seulement duale, celles-</w:t>
      </w:r>
      <w:r w:rsidR="00015A4D">
        <w:rPr>
          <w:rFonts w:eastAsia="Times New Roman"/>
        </w:rPr>
        <w:t>là même</w:t>
      </w:r>
      <w:r w:rsidR="00BF6FD8">
        <w:rPr>
          <w:rFonts w:eastAsia="Times New Roman"/>
        </w:rPr>
        <w:t>s qu’il faudrait taire et faire entendre, qu’il faudrait faire exister aujourd’hui pour qu’</w:t>
      </w:r>
      <w:r w:rsidR="00015A4D">
        <w:rPr>
          <w:rFonts w:eastAsia="Times New Roman"/>
        </w:rPr>
        <w:t>elles disparaissent</w:t>
      </w:r>
      <w:r w:rsidR="00BF6FD8">
        <w:rPr>
          <w:rFonts w:eastAsia="Times New Roman"/>
        </w:rPr>
        <w:t xml:space="preserve"> demain</w:t>
      </w:r>
      <w:r w:rsidR="00015A4D">
        <w:rPr>
          <w:rFonts w:eastAsia="Times New Roman"/>
        </w:rPr>
        <w:t>. Dans quelle mesure l’universalisme libéral est-il compatible avec la « politique de la différence » selon l’expression d’Iris Young</w:t>
      </w:r>
      <w:r w:rsidR="00583C00">
        <w:rPr>
          <w:rFonts w:eastAsia="Times New Roman"/>
        </w:rPr>
        <w:t xml:space="preserve"> (Young, 1989)</w:t>
      </w:r>
      <w:r w:rsidR="00015A4D">
        <w:rPr>
          <w:rFonts w:eastAsia="Times New Roman"/>
        </w:rPr>
        <w:t xml:space="preserve"> ? </w:t>
      </w:r>
    </w:p>
    <w:p w14:paraId="407014C0" w14:textId="77777777" w:rsidR="00015A4D" w:rsidRDefault="00015A4D" w:rsidP="00285F33">
      <w:pPr>
        <w:jc w:val="both"/>
        <w:rPr>
          <w:rFonts w:eastAsia="Times New Roman"/>
        </w:rPr>
      </w:pPr>
    </w:p>
    <w:p w14:paraId="37D321E8" w14:textId="05A84334" w:rsidR="00E34480" w:rsidRDefault="00015A4D" w:rsidP="00285F33">
      <w:pPr>
        <w:jc w:val="both"/>
      </w:pPr>
      <w:r>
        <w:rPr>
          <w:rFonts w:eastAsia="Times New Roman"/>
        </w:rPr>
        <w:t>Par ailleurs, qu’est-ce qui co</w:t>
      </w:r>
      <w:r w:rsidR="00E34480">
        <w:rPr>
          <w:rFonts w:eastAsia="Times New Roman"/>
        </w:rPr>
        <w:t>nstitue le groupe des femmes</w:t>
      </w:r>
      <w:r>
        <w:rPr>
          <w:rFonts w:eastAsia="Times New Roman"/>
        </w:rPr>
        <w:t xml:space="preserve"> au-delà des différences multiples qui les traversent ?</w:t>
      </w:r>
      <w:r w:rsidR="00E34480">
        <w:rPr>
          <w:rFonts w:eastAsia="Times New Roman"/>
        </w:rPr>
        <w:t xml:space="preserve"> Pour Anne Philipps, l</w:t>
      </w:r>
      <w:r w:rsidR="00E34480">
        <w:t xml:space="preserve">’exclusion historique des femmes de l’espace public et politique les constitue en tant que groupe, au delà de situations  et d’intérêts  disparates.  En dépit de la variation des situations, elles ont en commun cet héritage (qui constitue le présent de nombreux pays). Et </w:t>
      </w:r>
      <w:r w:rsidR="00E34480" w:rsidRPr="00BF6FD8">
        <w:rPr>
          <w:i/>
        </w:rPr>
        <w:t>a minima</w:t>
      </w:r>
      <w:r w:rsidR="00E34480">
        <w:t xml:space="preserve"> un intérêt commun : améliorer leur accès à l’espace public et politique. </w:t>
      </w:r>
      <w:r w:rsidR="001E2993">
        <w:t xml:space="preserve">Depuis </w:t>
      </w:r>
      <w:r w:rsidR="001A1C31">
        <w:t xml:space="preserve">ces laboratoires que constituent les dispositifs non mixtes, </w:t>
      </w:r>
      <w:r w:rsidR="001E2993">
        <w:t xml:space="preserve">les articles qui suivent </w:t>
      </w:r>
      <w:r w:rsidR="001A1C31">
        <w:t xml:space="preserve">montrent </w:t>
      </w:r>
      <w:r w:rsidR="00300F0F">
        <w:t xml:space="preserve">surtout </w:t>
      </w:r>
      <w:r w:rsidR="00300F0F" w:rsidRPr="00300F0F">
        <w:t>que par-delà l</w:t>
      </w:r>
      <w:r w:rsidR="001A1C31" w:rsidRPr="00300F0F">
        <w:t xml:space="preserve">es différences voire </w:t>
      </w:r>
      <w:r w:rsidR="00300F0F" w:rsidRPr="00300F0F">
        <w:t xml:space="preserve">les </w:t>
      </w:r>
      <w:r w:rsidR="001A1C31" w:rsidRPr="00300F0F">
        <w:t>clivages qui structurent la dynamique participative, ce sont les violences faites aux femmes qui constituent le socle d’une conscience commune et partagée.</w:t>
      </w:r>
      <w:r w:rsidR="001A1C31">
        <w:t xml:space="preserve"> </w:t>
      </w:r>
      <w:r w:rsidR="00300F0F">
        <w:t xml:space="preserve">Mais du niveau local au niveau transnational, participer au nom des femmes n’est un mot d’ordre ni </w:t>
      </w:r>
      <w:r w:rsidR="006C01B4">
        <w:t xml:space="preserve">toujours </w:t>
      </w:r>
      <w:r w:rsidR="00300F0F">
        <w:t xml:space="preserve">partagé ni </w:t>
      </w:r>
      <w:r w:rsidR="006C01B4">
        <w:t xml:space="preserve">toujours </w:t>
      </w:r>
      <w:r w:rsidR="00300F0F">
        <w:t xml:space="preserve">consensuel. La fragmentation et les rapports de pouvoir </w:t>
      </w:r>
      <w:r w:rsidR="0076232B">
        <w:t>au sein du monde des</w:t>
      </w:r>
      <w:r w:rsidR="00300F0F">
        <w:t xml:space="preserve"> ONG</w:t>
      </w:r>
      <w:r w:rsidR="00A03A79">
        <w:t xml:space="preserve"> menées par des femmes</w:t>
      </w:r>
      <w:r w:rsidR="0076232B">
        <w:t xml:space="preserve"> cherchant à obtenir l’attention de l’ONU en témoignent</w:t>
      </w:r>
      <w:r w:rsidR="001E2993">
        <w:t xml:space="preserve"> (Giraud)</w:t>
      </w:r>
      <w:r w:rsidR="0076232B">
        <w:t>.</w:t>
      </w:r>
    </w:p>
    <w:p w14:paraId="2FC3BA98" w14:textId="77777777" w:rsidR="001A1C31" w:rsidRDefault="001A1C31" w:rsidP="00285F33">
      <w:pPr>
        <w:jc w:val="both"/>
      </w:pPr>
    </w:p>
    <w:p w14:paraId="7432D1A4" w14:textId="1289AF4C" w:rsidR="000E0652" w:rsidRPr="006C01B4" w:rsidRDefault="001A1C31" w:rsidP="00285F33">
      <w:pPr>
        <w:jc w:val="both"/>
      </w:pPr>
      <w:r>
        <w:t>Dans les dispositifs mixtes, les participantes interviennent peu en tant que femmes</w:t>
      </w:r>
      <w:r w:rsidR="00395C07">
        <w:t xml:space="preserve"> (et d’autant moins que les débats ont lieu en ligne)</w:t>
      </w:r>
      <w:r>
        <w:t xml:space="preserve">, </w:t>
      </w:r>
      <w:r w:rsidR="00A03A79">
        <w:t xml:space="preserve">sans que cela </w:t>
      </w:r>
      <w:r>
        <w:t xml:space="preserve">n’empêche pas les récepteurs ou </w:t>
      </w:r>
      <w:r w:rsidR="0010014F">
        <w:t xml:space="preserve">les </w:t>
      </w:r>
      <w:r>
        <w:t>observateurs de recev</w:t>
      </w:r>
      <w:r w:rsidR="00395C07">
        <w:t>oir certaines de leurs paroles comme féminines</w:t>
      </w:r>
      <w:r>
        <w:t xml:space="preserve">. </w:t>
      </w:r>
      <w:r w:rsidR="009C70EE">
        <w:t xml:space="preserve">Ce qui dote les participantes d’une capacité à parler en tant que femmes avec autorité, </w:t>
      </w:r>
      <w:r w:rsidR="00285F33">
        <w:t xml:space="preserve">par rapport aux hommes mais aussi aux autres femmes, </w:t>
      </w:r>
      <w:r w:rsidR="009C70EE">
        <w:t xml:space="preserve">c’est </w:t>
      </w:r>
      <w:r w:rsidR="0010014F">
        <w:t xml:space="preserve">l’expérience du militantisme et </w:t>
      </w:r>
      <w:r w:rsidR="009C70EE">
        <w:t xml:space="preserve">la participation </w:t>
      </w:r>
      <w:r w:rsidR="0010014F">
        <w:t xml:space="preserve">préalable </w:t>
      </w:r>
      <w:r w:rsidR="009C70EE">
        <w:t xml:space="preserve">à un </w:t>
      </w:r>
      <w:r w:rsidR="009C70EE" w:rsidRPr="006C01B4">
        <w:rPr>
          <w:i/>
        </w:rPr>
        <w:t>contre-public subalterne</w:t>
      </w:r>
      <w:r w:rsidR="00251304" w:rsidRPr="006C01B4">
        <w:rPr>
          <w:i/>
        </w:rPr>
        <w:t xml:space="preserve"> féministe</w:t>
      </w:r>
      <w:r w:rsidR="009C70EE">
        <w:t xml:space="preserve">. </w:t>
      </w:r>
      <w:r w:rsidR="000E0652">
        <w:rPr>
          <w:rFonts w:ascii="Times" w:eastAsia="Times New Roman" w:hAnsi="Times"/>
          <w:sz w:val="25"/>
          <w:szCs w:val="25"/>
        </w:rPr>
        <w:t>Ce</w:t>
      </w:r>
      <w:r w:rsidR="0010014F">
        <w:rPr>
          <w:rFonts w:ascii="Times" w:eastAsia="Times New Roman" w:hAnsi="Times"/>
          <w:sz w:val="25"/>
          <w:szCs w:val="25"/>
        </w:rPr>
        <w:t xml:space="preserve"> concept que l’on doit à Nancy Fras</w:t>
      </w:r>
      <w:r w:rsidR="000E0652">
        <w:rPr>
          <w:rFonts w:ascii="Times" w:eastAsia="Times New Roman" w:hAnsi="Times"/>
          <w:sz w:val="25"/>
          <w:szCs w:val="25"/>
        </w:rPr>
        <w:t xml:space="preserve">er et qu’elle définit comme « des arènes discursives parallèles </w:t>
      </w:r>
      <w:r w:rsidR="000E0652" w:rsidRPr="000E0652">
        <w:rPr>
          <w:rFonts w:ascii="Times" w:eastAsia="Times New Roman" w:hAnsi="Times"/>
          <w:sz w:val="25"/>
          <w:szCs w:val="25"/>
        </w:rPr>
        <w:t>dans</w:t>
      </w:r>
      <w:r w:rsidR="000E0652">
        <w:rPr>
          <w:rFonts w:ascii="Times" w:eastAsia="Times New Roman" w:hAnsi="Times"/>
          <w:sz w:val="25"/>
          <w:szCs w:val="25"/>
        </w:rPr>
        <w:t xml:space="preserve"> </w:t>
      </w:r>
      <w:r w:rsidR="000E0652" w:rsidRPr="000E0652">
        <w:rPr>
          <w:rFonts w:ascii="Times" w:eastAsia="Times New Roman" w:hAnsi="Times"/>
          <w:sz w:val="25"/>
          <w:szCs w:val="25"/>
        </w:rPr>
        <w:t>lesquelle</w:t>
      </w:r>
      <w:r w:rsidR="000E0652">
        <w:rPr>
          <w:rFonts w:ascii="Times" w:eastAsia="Times New Roman" w:hAnsi="Times"/>
          <w:sz w:val="25"/>
          <w:szCs w:val="25"/>
        </w:rPr>
        <w:t xml:space="preserve">s les membres des groupes sociaux subordonnés élaborent et diffusent  des contre-discours afin de formuler leur </w:t>
      </w:r>
      <w:r w:rsidR="000E0652" w:rsidRPr="000E0652">
        <w:rPr>
          <w:rFonts w:ascii="Times" w:eastAsia="Times New Roman" w:hAnsi="Times"/>
          <w:sz w:val="25"/>
          <w:szCs w:val="25"/>
        </w:rPr>
        <w:t>propr</w:t>
      </w:r>
      <w:r w:rsidR="000E0652">
        <w:rPr>
          <w:rFonts w:ascii="Times" w:eastAsia="Times New Roman" w:hAnsi="Times"/>
          <w:sz w:val="25"/>
          <w:szCs w:val="25"/>
        </w:rPr>
        <w:t xml:space="preserve">e interprétation de leurs identités, leurs intérêts, </w:t>
      </w:r>
      <w:r w:rsidR="000E0652" w:rsidRPr="000E0652">
        <w:rPr>
          <w:rFonts w:ascii="Times" w:eastAsia="Times New Roman" w:hAnsi="Times"/>
          <w:sz w:val="25"/>
          <w:szCs w:val="25"/>
        </w:rPr>
        <w:t>e</w:t>
      </w:r>
      <w:r w:rsidR="000E0652">
        <w:rPr>
          <w:rFonts w:ascii="Times" w:eastAsia="Times New Roman" w:hAnsi="Times"/>
          <w:sz w:val="25"/>
          <w:szCs w:val="25"/>
        </w:rPr>
        <w:t>t leurs besoins</w:t>
      </w:r>
      <w:r w:rsidR="0010014F">
        <w:rPr>
          <w:rFonts w:ascii="Times" w:eastAsia="Times New Roman" w:hAnsi="Times"/>
          <w:sz w:val="25"/>
          <w:szCs w:val="25"/>
        </w:rPr>
        <w:t xml:space="preserve">» est mobilisé </w:t>
      </w:r>
      <w:r w:rsidR="00285F33">
        <w:rPr>
          <w:rFonts w:ascii="Times" w:eastAsia="Times New Roman" w:hAnsi="Times"/>
          <w:sz w:val="25"/>
          <w:szCs w:val="25"/>
        </w:rPr>
        <w:t>dans plusieurs articles de ce dossie</w:t>
      </w:r>
      <w:r w:rsidR="00C05D6F">
        <w:rPr>
          <w:rFonts w:ascii="Times" w:eastAsia="Times New Roman" w:hAnsi="Times"/>
          <w:sz w:val="25"/>
          <w:szCs w:val="25"/>
        </w:rPr>
        <w:t>r</w:t>
      </w:r>
      <w:r w:rsidR="00813676">
        <w:rPr>
          <w:rFonts w:ascii="Times" w:eastAsia="Times New Roman" w:hAnsi="Times"/>
          <w:sz w:val="25"/>
          <w:szCs w:val="25"/>
        </w:rPr>
        <w:t xml:space="preserve"> (Fraser, 2001, </w:t>
      </w:r>
      <w:r w:rsidR="00583C00" w:rsidRPr="00583C00">
        <w:rPr>
          <w:rFonts w:ascii="Times" w:eastAsia="Times New Roman" w:hAnsi="Times"/>
          <w:sz w:val="25"/>
          <w:szCs w:val="25"/>
        </w:rPr>
        <w:t>p. 138</w:t>
      </w:r>
      <w:r w:rsidR="00813676" w:rsidRPr="00583C00">
        <w:rPr>
          <w:rFonts w:ascii="Times" w:eastAsia="Times New Roman" w:hAnsi="Times"/>
          <w:sz w:val="25"/>
          <w:szCs w:val="25"/>
        </w:rPr>
        <w:t>)</w:t>
      </w:r>
      <w:r w:rsidR="00C05D6F" w:rsidRPr="00583C00">
        <w:rPr>
          <w:rFonts w:ascii="Times" w:eastAsia="Times New Roman" w:hAnsi="Times"/>
          <w:sz w:val="25"/>
          <w:szCs w:val="25"/>
        </w:rPr>
        <w:t>.</w:t>
      </w:r>
      <w:r w:rsidR="00C05D6F">
        <w:rPr>
          <w:rFonts w:ascii="Times" w:eastAsia="Times New Roman" w:hAnsi="Times"/>
          <w:sz w:val="25"/>
          <w:szCs w:val="25"/>
        </w:rPr>
        <w:t xml:space="preserve"> </w:t>
      </w:r>
      <w:r w:rsidR="00285F33">
        <w:rPr>
          <w:rFonts w:ascii="Times" w:eastAsia="Times New Roman" w:hAnsi="Times"/>
          <w:sz w:val="25"/>
          <w:szCs w:val="25"/>
        </w:rPr>
        <w:t xml:space="preserve">Jone </w:t>
      </w:r>
      <w:r w:rsidR="0010014F">
        <w:rPr>
          <w:rFonts w:ascii="Times" w:eastAsia="Times New Roman" w:hAnsi="Times"/>
          <w:sz w:val="25"/>
          <w:szCs w:val="25"/>
        </w:rPr>
        <w:t xml:space="preserve">Martinez </w:t>
      </w:r>
      <w:r w:rsidR="00285F33">
        <w:rPr>
          <w:rFonts w:ascii="Times" w:eastAsia="Times New Roman" w:hAnsi="Times"/>
          <w:sz w:val="25"/>
          <w:szCs w:val="25"/>
        </w:rPr>
        <w:t xml:space="preserve">Palacio et ses collègues </w:t>
      </w:r>
      <w:r w:rsidR="00EC0CBD">
        <w:rPr>
          <w:rFonts w:ascii="Times" w:eastAsia="Times New Roman" w:hAnsi="Times"/>
          <w:sz w:val="25"/>
          <w:szCs w:val="25"/>
        </w:rPr>
        <w:t xml:space="preserve">observent que les participantes </w:t>
      </w:r>
      <w:r w:rsidR="00285F33">
        <w:rPr>
          <w:rFonts w:ascii="Times" w:eastAsia="Times New Roman" w:hAnsi="Times"/>
          <w:sz w:val="25"/>
          <w:szCs w:val="25"/>
        </w:rPr>
        <w:t>qui sont dotées d’une conscience féministe</w:t>
      </w:r>
      <w:r w:rsidR="002948D8">
        <w:rPr>
          <w:rFonts w:ascii="Times" w:eastAsia="Times New Roman" w:hAnsi="Times"/>
          <w:sz w:val="25"/>
          <w:szCs w:val="25"/>
        </w:rPr>
        <w:t>, acquise depuis les contre-publics,</w:t>
      </w:r>
      <w:r w:rsidR="00285F33">
        <w:rPr>
          <w:rFonts w:ascii="Times" w:eastAsia="Times New Roman" w:hAnsi="Times"/>
          <w:sz w:val="25"/>
          <w:szCs w:val="25"/>
        </w:rPr>
        <w:t xml:space="preserve"> ont le sentiment de mieux savoir se faire entendre que leurs homologues sans</w:t>
      </w:r>
      <w:r w:rsidR="001E2993">
        <w:rPr>
          <w:rFonts w:ascii="Times" w:eastAsia="Times New Roman" w:hAnsi="Times"/>
          <w:sz w:val="25"/>
          <w:szCs w:val="25"/>
        </w:rPr>
        <w:t xml:space="preserve"> expérience militante</w:t>
      </w:r>
      <w:r w:rsidR="00285F33">
        <w:rPr>
          <w:rFonts w:ascii="Times" w:eastAsia="Times New Roman" w:hAnsi="Times"/>
          <w:sz w:val="25"/>
          <w:szCs w:val="25"/>
        </w:rPr>
        <w:t xml:space="preserve">. </w:t>
      </w:r>
      <w:r w:rsidR="00601A19">
        <w:rPr>
          <w:rFonts w:ascii="Times" w:eastAsia="Times New Roman" w:hAnsi="Times"/>
          <w:sz w:val="25"/>
          <w:szCs w:val="25"/>
        </w:rPr>
        <w:t xml:space="preserve">Sans doute, </w:t>
      </w:r>
      <w:r w:rsidR="00EC0CBD">
        <w:rPr>
          <w:rFonts w:ascii="Times" w:eastAsia="Times New Roman" w:hAnsi="Times"/>
          <w:sz w:val="25"/>
          <w:szCs w:val="25"/>
        </w:rPr>
        <w:t>de tels temps de replis préalables dans des espaces libres (</w:t>
      </w:r>
      <w:r w:rsidR="00EC0CBD" w:rsidRPr="002948D8">
        <w:rPr>
          <w:rFonts w:ascii="Times" w:eastAsia="Times New Roman" w:hAnsi="Times"/>
          <w:i/>
          <w:sz w:val="25"/>
          <w:szCs w:val="25"/>
        </w:rPr>
        <w:t>free spaces</w:t>
      </w:r>
      <w:r w:rsidR="00EC0CBD">
        <w:rPr>
          <w:rFonts w:ascii="Times" w:eastAsia="Times New Roman" w:hAnsi="Times"/>
          <w:sz w:val="25"/>
          <w:szCs w:val="25"/>
        </w:rPr>
        <w:t>)</w:t>
      </w:r>
      <w:r w:rsidR="00583C00">
        <w:rPr>
          <w:rFonts w:ascii="Times" w:eastAsia="Times New Roman" w:hAnsi="Times"/>
          <w:sz w:val="25"/>
          <w:szCs w:val="25"/>
        </w:rPr>
        <w:t xml:space="preserve"> </w:t>
      </w:r>
      <w:r w:rsidR="009E4C6E">
        <w:rPr>
          <w:rFonts w:ascii="Times" w:eastAsia="Times New Roman" w:hAnsi="Times"/>
          <w:sz w:val="25"/>
          <w:szCs w:val="25"/>
        </w:rPr>
        <w:t>de contraintes</w:t>
      </w:r>
      <w:r w:rsidR="00583C00">
        <w:rPr>
          <w:rFonts w:ascii="Times" w:eastAsia="Times New Roman" w:hAnsi="Times"/>
          <w:sz w:val="25"/>
          <w:szCs w:val="25"/>
        </w:rPr>
        <w:t xml:space="preserve"> </w:t>
      </w:r>
      <w:r w:rsidR="00EC0CBD">
        <w:rPr>
          <w:rFonts w:ascii="Times" w:eastAsia="Times New Roman" w:hAnsi="Times"/>
          <w:sz w:val="25"/>
          <w:szCs w:val="25"/>
        </w:rPr>
        <w:t xml:space="preserve">ont </w:t>
      </w:r>
      <w:r w:rsidR="00601A19">
        <w:rPr>
          <w:rFonts w:ascii="Times" w:eastAsia="Times New Roman" w:hAnsi="Times"/>
          <w:sz w:val="25"/>
          <w:szCs w:val="25"/>
        </w:rPr>
        <w:t xml:space="preserve">manqué aux </w:t>
      </w:r>
      <w:r w:rsidR="00EC0CBD">
        <w:rPr>
          <w:rFonts w:ascii="Times" w:eastAsia="Times New Roman" w:hAnsi="Times"/>
          <w:sz w:val="25"/>
          <w:szCs w:val="25"/>
        </w:rPr>
        <w:t xml:space="preserve">participantes </w:t>
      </w:r>
      <w:r w:rsidR="00601A19">
        <w:rPr>
          <w:rFonts w:ascii="Times" w:eastAsia="Times New Roman" w:hAnsi="Times"/>
          <w:sz w:val="25"/>
          <w:szCs w:val="25"/>
        </w:rPr>
        <w:t xml:space="preserve">de l’agglomération bordelaise pour peser efficacement dans le débat sur les mobilités alors même que les problèmes d’inégalité </w:t>
      </w:r>
      <w:r w:rsidR="00EC0CBD">
        <w:rPr>
          <w:rFonts w:ascii="Times" w:eastAsia="Times New Roman" w:hAnsi="Times"/>
          <w:sz w:val="25"/>
          <w:szCs w:val="25"/>
        </w:rPr>
        <w:t xml:space="preserve">en la matière </w:t>
      </w:r>
      <w:r w:rsidR="00601A19">
        <w:rPr>
          <w:rFonts w:ascii="Times" w:eastAsia="Times New Roman" w:hAnsi="Times"/>
          <w:sz w:val="25"/>
          <w:szCs w:val="25"/>
        </w:rPr>
        <w:t xml:space="preserve">sont </w:t>
      </w:r>
      <w:r w:rsidR="00D72AD3">
        <w:rPr>
          <w:rFonts w:ascii="Times" w:eastAsia="Times New Roman" w:hAnsi="Times"/>
          <w:sz w:val="25"/>
          <w:szCs w:val="25"/>
        </w:rPr>
        <w:t xml:space="preserve">bien </w:t>
      </w:r>
      <w:r w:rsidR="00601A19">
        <w:rPr>
          <w:rFonts w:ascii="Times" w:eastAsia="Times New Roman" w:hAnsi="Times"/>
          <w:sz w:val="25"/>
          <w:szCs w:val="25"/>
        </w:rPr>
        <w:t>renseignés</w:t>
      </w:r>
      <w:r w:rsidR="00D72AD3">
        <w:rPr>
          <w:rFonts w:ascii="Times" w:eastAsia="Times New Roman" w:hAnsi="Times"/>
          <w:sz w:val="25"/>
          <w:szCs w:val="25"/>
        </w:rPr>
        <w:t xml:space="preserve"> par les travaux universitaires</w:t>
      </w:r>
      <w:r w:rsidR="00601A19">
        <w:rPr>
          <w:rFonts w:ascii="Times" w:eastAsia="Times New Roman" w:hAnsi="Times"/>
          <w:sz w:val="25"/>
          <w:szCs w:val="25"/>
        </w:rPr>
        <w:t xml:space="preserve">. </w:t>
      </w:r>
      <w:r w:rsidR="00EC0CBD">
        <w:rPr>
          <w:rFonts w:ascii="Times" w:eastAsia="Times New Roman" w:hAnsi="Times"/>
          <w:sz w:val="25"/>
          <w:szCs w:val="25"/>
        </w:rPr>
        <w:t xml:space="preserve">Dans les </w:t>
      </w:r>
      <w:r w:rsidR="00285F33">
        <w:rPr>
          <w:rFonts w:ascii="Times" w:eastAsia="Times New Roman" w:hAnsi="Times"/>
          <w:sz w:val="25"/>
          <w:szCs w:val="25"/>
        </w:rPr>
        <w:t xml:space="preserve">dispositifs non mixtes, </w:t>
      </w:r>
      <w:r w:rsidR="00A721F4">
        <w:rPr>
          <w:rFonts w:ascii="Times" w:eastAsia="Times New Roman" w:hAnsi="Times"/>
          <w:sz w:val="25"/>
          <w:szCs w:val="25"/>
        </w:rPr>
        <w:t>le militantisme féministe constit</w:t>
      </w:r>
      <w:r w:rsidR="00A03A79">
        <w:rPr>
          <w:rFonts w:ascii="Times" w:eastAsia="Times New Roman" w:hAnsi="Times"/>
          <w:sz w:val="25"/>
          <w:szCs w:val="25"/>
        </w:rPr>
        <w:t>ue également un point d’appui, mais aussi</w:t>
      </w:r>
      <w:r w:rsidR="00A721F4">
        <w:rPr>
          <w:rFonts w:ascii="Times" w:eastAsia="Times New Roman" w:hAnsi="Times"/>
          <w:sz w:val="25"/>
          <w:szCs w:val="25"/>
        </w:rPr>
        <w:t xml:space="preserve"> une ressource distinctive, tant il produit au sein des participantes un</w:t>
      </w:r>
      <w:r w:rsidR="00285F33">
        <w:rPr>
          <w:rFonts w:ascii="Times" w:eastAsia="Times New Roman" w:hAnsi="Times"/>
          <w:sz w:val="25"/>
          <w:szCs w:val="25"/>
        </w:rPr>
        <w:t xml:space="preserve"> clivage </w:t>
      </w:r>
      <w:r w:rsidR="00A721F4">
        <w:rPr>
          <w:rFonts w:ascii="Times" w:eastAsia="Times New Roman" w:hAnsi="Times"/>
          <w:sz w:val="25"/>
          <w:szCs w:val="25"/>
        </w:rPr>
        <w:t xml:space="preserve">puissant. Si </w:t>
      </w:r>
      <w:r w:rsidR="00F3407F">
        <w:rPr>
          <w:rFonts w:ascii="Times" w:eastAsia="Times New Roman" w:hAnsi="Times"/>
          <w:sz w:val="25"/>
          <w:szCs w:val="25"/>
        </w:rPr>
        <w:t>la participation au dispositif pour des non militantes peut favoriser</w:t>
      </w:r>
      <w:r w:rsidR="00A721F4">
        <w:rPr>
          <w:rFonts w:ascii="Times" w:eastAsia="Times New Roman" w:hAnsi="Times"/>
          <w:sz w:val="25"/>
          <w:szCs w:val="25"/>
        </w:rPr>
        <w:t xml:space="preserve"> ensuite</w:t>
      </w:r>
      <w:r w:rsidR="00F3407F">
        <w:rPr>
          <w:rFonts w:ascii="Times" w:eastAsia="Times New Roman" w:hAnsi="Times"/>
          <w:sz w:val="25"/>
          <w:szCs w:val="25"/>
        </w:rPr>
        <w:t xml:space="preserve"> un engagement féministe</w:t>
      </w:r>
      <w:r w:rsidR="00A721F4">
        <w:rPr>
          <w:rFonts w:ascii="Times" w:eastAsia="Times New Roman" w:hAnsi="Times"/>
          <w:sz w:val="25"/>
          <w:szCs w:val="25"/>
        </w:rPr>
        <w:t xml:space="preserve">, bien des témoignages recueillis par les auteur.e.s de ce dossier montrent </w:t>
      </w:r>
      <w:r w:rsidR="002965FE">
        <w:rPr>
          <w:rFonts w:ascii="Times" w:eastAsia="Times New Roman" w:hAnsi="Times"/>
          <w:sz w:val="25"/>
          <w:szCs w:val="25"/>
        </w:rPr>
        <w:t>que le militantisme des unes peut contribuer à délégitimer la participation des autres.</w:t>
      </w:r>
      <w:r w:rsidR="006959B7">
        <w:rPr>
          <w:rFonts w:ascii="Times" w:eastAsia="Times New Roman" w:hAnsi="Times"/>
          <w:sz w:val="25"/>
          <w:szCs w:val="25"/>
        </w:rPr>
        <w:t xml:space="preserve"> </w:t>
      </w:r>
    </w:p>
    <w:p w14:paraId="441F24F9" w14:textId="77777777" w:rsidR="00285F33" w:rsidRDefault="00285F33" w:rsidP="00285F33">
      <w:pPr>
        <w:jc w:val="both"/>
        <w:rPr>
          <w:rFonts w:ascii="Times" w:eastAsia="Times New Roman" w:hAnsi="Times"/>
          <w:sz w:val="25"/>
          <w:szCs w:val="25"/>
        </w:rPr>
      </w:pPr>
    </w:p>
    <w:p w14:paraId="79DA3873" w14:textId="45C6230A" w:rsidR="00285F33" w:rsidRDefault="00285F33" w:rsidP="00285F33">
      <w:pPr>
        <w:jc w:val="both"/>
        <w:rPr>
          <w:rFonts w:ascii="Times" w:eastAsia="Times New Roman" w:hAnsi="Times"/>
          <w:sz w:val="25"/>
          <w:szCs w:val="25"/>
        </w:rPr>
      </w:pPr>
      <w:r>
        <w:rPr>
          <w:rFonts w:ascii="Times" w:eastAsia="Times New Roman" w:hAnsi="Times"/>
          <w:sz w:val="25"/>
          <w:szCs w:val="25"/>
        </w:rPr>
        <w:t>En particulier</w:t>
      </w:r>
      <w:r w:rsidR="00F3407F">
        <w:rPr>
          <w:rFonts w:ascii="Times" w:eastAsia="Times New Roman" w:hAnsi="Times"/>
          <w:sz w:val="25"/>
          <w:szCs w:val="25"/>
        </w:rPr>
        <w:t xml:space="preserve"> dans ce dossier</w:t>
      </w:r>
      <w:r>
        <w:rPr>
          <w:rFonts w:ascii="Times" w:eastAsia="Times New Roman" w:hAnsi="Times"/>
          <w:sz w:val="25"/>
          <w:szCs w:val="25"/>
        </w:rPr>
        <w:t xml:space="preserve">, Marie-Hélène Sa Villa Boas, étudie un dispositif non mixte, celui </w:t>
      </w:r>
      <w:r w:rsidR="00E80EC8">
        <w:rPr>
          <w:rFonts w:ascii="Times" w:eastAsia="Times New Roman" w:hAnsi="Times"/>
          <w:sz w:val="25"/>
          <w:szCs w:val="25"/>
        </w:rPr>
        <w:t xml:space="preserve">des conférences municipales de Recife (Brésil). </w:t>
      </w:r>
      <w:r w:rsidR="00F3407F">
        <w:rPr>
          <w:rFonts w:ascii="Times" w:eastAsia="Times New Roman" w:hAnsi="Times"/>
          <w:sz w:val="25"/>
          <w:szCs w:val="25"/>
        </w:rPr>
        <w:t>Elle y montre les rapports de domination qui peuvent s’établir entre femmes, notamment entre militante</w:t>
      </w:r>
      <w:r w:rsidR="00BC52AD">
        <w:rPr>
          <w:rFonts w:ascii="Times" w:eastAsia="Times New Roman" w:hAnsi="Times"/>
          <w:sz w:val="25"/>
          <w:szCs w:val="25"/>
        </w:rPr>
        <w:t>s féministes et non féministes, notamment autour de la politisation des rapports sociaux. Les perspectives les plus légitimes, au moins dans les premières phases, sont celles qui ont fait l’objet d’une construction par les militantes féministes en amont du dispositif (l’interpénétration du sexe et de la race) au détriment d’un autre rapport social que cherche</w:t>
      </w:r>
      <w:r w:rsidR="00D73C85">
        <w:rPr>
          <w:rFonts w:ascii="Times" w:eastAsia="Times New Roman" w:hAnsi="Times"/>
          <w:sz w:val="25"/>
          <w:szCs w:val="25"/>
        </w:rPr>
        <w:t>nt</w:t>
      </w:r>
      <w:r w:rsidR="00BC52AD">
        <w:rPr>
          <w:rFonts w:ascii="Times" w:eastAsia="Times New Roman" w:hAnsi="Times"/>
          <w:sz w:val="25"/>
          <w:szCs w:val="25"/>
        </w:rPr>
        <w:t xml:space="preserve"> à imposer des participantes non organisées (l’imbrication du sexe et de la classe sociale</w:t>
      </w:r>
      <w:r w:rsidR="002965FE">
        <w:rPr>
          <w:rFonts w:ascii="Times" w:eastAsia="Times New Roman" w:hAnsi="Times"/>
          <w:sz w:val="25"/>
          <w:szCs w:val="25"/>
        </w:rPr>
        <w:t>, ainsi que l’identification à une communauté d’abord définie territorialement</w:t>
      </w:r>
      <w:r w:rsidR="00BC52AD">
        <w:rPr>
          <w:rFonts w:ascii="Times" w:eastAsia="Times New Roman" w:hAnsi="Times"/>
          <w:sz w:val="25"/>
          <w:szCs w:val="25"/>
        </w:rPr>
        <w:t xml:space="preserve">). </w:t>
      </w:r>
      <w:r w:rsidR="00D72AD3">
        <w:rPr>
          <w:rFonts w:ascii="Times" w:eastAsia="Times New Roman" w:hAnsi="Times"/>
          <w:sz w:val="25"/>
          <w:szCs w:val="25"/>
        </w:rPr>
        <w:t xml:space="preserve">On retrouve dans </w:t>
      </w:r>
      <w:r w:rsidR="00D72AD3" w:rsidRPr="00D73C85">
        <w:rPr>
          <w:rFonts w:ascii="Times" w:eastAsia="Times New Roman" w:hAnsi="Times"/>
          <w:sz w:val="25"/>
          <w:szCs w:val="25"/>
        </w:rPr>
        <w:t xml:space="preserve">l’article de Marie Saiget à propos d’un dispositif non mixte au Burundi </w:t>
      </w:r>
      <w:r w:rsidR="002B3798" w:rsidRPr="00D73C85">
        <w:rPr>
          <w:rFonts w:ascii="Times" w:eastAsia="Times New Roman" w:hAnsi="Times"/>
          <w:sz w:val="25"/>
          <w:szCs w:val="25"/>
        </w:rPr>
        <w:t>dans un contexte d’après-guerre cette même</w:t>
      </w:r>
      <w:r w:rsidR="002B3798" w:rsidRPr="00D73C85">
        <w:rPr>
          <w:rFonts w:eastAsia="Times New Roman"/>
        </w:rPr>
        <w:t xml:space="preserve"> tendance</w:t>
      </w:r>
      <w:r w:rsidR="00A03A79">
        <w:rPr>
          <w:rFonts w:eastAsia="Times New Roman"/>
        </w:rPr>
        <w:t> : l</w:t>
      </w:r>
      <w:r w:rsidR="00D73C85" w:rsidRPr="00D73C85">
        <w:rPr>
          <w:rFonts w:eastAsia="Times New Roman"/>
        </w:rPr>
        <w:t>’expérience de la participation favorise</w:t>
      </w:r>
      <w:r w:rsidR="00A03A79">
        <w:rPr>
          <w:rFonts w:eastAsia="Times New Roman"/>
        </w:rPr>
        <w:t xml:space="preserve"> pour certaines</w:t>
      </w:r>
      <w:r w:rsidR="00D73C85" w:rsidRPr="00D73C85">
        <w:rPr>
          <w:rFonts w:eastAsia="Times New Roman"/>
        </w:rPr>
        <w:t xml:space="preserve"> la construction de leadership et</w:t>
      </w:r>
      <w:r w:rsidR="00A03A79">
        <w:rPr>
          <w:rFonts w:eastAsia="Times New Roman"/>
        </w:rPr>
        <w:t xml:space="preserve"> introduit</w:t>
      </w:r>
      <w:r w:rsidR="00D73C85" w:rsidRPr="00D73C85">
        <w:rPr>
          <w:rFonts w:eastAsia="Times New Roman"/>
        </w:rPr>
        <w:t xml:space="preserve"> </w:t>
      </w:r>
      <w:r w:rsidR="00A03A79">
        <w:rPr>
          <w:rFonts w:eastAsia="Times New Roman"/>
        </w:rPr>
        <w:t xml:space="preserve">de fait </w:t>
      </w:r>
      <w:r w:rsidR="002B3798" w:rsidRPr="00D73C85">
        <w:rPr>
          <w:rFonts w:eastAsia="Times New Roman"/>
        </w:rPr>
        <w:t>de</w:t>
      </w:r>
      <w:r w:rsidR="00A03A79">
        <w:rPr>
          <w:rFonts w:eastAsia="Times New Roman"/>
        </w:rPr>
        <w:t>s</w:t>
      </w:r>
      <w:r w:rsidR="002B3798" w:rsidRPr="00D73C85">
        <w:rPr>
          <w:rFonts w:eastAsia="Times New Roman"/>
        </w:rPr>
        <w:t xml:space="preserve"> division</w:t>
      </w:r>
      <w:r w:rsidR="00C05D6F" w:rsidRPr="00D73C85">
        <w:rPr>
          <w:rFonts w:eastAsia="Times New Roman"/>
        </w:rPr>
        <w:t>s</w:t>
      </w:r>
      <w:r w:rsidR="002B3798" w:rsidRPr="00D73C85">
        <w:rPr>
          <w:rFonts w:eastAsia="Times New Roman"/>
        </w:rPr>
        <w:t xml:space="preserve"> au sein des regroupements de femmes.</w:t>
      </w:r>
    </w:p>
    <w:p w14:paraId="2C998CF1" w14:textId="77777777" w:rsidR="00F47B79" w:rsidRDefault="00F47B79" w:rsidP="00285F33">
      <w:pPr>
        <w:jc w:val="both"/>
        <w:rPr>
          <w:rFonts w:ascii="Times" w:eastAsia="Times New Roman" w:hAnsi="Times"/>
          <w:sz w:val="25"/>
          <w:szCs w:val="25"/>
        </w:rPr>
      </w:pPr>
    </w:p>
    <w:p w14:paraId="35C4B962" w14:textId="5EEEE4E2" w:rsidR="00995EEB" w:rsidRDefault="00F47B79" w:rsidP="00B165DB">
      <w:pPr>
        <w:jc w:val="both"/>
        <w:rPr>
          <w:rFonts w:ascii="Times" w:eastAsia="Times New Roman" w:hAnsi="Times"/>
          <w:sz w:val="25"/>
          <w:szCs w:val="25"/>
        </w:rPr>
      </w:pPr>
      <w:r>
        <w:rPr>
          <w:rFonts w:ascii="Times" w:eastAsia="Times New Roman" w:hAnsi="Times"/>
          <w:sz w:val="25"/>
          <w:szCs w:val="25"/>
        </w:rPr>
        <w:t xml:space="preserve">Ces dispositifs non mixtes constituent </w:t>
      </w:r>
      <w:r w:rsidR="00D73C85">
        <w:rPr>
          <w:rFonts w:ascii="Times" w:eastAsia="Times New Roman" w:hAnsi="Times"/>
          <w:sz w:val="25"/>
          <w:szCs w:val="25"/>
        </w:rPr>
        <w:t xml:space="preserve">donc aussi </w:t>
      </w:r>
      <w:r>
        <w:rPr>
          <w:rFonts w:ascii="Times" w:eastAsia="Times New Roman" w:hAnsi="Times"/>
          <w:sz w:val="25"/>
          <w:szCs w:val="25"/>
        </w:rPr>
        <w:t xml:space="preserve">des laboratoires </w:t>
      </w:r>
      <w:r w:rsidR="00C05D6F">
        <w:rPr>
          <w:rFonts w:ascii="Times" w:eastAsia="Times New Roman" w:hAnsi="Times"/>
          <w:sz w:val="25"/>
          <w:szCs w:val="25"/>
        </w:rPr>
        <w:t xml:space="preserve">pour l’observation </w:t>
      </w:r>
      <w:r>
        <w:rPr>
          <w:rFonts w:ascii="Times" w:eastAsia="Times New Roman" w:hAnsi="Times"/>
          <w:sz w:val="25"/>
          <w:szCs w:val="25"/>
        </w:rPr>
        <w:t xml:space="preserve">des clivages qui traversent le groupe des femmes. </w:t>
      </w:r>
      <w:r w:rsidR="006959B7">
        <w:rPr>
          <w:rFonts w:ascii="Times" w:eastAsia="Times New Roman" w:hAnsi="Times"/>
          <w:sz w:val="25"/>
          <w:szCs w:val="25"/>
        </w:rPr>
        <w:t>L</w:t>
      </w:r>
      <w:r w:rsidR="00D8577B">
        <w:rPr>
          <w:rFonts w:ascii="Times" w:eastAsia="Times New Roman" w:hAnsi="Times"/>
          <w:sz w:val="25"/>
          <w:szCs w:val="25"/>
        </w:rPr>
        <w:t>es hiérarchies observables dans d’autres arènes ne sont pas sans se reconstituer</w:t>
      </w:r>
      <w:r w:rsidR="006959B7">
        <w:rPr>
          <w:rFonts w:ascii="Times" w:eastAsia="Times New Roman" w:hAnsi="Times"/>
          <w:sz w:val="25"/>
          <w:szCs w:val="25"/>
        </w:rPr>
        <w:t xml:space="preserve"> en contexte participatif</w:t>
      </w:r>
      <w:r w:rsidR="00D8577B">
        <w:rPr>
          <w:rFonts w:ascii="Times" w:eastAsia="Times New Roman" w:hAnsi="Times"/>
          <w:sz w:val="25"/>
          <w:szCs w:val="25"/>
        </w:rPr>
        <w:t xml:space="preserve">. </w:t>
      </w:r>
      <w:r>
        <w:rPr>
          <w:rFonts w:ascii="Times" w:eastAsia="Times New Roman" w:hAnsi="Times"/>
          <w:sz w:val="25"/>
          <w:szCs w:val="25"/>
        </w:rPr>
        <w:t xml:space="preserve">La sexualité, la couleur, </w:t>
      </w:r>
      <w:r w:rsidR="006959B7">
        <w:rPr>
          <w:rFonts w:ascii="Times" w:eastAsia="Times New Roman" w:hAnsi="Times"/>
          <w:sz w:val="25"/>
          <w:szCs w:val="25"/>
        </w:rPr>
        <w:t xml:space="preserve">la religion, </w:t>
      </w:r>
      <w:r>
        <w:rPr>
          <w:rFonts w:ascii="Times" w:eastAsia="Times New Roman" w:hAnsi="Times"/>
          <w:sz w:val="25"/>
          <w:szCs w:val="25"/>
        </w:rPr>
        <w:t>la</w:t>
      </w:r>
      <w:r w:rsidR="00D8577B">
        <w:rPr>
          <w:rFonts w:ascii="Times" w:eastAsia="Times New Roman" w:hAnsi="Times"/>
          <w:sz w:val="25"/>
          <w:szCs w:val="25"/>
        </w:rPr>
        <w:t xml:space="preserve"> classe sociale comptent </w:t>
      </w:r>
      <w:r w:rsidR="006959B7">
        <w:rPr>
          <w:rFonts w:ascii="Times" w:eastAsia="Times New Roman" w:hAnsi="Times"/>
          <w:sz w:val="25"/>
          <w:szCs w:val="25"/>
        </w:rPr>
        <w:t xml:space="preserve">à la fois </w:t>
      </w:r>
      <w:r w:rsidR="00D8577B">
        <w:rPr>
          <w:rFonts w:ascii="Times" w:eastAsia="Times New Roman" w:hAnsi="Times"/>
          <w:sz w:val="25"/>
          <w:szCs w:val="25"/>
        </w:rPr>
        <w:t>dans la capacité à peser sur le débat</w:t>
      </w:r>
      <w:r w:rsidR="006959B7">
        <w:rPr>
          <w:rFonts w:ascii="Times" w:eastAsia="Times New Roman" w:hAnsi="Times"/>
          <w:sz w:val="25"/>
          <w:szCs w:val="25"/>
        </w:rPr>
        <w:t xml:space="preserve"> et à la fois </w:t>
      </w:r>
      <w:r w:rsidR="006959B7" w:rsidRPr="00B165DB">
        <w:rPr>
          <w:rFonts w:ascii="Times" w:eastAsia="Times New Roman" w:hAnsi="Times"/>
        </w:rPr>
        <w:t xml:space="preserve">comme facteurs de </w:t>
      </w:r>
      <w:r w:rsidR="006959B7" w:rsidRPr="00B165DB">
        <w:rPr>
          <w:rFonts w:eastAsia="Times New Roman"/>
          <w:i/>
        </w:rPr>
        <w:t>mésentente</w:t>
      </w:r>
      <w:r w:rsidR="00D73C85" w:rsidRPr="00B165DB">
        <w:rPr>
          <w:rFonts w:eastAsia="Times New Roman"/>
          <w:i/>
        </w:rPr>
        <w:t>,</w:t>
      </w:r>
      <w:r w:rsidR="00D73C85" w:rsidRPr="00B165DB">
        <w:rPr>
          <w:rFonts w:eastAsia="Times New Roman"/>
        </w:rPr>
        <w:t xml:space="preserve"> au sens où</w:t>
      </w:r>
      <w:r w:rsidR="00E30B97" w:rsidRPr="00B165DB">
        <w:t xml:space="preserve"> « la discussion d’un argument renvoie au litige sur l’objet de la discussion et bien sûr sur la qualit</w:t>
      </w:r>
      <w:r w:rsidR="00813676">
        <w:t>é de ceux qui en font un objet.</w:t>
      </w:r>
      <w:r w:rsidR="00E30B97" w:rsidRPr="00B165DB">
        <w:t>»</w:t>
      </w:r>
      <w:r w:rsidR="00813676">
        <w:t xml:space="preserve"> (Rancière, 1995, p.15).</w:t>
      </w:r>
      <w:r w:rsidR="008D4127">
        <w:rPr>
          <w:rFonts w:ascii="Courier New" w:hAnsi="Courier New" w:cs="Courier New"/>
        </w:rPr>
        <w:t xml:space="preserve"> </w:t>
      </w:r>
      <w:r w:rsidR="00525FDE" w:rsidRPr="00B165DB">
        <w:t>Le genre n’est ainsi pas seulement un système de hiérar</w:t>
      </w:r>
      <w:r w:rsidR="00A03A79">
        <w:t>chisation et de différenciation</w:t>
      </w:r>
      <w:r w:rsidR="00525FDE" w:rsidRPr="00B165DB">
        <w:t xml:space="preserve"> </w:t>
      </w:r>
      <w:r w:rsidR="00A03A79">
        <w:t>structurant l</w:t>
      </w:r>
      <w:r w:rsidR="00525FDE" w:rsidRPr="00B165DB">
        <w:t>es rapports sociaux qui lient les hommes et les femmes ; il est un objet de tensions et de conflits</w:t>
      </w:r>
      <w:r w:rsidR="00B165DB">
        <w:t xml:space="preserve"> pour les participantes.</w:t>
      </w:r>
      <w:r w:rsidR="00D73C85" w:rsidRPr="00B165DB">
        <w:rPr>
          <w:rFonts w:ascii="Times" w:eastAsia="Times New Roman" w:hAnsi="Times"/>
        </w:rPr>
        <w:t xml:space="preserve"> </w:t>
      </w:r>
      <w:r w:rsidR="006F5612">
        <w:rPr>
          <w:rFonts w:ascii="Times" w:eastAsia="Times New Roman" w:hAnsi="Times"/>
        </w:rPr>
        <w:t>L</w:t>
      </w:r>
      <w:r w:rsidRPr="00B165DB">
        <w:rPr>
          <w:rFonts w:ascii="Times" w:eastAsia="Times New Roman" w:hAnsi="Times"/>
        </w:rPr>
        <w:t>’</w:t>
      </w:r>
      <w:r w:rsidR="00084403" w:rsidRPr="00B165DB">
        <w:rPr>
          <w:rFonts w:ascii="Times" w:eastAsia="Times New Roman" w:hAnsi="Times"/>
        </w:rPr>
        <w:t xml:space="preserve">article </w:t>
      </w:r>
      <w:r w:rsidRPr="00B165DB">
        <w:rPr>
          <w:rFonts w:ascii="Times" w:eastAsia="Times New Roman" w:hAnsi="Times"/>
        </w:rPr>
        <w:t xml:space="preserve">de Marie-Hélène Sa Villas Boas </w:t>
      </w:r>
      <w:r w:rsidR="00084403" w:rsidRPr="00B165DB">
        <w:rPr>
          <w:rFonts w:ascii="Times" w:eastAsia="Times New Roman" w:hAnsi="Times"/>
        </w:rPr>
        <w:t xml:space="preserve">a </w:t>
      </w:r>
      <w:r w:rsidR="006F5612">
        <w:rPr>
          <w:rFonts w:ascii="Times" w:eastAsia="Times New Roman" w:hAnsi="Times"/>
        </w:rPr>
        <w:t>d’</w:t>
      </w:r>
      <w:r w:rsidR="00084403" w:rsidRPr="00B165DB">
        <w:rPr>
          <w:rFonts w:ascii="Times" w:eastAsia="Times New Roman" w:hAnsi="Times"/>
        </w:rPr>
        <w:t>ailleurs le mérite de signaler combien les</w:t>
      </w:r>
      <w:r w:rsidR="00084403">
        <w:rPr>
          <w:rFonts w:ascii="Times" w:eastAsia="Times New Roman" w:hAnsi="Times"/>
          <w:sz w:val="25"/>
          <w:szCs w:val="25"/>
        </w:rPr>
        <w:t xml:space="preserve"> perspectives introduites par les </w:t>
      </w:r>
      <w:r w:rsidR="00047919">
        <w:rPr>
          <w:rFonts w:ascii="Times" w:eastAsia="Times New Roman" w:hAnsi="Times"/>
          <w:sz w:val="25"/>
          <w:szCs w:val="25"/>
        </w:rPr>
        <w:t xml:space="preserve">non militantes </w:t>
      </w:r>
      <w:r w:rsidR="00084403">
        <w:rPr>
          <w:rFonts w:ascii="Times" w:eastAsia="Times New Roman" w:hAnsi="Times"/>
          <w:sz w:val="25"/>
          <w:szCs w:val="25"/>
        </w:rPr>
        <w:t xml:space="preserve">dans l’arène de discussion </w:t>
      </w:r>
      <w:r w:rsidR="002B3798">
        <w:rPr>
          <w:rFonts w:ascii="Times" w:eastAsia="Times New Roman" w:hAnsi="Times"/>
          <w:sz w:val="25"/>
          <w:szCs w:val="25"/>
        </w:rPr>
        <w:t xml:space="preserve">en dépit de ces hiérarchies </w:t>
      </w:r>
      <w:r>
        <w:rPr>
          <w:rFonts w:ascii="Times" w:eastAsia="Times New Roman" w:hAnsi="Times"/>
          <w:sz w:val="25"/>
          <w:szCs w:val="25"/>
        </w:rPr>
        <w:t xml:space="preserve">pluralisent </w:t>
      </w:r>
      <w:r w:rsidR="00084403">
        <w:rPr>
          <w:rFonts w:ascii="Times" w:eastAsia="Times New Roman" w:hAnsi="Times"/>
          <w:sz w:val="25"/>
          <w:szCs w:val="25"/>
        </w:rPr>
        <w:t>la prise en compte des différents rapports sociaux et de leur consubstantialité si ce n’est leur intersectionnalité</w:t>
      </w:r>
      <w:r w:rsidR="00084403">
        <w:rPr>
          <w:rStyle w:val="Marquenotebasdepage"/>
          <w:rFonts w:ascii="Times" w:eastAsia="Times New Roman" w:hAnsi="Times"/>
          <w:sz w:val="25"/>
          <w:szCs w:val="25"/>
        </w:rPr>
        <w:footnoteReference w:id="5"/>
      </w:r>
      <w:r w:rsidR="006537F6">
        <w:rPr>
          <w:rFonts w:ascii="Times" w:eastAsia="Times New Roman" w:hAnsi="Times"/>
          <w:sz w:val="25"/>
          <w:szCs w:val="25"/>
        </w:rPr>
        <w:t>. D</w:t>
      </w:r>
      <w:r w:rsidR="00084403">
        <w:rPr>
          <w:rFonts w:ascii="Times" w:eastAsia="Times New Roman" w:hAnsi="Times"/>
          <w:sz w:val="25"/>
          <w:szCs w:val="25"/>
        </w:rPr>
        <w:t xml:space="preserve">e la même manière, les théoriciennes féministes anglo-saxonnes de la démocratie délibérative et participative ont considérablement porté la problématique de l’inclusion de tous les groupes sociaux subalternes, souvent à partir d’une perspective féministe. S’il ne fait guère de doute que le féminisme est favorable au </w:t>
      </w:r>
      <w:r w:rsidR="00601A19">
        <w:rPr>
          <w:rFonts w:ascii="Times" w:eastAsia="Times New Roman" w:hAnsi="Times"/>
          <w:sz w:val="25"/>
          <w:szCs w:val="25"/>
        </w:rPr>
        <w:t xml:space="preserve">pluralisme et au </w:t>
      </w:r>
      <w:r w:rsidR="00084403">
        <w:rPr>
          <w:rFonts w:ascii="Times" w:eastAsia="Times New Roman" w:hAnsi="Times"/>
          <w:sz w:val="25"/>
          <w:szCs w:val="25"/>
        </w:rPr>
        <w:t>multiculturalisme, la réversibilité de la relation peut être interrogée</w:t>
      </w:r>
      <w:r w:rsidR="008D4127">
        <w:rPr>
          <w:rFonts w:ascii="Times" w:eastAsia="Times New Roman" w:hAnsi="Times"/>
          <w:sz w:val="25"/>
          <w:szCs w:val="25"/>
        </w:rPr>
        <w:t xml:space="preserve"> (S. Moller Okin, 2008)</w:t>
      </w:r>
      <w:r w:rsidR="00601A19">
        <w:rPr>
          <w:rStyle w:val="Marquenotebasdepage"/>
          <w:rFonts w:ascii="Times" w:eastAsia="Times New Roman" w:hAnsi="Times"/>
          <w:sz w:val="25"/>
          <w:szCs w:val="25"/>
        </w:rPr>
        <w:footnoteReference w:id="6"/>
      </w:r>
      <w:r w:rsidR="00084403">
        <w:rPr>
          <w:rFonts w:ascii="Times" w:eastAsia="Times New Roman" w:hAnsi="Times"/>
          <w:sz w:val="25"/>
          <w:szCs w:val="25"/>
        </w:rPr>
        <w:t xml:space="preserve">. </w:t>
      </w:r>
      <w:r w:rsidR="00F94BAC">
        <w:rPr>
          <w:rFonts w:ascii="Times" w:eastAsia="Times New Roman" w:hAnsi="Times"/>
          <w:sz w:val="25"/>
          <w:szCs w:val="25"/>
        </w:rPr>
        <w:t xml:space="preserve"> </w:t>
      </w:r>
    </w:p>
    <w:p w14:paraId="465F8D6C" w14:textId="77777777" w:rsidR="00995EEB" w:rsidRDefault="00995EEB" w:rsidP="00B165DB">
      <w:pPr>
        <w:jc w:val="both"/>
        <w:rPr>
          <w:rFonts w:ascii="Times" w:eastAsia="Times New Roman" w:hAnsi="Times"/>
          <w:sz w:val="25"/>
          <w:szCs w:val="25"/>
        </w:rPr>
      </w:pPr>
    </w:p>
    <w:p w14:paraId="3A62F372" w14:textId="372BEB5C" w:rsidR="00E14D3A" w:rsidRPr="00867C44" w:rsidRDefault="00047919" w:rsidP="00E14D3A">
      <w:pPr>
        <w:jc w:val="both"/>
      </w:pPr>
      <w:r>
        <w:rPr>
          <w:rFonts w:ascii="Times" w:eastAsia="Times New Roman" w:hAnsi="Times"/>
          <w:sz w:val="25"/>
          <w:szCs w:val="25"/>
        </w:rPr>
        <w:t xml:space="preserve">Le groupe des femmes nous apparaît donc, au fil des articles, dans une pluralité d’expériences et de trajectoires, de modes d’engagements et de styles d’expression, </w:t>
      </w:r>
      <w:r w:rsidR="00882F70">
        <w:rPr>
          <w:rFonts w:ascii="Times" w:eastAsia="Times New Roman" w:hAnsi="Times"/>
          <w:sz w:val="25"/>
          <w:szCs w:val="25"/>
        </w:rPr>
        <w:t xml:space="preserve">pris aussi dans des </w:t>
      </w:r>
      <w:r>
        <w:rPr>
          <w:rFonts w:ascii="Times" w:eastAsia="Times New Roman" w:hAnsi="Times"/>
          <w:sz w:val="25"/>
          <w:szCs w:val="25"/>
        </w:rPr>
        <w:t>rapports sociaux</w:t>
      </w:r>
      <w:r w:rsidR="00882F70">
        <w:rPr>
          <w:rFonts w:ascii="Times" w:eastAsia="Times New Roman" w:hAnsi="Times"/>
          <w:sz w:val="25"/>
          <w:szCs w:val="25"/>
        </w:rPr>
        <w:t xml:space="preserve"> autres que le genre. Les effets de</w:t>
      </w:r>
      <w:r w:rsidR="00F94BAC">
        <w:rPr>
          <w:rFonts w:ascii="Times" w:eastAsia="Times New Roman" w:hAnsi="Times"/>
          <w:sz w:val="25"/>
          <w:szCs w:val="25"/>
        </w:rPr>
        <w:t xml:space="preserve"> l’</w:t>
      </w:r>
      <w:r w:rsidR="00B165DB">
        <w:rPr>
          <w:rFonts w:eastAsia="Times New Roman"/>
        </w:rPr>
        <w:t xml:space="preserve">âge, </w:t>
      </w:r>
      <w:r w:rsidR="00882F70">
        <w:rPr>
          <w:rFonts w:eastAsia="Times New Roman"/>
        </w:rPr>
        <w:t>du</w:t>
      </w:r>
      <w:r w:rsidR="00F94BAC">
        <w:rPr>
          <w:rFonts w:eastAsia="Times New Roman"/>
        </w:rPr>
        <w:t xml:space="preserve"> statut social,  </w:t>
      </w:r>
      <w:r w:rsidR="00882F70">
        <w:rPr>
          <w:rFonts w:eastAsia="Times New Roman"/>
        </w:rPr>
        <w:t xml:space="preserve">de </w:t>
      </w:r>
      <w:r w:rsidR="00F94BAC">
        <w:rPr>
          <w:rFonts w:eastAsia="Times New Roman"/>
        </w:rPr>
        <w:t xml:space="preserve">la profession, </w:t>
      </w:r>
      <w:r w:rsidR="00882F70">
        <w:rPr>
          <w:rFonts w:eastAsia="Times New Roman"/>
        </w:rPr>
        <w:t xml:space="preserve">de </w:t>
      </w:r>
      <w:r w:rsidR="00B165DB">
        <w:rPr>
          <w:rFonts w:eastAsia="Times New Roman"/>
        </w:rPr>
        <w:t>l’expertise</w:t>
      </w:r>
      <w:r w:rsidR="00882F70">
        <w:rPr>
          <w:rFonts w:eastAsia="Times New Roman"/>
        </w:rPr>
        <w:t xml:space="preserve"> viennent tantôt redoubler les effets du genre, tantôt en interroger sa portée</w:t>
      </w:r>
      <w:r w:rsidR="00B165DB">
        <w:rPr>
          <w:rFonts w:eastAsia="Times New Roman"/>
        </w:rPr>
        <w:t xml:space="preserve">. </w:t>
      </w:r>
      <w:r w:rsidR="00B165DB">
        <w:t xml:space="preserve">Dans le </w:t>
      </w:r>
      <w:r w:rsidR="00882F70" w:rsidRPr="00882F70">
        <w:t xml:space="preserve">comité d’éthique d’un hôpital étudié par David Smadja </w:t>
      </w:r>
      <w:r w:rsidR="00F834EC">
        <w:t>à partir du couple codage/</w:t>
      </w:r>
      <w:r w:rsidR="00B165DB" w:rsidRPr="00882F70">
        <w:t xml:space="preserve">décodage </w:t>
      </w:r>
      <w:r w:rsidR="00882F70" w:rsidRPr="00882F70">
        <w:t>(</w:t>
      </w:r>
      <w:r w:rsidR="00B165DB" w:rsidRPr="00882F70">
        <w:t>Hall,</w:t>
      </w:r>
      <w:r w:rsidR="00882F70" w:rsidRPr="00882F70">
        <w:t xml:space="preserve"> 1973)</w:t>
      </w:r>
      <w:r w:rsidR="00B165DB" w:rsidRPr="00882F70">
        <w:t xml:space="preserve"> le codage dominant appartient bien aux médecins qui se trouvent être des hommes. Pour autant, le décodage actif des femmes, qui se trouvent être infirmières et parent</w:t>
      </w:r>
      <w:r w:rsidR="00F834EC">
        <w:t>e</w:t>
      </w:r>
      <w:r w:rsidR="00B165DB" w:rsidRPr="00882F70">
        <w:t xml:space="preserve">s (le plus souvent) des enfants hospitalisés, s’opère principalement à partir de leur statut professionnel et parental revendiqué. </w:t>
      </w:r>
      <w:r w:rsidR="00E22FF4">
        <w:t xml:space="preserve">Lors du débat sur les mobilités, observé par Yves Raibaud, </w:t>
      </w:r>
      <w:r w:rsidR="00846AC4">
        <w:t>les</w:t>
      </w:r>
      <w:r w:rsidR="00E14D3A">
        <w:t xml:space="preserve"> représentantes d’associations</w:t>
      </w:r>
      <w:r w:rsidR="00E22FF4">
        <w:t xml:space="preserve"> suscitent railleries</w:t>
      </w:r>
      <w:r w:rsidR="006352FA">
        <w:t>, brouhahas</w:t>
      </w:r>
      <w:r w:rsidR="00E22FF4">
        <w:t xml:space="preserve"> et interruptions, </w:t>
      </w:r>
      <w:r w:rsidR="00846AC4">
        <w:t>quand les statuts d’élue et de directrice de</w:t>
      </w:r>
      <w:r w:rsidR="00E22FF4">
        <w:t xml:space="preserve"> service technique </w:t>
      </w:r>
      <w:r w:rsidR="00846AC4">
        <w:t xml:space="preserve"> communal, sans </w:t>
      </w:r>
      <w:r w:rsidR="00846AC4" w:rsidRPr="006352FA">
        <w:t>garantir la prise en compte des arguments, imposent visiblement dava</w:t>
      </w:r>
      <w:r w:rsidR="006352FA">
        <w:t xml:space="preserve">ntage le respect. De nombreuses enquêtes </w:t>
      </w:r>
      <w:r w:rsidR="00867C44">
        <w:t xml:space="preserve">sur </w:t>
      </w:r>
      <w:r w:rsidR="006352FA">
        <w:t xml:space="preserve">la démocratie participative </w:t>
      </w:r>
      <w:r w:rsidR="00867C44">
        <w:t>soulignent les processus de disqualification et de dé</w:t>
      </w:r>
      <w:r w:rsidR="0013430E">
        <w:t>-</w:t>
      </w:r>
      <w:r w:rsidR="00867C44">
        <w:t xml:space="preserve">légitimation, qui se déploient dans un jeu de différenciations et de hiérarchisations multiples, </w:t>
      </w:r>
      <w:r w:rsidR="00F834EC">
        <w:t xml:space="preserve">tant </w:t>
      </w:r>
      <w:r w:rsidR="00867C44">
        <w:t xml:space="preserve">personne n’oublie </w:t>
      </w:r>
      <w:r w:rsidR="00F834EC">
        <w:t xml:space="preserve">jamais </w:t>
      </w:r>
      <w:r w:rsidR="00867C44">
        <w:t xml:space="preserve">que la force des arguments ne s’estime qu’à l’aune des titres à parler. </w:t>
      </w:r>
      <w:r w:rsidR="00846AC4" w:rsidRPr="006352FA">
        <w:t xml:space="preserve">De fait, </w:t>
      </w:r>
      <w:r w:rsidR="006352FA" w:rsidRPr="006352FA">
        <w:rPr>
          <w:rFonts w:eastAsia="Times New Roman"/>
        </w:rPr>
        <w:t xml:space="preserve">aucun article ne raisonnant toute chose égale par ailleurs, il est parfois délicat d’isoler l’effet propre du genre. </w:t>
      </w:r>
      <w:r w:rsidR="00846AC4" w:rsidRPr="006352FA">
        <w:t xml:space="preserve"> </w:t>
      </w:r>
      <w:r w:rsidR="00F834EC">
        <w:rPr>
          <w:rFonts w:eastAsia="Times New Roman"/>
        </w:rPr>
        <w:t>D</w:t>
      </w:r>
      <w:r w:rsidR="00F94BAC" w:rsidRPr="006352FA">
        <w:rPr>
          <w:rFonts w:eastAsia="Times New Roman"/>
        </w:rPr>
        <w:t>ans quelle mesure apparaît</w:t>
      </w:r>
      <w:r w:rsidR="00F834EC">
        <w:rPr>
          <w:rFonts w:eastAsia="Times New Roman"/>
        </w:rPr>
        <w:t>-il</w:t>
      </w:r>
      <w:r w:rsidR="00F94BAC" w:rsidRPr="006352FA">
        <w:rPr>
          <w:rFonts w:eastAsia="Times New Roman"/>
        </w:rPr>
        <w:t xml:space="preserve"> comme le rapport social décisif pour comprendre et expliquer la participation différenciée des hommes et des fe</w:t>
      </w:r>
      <w:r w:rsidR="00995EEB" w:rsidRPr="006352FA">
        <w:rPr>
          <w:rFonts w:eastAsia="Times New Roman"/>
        </w:rPr>
        <w:t xml:space="preserve">mmes ? </w:t>
      </w:r>
      <w:r w:rsidR="00867C44">
        <w:rPr>
          <w:rFonts w:eastAsia="Times New Roman"/>
        </w:rPr>
        <w:t xml:space="preserve">Sur ce point, il est un enjeu </w:t>
      </w:r>
      <w:r w:rsidR="00E14D3A">
        <w:rPr>
          <w:rFonts w:eastAsia="Times New Roman"/>
        </w:rPr>
        <w:t>à la fois épistémologique et méthodologique</w:t>
      </w:r>
      <w:r w:rsidR="00867C44">
        <w:rPr>
          <w:rFonts w:eastAsia="Times New Roman"/>
        </w:rPr>
        <w:t xml:space="preserve"> qu’il semble important d’introduire</w:t>
      </w:r>
      <w:r w:rsidR="00E14D3A">
        <w:rPr>
          <w:rFonts w:eastAsia="Times New Roman"/>
        </w:rPr>
        <w:t xml:space="preserve">. </w:t>
      </w:r>
      <w:r w:rsidR="0013430E">
        <w:rPr>
          <w:rFonts w:eastAsia="Times New Roman"/>
        </w:rPr>
        <w:t>Il faut regarder les hommes faire et parler comme on le fait pour les femmes, il faut les interroger avec les mêmes grilles et les mêmes postulats. Quand les contributeurs de ce dossier regardent les hommes participer « en tant qu’homme » alors la mise en symétrie méthodologique devient très prod</w:t>
      </w:r>
      <w:r w:rsidR="00F834EC">
        <w:rPr>
          <w:rFonts w:eastAsia="Times New Roman"/>
        </w:rPr>
        <w:t xml:space="preserve">uctive. </w:t>
      </w:r>
      <w:r w:rsidR="00A15852">
        <w:rPr>
          <w:rFonts w:eastAsia="Times New Roman"/>
        </w:rPr>
        <w:t xml:space="preserve">Que des hommes puissent « culpabiliser » de manquer de cohérence dans leurs discours (Martinez Palacio et al.), </w:t>
      </w:r>
      <w:r w:rsidR="00842316">
        <w:rPr>
          <w:rFonts w:eastAsia="Times New Roman"/>
        </w:rPr>
        <w:t xml:space="preserve">ou </w:t>
      </w:r>
      <w:r w:rsidR="00A15852">
        <w:rPr>
          <w:rFonts w:eastAsia="Times New Roman"/>
        </w:rPr>
        <w:t xml:space="preserve">qu’ils puissent </w:t>
      </w:r>
      <w:r w:rsidR="007026CC">
        <w:rPr>
          <w:rFonts w:eastAsia="Times New Roman"/>
        </w:rPr>
        <w:t xml:space="preserve">asseoir leurs </w:t>
      </w:r>
      <w:r w:rsidR="00842316">
        <w:rPr>
          <w:rFonts w:eastAsia="Times New Roman"/>
        </w:rPr>
        <w:t xml:space="preserve">prises de position politiques </w:t>
      </w:r>
      <w:r w:rsidR="007026CC">
        <w:rPr>
          <w:rFonts w:eastAsia="Times New Roman"/>
        </w:rPr>
        <w:t>sur l’expérience et les émotions (Le Caroff),</w:t>
      </w:r>
      <w:r w:rsidR="00842316">
        <w:rPr>
          <w:rFonts w:eastAsia="Times New Roman"/>
        </w:rPr>
        <w:t xml:space="preserve"> constituent des observations qui rappellent que sur le terrain de la participation</w:t>
      </w:r>
      <w:r w:rsidR="005819B1">
        <w:rPr>
          <w:rFonts w:eastAsia="Times New Roman"/>
        </w:rPr>
        <w:t xml:space="preserve"> le groupe des hommes n’est pas moins clivé que celui des femmes. Cette mise en symétrie méthodologique </w:t>
      </w:r>
      <w:r w:rsidR="00A33EAB">
        <w:rPr>
          <w:rFonts w:eastAsia="Times New Roman"/>
        </w:rPr>
        <w:t xml:space="preserve">mériterait d’être prolongée, </w:t>
      </w:r>
      <w:r w:rsidR="0013430E">
        <w:rPr>
          <w:rFonts w:eastAsia="Times New Roman"/>
        </w:rPr>
        <w:t>élargie</w:t>
      </w:r>
      <w:r w:rsidR="00A33EAB">
        <w:rPr>
          <w:rFonts w:eastAsia="Times New Roman"/>
        </w:rPr>
        <w:t xml:space="preserve"> et tenue de façon rigoureuse, afin de ne pas trop vite entériner les représentations stéréotypées qui gouvernent l’idée d’une différenciation genrée des modes d’engagement et d’expression. L’enjeu est de ne pas </w:t>
      </w:r>
      <w:r w:rsidR="005235DF">
        <w:rPr>
          <w:rFonts w:eastAsia="Times New Roman"/>
        </w:rPr>
        <w:t xml:space="preserve">passer à côté d’évolutions telles qu’observées </w:t>
      </w:r>
      <w:r w:rsidR="007026CC">
        <w:rPr>
          <w:rFonts w:eastAsia="Times New Roman"/>
        </w:rPr>
        <w:t xml:space="preserve">pour les Etats-Unis </w:t>
      </w:r>
      <w:r w:rsidR="005235DF">
        <w:rPr>
          <w:rFonts w:eastAsia="Times New Roman"/>
        </w:rPr>
        <w:t xml:space="preserve">par Poletta et Chen, mais aussi de ne </w:t>
      </w:r>
      <w:r w:rsidR="005819B1">
        <w:rPr>
          <w:rFonts w:eastAsia="Times New Roman"/>
        </w:rPr>
        <w:t xml:space="preserve">pas redoubler </w:t>
      </w:r>
      <w:r w:rsidR="005235DF">
        <w:rPr>
          <w:rFonts w:eastAsia="Times New Roman"/>
        </w:rPr>
        <w:t xml:space="preserve">la différenciation par des méthodologies qui </w:t>
      </w:r>
      <w:r w:rsidR="00E14D3A">
        <w:rPr>
          <w:rFonts w:eastAsia="Times New Roman"/>
        </w:rPr>
        <w:t>observent les modes d’engagement sur la scène publique des femmes dans leur rapport et leur écart</w:t>
      </w:r>
      <w:r w:rsidR="005235DF">
        <w:rPr>
          <w:rFonts w:eastAsia="Times New Roman"/>
        </w:rPr>
        <w:t xml:space="preserve"> par rapport à ceux des hommes, sans envisager la démarche inverse.</w:t>
      </w:r>
      <w:r w:rsidR="00E14D3A">
        <w:rPr>
          <w:rFonts w:eastAsia="Times New Roman"/>
        </w:rPr>
        <w:t xml:space="preserve"> </w:t>
      </w:r>
    </w:p>
    <w:p w14:paraId="012229E5" w14:textId="77777777" w:rsidR="00E14D3A" w:rsidRDefault="00E14D3A" w:rsidP="00E14D3A">
      <w:pPr>
        <w:jc w:val="both"/>
        <w:rPr>
          <w:rFonts w:eastAsia="Times New Roman"/>
        </w:rPr>
      </w:pPr>
    </w:p>
    <w:p w14:paraId="03E0866C" w14:textId="25739294" w:rsidR="001A1C31" w:rsidRDefault="001A1C31" w:rsidP="00E34480">
      <w:pPr>
        <w:jc w:val="both"/>
      </w:pPr>
    </w:p>
    <w:p w14:paraId="4BC975C2" w14:textId="16AC0E80" w:rsidR="00601A19" w:rsidRPr="00AA6612" w:rsidRDefault="00AA6612" w:rsidP="003F6E32">
      <w:pPr>
        <w:jc w:val="both"/>
        <w:rPr>
          <w:rFonts w:eastAsia="Times New Roman"/>
          <w:i/>
        </w:rPr>
      </w:pPr>
      <w:r w:rsidRPr="00AA6612">
        <w:rPr>
          <w:rFonts w:eastAsia="Times New Roman"/>
          <w:i/>
        </w:rPr>
        <w:t>Les apartés de la participation</w:t>
      </w:r>
    </w:p>
    <w:p w14:paraId="0E089FDA" w14:textId="77777777" w:rsidR="00E54CBE" w:rsidRDefault="00E54CBE" w:rsidP="003F6E32">
      <w:pPr>
        <w:jc w:val="both"/>
        <w:rPr>
          <w:rFonts w:eastAsia="Times New Roman"/>
          <w:i/>
        </w:rPr>
      </w:pPr>
    </w:p>
    <w:p w14:paraId="6AF2815F" w14:textId="02366590" w:rsidR="00AA6612" w:rsidRDefault="000E0D15" w:rsidP="003F6E32">
      <w:pPr>
        <w:jc w:val="both"/>
        <w:rPr>
          <w:rFonts w:eastAsia="Times New Roman"/>
        </w:rPr>
      </w:pPr>
      <w:r>
        <w:rPr>
          <w:rFonts w:eastAsia="Times New Roman"/>
        </w:rPr>
        <w:t xml:space="preserve">La </w:t>
      </w:r>
      <w:r w:rsidR="00E54CBE">
        <w:rPr>
          <w:rFonts w:eastAsia="Times New Roman"/>
        </w:rPr>
        <w:t xml:space="preserve">capacité des femmes à se faire entendre </w:t>
      </w:r>
      <w:r>
        <w:rPr>
          <w:rFonts w:eastAsia="Times New Roman"/>
        </w:rPr>
        <w:t xml:space="preserve">en tant que femmes et/ou en tant que citoyennes </w:t>
      </w:r>
      <w:r w:rsidR="00E54CBE">
        <w:rPr>
          <w:rFonts w:eastAsia="Times New Roman"/>
        </w:rPr>
        <w:t>dans les arènes de la démocratie participative dépend de leur capacité</w:t>
      </w:r>
      <w:r w:rsidR="00DA0E5A">
        <w:rPr>
          <w:rFonts w:eastAsia="Times New Roman"/>
        </w:rPr>
        <w:t xml:space="preserve"> – et de celle des hommes -</w:t>
      </w:r>
      <w:r w:rsidR="00E54CBE">
        <w:rPr>
          <w:rFonts w:eastAsia="Times New Roman"/>
        </w:rPr>
        <w:t xml:space="preserve"> à politiser les rapports sociaux de sexe inégalitaires, condition d’une intrusion légitime des thèmes</w:t>
      </w:r>
      <w:r w:rsidR="00AA6612">
        <w:rPr>
          <w:rFonts w:eastAsia="Times New Roman"/>
        </w:rPr>
        <w:t xml:space="preserve"> minorés </w:t>
      </w:r>
      <w:r w:rsidR="00AA6612" w:rsidRPr="00AA6612">
        <w:rPr>
          <w:rFonts w:eastAsia="Times New Roman"/>
          <w:i/>
        </w:rPr>
        <w:t>a priori</w:t>
      </w:r>
      <w:r w:rsidR="00AA6612">
        <w:rPr>
          <w:rFonts w:eastAsia="Times New Roman"/>
        </w:rPr>
        <w:t xml:space="preserve"> dans l’espace de discussion, qu’il s’agisse</w:t>
      </w:r>
      <w:r w:rsidR="00E54CBE">
        <w:rPr>
          <w:rFonts w:eastAsia="Times New Roman"/>
        </w:rPr>
        <w:t xml:space="preserve"> de la parentalité et de la conjugalité</w:t>
      </w:r>
      <w:r w:rsidR="00AA6612">
        <w:rPr>
          <w:rFonts w:eastAsia="Times New Roman"/>
        </w:rPr>
        <w:t xml:space="preserve">, mais pas seulement : tout l’intérêt des articles de ce dossier est de rappeler, s’il le fallait encore, </w:t>
      </w:r>
      <w:r w:rsidR="00325571">
        <w:rPr>
          <w:rFonts w:eastAsia="Times New Roman"/>
        </w:rPr>
        <w:t>que si les questions de maternité, de famille, de soins, de violence à l’égard des femmes</w:t>
      </w:r>
      <w:r w:rsidR="00FE69F8">
        <w:rPr>
          <w:rFonts w:eastAsia="Times New Roman"/>
        </w:rPr>
        <w:t xml:space="preserve"> sont généralement portés par les femmes</w:t>
      </w:r>
      <w:r w:rsidR="00325571">
        <w:rPr>
          <w:rFonts w:eastAsia="Times New Roman"/>
        </w:rPr>
        <w:t xml:space="preserve">, les questions de pauvreté, </w:t>
      </w:r>
      <w:r w:rsidR="00DF5C86">
        <w:rPr>
          <w:rFonts w:eastAsia="Times New Roman"/>
        </w:rPr>
        <w:t xml:space="preserve">d’éthique, </w:t>
      </w:r>
      <w:r w:rsidR="00693249">
        <w:rPr>
          <w:rFonts w:eastAsia="Times New Roman"/>
        </w:rPr>
        <w:t>de mobilité et de transport</w:t>
      </w:r>
      <w:r w:rsidR="00325571">
        <w:rPr>
          <w:rFonts w:eastAsia="Times New Roman"/>
        </w:rPr>
        <w:t>, de paix et de géopolitique</w:t>
      </w:r>
      <w:r w:rsidR="00DF5C86">
        <w:rPr>
          <w:rFonts w:eastAsia="Times New Roman"/>
        </w:rPr>
        <w:t xml:space="preserve">, de sécurité, d’aménagement urbain, etc… sont </w:t>
      </w:r>
      <w:r w:rsidR="00FE69F8">
        <w:rPr>
          <w:rFonts w:eastAsia="Times New Roman"/>
        </w:rPr>
        <w:t xml:space="preserve">aussi des enjeux sur lesquels </w:t>
      </w:r>
      <w:r w:rsidR="00DF5C86">
        <w:rPr>
          <w:rFonts w:eastAsia="Times New Roman"/>
        </w:rPr>
        <w:t>elles ont un point de vue.</w:t>
      </w:r>
      <w:r w:rsidR="00693249">
        <w:rPr>
          <w:rFonts w:eastAsia="Times New Roman"/>
        </w:rPr>
        <w:t xml:space="preserve"> A l’image des jeunes féministes radicales des années 70 évoquées par I. Giraud</w:t>
      </w:r>
      <w:r w:rsidR="00EF6661">
        <w:rPr>
          <w:rFonts w:eastAsia="Times New Roman"/>
        </w:rPr>
        <w:t xml:space="preserve">, les participantes </w:t>
      </w:r>
      <w:r w:rsidR="00BA08A1">
        <w:rPr>
          <w:rFonts w:eastAsia="Times New Roman"/>
        </w:rPr>
        <w:t xml:space="preserve">peuvent tout à la fois revendiquer que la santé sexuelle et </w:t>
      </w:r>
      <w:r>
        <w:rPr>
          <w:rFonts w:eastAsia="Times New Roman"/>
        </w:rPr>
        <w:t>reproductive des femmes mérite</w:t>
      </w:r>
      <w:r w:rsidR="00BA08A1">
        <w:rPr>
          <w:rFonts w:eastAsia="Times New Roman"/>
        </w:rPr>
        <w:t xml:space="preserve"> l’attention de la collectivité, tout en ne voulant pas être réduite</w:t>
      </w:r>
      <w:r w:rsidR="002948D8">
        <w:rPr>
          <w:rFonts w:eastAsia="Times New Roman"/>
        </w:rPr>
        <w:t>s</w:t>
      </w:r>
      <w:r w:rsidR="00BA08A1">
        <w:rPr>
          <w:rFonts w:eastAsia="Times New Roman"/>
        </w:rPr>
        <w:t xml:space="preserve"> à ces affaires de femmes.</w:t>
      </w:r>
    </w:p>
    <w:p w14:paraId="728C932E" w14:textId="77777777" w:rsidR="00BA08A1" w:rsidRDefault="00BA08A1" w:rsidP="003F6E32">
      <w:pPr>
        <w:jc w:val="both"/>
        <w:rPr>
          <w:rFonts w:eastAsia="Times New Roman"/>
        </w:rPr>
      </w:pPr>
    </w:p>
    <w:p w14:paraId="5EEF080A" w14:textId="1B32D932" w:rsidR="00FD17B9" w:rsidRDefault="00E54CBE" w:rsidP="003F6E32">
      <w:pPr>
        <w:jc w:val="both"/>
        <w:rPr>
          <w:rFonts w:eastAsia="Times New Roman"/>
        </w:rPr>
      </w:pPr>
      <w:r>
        <w:rPr>
          <w:rFonts w:eastAsia="Times New Roman"/>
        </w:rPr>
        <w:t>C</w:t>
      </w:r>
      <w:r w:rsidR="00FD17B9">
        <w:rPr>
          <w:rFonts w:eastAsia="Times New Roman"/>
        </w:rPr>
        <w:t xml:space="preserve">omme pour tout citoyen engagé en participation, la capacité à politiser les enjeux collectifs, et les rapports sociaux qui les structurent, </w:t>
      </w:r>
      <w:r>
        <w:rPr>
          <w:rFonts w:eastAsia="Times New Roman"/>
        </w:rPr>
        <w:t>est elle-même dépendante de l</w:t>
      </w:r>
      <w:r w:rsidR="00FD17B9">
        <w:rPr>
          <w:rFonts w:eastAsia="Times New Roman"/>
        </w:rPr>
        <w:t xml:space="preserve">a </w:t>
      </w:r>
      <w:r>
        <w:rPr>
          <w:rFonts w:eastAsia="Times New Roman"/>
        </w:rPr>
        <w:t>capacité à se</w:t>
      </w:r>
      <w:r w:rsidR="00FD17B9">
        <w:rPr>
          <w:rFonts w:eastAsia="Times New Roman"/>
        </w:rPr>
        <w:t xml:space="preserve"> constituer en </w:t>
      </w:r>
      <w:r w:rsidR="001E37B0">
        <w:rPr>
          <w:rFonts w:eastAsia="Times New Roman"/>
        </w:rPr>
        <w:t xml:space="preserve">sujet politique et en </w:t>
      </w:r>
      <w:r w:rsidR="00FD17B9">
        <w:rPr>
          <w:rFonts w:eastAsia="Times New Roman"/>
        </w:rPr>
        <w:t>acteur social</w:t>
      </w:r>
      <w:r w:rsidR="001E37B0">
        <w:rPr>
          <w:rFonts w:eastAsia="Times New Roman"/>
        </w:rPr>
        <w:t xml:space="preserve">. </w:t>
      </w:r>
      <w:r w:rsidR="0024229C">
        <w:rPr>
          <w:rFonts w:eastAsia="Times New Roman"/>
        </w:rPr>
        <w:t xml:space="preserve">La </w:t>
      </w:r>
      <w:r w:rsidR="001E37B0">
        <w:rPr>
          <w:rFonts w:eastAsia="Times New Roman"/>
        </w:rPr>
        <w:t>subjectivation politique</w:t>
      </w:r>
      <w:r w:rsidR="0024229C">
        <w:rPr>
          <w:rFonts w:eastAsia="Times New Roman"/>
        </w:rPr>
        <w:t xml:space="preserve"> tien</w:t>
      </w:r>
      <w:r w:rsidR="000E0D15">
        <w:rPr>
          <w:rFonts w:eastAsia="Times New Roman"/>
        </w:rPr>
        <w:t>t à des processus d’émancipation</w:t>
      </w:r>
      <w:r w:rsidR="0024229C">
        <w:rPr>
          <w:rFonts w:eastAsia="Times New Roman"/>
        </w:rPr>
        <w:t xml:space="preserve">, toujours contraints et fragilisés dans un système de relations sociales asymétriques, </w:t>
      </w:r>
      <w:r w:rsidR="00292282">
        <w:rPr>
          <w:rFonts w:eastAsia="Times New Roman"/>
        </w:rPr>
        <w:t xml:space="preserve">dont </w:t>
      </w:r>
      <w:r w:rsidR="0024229C">
        <w:rPr>
          <w:rFonts w:eastAsia="Times New Roman"/>
        </w:rPr>
        <w:t xml:space="preserve">les dispositifs participatifs </w:t>
      </w:r>
      <w:r w:rsidR="00292282">
        <w:rPr>
          <w:rFonts w:eastAsia="Times New Roman"/>
        </w:rPr>
        <w:t xml:space="preserve">ne sont pas seuls comptables, mais qu’ils </w:t>
      </w:r>
      <w:r w:rsidR="0024229C">
        <w:rPr>
          <w:rFonts w:eastAsia="Times New Roman"/>
        </w:rPr>
        <w:t>pe</w:t>
      </w:r>
      <w:r w:rsidR="00292282">
        <w:rPr>
          <w:rFonts w:eastAsia="Times New Roman"/>
        </w:rPr>
        <w:t xml:space="preserve">uvent favoriser. Espaces d’apparition publique et </w:t>
      </w:r>
      <w:r w:rsidR="0024229C">
        <w:rPr>
          <w:rFonts w:eastAsia="Times New Roman"/>
        </w:rPr>
        <w:t>de révélations</w:t>
      </w:r>
      <w:r w:rsidR="00292282">
        <w:rPr>
          <w:rFonts w:eastAsia="Times New Roman"/>
        </w:rPr>
        <w:t>, opportunités de déconstruction des normes et des stigmates au fondement des identités et des thèmes minorés, scène</w:t>
      </w:r>
      <w:r w:rsidR="00001DE0">
        <w:rPr>
          <w:rFonts w:eastAsia="Times New Roman"/>
        </w:rPr>
        <w:t>s</w:t>
      </w:r>
      <w:r w:rsidR="00292282">
        <w:rPr>
          <w:rFonts w:eastAsia="Times New Roman"/>
        </w:rPr>
        <w:t xml:space="preserve"> de mise en tension et en équivalence des</w:t>
      </w:r>
      <w:r w:rsidR="00001DE0">
        <w:rPr>
          <w:rFonts w:eastAsia="Times New Roman"/>
        </w:rPr>
        <w:t xml:space="preserve"> expériences, des</w:t>
      </w:r>
      <w:r w:rsidR="00292282">
        <w:rPr>
          <w:rFonts w:eastAsia="Times New Roman"/>
        </w:rPr>
        <w:t xml:space="preserve"> différences et des positions, moments </w:t>
      </w:r>
      <w:r w:rsidR="00001DE0">
        <w:rPr>
          <w:rFonts w:eastAsia="Times New Roman"/>
        </w:rPr>
        <w:t xml:space="preserve">dialogiques et </w:t>
      </w:r>
      <w:r w:rsidR="00292282">
        <w:rPr>
          <w:rFonts w:eastAsia="Times New Roman"/>
        </w:rPr>
        <w:t>dialectique</w:t>
      </w:r>
      <w:r w:rsidR="00001DE0">
        <w:rPr>
          <w:rFonts w:eastAsia="Times New Roman"/>
        </w:rPr>
        <w:t>s</w:t>
      </w:r>
      <w:r w:rsidR="00292282">
        <w:rPr>
          <w:rFonts w:eastAsia="Times New Roman"/>
        </w:rPr>
        <w:t xml:space="preserve"> entre individuel et collectif, </w:t>
      </w:r>
      <w:r w:rsidR="005B1497">
        <w:rPr>
          <w:rFonts w:eastAsia="Times New Roman"/>
        </w:rPr>
        <w:t xml:space="preserve">les arènes participatives </w:t>
      </w:r>
      <w:r w:rsidR="001D6BE3">
        <w:rPr>
          <w:rFonts w:eastAsia="Times New Roman"/>
        </w:rPr>
        <w:t>offrent bien ce potentiel émancipatoire</w:t>
      </w:r>
      <w:r w:rsidR="00B24817">
        <w:rPr>
          <w:rFonts w:eastAsia="Times New Roman"/>
        </w:rPr>
        <w:t xml:space="preserve"> (Tarragoni, 2013)</w:t>
      </w:r>
      <w:r w:rsidR="001D6BE3">
        <w:rPr>
          <w:rFonts w:eastAsia="Times New Roman"/>
        </w:rPr>
        <w:t>.</w:t>
      </w:r>
      <w:r w:rsidR="00B24817">
        <w:rPr>
          <w:rFonts w:eastAsia="Times New Roman"/>
        </w:rPr>
        <w:t xml:space="preserve"> </w:t>
      </w:r>
      <w:r w:rsidR="00BF735F">
        <w:rPr>
          <w:rFonts w:eastAsia="Times New Roman"/>
        </w:rPr>
        <w:t>Mais à une condition</w:t>
      </w:r>
      <w:r w:rsidR="00844ADD">
        <w:rPr>
          <w:rFonts w:eastAsia="Times New Roman"/>
        </w:rPr>
        <w:t> qui interroge : celle de l’aparté.</w:t>
      </w:r>
    </w:p>
    <w:p w14:paraId="01B85ABC" w14:textId="77777777" w:rsidR="00AF3A4E" w:rsidRDefault="00AF3A4E" w:rsidP="003F6E32">
      <w:pPr>
        <w:jc w:val="both"/>
        <w:rPr>
          <w:rFonts w:eastAsia="Times New Roman"/>
        </w:rPr>
      </w:pPr>
    </w:p>
    <w:p w14:paraId="43CE3BFE" w14:textId="5677264B" w:rsidR="0082229C" w:rsidRDefault="00AF3A4E" w:rsidP="0082229C">
      <w:pPr>
        <w:jc w:val="both"/>
        <w:rPr>
          <w:rFonts w:eastAsia="Times New Roman"/>
        </w:rPr>
      </w:pPr>
      <w:r>
        <w:rPr>
          <w:rFonts w:eastAsia="Times New Roman"/>
        </w:rPr>
        <w:t xml:space="preserve">Comme le rappelle I. Giraud, la participation des femmes sur la scène transnationale a d’abord été obtenue dans des espaces réservés, tels les bâtiments des femmes lors des expositions universelles de la fin du XIXe siècle, </w:t>
      </w:r>
      <w:r w:rsidR="00EF6661">
        <w:rPr>
          <w:rFonts w:eastAsia="Times New Roman"/>
        </w:rPr>
        <w:t>à la fois</w:t>
      </w:r>
      <w:r w:rsidR="00BA08A1">
        <w:rPr>
          <w:rFonts w:eastAsia="Times New Roman"/>
        </w:rPr>
        <w:t xml:space="preserve"> </w:t>
      </w:r>
      <w:r>
        <w:rPr>
          <w:rFonts w:eastAsia="Times New Roman"/>
        </w:rPr>
        <w:t xml:space="preserve">compromis </w:t>
      </w:r>
      <w:r w:rsidR="00BA08A1">
        <w:rPr>
          <w:rFonts w:eastAsia="Times New Roman"/>
        </w:rPr>
        <w:t xml:space="preserve">et compensation qui, </w:t>
      </w:r>
      <w:r w:rsidR="00DC0ECF">
        <w:rPr>
          <w:rFonts w:eastAsia="Times New Roman"/>
        </w:rPr>
        <w:t>en dépit d’une reconduction de leur confinement, constituai</w:t>
      </w:r>
      <w:r w:rsidR="00BA08A1">
        <w:rPr>
          <w:rFonts w:eastAsia="Times New Roman"/>
        </w:rPr>
        <w:t>en</w:t>
      </w:r>
      <w:r w:rsidR="00DC0ECF">
        <w:rPr>
          <w:rFonts w:eastAsia="Times New Roman"/>
        </w:rPr>
        <w:t xml:space="preserve">t </w:t>
      </w:r>
      <w:r w:rsidR="00DA0E5A">
        <w:rPr>
          <w:rFonts w:eastAsia="Times New Roman"/>
        </w:rPr>
        <w:t xml:space="preserve">un forçage de </w:t>
      </w:r>
      <w:r w:rsidR="00DC0ECF">
        <w:rPr>
          <w:rFonts w:eastAsia="Times New Roman"/>
        </w:rPr>
        <w:t>l’espace public global. « Ils ne savent pas comment introduire les femmes », dira encore plusieurs déce</w:t>
      </w:r>
      <w:r w:rsidR="00FE147E">
        <w:rPr>
          <w:rFonts w:eastAsia="Times New Roman"/>
        </w:rPr>
        <w:t xml:space="preserve">nnies plus tard, Madeleine Reis </w:t>
      </w:r>
      <w:r w:rsidR="00DC0ECF">
        <w:rPr>
          <w:rFonts w:eastAsia="Times New Roman"/>
        </w:rPr>
        <w:t>à propos de la scène transnationale. Cette option du regroupement des femmes et de leur séparation des hommes reste retenue et défendue</w:t>
      </w:r>
      <w:r w:rsidR="00DB6E91">
        <w:rPr>
          <w:rFonts w:eastAsia="Times New Roman"/>
        </w:rPr>
        <w:t xml:space="preserve">, comme pour les dispositifs non-mixtes du Brésil et du Burundi, exposés dans ce dossier. </w:t>
      </w:r>
      <w:r w:rsidR="00CF1203">
        <w:rPr>
          <w:rFonts w:eastAsia="Times New Roman"/>
        </w:rPr>
        <w:t>C</w:t>
      </w:r>
      <w:r w:rsidR="00E54CBE">
        <w:rPr>
          <w:rFonts w:eastAsia="Times New Roman"/>
        </w:rPr>
        <w:t xml:space="preserve">ette manière </w:t>
      </w:r>
      <w:r w:rsidR="00FD479C">
        <w:rPr>
          <w:rFonts w:eastAsia="Times New Roman"/>
        </w:rPr>
        <w:t xml:space="preserve">radicale </w:t>
      </w:r>
      <w:r w:rsidR="00E54CBE">
        <w:rPr>
          <w:rFonts w:eastAsia="Times New Roman"/>
        </w:rPr>
        <w:t>de résoudre le dilemme constant entre universalisme et différences contribue certes à fixer une identité particulariste mais se révèle un outil efficace d’</w:t>
      </w:r>
      <w:r w:rsidR="00E54CBE" w:rsidRPr="00CF1203">
        <w:rPr>
          <w:rFonts w:eastAsia="Times New Roman"/>
          <w:i/>
        </w:rPr>
        <w:t>empowerment</w:t>
      </w:r>
      <w:r w:rsidR="00E54CBE">
        <w:rPr>
          <w:rFonts w:eastAsia="Times New Roman"/>
        </w:rPr>
        <w:t xml:space="preserve"> des femmes. </w:t>
      </w:r>
      <w:r w:rsidR="00DB6E91">
        <w:rPr>
          <w:rFonts w:eastAsia="Times New Roman"/>
        </w:rPr>
        <w:t xml:space="preserve">Mais plus généralement, tout dispositif confondu, </w:t>
      </w:r>
      <w:r w:rsidR="00BA08A1">
        <w:rPr>
          <w:rFonts w:eastAsia="Times New Roman"/>
        </w:rPr>
        <w:t>les moments spontanés d’aparté entre participantes</w:t>
      </w:r>
      <w:r w:rsidR="00FD479C">
        <w:rPr>
          <w:rFonts w:eastAsia="Times New Roman"/>
        </w:rPr>
        <w:t xml:space="preserve"> apparaissent récurrents da</w:t>
      </w:r>
      <w:r w:rsidR="00DB6E91">
        <w:rPr>
          <w:rFonts w:eastAsia="Times New Roman"/>
        </w:rPr>
        <w:t xml:space="preserve">ns plusieurs articles présentés. Qu’ils résultent des contraintes propres aux dispositifs, ou qu’ils soient délibérément construits par les femmes, ils s’avèrent </w:t>
      </w:r>
      <w:r w:rsidR="00FD479C">
        <w:rPr>
          <w:rFonts w:eastAsia="Times New Roman"/>
        </w:rPr>
        <w:t xml:space="preserve">efficaces pour peser sur la </w:t>
      </w:r>
      <w:r w:rsidR="00DB6E91">
        <w:rPr>
          <w:rFonts w:eastAsia="Times New Roman"/>
        </w:rPr>
        <w:t xml:space="preserve">dynamique </w:t>
      </w:r>
      <w:r w:rsidR="00FD479C">
        <w:rPr>
          <w:rFonts w:eastAsia="Times New Roman"/>
        </w:rPr>
        <w:t xml:space="preserve">des échanges. </w:t>
      </w:r>
      <w:r w:rsidR="00DA0E5A">
        <w:rPr>
          <w:rFonts w:eastAsia="Times New Roman"/>
        </w:rPr>
        <w:t xml:space="preserve">Dans son </w:t>
      </w:r>
      <w:r w:rsidR="006C43BB">
        <w:rPr>
          <w:rFonts w:eastAsia="Times New Roman"/>
        </w:rPr>
        <w:t xml:space="preserve">analyse </w:t>
      </w:r>
      <w:r w:rsidR="00BA08A1">
        <w:rPr>
          <w:rFonts w:eastAsia="Times New Roman"/>
        </w:rPr>
        <w:t xml:space="preserve">d’un </w:t>
      </w:r>
      <w:r w:rsidR="006C43BB">
        <w:rPr>
          <w:rFonts w:eastAsia="Times New Roman"/>
        </w:rPr>
        <w:t>comité d’éthique,</w:t>
      </w:r>
      <w:r w:rsidR="00DA0E5A">
        <w:rPr>
          <w:rFonts w:eastAsia="Times New Roman"/>
        </w:rPr>
        <w:t xml:space="preserve"> David Smajda montre que</w:t>
      </w:r>
      <w:r w:rsidR="006C43BB">
        <w:rPr>
          <w:rFonts w:eastAsia="Times New Roman"/>
        </w:rPr>
        <w:t xml:space="preserve"> le moment du repas (le plus souvent préparé par les infirmières), voit les médecins, par ailleurs dominants dans le codage de la situation en réunion, moins à l’aise </w:t>
      </w:r>
      <w:r w:rsidR="00EE64AC">
        <w:rPr>
          <w:rFonts w:eastAsia="Times New Roman"/>
        </w:rPr>
        <w:t xml:space="preserve">quand </w:t>
      </w:r>
      <w:r w:rsidR="006C43BB">
        <w:rPr>
          <w:rFonts w:eastAsia="Times New Roman"/>
        </w:rPr>
        <w:t xml:space="preserve">les femmes « se fondent sans difficulté dans ce monde qu’elles contribuent indéfiniment à fabriquer ». </w:t>
      </w:r>
      <w:r w:rsidR="00DA0E5A">
        <w:rPr>
          <w:rFonts w:eastAsia="Times New Roman"/>
        </w:rPr>
        <w:t xml:space="preserve">Les </w:t>
      </w:r>
      <w:r w:rsidR="006C43BB">
        <w:rPr>
          <w:rFonts w:eastAsia="Times New Roman"/>
        </w:rPr>
        <w:t>conversations discrètes</w:t>
      </w:r>
      <w:r w:rsidR="00DA0E5A">
        <w:rPr>
          <w:rFonts w:eastAsia="Times New Roman"/>
        </w:rPr>
        <w:t>,</w:t>
      </w:r>
      <w:r w:rsidR="006C43BB">
        <w:rPr>
          <w:rFonts w:eastAsia="Times New Roman"/>
        </w:rPr>
        <w:t xml:space="preserve"> tenues à l'écart</w:t>
      </w:r>
      <w:r w:rsidR="00DA0E5A">
        <w:rPr>
          <w:rFonts w:eastAsia="Times New Roman"/>
        </w:rPr>
        <w:t xml:space="preserve">, </w:t>
      </w:r>
      <w:r w:rsidR="006C43BB">
        <w:rPr>
          <w:rFonts w:eastAsia="Times New Roman"/>
        </w:rPr>
        <w:t>contribuent à réguler l</w:t>
      </w:r>
      <w:r w:rsidR="00DA0E5A">
        <w:rPr>
          <w:rFonts w:eastAsia="Times New Roman"/>
        </w:rPr>
        <w:t xml:space="preserve">es temps publics des échanges. </w:t>
      </w:r>
      <w:r w:rsidR="00C40534">
        <w:rPr>
          <w:rFonts w:eastAsia="Times New Roman"/>
        </w:rPr>
        <w:t xml:space="preserve">Dans les articles qui suivent, il est souvent question d’espaces « parallèles », « séparés », « en retrait ». Parfois, c’est dans l’occupation de l’espace et la disposition des corps que cette logique apparaît, comme pour les infirmières du comité d’éthique qui choisissent spontanément « le regroupement en retrait » à la table des discussions (Smajda). </w:t>
      </w:r>
    </w:p>
    <w:p w14:paraId="7E915FE0" w14:textId="77777777" w:rsidR="00C04183" w:rsidRDefault="00C04183" w:rsidP="003F6E32">
      <w:pPr>
        <w:jc w:val="both"/>
        <w:rPr>
          <w:rFonts w:eastAsia="Times New Roman"/>
        </w:rPr>
      </w:pPr>
    </w:p>
    <w:p w14:paraId="639EDA19" w14:textId="1BAFD570" w:rsidR="00C40534" w:rsidRDefault="00C40534" w:rsidP="00C40534">
      <w:pPr>
        <w:jc w:val="both"/>
        <w:rPr>
          <w:rFonts w:eastAsia="Times New Roman"/>
        </w:rPr>
      </w:pPr>
      <w:r>
        <w:rPr>
          <w:rFonts w:eastAsia="Times New Roman"/>
        </w:rPr>
        <w:t>Sans être marginale, l</w:t>
      </w:r>
      <w:r w:rsidR="006C43BB">
        <w:rPr>
          <w:rFonts w:eastAsia="Times New Roman"/>
        </w:rPr>
        <w:t xml:space="preserve">a participation des femmes se joue </w:t>
      </w:r>
      <w:r>
        <w:rPr>
          <w:rFonts w:eastAsia="Times New Roman"/>
        </w:rPr>
        <w:t xml:space="preserve">donc aussi </w:t>
      </w:r>
      <w:r w:rsidR="006C43BB">
        <w:rPr>
          <w:rFonts w:eastAsia="Times New Roman"/>
        </w:rPr>
        <w:t xml:space="preserve">dans des marges, </w:t>
      </w:r>
      <w:r>
        <w:rPr>
          <w:rFonts w:eastAsia="Times New Roman"/>
        </w:rPr>
        <w:t xml:space="preserve">des </w:t>
      </w:r>
      <w:r w:rsidR="006C43BB">
        <w:rPr>
          <w:rFonts w:eastAsia="Times New Roman"/>
        </w:rPr>
        <w:t>interstices, aux bords</w:t>
      </w:r>
      <w:r>
        <w:rPr>
          <w:rFonts w:eastAsia="Times New Roman"/>
        </w:rPr>
        <w:t xml:space="preserve"> des dispositifs qui les invitent à s’engager</w:t>
      </w:r>
      <w:r w:rsidR="006C43BB">
        <w:rPr>
          <w:rFonts w:eastAsia="Times New Roman"/>
        </w:rPr>
        <w:t xml:space="preserve">, </w:t>
      </w:r>
      <w:r>
        <w:rPr>
          <w:rFonts w:eastAsia="Times New Roman"/>
        </w:rPr>
        <w:t>et ce par contrainte ou par choix. Car i</w:t>
      </w:r>
      <w:r w:rsidR="006C43BB">
        <w:rPr>
          <w:rFonts w:eastAsia="Times New Roman"/>
        </w:rPr>
        <w:t>l ne s’agit pas toujours d’une éviction ou d’une autocensure, mais aussi d’une prise de position délibérée dans des espaces alternatifs</w:t>
      </w:r>
      <w:r w:rsidR="00EE64AC">
        <w:rPr>
          <w:rFonts w:eastAsia="Times New Roman"/>
        </w:rPr>
        <w:t xml:space="preserve"> </w:t>
      </w:r>
      <w:r w:rsidR="006C43BB">
        <w:rPr>
          <w:rFonts w:eastAsia="Times New Roman"/>
        </w:rPr>
        <w:t>pour se tenir à distance des obstacles, compenser les handicaps</w:t>
      </w:r>
      <w:r w:rsidR="00FE69F8">
        <w:rPr>
          <w:rFonts w:eastAsia="Times New Roman"/>
        </w:rPr>
        <w:t xml:space="preserve"> réels ou supposés</w:t>
      </w:r>
      <w:r w:rsidR="006C43BB">
        <w:rPr>
          <w:rFonts w:eastAsia="Times New Roman"/>
        </w:rPr>
        <w:t>, ne pas donner prise à la domination masculine</w:t>
      </w:r>
      <w:r w:rsidR="00EE64AC">
        <w:rPr>
          <w:rFonts w:eastAsia="Times New Roman"/>
        </w:rPr>
        <w:t xml:space="preserve"> et aux rapports de pouvoir</w:t>
      </w:r>
      <w:r w:rsidR="006C43BB">
        <w:rPr>
          <w:rFonts w:eastAsia="Times New Roman"/>
        </w:rPr>
        <w:t xml:space="preserve">, maîtriser son expérience et ses intérêts. </w:t>
      </w:r>
      <w:r w:rsidR="00E05346">
        <w:rPr>
          <w:rFonts w:eastAsia="Times New Roman"/>
        </w:rPr>
        <w:t>La logique d’une participation groupée en retrait</w:t>
      </w:r>
      <w:r w:rsidR="00844ADD">
        <w:rPr>
          <w:rFonts w:eastAsia="Times New Roman"/>
        </w:rPr>
        <w:t>, tactique des acteurs faibles</w:t>
      </w:r>
      <w:r w:rsidR="007026CC">
        <w:rPr>
          <w:rStyle w:val="Marquenotebasdepage"/>
          <w:rFonts w:eastAsia="Times New Roman"/>
        </w:rPr>
        <w:footnoteReference w:id="7"/>
      </w:r>
      <w:r w:rsidR="00844ADD">
        <w:rPr>
          <w:rFonts w:eastAsia="Times New Roman"/>
        </w:rPr>
        <w:t>,</w:t>
      </w:r>
      <w:r w:rsidR="00E05346">
        <w:rPr>
          <w:rFonts w:eastAsia="Times New Roman"/>
        </w:rPr>
        <w:t xml:space="preserve"> est </w:t>
      </w:r>
      <w:r w:rsidR="00D624EA">
        <w:rPr>
          <w:rFonts w:eastAsia="Times New Roman"/>
        </w:rPr>
        <w:t xml:space="preserve">généralement admise </w:t>
      </w:r>
      <w:r w:rsidR="00E05346">
        <w:rPr>
          <w:rFonts w:eastAsia="Times New Roman"/>
        </w:rPr>
        <w:t xml:space="preserve">comme un moyen et non une fin ; </w:t>
      </w:r>
      <w:r w:rsidR="006C43BB">
        <w:rPr>
          <w:rFonts w:eastAsia="Times New Roman"/>
        </w:rPr>
        <w:t xml:space="preserve">il s’agit d’une </w:t>
      </w:r>
      <w:r w:rsidR="00E05346">
        <w:rPr>
          <w:rFonts w:eastAsia="Times New Roman"/>
        </w:rPr>
        <w:t xml:space="preserve">étape corrective nécessaire pour compenser les asymétries avant de rejoindre le gros des troupes dans l’espace public global. De fait, c’est bien la nature des rapports sociaux de genre défavorables aux femmes qui les conduit à opter pour ce pas de </w:t>
      </w:r>
      <w:r w:rsidR="0082229C">
        <w:rPr>
          <w:rFonts w:eastAsia="Times New Roman"/>
        </w:rPr>
        <w:t>côté, cette logique de l’aparté</w:t>
      </w:r>
      <w:r w:rsidR="00844ADD">
        <w:rPr>
          <w:rFonts w:eastAsia="Times New Roman"/>
        </w:rPr>
        <w:t>.</w:t>
      </w:r>
      <w:r w:rsidR="0082229C">
        <w:rPr>
          <w:rFonts w:eastAsia="Times New Roman"/>
        </w:rPr>
        <w:t xml:space="preserve"> </w:t>
      </w:r>
      <w:r>
        <w:rPr>
          <w:rFonts w:eastAsia="Times New Roman"/>
        </w:rPr>
        <w:t>Ces décalages offrent ainsi des possibilités de déplacements, des mises en symétrie et des négociations des normes et des codes, toujours conflictuelles. Ils contribuent à la problématisation des enjeux et des rapports sociaux. Que des organisateurs de dispositifs, comme le grenelle des mobilités bordelais, ne perçoivent pas le temps perdu que constitue un dispositif qui n’assume pas cette opportunité de favoriser la révélation de l’inouïe et de l’inaudible, dit assez bien le statut accordé à la démocratie participative en France.</w:t>
      </w:r>
    </w:p>
    <w:p w14:paraId="08C30C7D" w14:textId="77777777" w:rsidR="00B24817" w:rsidRDefault="00B24817" w:rsidP="00C40534">
      <w:pPr>
        <w:jc w:val="both"/>
        <w:rPr>
          <w:rFonts w:eastAsia="Times New Roman"/>
        </w:rPr>
      </w:pPr>
    </w:p>
    <w:p w14:paraId="6D6E2C73" w14:textId="3D257406" w:rsidR="00131AC8" w:rsidRPr="00FE147E" w:rsidRDefault="00FE147E" w:rsidP="00C40534">
      <w:pPr>
        <w:jc w:val="both"/>
        <w:rPr>
          <w:rFonts w:eastAsia="Times New Roman"/>
          <w:i/>
        </w:rPr>
      </w:pPr>
      <w:r w:rsidRPr="00FE147E">
        <w:rPr>
          <w:rFonts w:eastAsia="Times New Roman"/>
          <w:i/>
        </w:rPr>
        <w:t>Références bibliographiques</w:t>
      </w:r>
    </w:p>
    <w:p w14:paraId="3404F485" w14:textId="77777777" w:rsidR="00FE147E" w:rsidRDefault="00FE147E" w:rsidP="00C40534">
      <w:pPr>
        <w:jc w:val="both"/>
        <w:rPr>
          <w:rFonts w:eastAsia="Times New Roman"/>
        </w:rPr>
      </w:pPr>
    </w:p>
    <w:p w14:paraId="3017ADDB" w14:textId="65D7CA5A" w:rsidR="00131AC8" w:rsidRPr="00AC2B5D" w:rsidRDefault="00131AC8" w:rsidP="00C40534">
      <w:pPr>
        <w:jc w:val="both"/>
        <w:rPr>
          <w:rFonts w:eastAsia="Times New Roman"/>
          <w:sz w:val="22"/>
          <w:szCs w:val="22"/>
        </w:rPr>
      </w:pPr>
      <w:r w:rsidRPr="00AC2B5D">
        <w:rPr>
          <w:sz w:val="22"/>
          <w:szCs w:val="22"/>
        </w:rPr>
        <w:t xml:space="preserve">Dietz M. (2000), « Tout est dans le contexte : féminisme et théories de la citoyenneté », Thanh-Huyen Ballmer-Cao, Véronique Mottier et Léa Sgier (dirs), </w:t>
      </w:r>
      <w:r w:rsidRPr="00AC2B5D">
        <w:rPr>
          <w:i/>
          <w:sz w:val="22"/>
          <w:szCs w:val="22"/>
        </w:rPr>
        <w:t>Genre et politique</w:t>
      </w:r>
      <w:r w:rsidRPr="00AC2B5D">
        <w:rPr>
          <w:sz w:val="22"/>
          <w:szCs w:val="22"/>
        </w:rPr>
        <w:t>, Folio Essai</w:t>
      </w:r>
      <w:r w:rsidR="00AC2B5D" w:rsidRPr="00AC2B5D">
        <w:rPr>
          <w:color w:val="FF6600"/>
          <w:sz w:val="22"/>
          <w:szCs w:val="22"/>
        </w:rPr>
        <w:t>.</w:t>
      </w:r>
    </w:p>
    <w:p w14:paraId="3046B84C" w14:textId="3F7E1956" w:rsidR="00191367" w:rsidRPr="00AC2B5D" w:rsidRDefault="00191367" w:rsidP="006C43BB">
      <w:pPr>
        <w:jc w:val="both"/>
        <w:rPr>
          <w:rFonts w:eastAsia="Times New Roman"/>
          <w:sz w:val="22"/>
          <w:szCs w:val="22"/>
        </w:rPr>
      </w:pPr>
    </w:p>
    <w:p w14:paraId="5A28BA90" w14:textId="4098DE7A" w:rsidR="006C43BB" w:rsidRPr="00AC2B5D" w:rsidRDefault="00D55477" w:rsidP="006C43BB">
      <w:pPr>
        <w:jc w:val="both"/>
        <w:rPr>
          <w:rFonts w:eastAsia="Times New Roman"/>
          <w:sz w:val="22"/>
          <w:szCs w:val="22"/>
        </w:rPr>
      </w:pPr>
      <w:r>
        <w:rPr>
          <w:sz w:val="22"/>
          <w:szCs w:val="22"/>
        </w:rPr>
        <w:t>Elsthain J.,</w:t>
      </w:r>
      <w:r w:rsidR="0001737A" w:rsidRPr="00AC2B5D">
        <w:rPr>
          <w:sz w:val="22"/>
          <w:szCs w:val="22"/>
        </w:rPr>
        <w:t xml:space="preserve"> </w:t>
      </w:r>
      <w:r>
        <w:rPr>
          <w:sz w:val="22"/>
          <w:szCs w:val="22"/>
        </w:rPr>
        <w:t xml:space="preserve">1981, </w:t>
      </w:r>
      <w:r w:rsidR="0001737A" w:rsidRPr="00AC2B5D">
        <w:rPr>
          <w:i/>
          <w:sz w:val="22"/>
          <w:szCs w:val="22"/>
        </w:rPr>
        <w:t>Public man, Private Woman</w:t>
      </w:r>
      <w:r w:rsidR="0001737A" w:rsidRPr="00AC2B5D">
        <w:rPr>
          <w:sz w:val="22"/>
          <w:szCs w:val="22"/>
        </w:rPr>
        <w:t>, Princeto</w:t>
      </w:r>
      <w:r>
        <w:rPr>
          <w:sz w:val="22"/>
          <w:szCs w:val="22"/>
        </w:rPr>
        <w:t>n, Princeton University Press</w:t>
      </w:r>
    </w:p>
    <w:p w14:paraId="42F147D7" w14:textId="3C8FD35B" w:rsidR="00E05346" w:rsidRPr="00AC2B5D" w:rsidRDefault="00E05346" w:rsidP="00E05346">
      <w:pPr>
        <w:jc w:val="both"/>
        <w:rPr>
          <w:rFonts w:eastAsia="Times New Roman"/>
          <w:sz w:val="22"/>
          <w:szCs w:val="22"/>
        </w:rPr>
      </w:pPr>
    </w:p>
    <w:p w14:paraId="59F3439E" w14:textId="186C9BD8" w:rsidR="00A87093" w:rsidRPr="00AC2B5D" w:rsidRDefault="007F6629" w:rsidP="00A87093">
      <w:pPr>
        <w:jc w:val="both"/>
        <w:rPr>
          <w:rFonts w:eastAsia="Times New Roman"/>
          <w:sz w:val="22"/>
          <w:szCs w:val="22"/>
        </w:rPr>
      </w:pPr>
      <w:r w:rsidRPr="00AC2B5D">
        <w:rPr>
          <w:rFonts w:eastAsia="Times New Roman"/>
          <w:sz w:val="22"/>
          <w:szCs w:val="22"/>
        </w:rPr>
        <w:t>Fassin E., 2008, « L'empire du genre », </w:t>
      </w:r>
      <w:r w:rsidRPr="00AC2B5D">
        <w:rPr>
          <w:rStyle w:val="Accentuation"/>
          <w:rFonts w:eastAsia="Times New Roman"/>
          <w:sz w:val="22"/>
          <w:szCs w:val="22"/>
        </w:rPr>
        <w:t>L'Homme</w:t>
      </w:r>
      <w:r w:rsidRPr="00AC2B5D">
        <w:rPr>
          <w:rFonts w:eastAsia="Times New Roman"/>
          <w:sz w:val="22"/>
          <w:szCs w:val="22"/>
        </w:rPr>
        <w:t xml:space="preserve"> 3/2008 (n° </w:t>
      </w:r>
      <w:r w:rsidR="000C7058" w:rsidRPr="00AC2B5D">
        <w:rPr>
          <w:rFonts w:eastAsia="Times New Roman"/>
          <w:sz w:val="22"/>
          <w:szCs w:val="22"/>
        </w:rPr>
        <w:t>187-188),</w:t>
      </w:r>
      <w:r w:rsidRPr="00AC2B5D">
        <w:rPr>
          <w:rFonts w:eastAsia="Times New Roman"/>
          <w:sz w:val="22"/>
          <w:szCs w:val="22"/>
        </w:rPr>
        <w:t xml:space="preserve"> p</w:t>
      </w:r>
      <w:r w:rsidR="000C7058" w:rsidRPr="00AC2B5D">
        <w:rPr>
          <w:rFonts w:eastAsia="Times New Roman"/>
          <w:sz w:val="22"/>
          <w:szCs w:val="22"/>
        </w:rPr>
        <w:t>p</w:t>
      </w:r>
      <w:r w:rsidR="00B11B6D" w:rsidRPr="00AC2B5D">
        <w:rPr>
          <w:rFonts w:eastAsia="Times New Roman"/>
          <w:sz w:val="22"/>
          <w:szCs w:val="22"/>
        </w:rPr>
        <w:t>. </w:t>
      </w:r>
      <w:r w:rsidR="00842126" w:rsidRPr="00AC2B5D">
        <w:rPr>
          <w:rFonts w:eastAsia="Times New Roman"/>
          <w:sz w:val="22"/>
          <w:szCs w:val="22"/>
        </w:rPr>
        <w:t>378</w:t>
      </w:r>
    </w:p>
    <w:p w14:paraId="1CF05194" w14:textId="77777777" w:rsidR="008637E6" w:rsidRPr="00AC2B5D" w:rsidRDefault="008637E6" w:rsidP="00A87093">
      <w:pPr>
        <w:jc w:val="both"/>
        <w:rPr>
          <w:rFonts w:eastAsia="Times New Roman"/>
          <w:sz w:val="22"/>
          <w:szCs w:val="22"/>
        </w:rPr>
      </w:pPr>
    </w:p>
    <w:p w14:paraId="4FC8E7F2" w14:textId="1D180C48" w:rsidR="008637E6" w:rsidRPr="00AC2B5D" w:rsidRDefault="008637E6" w:rsidP="008637E6">
      <w:pPr>
        <w:jc w:val="both"/>
        <w:rPr>
          <w:rFonts w:eastAsia="Times New Roman"/>
          <w:sz w:val="22"/>
          <w:szCs w:val="22"/>
        </w:rPr>
      </w:pPr>
      <w:r w:rsidRPr="00AC2B5D">
        <w:rPr>
          <w:rFonts w:eastAsia="Times New Roman"/>
          <w:sz w:val="22"/>
          <w:szCs w:val="22"/>
        </w:rPr>
        <w:t>Fraisse</w:t>
      </w:r>
      <w:r w:rsidR="002A4FF2" w:rsidRPr="00AC2B5D">
        <w:rPr>
          <w:rFonts w:eastAsia="Times New Roman"/>
          <w:sz w:val="22"/>
          <w:szCs w:val="22"/>
        </w:rPr>
        <w:t xml:space="preserve"> G.</w:t>
      </w:r>
      <w:r w:rsidRPr="00AC2B5D">
        <w:rPr>
          <w:rFonts w:eastAsia="Times New Roman"/>
          <w:sz w:val="22"/>
          <w:szCs w:val="22"/>
        </w:rPr>
        <w:t xml:space="preserve">, 1989, </w:t>
      </w:r>
      <w:r w:rsidRPr="00AC2B5D">
        <w:rPr>
          <w:rStyle w:val="Accentuation"/>
          <w:rFonts w:eastAsia="Times New Roman"/>
          <w:sz w:val="22"/>
          <w:szCs w:val="22"/>
        </w:rPr>
        <w:t>Muse de la raison, la démocratie exclusive et la différence des sexes</w:t>
      </w:r>
      <w:r w:rsidRPr="00AC2B5D">
        <w:rPr>
          <w:rFonts w:eastAsia="Times New Roman"/>
          <w:sz w:val="22"/>
          <w:szCs w:val="22"/>
        </w:rPr>
        <w:t>, Paris, Editions Alinea (réédité Paris, Gallimard, « Folio histoire », 1995)</w:t>
      </w:r>
    </w:p>
    <w:p w14:paraId="3E9BE3E6" w14:textId="77777777" w:rsidR="002A4FF2" w:rsidRPr="00AC2B5D" w:rsidRDefault="002A4FF2" w:rsidP="008637E6">
      <w:pPr>
        <w:jc w:val="both"/>
        <w:rPr>
          <w:rFonts w:eastAsia="Times New Roman"/>
          <w:sz w:val="22"/>
          <w:szCs w:val="22"/>
        </w:rPr>
      </w:pPr>
    </w:p>
    <w:p w14:paraId="7D82BBCD" w14:textId="6DADC9DE" w:rsidR="002A4FF2" w:rsidRPr="00AC2B5D" w:rsidRDefault="002A4FF2" w:rsidP="008637E6">
      <w:pPr>
        <w:jc w:val="both"/>
        <w:rPr>
          <w:sz w:val="22"/>
          <w:szCs w:val="22"/>
        </w:rPr>
      </w:pPr>
      <w:r w:rsidRPr="00AC2B5D">
        <w:rPr>
          <w:rFonts w:eastAsia="Times New Roman"/>
          <w:sz w:val="22"/>
          <w:szCs w:val="22"/>
        </w:rPr>
        <w:t>Fraser N., « Repenser la sphère publique : une contribution à la cr</w:t>
      </w:r>
      <w:r w:rsidR="007A5A75">
        <w:rPr>
          <w:rFonts w:eastAsia="Times New Roman"/>
          <w:sz w:val="22"/>
          <w:szCs w:val="22"/>
        </w:rPr>
        <w:t>i</w:t>
      </w:r>
      <w:r w:rsidRPr="00AC2B5D">
        <w:rPr>
          <w:rFonts w:eastAsia="Times New Roman"/>
          <w:sz w:val="22"/>
          <w:szCs w:val="22"/>
        </w:rPr>
        <w:t xml:space="preserve">tique de la démocratie telle qu’elle existe réellement », </w:t>
      </w:r>
      <w:r w:rsidRPr="00AC2B5D">
        <w:rPr>
          <w:i/>
          <w:sz w:val="22"/>
          <w:szCs w:val="22"/>
        </w:rPr>
        <w:t>Hermès</w:t>
      </w:r>
      <w:r w:rsidRPr="00AC2B5D">
        <w:rPr>
          <w:sz w:val="22"/>
          <w:szCs w:val="22"/>
        </w:rPr>
        <w:t>, 31, 2001 pp. 127-156</w:t>
      </w:r>
    </w:p>
    <w:p w14:paraId="0160459A" w14:textId="77777777" w:rsidR="0031397C" w:rsidRPr="00AC2B5D" w:rsidRDefault="0031397C" w:rsidP="008637E6">
      <w:pPr>
        <w:jc w:val="both"/>
        <w:rPr>
          <w:sz w:val="22"/>
          <w:szCs w:val="22"/>
        </w:rPr>
      </w:pPr>
    </w:p>
    <w:p w14:paraId="6AA32818" w14:textId="5EC9BD46" w:rsidR="0031397C" w:rsidRPr="00AC2B5D" w:rsidRDefault="0031397C" w:rsidP="0031397C">
      <w:pPr>
        <w:pStyle w:val="Notedebasdepage"/>
        <w:rPr>
          <w:sz w:val="22"/>
          <w:szCs w:val="22"/>
        </w:rPr>
      </w:pPr>
      <w:r w:rsidRPr="00AC2B5D">
        <w:rPr>
          <w:sz w:val="22"/>
          <w:szCs w:val="22"/>
        </w:rPr>
        <w:t xml:space="preserve">Froidevaux-Metterie C., </w:t>
      </w:r>
      <w:r w:rsidR="008945DB" w:rsidRPr="00AC2B5D">
        <w:rPr>
          <w:sz w:val="22"/>
          <w:szCs w:val="22"/>
        </w:rPr>
        <w:t xml:space="preserve">2015, </w:t>
      </w:r>
      <w:r w:rsidRPr="00AC2B5D">
        <w:rPr>
          <w:i/>
          <w:sz w:val="22"/>
          <w:szCs w:val="22"/>
        </w:rPr>
        <w:t>La révolution du féminin</w:t>
      </w:r>
      <w:r w:rsidR="008945DB" w:rsidRPr="00AC2B5D">
        <w:rPr>
          <w:sz w:val="22"/>
          <w:szCs w:val="22"/>
        </w:rPr>
        <w:t>, Paris, Gallimard.</w:t>
      </w:r>
    </w:p>
    <w:p w14:paraId="655AE229" w14:textId="77777777" w:rsidR="0031397C" w:rsidRPr="00AC2B5D" w:rsidRDefault="0031397C" w:rsidP="008637E6">
      <w:pPr>
        <w:jc w:val="both"/>
        <w:rPr>
          <w:rFonts w:eastAsia="Times New Roman"/>
          <w:sz w:val="22"/>
          <w:szCs w:val="22"/>
        </w:rPr>
      </w:pPr>
    </w:p>
    <w:p w14:paraId="672CE1A3" w14:textId="1C4A2E4D" w:rsidR="00B11B6D" w:rsidRPr="00AC2B5D" w:rsidRDefault="00A87093" w:rsidP="00A87093">
      <w:pPr>
        <w:jc w:val="both"/>
        <w:rPr>
          <w:rStyle w:val="text"/>
          <w:rFonts w:eastAsia="Times New Roman"/>
          <w:sz w:val="22"/>
          <w:szCs w:val="22"/>
        </w:rPr>
      </w:pPr>
      <w:r w:rsidRPr="00AC2B5D">
        <w:rPr>
          <w:rStyle w:val="text"/>
          <w:rFonts w:eastAsia="Times New Roman"/>
          <w:sz w:val="22"/>
          <w:szCs w:val="22"/>
        </w:rPr>
        <w:t>Gardey L et Löwy</w:t>
      </w:r>
      <w:r w:rsidR="00B11B6D" w:rsidRPr="00AC2B5D">
        <w:rPr>
          <w:rStyle w:val="text"/>
          <w:rFonts w:eastAsia="Times New Roman"/>
          <w:sz w:val="22"/>
          <w:szCs w:val="22"/>
        </w:rPr>
        <w:t xml:space="preserve"> I.</w:t>
      </w:r>
      <w:r w:rsidR="004F1840" w:rsidRPr="00AC2B5D">
        <w:rPr>
          <w:rStyle w:val="text"/>
          <w:rFonts w:eastAsia="Times New Roman"/>
          <w:sz w:val="22"/>
          <w:szCs w:val="22"/>
        </w:rPr>
        <w:t xml:space="preserve"> </w:t>
      </w:r>
      <w:r w:rsidR="00B11B6D" w:rsidRPr="00AC2B5D">
        <w:rPr>
          <w:rStyle w:val="text"/>
          <w:rFonts w:eastAsia="Times New Roman"/>
          <w:sz w:val="22"/>
          <w:szCs w:val="22"/>
        </w:rPr>
        <w:t>(dir</w:t>
      </w:r>
      <w:r w:rsidRPr="00AC2B5D">
        <w:rPr>
          <w:rStyle w:val="text"/>
          <w:rFonts w:eastAsia="Times New Roman"/>
          <w:sz w:val="22"/>
          <w:szCs w:val="22"/>
        </w:rPr>
        <w:t>s</w:t>
      </w:r>
      <w:r w:rsidR="00B11B6D" w:rsidRPr="00AC2B5D">
        <w:rPr>
          <w:rStyle w:val="text"/>
          <w:rFonts w:eastAsia="Times New Roman"/>
          <w:sz w:val="22"/>
          <w:szCs w:val="22"/>
        </w:rPr>
        <w:t xml:space="preserve">.), </w:t>
      </w:r>
      <w:r w:rsidR="008945DB" w:rsidRPr="00AC2B5D">
        <w:rPr>
          <w:rStyle w:val="text"/>
          <w:rFonts w:eastAsia="Times New Roman"/>
          <w:sz w:val="22"/>
          <w:szCs w:val="22"/>
        </w:rPr>
        <w:t xml:space="preserve">2000, </w:t>
      </w:r>
      <w:r w:rsidR="00B11B6D" w:rsidRPr="00AC2B5D">
        <w:rPr>
          <w:rStyle w:val="text"/>
          <w:rFonts w:eastAsia="Times New Roman"/>
          <w:i/>
          <w:iCs/>
          <w:sz w:val="22"/>
          <w:szCs w:val="22"/>
        </w:rPr>
        <w:t>L'Invention du naturel. Les sciences et la fabrication du féminin et du masculin</w:t>
      </w:r>
      <w:r w:rsidR="00B11B6D" w:rsidRPr="00AC2B5D">
        <w:rPr>
          <w:rStyle w:val="text"/>
          <w:rFonts w:eastAsia="Times New Roman"/>
          <w:sz w:val="22"/>
          <w:szCs w:val="22"/>
        </w:rPr>
        <w:t>, Paris, Éditions d</w:t>
      </w:r>
      <w:r w:rsidR="008945DB" w:rsidRPr="00AC2B5D">
        <w:rPr>
          <w:rStyle w:val="text"/>
          <w:rFonts w:eastAsia="Times New Roman"/>
          <w:sz w:val="22"/>
          <w:szCs w:val="22"/>
        </w:rPr>
        <w:t xml:space="preserve">es archives contemporaines. </w:t>
      </w:r>
    </w:p>
    <w:p w14:paraId="3E317C81" w14:textId="1EEC6365" w:rsidR="00131AC8" w:rsidRPr="00AC2B5D" w:rsidRDefault="000B54FF" w:rsidP="000B54FF">
      <w:pPr>
        <w:pStyle w:val="NormalWeb"/>
        <w:rPr>
          <w:rStyle w:val="text"/>
          <w:rFonts w:ascii="Times New Roman" w:hAnsi="Times New Roman"/>
          <w:sz w:val="22"/>
          <w:szCs w:val="22"/>
        </w:rPr>
      </w:pPr>
      <w:r w:rsidRPr="00AC2B5D">
        <w:rPr>
          <w:rFonts w:ascii="Times New Roman" w:hAnsi="Times New Roman"/>
          <w:sz w:val="22"/>
          <w:szCs w:val="22"/>
        </w:rPr>
        <w:t>Garrau,</w:t>
      </w:r>
      <w:r w:rsidR="006549A7" w:rsidRPr="00AC2B5D">
        <w:rPr>
          <w:rFonts w:ascii="Times New Roman" w:hAnsi="Times New Roman"/>
          <w:sz w:val="22"/>
          <w:szCs w:val="22"/>
        </w:rPr>
        <w:t xml:space="preserve"> M., 2011</w:t>
      </w:r>
      <w:r w:rsidR="007A5A75">
        <w:rPr>
          <w:rFonts w:ascii="Times New Roman" w:hAnsi="Times New Roman"/>
          <w:sz w:val="22"/>
          <w:szCs w:val="22"/>
        </w:rPr>
        <w:t>,</w:t>
      </w:r>
      <w:r w:rsidRPr="00AC2B5D">
        <w:rPr>
          <w:rFonts w:ascii="Times New Roman" w:hAnsi="Times New Roman"/>
          <w:sz w:val="22"/>
          <w:szCs w:val="22"/>
        </w:rPr>
        <w:t xml:space="preserve"> « Le contrat social contre les femmes », </w:t>
      </w:r>
      <w:r w:rsidRPr="00AC2B5D">
        <w:rPr>
          <w:rStyle w:val="Accentuation"/>
          <w:rFonts w:ascii="Times New Roman" w:hAnsi="Times New Roman"/>
          <w:sz w:val="22"/>
          <w:szCs w:val="22"/>
        </w:rPr>
        <w:t>La Vie des idées</w:t>
      </w:r>
      <w:r w:rsidR="006549A7" w:rsidRPr="00AC2B5D">
        <w:rPr>
          <w:rFonts w:ascii="Times New Roman" w:hAnsi="Times New Roman"/>
          <w:sz w:val="22"/>
          <w:szCs w:val="22"/>
        </w:rPr>
        <w:t xml:space="preserve">, </w:t>
      </w:r>
      <w:r w:rsidRPr="00AC2B5D">
        <w:rPr>
          <w:rFonts w:ascii="Times New Roman" w:hAnsi="Times New Roman"/>
          <w:sz w:val="22"/>
          <w:szCs w:val="22"/>
        </w:rPr>
        <w:t>ISSN : 2105-3030. URL : http://www.laviedesidees.fr/Le-contrat-social-contre-les.html</w:t>
      </w:r>
    </w:p>
    <w:p w14:paraId="0B822ABF" w14:textId="71ECA7C0" w:rsidR="00131AC8" w:rsidRPr="00AC2B5D" w:rsidRDefault="00131AC8" w:rsidP="00A87093">
      <w:pPr>
        <w:jc w:val="both"/>
        <w:rPr>
          <w:sz w:val="22"/>
          <w:szCs w:val="22"/>
        </w:rPr>
      </w:pPr>
      <w:r w:rsidRPr="00AC2B5D">
        <w:rPr>
          <w:sz w:val="22"/>
          <w:szCs w:val="22"/>
        </w:rPr>
        <w:t>Gilligan</w:t>
      </w:r>
      <w:r w:rsidR="00DF439D" w:rsidRPr="00AC2B5D">
        <w:rPr>
          <w:sz w:val="22"/>
          <w:szCs w:val="22"/>
        </w:rPr>
        <w:t xml:space="preserve"> C.</w:t>
      </w:r>
      <w:r w:rsidRPr="00AC2B5D">
        <w:rPr>
          <w:sz w:val="22"/>
          <w:szCs w:val="22"/>
        </w:rPr>
        <w:t xml:space="preserve">, </w:t>
      </w:r>
      <w:r w:rsidR="007A5A75">
        <w:rPr>
          <w:sz w:val="22"/>
          <w:szCs w:val="22"/>
        </w:rPr>
        <w:t>1982</w:t>
      </w:r>
      <w:r w:rsidR="008945DB" w:rsidRPr="00AC2B5D">
        <w:rPr>
          <w:sz w:val="22"/>
          <w:szCs w:val="22"/>
        </w:rPr>
        <w:t xml:space="preserve">, </w:t>
      </w:r>
      <w:r w:rsidRPr="00AC2B5D">
        <w:rPr>
          <w:i/>
          <w:sz w:val="22"/>
          <w:szCs w:val="22"/>
        </w:rPr>
        <w:t>In a different voice : Psychological theory and women’s development</w:t>
      </w:r>
      <w:r w:rsidRPr="00AC2B5D">
        <w:rPr>
          <w:sz w:val="22"/>
          <w:szCs w:val="22"/>
        </w:rPr>
        <w:t>, Cambridge</w:t>
      </w:r>
      <w:r w:rsidR="008945DB" w:rsidRPr="00AC2B5D">
        <w:rPr>
          <w:sz w:val="22"/>
          <w:szCs w:val="22"/>
        </w:rPr>
        <w:t xml:space="preserve">, Harvard University Press, (2008, </w:t>
      </w:r>
      <w:r w:rsidR="008945DB" w:rsidRPr="00AC2B5D">
        <w:rPr>
          <w:i/>
          <w:sz w:val="22"/>
          <w:szCs w:val="22"/>
        </w:rPr>
        <w:t>Une voix différente</w:t>
      </w:r>
      <w:r w:rsidR="008945DB" w:rsidRPr="00AC2B5D">
        <w:rPr>
          <w:sz w:val="22"/>
          <w:szCs w:val="22"/>
        </w:rPr>
        <w:t>, Paris, Flammarion)</w:t>
      </w:r>
    </w:p>
    <w:p w14:paraId="6A5DF662" w14:textId="77777777" w:rsidR="0005380C" w:rsidRPr="00AC2B5D" w:rsidRDefault="0005380C" w:rsidP="00A87093">
      <w:pPr>
        <w:jc w:val="both"/>
        <w:rPr>
          <w:sz w:val="22"/>
          <w:szCs w:val="22"/>
        </w:rPr>
      </w:pPr>
    </w:p>
    <w:p w14:paraId="31C20843" w14:textId="2D3B95D9" w:rsidR="0005380C" w:rsidRPr="00AC2B5D" w:rsidRDefault="0005380C" w:rsidP="00A87093">
      <w:pPr>
        <w:jc w:val="both"/>
        <w:rPr>
          <w:color w:val="FF6600"/>
          <w:sz w:val="22"/>
          <w:szCs w:val="22"/>
        </w:rPr>
      </w:pPr>
      <w:r w:rsidRPr="00AC2B5D">
        <w:rPr>
          <w:rFonts w:eastAsia="Times New Roman"/>
          <w:sz w:val="22"/>
          <w:szCs w:val="22"/>
        </w:rPr>
        <w:t xml:space="preserve">Guionnet C., 2005, « La ‘politique autrement’ entre récurrences et réinvention », </w:t>
      </w:r>
      <w:r w:rsidRPr="00AC2B5D">
        <w:rPr>
          <w:rStyle w:val="Accentuation"/>
          <w:rFonts w:eastAsia="Times New Roman"/>
          <w:sz w:val="22"/>
          <w:szCs w:val="22"/>
        </w:rPr>
        <w:t>in</w:t>
      </w:r>
      <w:r w:rsidRPr="00AC2B5D">
        <w:rPr>
          <w:rFonts w:eastAsia="Times New Roman"/>
          <w:sz w:val="22"/>
          <w:szCs w:val="22"/>
        </w:rPr>
        <w:t xml:space="preserve"> Lagroye J, Lehingue P. et Sawicki F., dir., </w:t>
      </w:r>
      <w:r w:rsidRPr="00AC2B5D">
        <w:rPr>
          <w:rStyle w:val="Accentuation"/>
          <w:rFonts w:eastAsia="Times New Roman"/>
          <w:sz w:val="22"/>
          <w:szCs w:val="22"/>
        </w:rPr>
        <w:t>Mobilisations électorales. Le cas des élections municipales de 2001</w:t>
      </w:r>
      <w:r w:rsidRPr="00AC2B5D">
        <w:rPr>
          <w:rFonts w:eastAsia="Times New Roman"/>
          <w:sz w:val="22"/>
          <w:szCs w:val="22"/>
        </w:rPr>
        <w:t>, Paris, PUF, p. 117-143.</w:t>
      </w:r>
    </w:p>
    <w:p w14:paraId="29C5E4CD" w14:textId="77777777" w:rsidR="005B64D0" w:rsidRPr="00AC2B5D" w:rsidRDefault="005B64D0" w:rsidP="00A87093">
      <w:pPr>
        <w:jc w:val="both"/>
        <w:rPr>
          <w:color w:val="FF6600"/>
          <w:sz w:val="22"/>
          <w:szCs w:val="22"/>
        </w:rPr>
      </w:pPr>
    </w:p>
    <w:p w14:paraId="27E74BCA" w14:textId="27E9C257" w:rsidR="005B64D0" w:rsidRPr="00AC2B5D" w:rsidRDefault="005B64D0" w:rsidP="00A87093">
      <w:pPr>
        <w:jc w:val="both"/>
        <w:rPr>
          <w:color w:val="FF6600"/>
          <w:sz w:val="22"/>
          <w:szCs w:val="22"/>
        </w:rPr>
      </w:pPr>
      <w:r w:rsidRPr="00AC2B5D">
        <w:rPr>
          <w:rStyle w:val="uppercase"/>
          <w:rFonts w:eastAsia="Times New Roman"/>
          <w:sz w:val="22"/>
          <w:szCs w:val="22"/>
        </w:rPr>
        <w:t>Knibiehler</w:t>
      </w:r>
      <w:r w:rsidR="007A5A75">
        <w:rPr>
          <w:rFonts w:eastAsia="Times New Roman"/>
          <w:sz w:val="22"/>
          <w:szCs w:val="22"/>
        </w:rPr>
        <w:t xml:space="preserve"> Y., 2007</w:t>
      </w:r>
      <w:r w:rsidRPr="00AC2B5D">
        <w:rPr>
          <w:rFonts w:eastAsia="Times New Roman"/>
          <w:sz w:val="22"/>
          <w:szCs w:val="22"/>
        </w:rPr>
        <w:t>, « Féminisme et maternité », </w:t>
      </w:r>
      <w:r w:rsidRPr="00AC2B5D">
        <w:rPr>
          <w:rStyle w:val="Accentuation"/>
          <w:rFonts w:eastAsia="Times New Roman"/>
          <w:sz w:val="22"/>
          <w:szCs w:val="22"/>
        </w:rPr>
        <w:t>La revue lacanienne</w:t>
      </w:r>
      <w:r w:rsidRPr="00AC2B5D">
        <w:rPr>
          <w:rFonts w:eastAsia="Times New Roman"/>
          <w:sz w:val="22"/>
          <w:szCs w:val="22"/>
        </w:rPr>
        <w:t xml:space="preserve"> , n° 2 , p. 11-17</w:t>
      </w:r>
    </w:p>
    <w:p w14:paraId="6F2AF922" w14:textId="77777777" w:rsidR="00DF439D" w:rsidRPr="00AC2B5D" w:rsidRDefault="00DF439D" w:rsidP="00A87093">
      <w:pPr>
        <w:jc w:val="both"/>
        <w:rPr>
          <w:color w:val="FF6600"/>
          <w:sz w:val="22"/>
          <w:szCs w:val="22"/>
        </w:rPr>
      </w:pPr>
    </w:p>
    <w:p w14:paraId="5EA48190" w14:textId="019F7E0C" w:rsidR="00DF439D" w:rsidRPr="00AC2B5D" w:rsidRDefault="007A5A75" w:rsidP="00A87093">
      <w:pPr>
        <w:jc w:val="both"/>
        <w:rPr>
          <w:rStyle w:val="text"/>
          <w:rFonts w:eastAsia="Times New Roman"/>
          <w:sz w:val="22"/>
          <w:szCs w:val="22"/>
        </w:rPr>
      </w:pPr>
      <w:r>
        <w:rPr>
          <w:sz w:val="22"/>
          <w:szCs w:val="22"/>
        </w:rPr>
        <w:t>Laugier S.,  2011</w:t>
      </w:r>
      <w:r w:rsidR="00DF439D" w:rsidRPr="00AC2B5D">
        <w:rPr>
          <w:sz w:val="22"/>
          <w:szCs w:val="22"/>
        </w:rPr>
        <w:t xml:space="preserve">, « Le care comme critique et comme féminisme », </w:t>
      </w:r>
      <w:r w:rsidR="00DF439D" w:rsidRPr="00AC2B5D">
        <w:rPr>
          <w:i/>
          <w:sz w:val="22"/>
          <w:szCs w:val="22"/>
        </w:rPr>
        <w:t>Travail, genre et société</w:t>
      </w:r>
      <w:r w:rsidR="00DF439D" w:rsidRPr="00AC2B5D">
        <w:rPr>
          <w:sz w:val="22"/>
          <w:szCs w:val="22"/>
        </w:rPr>
        <w:t>, n° 26, pp. 183-188.</w:t>
      </w:r>
    </w:p>
    <w:p w14:paraId="79C99357" w14:textId="77777777" w:rsidR="00842126" w:rsidRPr="00AC2B5D" w:rsidRDefault="00842126" w:rsidP="00A87093">
      <w:pPr>
        <w:jc w:val="both"/>
        <w:rPr>
          <w:rStyle w:val="text"/>
          <w:rFonts w:eastAsia="Times New Roman"/>
          <w:sz w:val="22"/>
          <w:szCs w:val="22"/>
        </w:rPr>
      </w:pPr>
    </w:p>
    <w:p w14:paraId="7B25D5B3" w14:textId="439BBC65" w:rsidR="00C303B1" w:rsidRPr="00AC2B5D" w:rsidRDefault="00064946" w:rsidP="004B4ED9">
      <w:pPr>
        <w:jc w:val="both"/>
        <w:rPr>
          <w:rFonts w:eastAsia="Times New Roman"/>
          <w:color w:val="FF0000"/>
          <w:sz w:val="22"/>
          <w:szCs w:val="22"/>
        </w:rPr>
      </w:pPr>
      <w:r w:rsidRPr="00AC2B5D">
        <w:rPr>
          <w:rFonts w:eastAsia="Times New Roman"/>
          <w:sz w:val="22"/>
          <w:szCs w:val="22"/>
        </w:rPr>
        <w:t>Macé, E</w:t>
      </w:r>
      <w:r w:rsidR="00D55477">
        <w:rPr>
          <w:rFonts w:eastAsia="Times New Roman"/>
          <w:sz w:val="22"/>
          <w:szCs w:val="22"/>
        </w:rPr>
        <w:t>.</w:t>
      </w:r>
      <w:r w:rsidRPr="00AC2B5D">
        <w:rPr>
          <w:rFonts w:eastAsia="Times New Roman"/>
          <w:sz w:val="22"/>
          <w:szCs w:val="22"/>
        </w:rPr>
        <w:t xml:space="preserve">, 2015, </w:t>
      </w:r>
      <w:r w:rsidRPr="00AC2B5D">
        <w:rPr>
          <w:rFonts w:eastAsia="Times New Roman"/>
          <w:i/>
          <w:sz w:val="22"/>
          <w:szCs w:val="22"/>
        </w:rPr>
        <w:t>L’après-</w:t>
      </w:r>
      <w:r w:rsidR="00C303B1" w:rsidRPr="00AC2B5D">
        <w:rPr>
          <w:rFonts w:eastAsia="Times New Roman"/>
          <w:i/>
          <w:sz w:val="22"/>
          <w:szCs w:val="22"/>
        </w:rPr>
        <w:t>patriarcat</w:t>
      </w:r>
      <w:r w:rsidR="006549A7" w:rsidRPr="00AC2B5D">
        <w:rPr>
          <w:rFonts w:eastAsia="Times New Roman"/>
          <w:sz w:val="22"/>
          <w:szCs w:val="22"/>
        </w:rPr>
        <w:t>, Paris, Seuil.</w:t>
      </w:r>
    </w:p>
    <w:p w14:paraId="588438F4" w14:textId="77777777" w:rsidR="00842126" w:rsidRPr="00AC2B5D" w:rsidRDefault="00842126" w:rsidP="004B4ED9">
      <w:pPr>
        <w:jc w:val="both"/>
        <w:rPr>
          <w:rFonts w:eastAsia="Times New Roman"/>
          <w:sz w:val="22"/>
          <w:szCs w:val="22"/>
        </w:rPr>
      </w:pPr>
    </w:p>
    <w:p w14:paraId="3B0D0B48" w14:textId="77777777" w:rsidR="00842126" w:rsidRPr="00AC2B5D" w:rsidRDefault="00842126" w:rsidP="00842126">
      <w:pPr>
        <w:jc w:val="both"/>
        <w:rPr>
          <w:rStyle w:val="Lienhypertexte"/>
          <w:rFonts w:eastAsia="Times New Roman"/>
          <w:sz w:val="22"/>
          <w:szCs w:val="22"/>
        </w:rPr>
      </w:pPr>
      <w:r w:rsidRPr="00AC2B5D">
        <w:rPr>
          <w:rFonts w:eastAsia="Times New Roman"/>
          <w:sz w:val="22"/>
          <w:szCs w:val="22"/>
        </w:rPr>
        <w:t xml:space="preserve">Marques-Pereira B., « Le genre et les travaux anglo-saxons sur la citoyenneté », colloque AFSP, 30-31 mai 2002, </w:t>
      </w:r>
      <w:hyperlink r:id="rId9" w:history="1">
        <w:r w:rsidRPr="00AC2B5D">
          <w:rPr>
            <w:rStyle w:val="Lienhypertexte"/>
            <w:rFonts w:eastAsia="Times New Roman"/>
            <w:sz w:val="22"/>
            <w:szCs w:val="22"/>
          </w:rPr>
          <w:t>http://www.afsp.msh-paris.fr/archives/2002/genretxt/marques.pdf</w:t>
        </w:r>
      </w:hyperlink>
    </w:p>
    <w:p w14:paraId="4AE6C4F4" w14:textId="77777777" w:rsidR="00CD0787" w:rsidRPr="00AC2B5D" w:rsidRDefault="00CD0787" w:rsidP="00842126">
      <w:pPr>
        <w:jc w:val="both"/>
        <w:rPr>
          <w:rStyle w:val="Lienhypertexte"/>
          <w:rFonts w:eastAsia="Times New Roman"/>
          <w:sz w:val="22"/>
          <w:szCs w:val="22"/>
        </w:rPr>
      </w:pPr>
    </w:p>
    <w:p w14:paraId="2EF49B23" w14:textId="489752DF" w:rsidR="00CD0787" w:rsidRPr="00AC2B5D" w:rsidRDefault="00CD0787" w:rsidP="00CD0787">
      <w:pPr>
        <w:rPr>
          <w:rFonts w:eastAsia="Times New Roman"/>
          <w:sz w:val="22"/>
          <w:szCs w:val="22"/>
        </w:rPr>
      </w:pPr>
      <w:r w:rsidRPr="00AC2B5D">
        <w:rPr>
          <w:bCs/>
          <w:sz w:val="22"/>
          <w:szCs w:val="22"/>
        </w:rPr>
        <w:t>Moller Okin</w:t>
      </w:r>
      <w:r w:rsidR="00D55477">
        <w:rPr>
          <w:bCs/>
          <w:sz w:val="22"/>
          <w:szCs w:val="22"/>
        </w:rPr>
        <w:t xml:space="preserve"> S.</w:t>
      </w:r>
      <w:r w:rsidR="00A15AC1" w:rsidRPr="00AC2B5D">
        <w:rPr>
          <w:bCs/>
          <w:sz w:val="22"/>
          <w:szCs w:val="22"/>
        </w:rPr>
        <w:t>, 2000,</w:t>
      </w:r>
      <w:r w:rsidRPr="00AC2B5D">
        <w:rPr>
          <w:bCs/>
          <w:sz w:val="22"/>
          <w:szCs w:val="22"/>
        </w:rPr>
        <w:t xml:space="preserve">  « Le Genre, le public et le privé »,  in </w:t>
      </w:r>
      <w:r w:rsidRPr="00AC2B5D">
        <w:rPr>
          <w:rFonts w:eastAsia="Times New Roman"/>
          <w:sz w:val="22"/>
          <w:szCs w:val="22"/>
        </w:rPr>
        <w:t>Ballmer Cao Th. et alii (dirs)</w:t>
      </w:r>
    </w:p>
    <w:p w14:paraId="121EACA5" w14:textId="6114FEC6" w:rsidR="00CD0787" w:rsidRPr="00AC2B5D" w:rsidRDefault="00CD0787" w:rsidP="00CD0787">
      <w:pPr>
        <w:jc w:val="both"/>
        <w:rPr>
          <w:rFonts w:eastAsia="Times New Roman"/>
          <w:sz w:val="22"/>
          <w:szCs w:val="22"/>
        </w:rPr>
      </w:pPr>
      <w:r w:rsidRPr="00AC2B5D">
        <w:rPr>
          <w:bCs/>
          <w:i/>
          <w:sz w:val="22"/>
          <w:szCs w:val="22"/>
        </w:rPr>
        <w:t xml:space="preserve"> Genre et politique : Débats et perspectives</w:t>
      </w:r>
      <w:r w:rsidRPr="00AC2B5D">
        <w:rPr>
          <w:bCs/>
          <w:sz w:val="22"/>
          <w:szCs w:val="22"/>
        </w:rPr>
        <w:t>, Paris, Gallimard, pp. 345-396.</w:t>
      </w:r>
    </w:p>
    <w:p w14:paraId="7E769EA5" w14:textId="77777777" w:rsidR="00842126" w:rsidRPr="00AC2B5D" w:rsidRDefault="00842126" w:rsidP="00842126">
      <w:pPr>
        <w:jc w:val="both"/>
        <w:rPr>
          <w:rFonts w:eastAsia="Times New Roman"/>
          <w:sz w:val="22"/>
          <w:szCs w:val="22"/>
        </w:rPr>
      </w:pPr>
    </w:p>
    <w:p w14:paraId="6BA92678" w14:textId="7053093A" w:rsidR="00A15AC1" w:rsidRPr="00AC2B5D" w:rsidRDefault="00A15AC1" w:rsidP="00842126">
      <w:pPr>
        <w:jc w:val="both"/>
        <w:rPr>
          <w:sz w:val="22"/>
          <w:szCs w:val="22"/>
        </w:rPr>
      </w:pPr>
      <w:r w:rsidRPr="00AC2B5D">
        <w:rPr>
          <w:rFonts w:eastAsia="Times New Roman"/>
          <w:sz w:val="22"/>
          <w:szCs w:val="22"/>
        </w:rPr>
        <w:t>Moller Okin S</w:t>
      </w:r>
      <w:r w:rsidR="00D55477">
        <w:rPr>
          <w:rFonts w:eastAsia="Times New Roman"/>
          <w:sz w:val="22"/>
          <w:szCs w:val="22"/>
        </w:rPr>
        <w:t>.</w:t>
      </w:r>
      <w:r w:rsidRPr="00AC2B5D">
        <w:rPr>
          <w:rFonts w:eastAsia="Times New Roman"/>
          <w:sz w:val="22"/>
          <w:szCs w:val="22"/>
        </w:rPr>
        <w:t xml:space="preserve">, 2008, </w:t>
      </w:r>
      <w:r w:rsidRPr="00AC2B5D">
        <w:rPr>
          <w:sz w:val="22"/>
          <w:szCs w:val="22"/>
        </w:rPr>
        <w:t xml:space="preserve">« Le multiculturalisme nuit-il aux femmes? », </w:t>
      </w:r>
      <w:r w:rsidRPr="00AC2B5D">
        <w:rPr>
          <w:i/>
          <w:sz w:val="22"/>
          <w:szCs w:val="22"/>
        </w:rPr>
        <w:t>Raison publique</w:t>
      </w:r>
      <w:r w:rsidRPr="00AC2B5D">
        <w:rPr>
          <w:sz w:val="22"/>
          <w:szCs w:val="22"/>
        </w:rPr>
        <w:t>, pp. 11-27.</w:t>
      </w:r>
    </w:p>
    <w:p w14:paraId="3B5F8C97" w14:textId="77777777" w:rsidR="00102ED4" w:rsidRPr="00AC2B5D" w:rsidRDefault="00102ED4" w:rsidP="00842126">
      <w:pPr>
        <w:jc w:val="both"/>
        <w:rPr>
          <w:sz w:val="22"/>
          <w:szCs w:val="22"/>
        </w:rPr>
      </w:pPr>
    </w:p>
    <w:p w14:paraId="5BA16275" w14:textId="528368A1" w:rsidR="00102ED4" w:rsidRPr="00AC2B5D" w:rsidRDefault="00102ED4" w:rsidP="00842126">
      <w:pPr>
        <w:jc w:val="both"/>
        <w:rPr>
          <w:sz w:val="22"/>
          <w:szCs w:val="22"/>
        </w:rPr>
      </w:pPr>
      <w:r w:rsidRPr="00AC2B5D">
        <w:rPr>
          <w:sz w:val="22"/>
          <w:szCs w:val="22"/>
        </w:rPr>
        <w:t xml:space="preserve">Mouffe, C., 1993, « Feminism, Citizenship and radical democratic politics », in Mouffe C. (ed), </w:t>
      </w:r>
      <w:r w:rsidRPr="00AC2B5D">
        <w:rPr>
          <w:i/>
          <w:sz w:val="22"/>
          <w:szCs w:val="22"/>
        </w:rPr>
        <w:t>The return of the political,</w:t>
      </w:r>
      <w:r w:rsidRPr="00AC2B5D">
        <w:rPr>
          <w:sz w:val="22"/>
          <w:szCs w:val="22"/>
        </w:rPr>
        <w:t xml:space="preserve"> Londres, Verso, pp. 74-89.</w:t>
      </w:r>
    </w:p>
    <w:p w14:paraId="5CC7B436" w14:textId="77777777" w:rsidR="00583C00" w:rsidRPr="00AC2B5D" w:rsidRDefault="00583C00" w:rsidP="00842126">
      <w:pPr>
        <w:jc w:val="both"/>
        <w:rPr>
          <w:sz w:val="22"/>
          <w:szCs w:val="22"/>
        </w:rPr>
      </w:pPr>
    </w:p>
    <w:p w14:paraId="231ED072" w14:textId="77777777" w:rsidR="00583C00" w:rsidRPr="00AC2B5D" w:rsidRDefault="00583C00" w:rsidP="00583C00">
      <w:pPr>
        <w:jc w:val="both"/>
        <w:rPr>
          <w:rFonts w:eastAsia="Times New Roman"/>
          <w:sz w:val="22"/>
          <w:szCs w:val="22"/>
        </w:rPr>
      </w:pPr>
      <w:r w:rsidRPr="00AC2B5D">
        <w:rPr>
          <w:rFonts w:eastAsia="Times New Roman"/>
          <w:sz w:val="22"/>
          <w:szCs w:val="22"/>
        </w:rPr>
        <w:t xml:space="preserve">Pateman C., 2010, </w:t>
      </w:r>
      <w:r w:rsidRPr="00AC2B5D">
        <w:rPr>
          <w:rFonts w:eastAsia="Times New Roman"/>
          <w:i/>
          <w:iCs/>
          <w:sz w:val="22"/>
          <w:szCs w:val="22"/>
        </w:rPr>
        <w:t>Le Contrat Sexuel</w:t>
      </w:r>
      <w:r w:rsidRPr="00AC2B5D">
        <w:rPr>
          <w:rFonts w:eastAsia="Times New Roman"/>
          <w:sz w:val="22"/>
          <w:szCs w:val="22"/>
        </w:rPr>
        <w:t xml:space="preserve">, traduction française de Charlotte Nordmann, Paris, La Découverte (Première publication : </w:t>
      </w:r>
      <w:r w:rsidRPr="00AC2B5D">
        <w:rPr>
          <w:rFonts w:eastAsia="Times New Roman"/>
          <w:i/>
          <w:iCs/>
          <w:sz w:val="22"/>
          <w:szCs w:val="22"/>
        </w:rPr>
        <w:t>The Sexual Contract</w:t>
      </w:r>
      <w:r w:rsidRPr="00AC2B5D">
        <w:rPr>
          <w:rFonts w:eastAsia="Times New Roman"/>
          <w:sz w:val="22"/>
          <w:szCs w:val="22"/>
        </w:rPr>
        <w:t>, Cambridge, Polity Press, 1988)</w:t>
      </w:r>
    </w:p>
    <w:p w14:paraId="592C32F1" w14:textId="77777777" w:rsidR="0075647A" w:rsidRPr="00AC2B5D" w:rsidRDefault="0075647A" w:rsidP="00583C00">
      <w:pPr>
        <w:jc w:val="both"/>
        <w:rPr>
          <w:rFonts w:eastAsia="Times New Roman"/>
          <w:sz w:val="22"/>
          <w:szCs w:val="22"/>
        </w:rPr>
      </w:pPr>
    </w:p>
    <w:p w14:paraId="0FAB3B65" w14:textId="4D077BAC" w:rsidR="0075647A" w:rsidRPr="00AC2B5D" w:rsidRDefault="0075647A" w:rsidP="00583C00">
      <w:pPr>
        <w:jc w:val="both"/>
        <w:rPr>
          <w:rFonts w:eastAsia="Times New Roman"/>
          <w:sz w:val="22"/>
          <w:szCs w:val="22"/>
        </w:rPr>
      </w:pPr>
      <w:r w:rsidRPr="00AC2B5D">
        <w:rPr>
          <w:rFonts w:eastAsia="Times New Roman"/>
          <w:sz w:val="22"/>
          <w:szCs w:val="22"/>
        </w:rPr>
        <w:t xml:space="preserve">Philipps A., 1993, </w:t>
      </w:r>
      <w:r w:rsidRPr="00AC2B5D">
        <w:rPr>
          <w:rFonts w:eastAsia="Times New Roman"/>
          <w:i/>
          <w:sz w:val="22"/>
          <w:szCs w:val="22"/>
        </w:rPr>
        <w:t>Democracy and difference</w:t>
      </w:r>
      <w:r w:rsidRPr="00AC2B5D">
        <w:rPr>
          <w:rFonts w:eastAsia="Times New Roman"/>
          <w:sz w:val="22"/>
          <w:szCs w:val="22"/>
        </w:rPr>
        <w:t xml:space="preserve">, Cambridge, Polity Press, </w:t>
      </w:r>
    </w:p>
    <w:p w14:paraId="74595BAC" w14:textId="77777777" w:rsidR="00583C00" w:rsidRPr="00AC2B5D" w:rsidRDefault="00583C00" w:rsidP="00842126">
      <w:pPr>
        <w:jc w:val="both"/>
        <w:rPr>
          <w:sz w:val="22"/>
          <w:szCs w:val="22"/>
        </w:rPr>
      </w:pPr>
    </w:p>
    <w:p w14:paraId="232E039F" w14:textId="0FAD6629" w:rsidR="00842126" w:rsidRPr="00AC2B5D" w:rsidRDefault="007A5A75" w:rsidP="00842126">
      <w:pPr>
        <w:jc w:val="both"/>
        <w:rPr>
          <w:rFonts w:eastAsia="Times New Roman"/>
          <w:sz w:val="22"/>
          <w:szCs w:val="22"/>
        </w:rPr>
      </w:pPr>
      <w:r>
        <w:rPr>
          <w:sz w:val="22"/>
          <w:szCs w:val="22"/>
        </w:rPr>
        <w:t>Poletta F. et Chen P.C.B., 2013</w:t>
      </w:r>
      <w:r w:rsidR="00842126" w:rsidRPr="00AC2B5D">
        <w:rPr>
          <w:sz w:val="22"/>
          <w:szCs w:val="22"/>
        </w:rPr>
        <w:t xml:space="preserve">, « Gender and Public Talk Accounting for Women’s Variable participation in the Public Sphere », </w:t>
      </w:r>
      <w:r w:rsidR="00842126" w:rsidRPr="00AC2B5D">
        <w:rPr>
          <w:i/>
          <w:sz w:val="22"/>
          <w:szCs w:val="22"/>
        </w:rPr>
        <w:t>Sociological Theory</w:t>
      </w:r>
      <w:r w:rsidR="00842126" w:rsidRPr="00AC2B5D">
        <w:rPr>
          <w:sz w:val="22"/>
          <w:szCs w:val="22"/>
        </w:rPr>
        <w:t>, 31 (4), p. 291-317</w:t>
      </w:r>
    </w:p>
    <w:p w14:paraId="2E9471AC" w14:textId="77777777" w:rsidR="00813676" w:rsidRPr="00AC2B5D" w:rsidRDefault="00813676" w:rsidP="00842126">
      <w:pPr>
        <w:jc w:val="both"/>
        <w:rPr>
          <w:sz w:val="22"/>
          <w:szCs w:val="22"/>
        </w:rPr>
      </w:pPr>
    </w:p>
    <w:p w14:paraId="0FD9A755" w14:textId="61072250" w:rsidR="00813676" w:rsidRPr="00AC2B5D" w:rsidRDefault="00D55477" w:rsidP="00842126">
      <w:pPr>
        <w:jc w:val="both"/>
        <w:rPr>
          <w:rFonts w:eastAsia="Times New Roman"/>
          <w:sz w:val="22"/>
          <w:szCs w:val="22"/>
        </w:rPr>
      </w:pPr>
      <w:r>
        <w:rPr>
          <w:sz w:val="22"/>
          <w:szCs w:val="22"/>
        </w:rPr>
        <w:t>Rancière</w:t>
      </w:r>
      <w:r w:rsidR="00813676" w:rsidRPr="00AC2B5D">
        <w:rPr>
          <w:sz w:val="22"/>
          <w:szCs w:val="22"/>
        </w:rPr>
        <w:t xml:space="preserve"> J., 1995, </w:t>
      </w:r>
      <w:r w:rsidR="00813676" w:rsidRPr="00AC2B5D">
        <w:rPr>
          <w:i/>
          <w:sz w:val="22"/>
          <w:szCs w:val="22"/>
        </w:rPr>
        <w:t>La mésentente. Politique et philosophie</w:t>
      </w:r>
      <w:r w:rsidR="007A5A75">
        <w:rPr>
          <w:sz w:val="22"/>
          <w:szCs w:val="22"/>
        </w:rPr>
        <w:t>, Galilée, Paris</w:t>
      </w:r>
    </w:p>
    <w:p w14:paraId="0AE119BE" w14:textId="10FD0630" w:rsidR="00DE1E2D" w:rsidRPr="00AC2B5D" w:rsidRDefault="00DE1E2D" w:rsidP="004B4ED9">
      <w:pPr>
        <w:jc w:val="both"/>
        <w:rPr>
          <w:rFonts w:eastAsia="Times New Roman"/>
          <w:sz w:val="22"/>
          <w:szCs w:val="22"/>
        </w:rPr>
      </w:pPr>
    </w:p>
    <w:p w14:paraId="62318983" w14:textId="51BCE75D" w:rsidR="00570077" w:rsidRPr="00AC2B5D" w:rsidRDefault="007A5A75" w:rsidP="004B4ED9">
      <w:pPr>
        <w:jc w:val="both"/>
        <w:rPr>
          <w:rFonts w:eastAsia="Times New Roman"/>
          <w:sz w:val="22"/>
          <w:szCs w:val="22"/>
        </w:rPr>
      </w:pPr>
      <w:r>
        <w:rPr>
          <w:rFonts w:eastAsia="Times New Roman"/>
          <w:sz w:val="22"/>
          <w:szCs w:val="22"/>
        </w:rPr>
        <w:t>Riot-Sarcey M.</w:t>
      </w:r>
      <w:r w:rsidR="00C61119" w:rsidRPr="00AC2B5D">
        <w:rPr>
          <w:rFonts w:eastAsia="Times New Roman"/>
          <w:sz w:val="22"/>
          <w:szCs w:val="22"/>
        </w:rPr>
        <w:t xml:space="preserve">, 2013, in </w:t>
      </w:r>
      <w:r>
        <w:rPr>
          <w:rFonts w:eastAsia="Times New Roman"/>
          <w:sz w:val="22"/>
          <w:szCs w:val="22"/>
        </w:rPr>
        <w:t xml:space="preserve">C. Achin et L. Bereni (dirs), </w:t>
      </w:r>
      <w:r w:rsidRPr="007A5A75">
        <w:rPr>
          <w:rFonts w:eastAsia="Times New Roman"/>
          <w:i/>
          <w:sz w:val="22"/>
          <w:szCs w:val="22"/>
        </w:rPr>
        <w:t>Di</w:t>
      </w:r>
      <w:r w:rsidR="00C61119" w:rsidRPr="007A5A75">
        <w:rPr>
          <w:rFonts w:eastAsia="Times New Roman"/>
          <w:i/>
          <w:sz w:val="22"/>
          <w:szCs w:val="22"/>
        </w:rPr>
        <w:t>ctionnaire genre et science politique</w:t>
      </w:r>
      <w:r w:rsidR="00C61119" w:rsidRPr="00AC2B5D">
        <w:rPr>
          <w:rFonts w:eastAsia="Times New Roman"/>
          <w:sz w:val="22"/>
          <w:szCs w:val="22"/>
        </w:rPr>
        <w:t>, Paris, pp 142-154</w:t>
      </w:r>
    </w:p>
    <w:p w14:paraId="6AC142A6" w14:textId="77777777" w:rsidR="00B11B6D" w:rsidRPr="00AC2B5D" w:rsidRDefault="00B11B6D" w:rsidP="004B4ED9">
      <w:pPr>
        <w:jc w:val="both"/>
        <w:rPr>
          <w:rFonts w:eastAsia="Times New Roman"/>
          <w:sz w:val="22"/>
          <w:szCs w:val="22"/>
        </w:rPr>
      </w:pPr>
    </w:p>
    <w:p w14:paraId="1326C4B5" w14:textId="33445F9E" w:rsidR="00B11B6D" w:rsidRPr="00AC2B5D" w:rsidRDefault="00B11B6D" w:rsidP="004B4ED9">
      <w:pPr>
        <w:jc w:val="both"/>
        <w:rPr>
          <w:sz w:val="22"/>
          <w:szCs w:val="22"/>
        </w:rPr>
      </w:pPr>
      <w:r w:rsidRPr="00AC2B5D">
        <w:rPr>
          <w:sz w:val="22"/>
          <w:szCs w:val="22"/>
        </w:rPr>
        <w:t xml:space="preserve">Scott J., </w:t>
      </w:r>
      <w:r w:rsidR="00102ED4" w:rsidRPr="00AC2B5D">
        <w:rPr>
          <w:sz w:val="22"/>
          <w:szCs w:val="22"/>
        </w:rPr>
        <w:t xml:space="preserve">1988, </w:t>
      </w:r>
      <w:r w:rsidRPr="00AC2B5D">
        <w:rPr>
          <w:i/>
          <w:sz w:val="22"/>
          <w:szCs w:val="22"/>
        </w:rPr>
        <w:t>La citoyenne paradoxale. Les féministes françaises et les droits de l’homme</w:t>
      </w:r>
      <w:r w:rsidRPr="00AC2B5D">
        <w:rPr>
          <w:sz w:val="22"/>
          <w:szCs w:val="22"/>
        </w:rPr>
        <w:t>, Paris, Albin</w:t>
      </w:r>
      <w:r w:rsidR="007A5A75">
        <w:rPr>
          <w:sz w:val="22"/>
          <w:szCs w:val="22"/>
        </w:rPr>
        <w:t xml:space="preserve"> Michel.</w:t>
      </w:r>
    </w:p>
    <w:p w14:paraId="0841539C" w14:textId="77777777" w:rsidR="00B24817" w:rsidRPr="00AC2B5D" w:rsidRDefault="00B24817" w:rsidP="004B4ED9">
      <w:pPr>
        <w:jc w:val="both"/>
        <w:rPr>
          <w:sz w:val="22"/>
          <w:szCs w:val="22"/>
        </w:rPr>
      </w:pPr>
    </w:p>
    <w:p w14:paraId="7793F17F" w14:textId="06CF2753" w:rsidR="00B24817" w:rsidRPr="00AC2B5D" w:rsidRDefault="00D55477" w:rsidP="00B24817">
      <w:pPr>
        <w:jc w:val="both"/>
        <w:rPr>
          <w:rFonts w:eastAsia="Times New Roman"/>
          <w:i/>
          <w:sz w:val="22"/>
          <w:szCs w:val="22"/>
        </w:rPr>
      </w:pPr>
      <w:r>
        <w:rPr>
          <w:color w:val="41423E"/>
          <w:sz w:val="22"/>
          <w:szCs w:val="22"/>
          <w:lang w:eastAsia="ja-JP"/>
        </w:rPr>
        <w:t>Tarragoni F.</w:t>
      </w:r>
      <w:bookmarkStart w:id="0" w:name="_GoBack"/>
      <w:bookmarkEnd w:id="0"/>
      <w:r w:rsidR="00B24817" w:rsidRPr="00AC2B5D">
        <w:rPr>
          <w:color w:val="41423E"/>
          <w:sz w:val="22"/>
          <w:szCs w:val="22"/>
          <w:lang w:eastAsia="ja-JP"/>
        </w:rPr>
        <w:t xml:space="preserve">, 2013,  « Émancipation », </w:t>
      </w:r>
      <w:r w:rsidR="00B24817" w:rsidRPr="00AC2B5D">
        <w:rPr>
          <w:i/>
          <w:iCs/>
          <w:color w:val="41423E"/>
          <w:sz w:val="22"/>
          <w:szCs w:val="22"/>
          <w:lang w:eastAsia="ja-JP"/>
        </w:rPr>
        <w:t>in</w:t>
      </w:r>
      <w:r w:rsidR="00B24817" w:rsidRPr="00AC2B5D">
        <w:rPr>
          <w:color w:val="41423E"/>
          <w:sz w:val="22"/>
          <w:szCs w:val="22"/>
          <w:lang w:eastAsia="ja-JP"/>
        </w:rPr>
        <w:t xml:space="preserve"> Casillo I. avec Barbier R., Blondiaux L. et alii. (dir.), </w:t>
      </w:r>
      <w:r w:rsidR="00B24817" w:rsidRPr="00AC2B5D">
        <w:rPr>
          <w:i/>
          <w:iCs/>
          <w:color w:val="41423E"/>
          <w:sz w:val="22"/>
          <w:szCs w:val="22"/>
          <w:lang w:eastAsia="ja-JP"/>
        </w:rPr>
        <w:t>Dictionnaire critique et interdisciplinaire de la participation</w:t>
      </w:r>
      <w:r w:rsidR="00B24817" w:rsidRPr="00AC2B5D">
        <w:rPr>
          <w:color w:val="41423E"/>
          <w:sz w:val="22"/>
          <w:szCs w:val="22"/>
          <w:lang w:eastAsia="ja-JP"/>
        </w:rPr>
        <w:t xml:space="preserve">, Paris, GIS Démocratie et Participation, 2013, ISSN : 2268-5863. URL : </w:t>
      </w:r>
      <w:hyperlink r:id="rId10" w:history="1">
        <w:r w:rsidR="00B24817" w:rsidRPr="00AC2B5D">
          <w:rPr>
            <w:color w:val="41423E"/>
            <w:sz w:val="22"/>
            <w:szCs w:val="22"/>
            <w:lang w:eastAsia="ja-JP"/>
          </w:rPr>
          <w:t>http://www.dicopart.fr/es/dico/emancipation</w:t>
        </w:r>
      </w:hyperlink>
      <w:r w:rsidR="00B24817" w:rsidRPr="00AC2B5D">
        <w:rPr>
          <w:color w:val="41423E"/>
          <w:sz w:val="22"/>
          <w:szCs w:val="22"/>
          <w:lang w:eastAsia="ja-JP"/>
        </w:rPr>
        <w:t>.</w:t>
      </w:r>
    </w:p>
    <w:p w14:paraId="7C4410CB" w14:textId="77777777" w:rsidR="00102ED4" w:rsidRPr="00AC2B5D" w:rsidRDefault="00102ED4" w:rsidP="004B4ED9">
      <w:pPr>
        <w:jc w:val="both"/>
        <w:rPr>
          <w:sz w:val="22"/>
          <w:szCs w:val="22"/>
        </w:rPr>
      </w:pPr>
    </w:p>
    <w:p w14:paraId="5A453DF8" w14:textId="37C92A10" w:rsidR="00102ED4" w:rsidRPr="00AC2B5D" w:rsidRDefault="00102ED4" w:rsidP="004B4ED9">
      <w:pPr>
        <w:jc w:val="both"/>
        <w:rPr>
          <w:sz w:val="22"/>
          <w:szCs w:val="22"/>
        </w:rPr>
      </w:pPr>
      <w:r w:rsidRPr="00AC2B5D">
        <w:rPr>
          <w:sz w:val="22"/>
          <w:szCs w:val="22"/>
        </w:rPr>
        <w:t xml:space="preserve">Young I., 1989 ; « Polity and group difference : a critique of the ideal university citizenchip », </w:t>
      </w:r>
      <w:r w:rsidRPr="00AC2B5D">
        <w:rPr>
          <w:i/>
          <w:sz w:val="22"/>
          <w:szCs w:val="22"/>
        </w:rPr>
        <w:t>Ethics</w:t>
      </w:r>
      <w:r w:rsidRPr="00AC2B5D">
        <w:rPr>
          <w:sz w:val="22"/>
          <w:szCs w:val="22"/>
        </w:rPr>
        <w:t xml:space="preserve">, vol. 99, n° 2, pp. 250-274. </w:t>
      </w:r>
    </w:p>
    <w:p w14:paraId="2EDDAA84" w14:textId="77777777" w:rsidR="00102ED4" w:rsidRPr="00AC2B5D" w:rsidRDefault="00102ED4" w:rsidP="004B4ED9">
      <w:pPr>
        <w:jc w:val="both"/>
        <w:rPr>
          <w:sz w:val="22"/>
          <w:szCs w:val="22"/>
        </w:rPr>
      </w:pPr>
    </w:p>
    <w:p w14:paraId="08E35855" w14:textId="1EE6186F" w:rsidR="00102ED4" w:rsidRPr="00AC2B5D" w:rsidRDefault="00102ED4" w:rsidP="004B4ED9">
      <w:pPr>
        <w:jc w:val="both"/>
        <w:rPr>
          <w:sz w:val="22"/>
          <w:szCs w:val="22"/>
        </w:rPr>
      </w:pPr>
      <w:r w:rsidRPr="00AC2B5D">
        <w:rPr>
          <w:sz w:val="22"/>
          <w:szCs w:val="22"/>
        </w:rPr>
        <w:t xml:space="preserve">Young I., 1990, </w:t>
      </w:r>
      <w:r w:rsidRPr="007A5A75">
        <w:rPr>
          <w:i/>
          <w:sz w:val="22"/>
          <w:szCs w:val="22"/>
        </w:rPr>
        <w:t>Justice and the politics of difference</w:t>
      </w:r>
      <w:r w:rsidRPr="00AC2B5D">
        <w:rPr>
          <w:sz w:val="22"/>
          <w:szCs w:val="22"/>
        </w:rPr>
        <w:t>, Princeton, Princeton University Press.</w:t>
      </w:r>
    </w:p>
    <w:p w14:paraId="773D27FA" w14:textId="77777777" w:rsidR="000B54FF" w:rsidRPr="00AC2B5D" w:rsidRDefault="000B54FF" w:rsidP="004B4ED9">
      <w:pPr>
        <w:jc w:val="both"/>
        <w:rPr>
          <w:sz w:val="22"/>
          <w:szCs w:val="22"/>
        </w:rPr>
      </w:pPr>
    </w:p>
    <w:p w14:paraId="4E571A0B" w14:textId="77777777" w:rsidR="000B54FF" w:rsidRPr="00AC2B5D" w:rsidRDefault="000B54FF" w:rsidP="004B4ED9">
      <w:pPr>
        <w:jc w:val="both"/>
        <w:rPr>
          <w:sz w:val="22"/>
          <w:szCs w:val="22"/>
        </w:rPr>
      </w:pPr>
    </w:p>
    <w:p w14:paraId="739F217E" w14:textId="77777777" w:rsidR="0080294D" w:rsidRPr="00AC2B5D" w:rsidRDefault="0080294D" w:rsidP="004B4ED9">
      <w:pPr>
        <w:jc w:val="both"/>
        <w:rPr>
          <w:sz w:val="22"/>
          <w:szCs w:val="22"/>
        </w:rPr>
      </w:pPr>
    </w:p>
    <w:sectPr w:rsidR="0080294D" w:rsidRPr="00AC2B5D" w:rsidSect="00B04665">
      <w:headerReference w:type="default" r:id="rId11"/>
      <w:footerReference w:type="even" r:id="rId12"/>
      <w:footerReference w:type="default" r:id="rId13"/>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7E86EC" w14:textId="77777777" w:rsidR="00164F5B" w:rsidRDefault="00164F5B" w:rsidP="00E059C9">
      <w:r>
        <w:separator/>
      </w:r>
    </w:p>
  </w:endnote>
  <w:endnote w:type="continuationSeparator" w:id="0">
    <w:p w14:paraId="5B648B65" w14:textId="77777777" w:rsidR="00164F5B" w:rsidRDefault="00164F5B" w:rsidP="00E05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D961B6" w14:textId="77777777" w:rsidR="00164F5B" w:rsidRDefault="00164F5B" w:rsidP="0098473C">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2D12084" w14:textId="77777777" w:rsidR="00164F5B" w:rsidRDefault="00164F5B" w:rsidP="004B4ED9">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66FCD7" w14:textId="77777777" w:rsidR="00164F5B" w:rsidRDefault="00164F5B" w:rsidP="0098473C">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D55477">
      <w:rPr>
        <w:rStyle w:val="Numrodepage"/>
        <w:noProof/>
      </w:rPr>
      <w:t>1</w:t>
    </w:r>
    <w:r>
      <w:rPr>
        <w:rStyle w:val="Numrodepage"/>
      </w:rPr>
      <w:fldChar w:fldCharType="end"/>
    </w:r>
  </w:p>
  <w:p w14:paraId="67A0298D" w14:textId="77777777" w:rsidR="00164F5B" w:rsidRDefault="00164F5B" w:rsidP="004B4ED9">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EC4D6E" w14:textId="77777777" w:rsidR="00164F5B" w:rsidRDefault="00164F5B" w:rsidP="00E059C9">
      <w:r>
        <w:separator/>
      </w:r>
    </w:p>
  </w:footnote>
  <w:footnote w:type="continuationSeparator" w:id="0">
    <w:p w14:paraId="0FB55A8D" w14:textId="77777777" w:rsidR="00164F5B" w:rsidRDefault="00164F5B" w:rsidP="00E059C9">
      <w:r>
        <w:continuationSeparator/>
      </w:r>
    </w:p>
  </w:footnote>
  <w:footnote w:id="1">
    <w:p w14:paraId="5EE014F8" w14:textId="77777777" w:rsidR="00164F5B" w:rsidRPr="00651331" w:rsidRDefault="00164F5B" w:rsidP="00B01E30">
      <w:pPr>
        <w:pStyle w:val="Notedebasdepage"/>
        <w:jc w:val="both"/>
        <w:rPr>
          <w:sz w:val="22"/>
          <w:szCs w:val="22"/>
        </w:rPr>
      </w:pPr>
      <w:r w:rsidRPr="00651331">
        <w:rPr>
          <w:rStyle w:val="Marquenotebasdepage"/>
          <w:sz w:val="22"/>
          <w:szCs w:val="22"/>
        </w:rPr>
        <w:footnoteRef/>
      </w:r>
      <w:r w:rsidRPr="00651331">
        <w:rPr>
          <w:sz w:val="22"/>
          <w:szCs w:val="22"/>
        </w:rPr>
        <w:t xml:space="preserve"> « Dans le cas des femmes, les relations de subordination sont en général plus intimes et personnelles ; la procréation commune et la vie familiale ont fait que la conceptualisation d’une existence entièrement séparée pour le groupe dominé nécessite une transformation bien plus radicale que dans le cas des serfs ou des esclaves. Les analogies se font plus difficiles aussi dans les contextes contemporains où le choix du conjoint est laissé libre et où les femmes jouissent de droits civiques et politiques. » Scott James C., </w:t>
      </w:r>
      <w:r w:rsidRPr="00651331">
        <w:rPr>
          <w:i/>
          <w:sz w:val="22"/>
          <w:szCs w:val="22"/>
        </w:rPr>
        <w:t>La domination et les arts de la résistance, op. cit.,</w:t>
      </w:r>
      <w:r w:rsidRPr="00651331">
        <w:rPr>
          <w:sz w:val="22"/>
          <w:szCs w:val="22"/>
        </w:rPr>
        <w:t xml:space="preserve"> p.36.</w:t>
      </w:r>
    </w:p>
  </w:footnote>
  <w:footnote w:id="2">
    <w:p w14:paraId="55E31336" w14:textId="0672AAFC" w:rsidR="00164F5B" w:rsidRPr="00651331" w:rsidRDefault="00164F5B" w:rsidP="00651331">
      <w:pPr>
        <w:pStyle w:val="Notedebasdepage"/>
        <w:jc w:val="both"/>
        <w:rPr>
          <w:sz w:val="22"/>
          <w:szCs w:val="22"/>
        </w:rPr>
      </w:pPr>
      <w:r w:rsidRPr="00651331">
        <w:rPr>
          <w:rStyle w:val="Marquenotebasdepage"/>
          <w:sz w:val="22"/>
          <w:szCs w:val="22"/>
        </w:rPr>
        <w:footnoteRef/>
      </w:r>
      <w:r w:rsidRPr="00651331">
        <w:rPr>
          <w:sz w:val="22"/>
          <w:szCs w:val="22"/>
        </w:rPr>
        <w:t xml:space="preserve"> Berangère Marques-Pereira. </w:t>
      </w:r>
    </w:p>
  </w:footnote>
  <w:footnote w:id="3">
    <w:p w14:paraId="0BF22F00" w14:textId="16627AA0" w:rsidR="00164F5B" w:rsidRPr="00651331" w:rsidRDefault="00164F5B" w:rsidP="00651331">
      <w:pPr>
        <w:pStyle w:val="Notedebasdepage"/>
        <w:jc w:val="both"/>
        <w:rPr>
          <w:sz w:val="22"/>
          <w:szCs w:val="22"/>
        </w:rPr>
      </w:pPr>
      <w:r w:rsidRPr="00651331">
        <w:rPr>
          <w:rStyle w:val="Marquenotebasdepage"/>
          <w:sz w:val="22"/>
          <w:szCs w:val="22"/>
        </w:rPr>
        <w:footnoteRef/>
      </w:r>
      <w:r w:rsidRPr="00651331">
        <w:rPr>
          <w:sz w:val="22"/>
          <w:szCs w:val="22"/>
        </w:rPr>
        <w:t xml:space="preserve"> </w:t>
      </w:r>
      <w:r w:rsidRPr="00FE147E">
        <w:rPr>
          <w:sz w:val="20"/>
          <w:szCs w:val="20"/>
        </w:rPr>
        <w:t>« </w:t>
      </w:r>
      <w:r w:rsidRPr="00FE147E">
        <w:rPr>
          <w:rFonts w:eastAsia="Times New Roman"/>
          <w:sz w:val="20"/>
          <w:szCs w:val="20"/>
        </w:rPr>
        <w:t xml:space="preserve">D’un côté les « universalistes » (Christine Delphy, Élisabeth Badinter) ont remis en cause la différence des sexes, différence non pas naturelle mais socialement construite, y compris la relation parent-enfant (ainsi l’« amour maternel » n’est pas naturel, il est « en plus »), et qui peut donc être « déconstruite ». D’un autre côté, les « essentialistes », ou « différencialistes » (Antoinette Fouque, Hélène Cixous, Luce Irigaray, Julia Kristeva) refusaient toute identification de la femme à l’homme, et inventaient le féminin/maternel comme essence. La tendance universaliste a dominé. » </w:t>
      </w:r>
      <w:r w:rsidRPr="00FE147E">
        <w:rPr>
          <w:sz w:val="20"/>
          <w:szCs w:val="20"/>
        </w:rPr>
        <w:t>Yvonne Knibiler Référence maternité et féminismes. «  Yvonne Knibilher (2007), p. 13.</w:t>
      </w:r>
    </w:p>
  </w:footnote>
  <w:footnote w:id="4">
    <w:p w14:paraId="01BA05C5" w14:textId="1BF64B05" w:rsidR="00164F5B" w:rsidRPr="00651331" w:rsidRDefault="00164F5B" w:rsidP="00651331">
      <w:pPr>
        <w:pStyle w:val="Notedebasdepage"/>
        <w:jc w:val="both"/>
        <w:rPr>
          <w:sz w:val="22"/>
          <w:szCs w:val="22"/>
        </w:rPr>
      </w:pPr>
      <w:r w:rsidRPr="00651331">
        <w:rPr>
          <w:rStyle w:val="Marquenotebasdepage"/>
          <w:sz w:val="22"/>
          <w:szCs w:val="22"/>
        </w:rPr>
        <w:footnoteRef/>
      </w:r>
      <w:r>
        <w:rPr>
          <w:sz w:val="22"/>
          <w:szCs w:val="22"/>
        </w:rPr>
        <w:t xml:space="preserve"> </w:t>
      </w:r>
      <w:r w:rsidRPr="00C10369">
        <w:rPr>
          <w:sz w:val="20"/>
          <w:szCs w:val="20"/>
          <w:lang w:eastAsia="ja-JP"/>
        </w:rPr>
        <w:t>"Il existe une ambiguïté majeure quant au fondement de la citoyenneté des femmes. Celle-ci oscille entre l'autonomie de l'individu-citoyen abstrait et l'hétéronomie de la personne concrète. Identité prescrite et individuation sont des modes d'intégration à la sphère publique à la fois contradictoires et complémentaires. En effet, l'exclusion politique des femmes à partir d'une assignation sociale spécifique à la sphère privée autorise la revendication de leur intégration à la sphère publique en tant que femmes, mais cette catégorisation conditionne une intégration hétéronome qui fait obstacle au processus d'individuation ; en même temps, cette exclusion politique, qui se joue dans le cadre de la démocratie représentative, autorise la revendication de leur intégration en tant qu'individus, mais cette dynamique conditionne une intégration autonome qui alimente la logique d'assimilation à la norme masculine".</w:t>
      </w:r>
      <w:r>
        <w:rPr>
          <w:sz w:val="20"/>
          <w:szCs w:val="20"/>
          <w:lang w:eastAsia="ja-JP"/>
        </w:rPr>
        <w:t xml:space="preserve"> </w:t>
      </w:r>
      <w:r w:rsidRPr="003B5F50">
        <w:rPr>
          <w:sz w:val="20"/>
          <w:szCs w:val="20"/>
        </w:rPr>
        <w:t>Marquez-Pereira, 2002, p.13</w:t>
      </w:r>
    </w:p>
  </w:footnote>
  <w:footnote w:id="5">
    <w:p w14:paraId="61884132" w14:textId="5650102E" w:rsidR="00164F5B" w:rsidRPr="00651331" w:rsidRDefault="00164F5B" w:rsidP="00651331">
      <w:pPr>
        <w:pStyle w:val="Notedebasdepage"/>
        <w:jc w:val="both"/>
        <w:rPr>
          <w:sz w:val="22"/>
          <w:szCs w:val="22"/>
        </w:rPr>
      </w:pPr>
      <w:r w:rsidRPr="00651331">
        <w:rPr>
          <w:rStyle w:val="Marquenotebasdepage"/>
          <w:sz w:val="22"/>
          <w:szCs w:val="22"/>
        </w:rPr>
        <w:footnoteRef/>
      </w:r>
      <w:r w:rsidRPr="00651331">
        <w:rPr>
          <w:sz w:val="22"/>
          <w:szCs w:val="22"/>
        </w:rPr>
        <w:t xml:space="preserve"> </w:t>
      </w:r>
      <w:r>
        <w:rPr>
          <w:sz w:val="22"/>
          <w:szCs w:val="22"/>
        </w:rPr>
        <w:t>Kergoat ;</w:t>
      </w:r>
      <w:r w:rsidRPr="00651331">
        <w:rPr>
          <w:sz w:val="22"/>
          <w:szCs w:val="22"/>
        </w:rPr>
        <w:t xml:space="preserve"> Jacquemard</w:t>
      </w:r>
    </w:p>
  </w:footnote>
  <w:footnote w:id="6">
    <w:p w14:paraId="4942EF36" w14:textId="0CC8C396" w:rsidR="00164F5B" w:rsidRPr="00651331" w:rsidRDefault="00164F5B" w:rsidP="00651331">
      <w:pPr>
        <w:jc w:val="both"/>
        <w:rPr>
          <w:sz w:val="22"/>
          <w:szCs w:val="22"/>
        </w:rPr>
      </w:pPr>
      <w:r w:rsidRPr="00651331">
        <w:rPr>
          <w:rStyle w:val="Marquenotebasdepage"/>
          <w:sz w:val="22"/>
          <w:szCs w:val="22"/>
        </w:rPr>
        <w:footnoteRef/>
      </w:r>
      <w:r w:rsidRPr="00651331">
        <w:rPr>
          <w:sz w:val="22"/>
          <w:szCs w:val="22"/>
        </w:rPr>
        <w:t xml:space="preserve"> </w:t>
      </w:r>
      <w:r w:rsidRPr="00651331">
        <w:rPr>
          <w:rFonts w:eastAsia="Times New Roman"/>
          <w:sz w:val="22"/>
          <w:szCs w:val="22"/>
        </w:rPr>
        <w:t xml:space="preserve">S. Okin pose ainsi la question : </w:t>
      </w:r>
      <w:r w:rsidRPr="00651331">
        <w:rPr>
          <w:sz w:val="22"/>
          <w:szCs w:val="22"/>
        </w:rPr>
        <w:t>« Le multiculturalisme nuit-il aux fe</w:t>
      </w:r>
      <w:r>
        <w:rPr>
          <w:sz w:val="22"/>
          <w:szCs w:val="22"/>
        </w:rPr>
        <w:t>mmes?  » (</w:t>
      </w:r>
      <w:r w:rsidRPr="00A15AC1">
        <w:rPr>
          <w:i/>
          <w:sz w:val="22"/>
          <w:szCs w:val="22"/>
        </w:rPr>
        <w:t>Raison publique</w:t>
      </w:r>
      <w:r>
        <w:rPr>
          <w:sz w:val="22"/>
          <w:szCs w:val="22"/>
        </w:rPr>
        <w:t>, 2008, pp. 13</w:t>
      </w:r>
      <w:r w:rsidRPr="00651331">
        <w:rPr>
          <w:sz w:val="22"/>
          <w:szCs w:val="22"/>
        </w:rPr>
        <w:t xml:space="preserve">), </w:t>
      </w:r>
      <w:r w:rsidRPr="00651331">
        <w:rPr>
          <w:rFonts w:eastAsia="Times New Roman"/>
          <w:sz w:val="22"/>
          <w:szCs w:val="22"/>
        </w:rPr>
        <w:t xml:space="preserve"> </w:t>
      </w:r>
      <w:r w:rsidRPr="00651331">
        <w:rPr>
          <w:sz w:val="22"/>
          <w:szCs w:val="22"/>
        </w:rPr>
        <w:t xml:space="preserve">« Je crois que nous – et en particulier ceux d’entre nous qui nous considérons comme politiquement progressistes et opposés à toutes les formes d’oppression – avons accepté trop facilement de considérer aussi bien le féminisme que le multiculturalisme comme de bonnes choses, qui seraient aisément conciliables. Je soutiens au contraire qu’il y a très vraisemblablement une tension entre les deux – plus précisément, entre le féminisme et l’engagement multiculturel en faveur des droits collectifs pour les cultures minoritaires. » Et d’ajouter : « Lorsqu’on avance des arguments libéraux en faveur des droits collectifs, il faut donc prêter un soin tout particulier aux inégalités à l’intérieur du groupe. Il est tout particulièrement important de regarder les inégalités entre les sexes, puisqu’elles sont sans doute moins publiques, et moins facilement discernables. En outre, les politiques qui visent à répondre aux besoins et aux revendications des groupes culturels minoritaires doivent prendre au sérieux l’exigence d’une représentation adéquate des membres moins puissants de ces groupes. » </w:t>
      </w:r>
    </w:p>
    <w:p w14:paraId="09AE1EEE" w14:textId="31F619A7" w:rsidR="00164F5B" w:rsidRPr="00651331" w:rsidRDefault="00164F5B" w:rsidP="00651331">
      <w:pPr>
        <w:pStyle w:val="Notedebasdepage"/>
        <w:jc w:val="both"/>
        <w:rPr>
          <w:sz w:val="22"/>
          <w:szCs w:val="22"/>
        </w:rPr>
      </w:pPr>
    </w:p>
  </w:footnote>
  <w:footnote w:id="7">
    <w:p w14:paraId="0B8BF0E9" w14:textId="77777777" w:rsidR="00164F5B" w:rsidRPr="00C40534" w:rsidRDefault="00164F5B" w:rsidP="007026CC">
      <w:pPr>
        <w:jc w:val="both"/>
        <w:rPr>
          <w:sz w:val="20"/>
          <w:szCs w:val="20"/>
          <w:lang w:val="en-GB"/>
        </w:rPr>
      </w:pPr>
      <w:r w:rsidRPr="00C40534">
        <w:rPr>
          <w:rStyle w:val="Marquenotebasdepage"/>
          <w:sz w:val="20"/>
          <w:szCs w:val="20"/>
        </w:rPr>
        <w:footnoteRef/>
      </w:r>
      <w:r w:rsidRPr="00C40534">
        <w:rPr>
          <w:sz w:val="20"/>
          <w:szCs w:val="20"/>
        </w:rPr>
        <w:t xml:space="preserve"> </w:t>
      </w:r>
      <w:r w:rsidRPr="00C40534">
        <w:rPr>
          <w:sz w:val="20"/>
          <w:szCs w:val="20"/>
          <w:lang w:val="en-GB"/>
        </w:rPr>
        <w:t xml:space="preserve">SCOTT J. C., </w:t>
      </w:r>
      <w:r w:rsidRPr="00C40534">
        <w:rPr>
          <w:i/>
          <w:sz w:val="20"/>
          <w:szCs w:val="20"/>
          <w:lang w:val="en-GB"/>
        </w:rPr>
        <w:t>Domination and the Arts of Resistance : Hidden Transcripts</w:t>
      </w:r>
      <w:r w:rsidRPr="00C40534">
        <w:rPr>
          <w:sz w:val="20"/>
          <w:szCs w:val="20"/>
          <w:lang w:val="en-GB"/>
        </w:rPr>
        <w:t>, Yale University Press, 1992.</w:t>
      </w:r>
    </w:p>
    <w:p w14:paraId="70F68709" w14:textId="79AA0B99" w:rsidR="00164F5B" w:rsidRDefault="00164F5B">
      <w:pPr>
        <w:pStyle w:val="Notedebasdepage"/>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6AB277" w14:textId="239798FF" w:rsidR="00164F5B" w:rsidRPr="00164F5B" w:rsidRDefault="00164F5B">
    <w:pPr>
      <w:pStyle w:val="En-tte"/>
      <w:rPr>
        <w:i/>
        <w:sz w:val="20"/>
        <w:szCs w:val="20"/>
      </w:rPr>
    </w:pPr>
    <w:r w:rsidRPr="00164F5B">
      <w:rPr>
        <w:i/>
        <w:sz w:val="20"/>
        <w:szCs w:val="20"/>
      </w:rPr>
      <w:t>Communication au XIIe Congreso AECPA – 14 juillet 2015 – Version en travail</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620AC"/>
    <w:multiLevelType w:val="hybridMultilevel"/>
    <w:tmpl w:val="3B6629E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642A79B5"/>
    <w:multiLevelType w:val="hybridMultilevel"/>
    <w:tmpl w:val="BED8D9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08"/>
  <w:hyphenationZone w:val="425"/>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94D"/>
    <w:rsid w:val="00001DE0"/>
    <w:rsid w:val="00001FEE"/>
    <w:rsid w:val="0000222F"/>
    <w:rsid w:val="00015A4D"/>
    <w:rsid w:val="00015ABA"/>
    <w:rsid w:val="0001737A"/>
    <w:rsid w:val="000268B9"/>
    <w:rsid w:val="0004029E"/>
    <w:rsid w:val="00047919"/>
    <w:rsid w:val="0005380C"/>
    <w:rsid w:val="00064866"/>
    <w:rsid w:val="00064946"/>
    <w:rsid w:val="000751E4"/>
    <w:rsid w:val="00084403"/>
    <w:rsid w:val="00084985"/>
    <w:rsid w:val="000A13DF"/>
    <w:rsid w:val="000A74E9"/>
    <w:rsid w:val="000B54FF"/>
    <w:rsid w:val="000C133A"/>
    <w:rsid w:val="000C7058"/>
    <w:rsid w:val="000E0652"/>
    <w:rsid w:val="000E0D15"/>
    <w:rsid w:val="000E3BF0"/>
    <w:rsid w:val="000E6733"/>
    <w:rsid w:val="000F7A02"/>
    <w:rsid w:val="0010014F"/>
    <w:rsid w:val="00102ED4"/>
    <w:rsid w:val="00104A64"/>
    <w:rsid w:val="001052FA"/>
    <w:rsid w:val="00121A67"/>
    <w:rsid w:val="00131AC8"/>
    <w:rsid w:val="00132B7D"/>
    <w:rsid w:val="0013430E"/>
    <w:rsid w:val="001404C0"/>
    <w:rsid w:val="00142C2A"/>
    <w:rsid w:val="00142E99"/>
    <w:rsid w:val="001447F2"/>
    <w:rsid w:val="001553CD"/>
    <w:rsid w:val="00164F5B"/>
    <w:rsid w:val="0016643B"/>
    <w:rsid w:val="0017626B"/>
    <w:rsid w:val="001766DB"/>
    <w:rsid w:val="00190BC4"/>
    <w:rsid w:val="00190D97"/>
    <w:rsid w:val="00191367"/>
    <w:rsid w:val="001A013D"/>
    <w:rsid w:val="001A1406"/>
    <w:rsid w:val="001A1C31"/>
    <w:rsid w:val="001A1FF1"/>
    <w:rsid w:val="001A3504"/>
    <w:rsid w:val="001A4514"/>
    <w:rsid w:val="001C5178"/>
    <w:rsid w:val="001D382C"/>
    <w:rsid w:val="001D40BC"/>
    <w:rsid w:val="001D6BE3"/>
    <w:rsid w:val="001E2993"/>
    <w:rsid w:val="001E37B0"/>
    <w:rsid w:val="001E3FE0"/>
    <w:rsid w:val="001F2F93"/>
    <w:rsid w:val="001F7CDC"/>
    <w:rsid w:val="00211B2B"/>
    <w:rsid w:val="00227D19"/>
    <w:rsid w:val="00242273"/>
    <w:rsid w:val="0024229C"/>
    <w:rsid w:val="00251304"/>
    <w:rsid w:val="00272D63"/>
    <w:rsid w:val="00275C09"/>
    <w:rsid w:val="00283A4A"/>
    <w:rsid w:val="00285F33"/>
    <w:rsid w:val="00292282"/>
    <w:rsid w:val="002948D8"/>
    <w:rsid w:val="002965FE"/>
    <w:rsid w:val="002A1E9D"/>
    <w:rsid w:val="002A4FF2"/>
    <w:rsid w:val="002B3798"/>
    <w:rsid w:val="002B6D4A"/>
    <w:rsid w:val="002D6D24"/>
    <w:rsid w:val="002E6EF8"/>
    <w:rsid w:val="002F31B9"/>
    <w:rsid w:val="002F7A5B"/>
    <w:rsid w:val="00300F0F"/>
    <w:rsid w:val="00310F63"/>
    <w:rsid w:val="0031397C"/>
    <w:rsid w:val="00325571"/>
    <w:rsid w:val="0032774C"/>
    <w:rsid w:val="00354D4A"/>
    <w:rsid w:val="00361970"/>
    <w:rsid w:val="00361E34"/>
    <w:rsid w:val="0037420E"/>
    <w:rsid w:val="00381B09"/>
    <w:rsid w:val="0038495F"/>
    <w:rsid w:val="00385CF5"/>
    <w:rsid w:val="003908F1"/>
    <w:rsid w:val="00395C07"/>
    <w:rsid w:val="003A0E44"/>
    <w:rsid w:val="003B00D5"/>
    <w:rsid w:val="003B5F50"/>
    <w:rsid w:val="003B5F55"/>
    <w:rsid w:val="003C2C47"/>
    <w:rsid w:val="003C5D39"/>
    <w:rsid w:val="003D03A0"/>
    <w:rsid w:val="003F2827"/>
    <w:rsid w:val="003F6E32"/>
    <w:rsid w:val="004165BE"/>
    <w:rsid w:val="00425F5E"/>
    <w:rsid w:val="00430D68"/>
    <w:rsid w:val="00441DD9"/>
    <w:rsid w:val="00453238"/>
    <w:rsid w:val="00461F9D"/>
    <w:rsid w:val="004647EB"/>
    <w:rsid w:val="004707D3"/>
    <w:rsid w:val="004750F6"/>
    <w:rsid w:val="004829A0"/>
    <w:rsid w:val="00483846"/>
    <w:rsid w:val="0049704A"/>
    <w:rsid w:val="004A2773"/>
    <w:rsid w:val="004A54FF"/>
    <w:rsid w:val="004B4ED9"/>
    <w:rsid w:val="004B51B5"/>
    <w:rsid w:val="004E5FEC"/>
    <w:rsid w:val="004F1840"/>
    <w:rsid w:val="004F2AB4"/>
    <w:rsid w:val="004F4D64"/>
    <w:rsid w:val="00504D78"/>
    <w:rsid w:val="005235DF"/>
    <w:rsid w:val="00525FDE"/>
    <w:rsid w:val="0053599E"/>
    <w:rsid w:val="00536ED7"/>
    <w:rsid w:val="00537B86"/>
    <w:rsid w:val="005429BE"/>
    <w:rsid w:val="00553FC3"/>
    <w:rsid w:val="00560311"/>
    <w:rsid w:val="0056218E"/>
    <w:rsid w:val="00567D6D"/>
    <w:rsid w:val="00570077"/>
    <w:rsid w:val="005819B1"/>
    <w:rsid w:val="00583BA9"/>
    <w:rsid w:val="00583C00"/>
    <w:rsid w:val="00593CD6"/>
    <w:rsid w:val="0059714E"/>
    <w:rsid w:val="005B1497"/>
    <w:rsid w:val="005B64D0"/>
    <w:rsid w:val="005C58B7"/>
    <w:rsid w:val="005C6DC1"/>
    <w:rsid w:val="005C740D"/>
    <w:rsid w:val="005D4162"/>
    <w:rsid w:val="005E586A"/>
    <w:rsid w:val="00601A19"/>
    <w:rsid w:val="006050ED"/>
    <w:rsid w:val="0061282B"/>
    <w:rsid w:val="00616A81"/>
    <w:rsid w:val="006352FA"/>
    <w:rsid w:val="00647833"/>
    <w:rsid w:val="00651331"/>
    <w:rsid w:val="00651CDD"/>
    <w:rsid w:val="006537F6"/>
    <w:rsid w:val="006549A7"/>
    <w:rsid w:val="00671180"/>
    <w:rsid w:val="00675F59"/>
    <w:rsid w:val="00687BF5"/>
    <w:rsid w:val="00690449"/>
    <w:rsid w:val="0069118A"/>
    <w:rsid w:val="006919C7"/>
    <w:rsid w:val="00693249"/>
    <w:rsid w:val="006959B7"/>
    <w:rsid w:val="006A11F2"/>
    <w:rsid w:val="006B08BA"/>
    <w:rsid w:val="006B4C6A"/>
    <w:rsid w:val="006C01B4"/>
    <w:rsid w:val="006C43BB"/>
    <w:rsid w:val="006D2D2A"/>
    <w:rsid w:val="006F02D6"/>
    <w:rsid w:val="006F2B5F"/>
    <w:rsid w:val="006F4106"/>
    <w:rsid w:val="006F5612"/>
    <w:rsid w:val="007019C3"/>
    <w:rsid w:val="007026CC"/>
    <w:rsid w:val="00737736"/>
    <w:rsid w:val="00742EE7"/>
    <w:rsid w:val="007463C7"/>
    <w:rsid w:val="0075647A"/>
    <w:rsid w:val="0076232B"/>
    <w:rsid w:val="007701D3"/>
    <w:rsid w:val="00774F0B"/>
    <w:rsid w:val="007754F1"/>
    <w:rsid w:val="00776724"/>
    <w:rsid w:val="007A1396"/>
    <w:rsid w:val="007A1638"/>
    <w:rsid w:val="007A5A75"/>
    <w:rsid w:val="007B556E"/>
    <w:rsid w:val="007C0718"/>
    <w:rsid w:val="007D171C"/>
    <w:rsid w:val="007F6629"/>
    <w:rsid w:val="0080294D"/>
    <w:rsid w:val="00813676"/>
    <w:rsid w:val="00816E40"/>
    <w:rsid w:val="0082229C"/>
    <w:rsid w:val="00827FE3"/>
    <w:rsid w:val="00830579"/>
    <w:rsid w:val="008307C1"/>
    <w:rsid w:val="008325EB"/>
    <w:rsid w:val="00833049"/>
    <w:rsid w:val="00842126"/>
    <w:rsid w:val="00842316"/>
    <w:rsid w:val="00844ADD"/>
    <w:rsid w:val="00845FC8"/>
    <w:rsid w:val="0084663E"/>
    <w:rsid w:val="00846AC4"/>
    <w:rsid w:val="008637E6"/>
    <w:rsid w:val="00864871"/>
    <w:rsid w:val="00867C44"/>
    <w:rsid w:val="00870F40"/>
    <w:rsid w:val="00882F70"/>
    <w:rsid w:val="008945DB"/>
    <w:rsid w:val="008960C0"/>
    <w:rsid w:val="008A6627"/>
    <w:rsid w:val="008B1BB0"/>
    <w:rsid w:val="008B70EE"/>
    <w:rsid w:val="008D027E"/>
    <w:rsid w:val="008D4127"/>
    <w:rsid w:val="008D4E10"/>
    <w:rsid w:val="008E2662"/>
    <w:rsid w:val="00912286"/>
    <w:rsid w:val="00927332"/>
    <w:rsid w:val="0095301C"/>
    <w:rsid w:val="0097225D"/>
    <w:rsid w:val="0098473C"/>
    <w:rsid w:val="00991C83"/>
    <w:rsid w:val="00995EEB"/>
    <w:rsid w:val="009C4C18"/>
    <w:rsid w:val="009C70EE"/>
    <w:rsid w:val="009E3C36"/>
    <w:rsid w:val="009E4C6E"/>
    <w:rsid w:val="00A01E61"/>
    <w:rsid w:val="00A03A79"/>
    <w:rsid w:val="00A15852"/>
    <w:rsid w:val="00A15AC1"/>
    <w:rsid w:val="00A168B5"/>
    <w:rsid w:val="00A173F3"/>
    <w:rsid w:val="00A25396"/>
    <w:rsid w:val="00A33EAB"/>
    <w:rsid w:val="00A5112A"/>
    <w:rsid w:val="00A63764"/>
    <w:rsid w:val="00A721F4"/>
    <w:rsid w:val="00A74444"/>
    <w:rsid w:val="00A82D8F"/>
    <w:rsid w:val="00A87093"/>
    <w:rsid w:val="00AA57D0"/>
    <w:rsid w:val="00AA6612"/>
    <w:rsid w:val="00AB20F7"/>
    <w:rsid w:val="00AB2F34"/>
    <w:rsid w:val="00AC2B5D"/>
    <w:rsid w:val="00AC2D14"/>
    <w:rsid w:val="00AD6169"/>
    <w:rsid w:val="00AE3887"/>
    <w:rsid w:val="00AF3A4E"/>
    <w:rsid w:val="00B01E30"/>
    <w:rsid w:val="00B02840"/>
    <w:rsid w:val="00B04665"/>
    <w:rsid w:val="00B11B6D"/>
    <w:rsid w:val="00B165DB"/>
    <w:rsid w:val="00B24462"/>
    <w:rsid w:val="00B24817"/>
    <w:rsid w:val="00B265AB"/>
    <w:rsid w:val="00B60019"/>
    <w:rsid w:val="00B63440"/>
    <w:rsid w:val="00B6611B"/>
    <w:rsid w:val="00B86CC7"/>
    <w:rsid w:val="00B91E00"/>
    <w:rsid w:val="00B92AC1"/>
    <w:rsid w:val="00B9424F"/>
    <w:rsid w:val="00BA08A1"/>
    <w:rsid w:val="00BB24C0"/>
    <w:rsid w:val="00BC52AD"/>
    <w:rsid w:val="00BC62DB"/>
    <w:rsid w:val="00BD2E57"/>
    <w:rsid w:val="00BD767D"/>
    <w:rsid w:val="00BD7F61"/>
    <w:rsid w:val="00BE31CE"/>
    <w:rsid w:val="00BE3C59"/>
    <w:rsid w:val="00BF3CFE"/>
    <w:rsid w:val="00BF6FD8"/>
    <w:rsid w:val="00BF735F"/>
    <w:rsid w:val="00BF7FEB"/>
    <w:rsid w:val="00C04183"/>
    <w:rsid w:val="00C05D6F"/>
    <w:rsid w:val="00C10369"/>
    <w:rsid w:val="00C25B9D"/>
    <w:rsid w:val="00C274AB"/>
    <w:rsid w:val="00C303B1"/>
    <w:rsid w:val="00C40534"/>
    <w:rsid w:val="00C61119"/>
    <w:rsid w:val="00C64B60"/>
    <w:rsid w:val="00C6522B"/>
    <w:rsid w:val="00C7063C"/>
    <w:rsid w:val="00C8078F"/>
    <w:rsid w:val="00C95702"/>
    <w:rsid w:val="00CB49E6"/>
    <w:rsid w:val="00CD0787"/>
    <w:rsid w:val="00CF1203"/>
    <w:rsid w:val="00CF55AC"/>
    <w:rsid w:val="00D17957"/>
    <w:rsid w:val="00D2125F"/>
    <w:rsid w:val="00D23185"/>
    <w:rsid w:val="00D23722"/>
    <w:rsid w:val="00D238C7"/>
    <w:rsid w:val="00D26679"/>
    <w:rsid w:val="00D35B66"/>
    <w:rsid w:val="00D36CBC"/>
    <w:rsid w:val="00D4044C"/>
    <w:rsid w:val="00D55477"/>
    <w:rsid w:val="00D624EA"/>
    <w:rsid w:val="00D72AD3"/>
    <w:rsid w:val="00D73C85"/>
    <w:rsid w:val="00D75C18"/>
    <w:rsid w:val="00D81E09"/>
    <w:rsid w:val="00D85739"/>
    <w:rsid w:val="00D8577B"/>
    <w:rsid w:val="00D8704A"/>
    <w:rsid w:val="00DA0E5A"/>
    <w:rsid w:val="00DA46E1"/>
    <w:rsid w:val="00DA55E0"/>
    <w:rsid w:val="00DA647B"/>
    <w:rsid w:val="00DB6E91"/>
    <w:rsid w:val="00DC0ECF"/>
    <w:rsid w:val="00DE1E2D"/>
    <w:rsid w:val="00DE5D82"/>
    <w:rsid w:val="00DF439D"/>
    <w:rsid w:val="00DF5C86"/>
    <w:rsid w:val="00E05346"/>
    <w:rsid w:val="00E05386"/>
    <w:rsid w:val="00E059C9"/>
    <w:rsid w:val="00E14D3A"/>
    <w:rsid w:val="00E167E5"/>
    <w:rsid w:val="00E209C5"/>
    <w:rsid w:val="00E22FF4"/>
    <w:rsid w:val="00E30B97"/>
    <w:rsid w:val="00E34480"/>
    <w:rsid w:val="00E423BD"/>
    <w:rsid w:val="00E54CBE"/>
    <w:rsid w:val="00E57E88"/>
    <w:rsid w:val="00E7085D"/>
    <w:rsid w:val="00E80EC8"/>
    <w:rsid w:val="00E8303E"/>
    <w:rsid w:val="00E9758E"/>
    <w:rsid w:val="00EA2DF5"/>
    <w:rsid w:val="00EA4232"/>
    <w:rsid w:val="00EB1038"/>
    <w:rsid w:val="00EB569F"/>
    <w:rsid w:val="00EC0CBD"/>
    <w:rsid w:val="00EC2B69"/>
    <w:rsid w:val="00EE39B8"/>
    <w:rsid w:val="00EE4465"/>
    <w:rsid w:val="00EE64AC"/>
    <w:rsid w:val="00EF6661"/>
    <w:rsid w:val="00F00EEE"/>
    <w:rsid w:val="00F23775"/>
    <w:rsid w:val="00F24428"/>
    <w:rsid w:val="00F3056A"/>
    <w:rsid w:val="00F33B30"/>
    <w:rsid w:val="00F3407F"/>
    <w:rsid w:val="00F34596"/>
    <w:rsid w:val="00F42F7E"/>
    <w:rsid w:val="00F470A1"/>
    <w:rsid w:val="00F47B79"/>
    <w:rsid w:val="00F6083F"/>
    <w:rsid w:val="00F71B04"/>
    <w:rsid w:val="00F73B8F"/>
    <w:rsid w:val="00F834EC"/>
    <w:rsid w:val="00F90A84"/>
    <w:rsid w:val="00F9116A"/>
    <w:rsid w:val="00F919D0"/>
    <w:rsid w:val="00F94BAC"/>
    <w:rsid w:val="00FB1607"/>
    <w:rsid w:val="00FD17B9"/>
    <w:rsid w:val="00FD479C"/>
    <w:rsid w:val="00FD5BD6"/>
    <w:rsid w:val="00FE015F"/>
    <w:rsid w:val="00FE147E"/>
    <w:rsid w:val="00FE275C"/>
    <w:rsid w:val="00FE69F8"/>
    <w:rsid w:val="00FF4A55"/>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10926F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fr-FR"/>
    </w:rPr>
  </w:style>
  <w:style w:type="paragraph" w:styleId="Titre1">
    <w:name w:val="heading 1"/>
    <w:basedOn w:val="Normal"/>
    <w:next w:val="Normal"/>
    <w:link w:val="Titre1Car"/>
    <w:uiPriority w:val="9"/>
    <w:qFormat/>
    <w:rsid w:val="00BF7FE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aliases w:val="Note de bas de page Car1,Note de bas de page Car1 Car,Note de bas de page Car Car Car,Note de bas de page Car Car1,Car1 Car Car Car,Car1 Car Car, Car1 Car Car Car Car, Car1 Car Car Car, Car1"/>
    <w:basedOn w:val="Normal"/>
    <w:link w:val="NotedebasdepageCar"/>
    <w:unhideWhenUsed/>
    <w:rsid w:val="00E059C9"/>
  </w:style>
  <w:style w:type="character" w:customStyle="1" w:styleId="NotedebasdepageCar">
    <w:name w:val="Note de bas de page Car"/>
    <w:aliases w:val="Note de bas de page Car1 Car1,Note de bas de page Car1 Car Car,Note de bas de page Car Car Car Car,Note de bas de page Car Car1 Car,Car1 Car Car Car Car,Car1 Car Car Car1, Car1 Car Car Car Car Car, Car1 Car Car Car Car1, Car1 Car"/>
    <w:basedOn w:val="Policepardfaut"/>
    <w:link w:val="Notedebasdepage"/>
    <w:rsid w:val="00E059C9"/>
    <w:rPr>
      <w:sz w:val="24"/>
      <w:szCs w:val="24"/>
      <w:lang w:eastAsia="fr-FR"/>
    </w:rPr>
  </w:style>
  <w:style w:type="character" w:styleId="Marquenotebasdepage">
    <w:name w:val="footnote reference"/>
    <w:basedOn w:val="Policepardfaut"/>
    <w:unhideWhenUsed/>
    <w:rsid w:val="00E059C9"/>
    <w:rPr>
      <w:vertAlign w:val="superscript"/>
    </w:rPr>
  </w:style>
  <w:style w:type="character" w:customStyle="1" w:styleId="Titre1Car">
    <w:name w:val="Titre 1 Car"/>
    <w:basedOn w:val="Policepardfaut"/>
    <w:link w:val="Titre1"/>
    <w:uiPriority w:val="9"/>
    <w:rsid w:val="00BF7FEB"/>
    <w:rPr>
      <w:rFonts w:asciiTheme="majorHAnsi" w:eastAsiaTheme="majorEastAsia" w:hAnsiTheme="majorHAnsi" w:cstheme="majorBidi"/>
      <w:b/>
      <w:bCs/>
      <w:color w:val="345A8A" w:themeColor="accent1" w:themeShade="B5"/>
      <w:sz w:val="32"/>
      <w:szCs w:val="32"/>
      <w:lang w:eastAsia="fr-FR"/>
    </w:rPr>
  </w:style>
  <w:style w:type="paragraph" w:styleId="Notedefin">
    <w:name w:val="endnote text"/>
    <w:basedOn w:val="Normal"/>
    <w:link w:val="NotedefinCar"/>
    <w:semiHidden/>
    <w:rsid w:val="00BF7FEB"/>
    <w:rPr>
      <w:rFonts w:eastAsia="Times New Roman"/>
    </w:rPr>
  </w:style>
  <w:style w:type="character" w:customStyle="1" w:styleId="NotedefinCar">
    <w:name w:val="Note de fin Car"/>
    <w:basedOn w:val="Policepardfaut"/>
    <w:link w:val="Notedefin"/>
    <w:semiHidden/>
    <w:rsid w:val="00BF7FEB"/>
    <w:rPr>
      <w:rFonts w:eastAsia="Times New Roman"/>
      <w:sz w:val="24"/>
      <w:szCs w:val="24"/>
      <w:lang w:eastAsia="fr-FR"/>
    </w:rPr>
  </w:style>
  <w:style w:type="paragraph" w:styleId="Corpsdetexte">
    <w:name w:val="Body Text"/>
    <w:basedOn w:val="Normal"/>
    <w:link w:val="CorpsdetexteCar"/>
    <w:rsid w:val="00BF7FEB"/>
    <w:pPr>
      <w:jc w:val="both"/>
    </w:pPr>
    <w:rPr>
      <w:rFonts w:ascii="Times" w:eastAsia="Times" w:hAnsi="Times"/>
      <w:szCs w:val="20"/>
    </w:rPr>
  </w:style>
  <w:style w:type="character" w:customStyle="1" w:styleId="CorpsdetexteCar">
    <w:name w:val="Corps de texte Car"/>
    <w:basedOn w:val="Policepardfaut"/>
    <w:link w:val="Corpsdetexte"/>
    <w:rsid w:val="00BF7FEB"/>
    <w:rPr>
      <w:rFonts w:ascii="Times" w:eastAsia="Times" w:hAnsi="Times"/>
      <w:sz w:val="24"/>
      <w:lang w:eastAsia="fr-FR"/>
    </w:rPr>
  </w:style>
  <w:style w:type="paragraph" w:styleId="Paragraphedeliste">
    <w:name w:val="List Paragraph"/>
    <w:basedOn w:val="Normal"/>
    <w:uiPriority w:val="34"/>
    <w:qFormat/>
    <w:rsid w:val="00BF7FEB"/>
    <w:pPr>
      <w:ind w:left="720"/>
      <w:contextualSpacing/>
    </w:pPr>
  </w:style>
  <w:style w:type="paragraph" w:styleId="Sansinterligne">
    <w:name w:val="No Spacing"/>
    <w:uiPriority w:val="1"/>
    <w:qFormat/>
    <w:rsid w:val="00441DD9"/>
    <w:rPr>
      <w:sz w:val="24"/>
      <w:szCs w:val="24"/>
      <w:lang w:eastAsia="fr-FR"/>
    </w:rPr>
  </w:style>
  <w:style w:type="paragraph" w:styleId="Pieddepage">
    <w:name w:val="footer"/>
    <w:basedOn w:val="Normal"/>
    <w:link w:val="PieddepageCar"/>
    <w:uiPriority w:val="99"/>
    <w:unhideWhenUsed/>
    <w:rsid w:val="004B4ED9"/>
    <w:pPr>
      <w:tabs>
        <w:tab w:val="center" w:pos="4536"/>
        <w:tab w:val="right" w:pos="9072"/>
      </w:tabs>
    </w:pPr>
  </w:style>
  <w:style w:type="character" w:customStyle="1" w:styleId="PieddepageCar">
    <w:name w:val="Pied de page Car"/>
    <w:basedOn w:val="Policepardfaut"/>
    <w:link w:val="Pieddepage"/>
    <w:uiPriority w:val="99"/>
    <w:rsid w:val="004B4ED9"/>
    <w:rPr>
      <w:sz w:val="24"/>
      <w:szCs w:val="24"/>
      <w:lang w:eastAsia="fr-FR"/>
    </w:rPr>
  </w:style>
  <w:style w:type="character" w:styleId="Numrodepage">
    <w:name w:val="page number"/>
    <w:basedOn w:val="Policepardfaut"/>
    <w:uiPriority w:val="99"/>
    <w:semiHidden/>
    <w:unhideWhenUsed/>
    <w:rsid w:val="004B4ED9"/>
  </w:style>
  <w:style w:type="paragraph" w:styleId="Textedebulles">
    <w:name w:val="Balloon Text"/>
    <w:basedOn w:val="Normal"/>
    <w:link w:val="TextedebullesCar"/>
    <w:uiPriority w:val="99"/>
    <w:semiHidden/>
    <w:unhideWhenUsed/>
    <w:rsid w:val="00827FE3"/>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827FE3"/>
    <w:rPr>
      <w:rFonts w:ascii="Lucida Grande" w:hAnsi="Lucida Grande" w:cs="Lucida Grande"/>
      <w:sz w:val="18"/>
      <w:szCs w:val="18"/>
      <w:lang w:eastAsia="fr-FR"/>
    </w:rPr>
  </w:style>
  <w:style w:type="character" w:customStyle="1" w:styleId="uppercase">
    <w:name w:val="uppercase"/>
    <w:basedOn w:val="Policepardfaut"/>
    <w:rsid w:val="000A13DF"/>
  </w:style>
  <w:style w:type="character" w:styleId="Accentuation">
    <w:name w:val="Emphasis"/>
    <w:basedOn w:val="Policepardfaut"/>
    <w:uiPriority w:val="20"/>
    <w:qFormat/>
    <w:rsid w:val="000A13DF"/>
    <w:rPr>
      <w:i/>
      <w:iCs/>
    </w:rPr>
  </w:style>
  <w:style w:type="character" w:styleId="Lienhypertexte">
    <w:name w:val="Hyperlink"/>
    <w:basedOn w:val="Policepardfaut"/>
    <w:uiPriority w:val="99"/>
    <w:unhideWhenUsed/>
    <w:rsid w:val="000C7058"/>
    <w:rPr>
      <w:color w:val="0000FF" w:themeColor="hyperlink"/>
      <w:u w:val="single"/>
    </w:rPr>
  </w:style>
  <w:style w:type="character" w:customStyle="1" w:styleId="text">
    <w:name w:val="text"/>
    <w:basedOn w:val="Policepardfaut"/>
    <w:rsid w:val="00B11B6D"/>
  </w:style>
  <w:style w:type="character" w:styleId="Marquedannotation">
    <w:name w:val="annotation reference"/>
    <w:basedOn w:val="Policepardfaut"/>
    <w:uiPriority w:val="99"/>
    <w:semiHidden/>
    <w:unhideWhenUsed/>
    <w:rsid w:val="00E57E88"/>
    <w:rPr>
      <w:sz w:val="18"/>
      <w:szCs w:val="18"/>
    </w:rPr>
  </w:style>
  <w:style w:type="paragraph" w:styleId="Commentaire">
    <w:name w:val="annotation text"/>
    <w:basedOn w:val="Normal"/>
    <w:link w:val="CommentaireCar"/>
    <w:uiPriority w:val="99"/>
    <w:semiHidden/>
    <w:unhideWhenUsed/>
    <w:rsid w:val="00E57E88"/>
  </w:style>
  <w:style w:type="character" w:customStyle="1" w:styleId="CommentaireCar">
    <w:name w:val="Commentaire Car"/>
    <w:basedOn w:val="Policepardfaut"/>
    <w:link w:val="Commentaire"/>
    <w:uiPriority w:val="99"/>
    <w:semiHidden/>
    <w:rsid w:val="00E57E88"/>
    <w:rPr>
      <w:sz w:val="24"/>
      <w:szCs w:val="24"/>
      <w:lang w:eastAsia="fr-FR"/>
    </w:rPr>
  </w:style>
  <w:style w:type="paragraph" w:styleId="Objetducommentaire">
    <w:name w:val="annotation subject"/>
    <w:basedOn w:val="Commentaire"/>
    <w:next w:val="Commentaire"/>
    <w:link w:val="ObjetducommentaireCar"/>
    <w:uiPriority w:val="99"/>
    <w:semiHidden/>
    <w:unhideWhenUsed/>
    <w:rsid w:val="00E57E88"/>
    <w:rPr>
      <w:b/>
      <w:bCs/>
      <w:sz w:val="20"/>
      <w:szCs w:val="20"/>
    </w:rPr>
  </w:style>
  <w:style w:type="character" w:customStyle="1" w:styleId="ObjetducommentaireCar">
    <w:name w:val="Objet du commentaire Car"/>
    <w:basedOn w:val="CommentaireCar"/>
    <w:link w:val="Objetducommentaire"/>
    <w:uiPriority w:val="99"/>
    <w:semiHidden/>
    <w:rsid w:val="00E57E88"/>
    <w:rPr>
      <w:b/>
      <w:bCs/>
      <w:sz w:val="24"/>
      <w:szCs w:val="24"/>
      <w:lang w:eastAsia="fr-FR"/>
    </w:rPr>
  </w:style>
  <w:style w:type="paragraph" w:styleId="NormalWeb">
    <w:name w:val="Normal (Web)"/>
    <w:basedOn w:val="Normal"/>
    <w:uiPriority w:val="99"/>
    <w:unhideWhenUsed/>
    <w:rsid w:val="000B54FF"/>
    <w:pPr>
      <w:spacing w:before="100" w:beforeAutospacing="1" w:after="100" w:afterAutospacing="1"/>
    </w:pPr>
    <w:rPr>
      <w:rFonts w:ascii="Times" w:hAnsi="Times"/>
      <w:sz w:val="20"/>
      <w:szCs w:val="20"/>
    </w:rPr>
  </w:style>
  <w:style w:type="character" w:customStyle="1" w:styleId="spipnoteref">
    <w:name w:val="spip_note_ref"/>
    <w:basedOn w:val="Policepardfaut"/>
    <w:rsid w:val="000B54FF"/>
  </w:style>
  <w:style w:type="paragraph" w:styleId="En-tte">
    <w:name w:val="header"/>
    <w:basedOn w:val="Normal"/>
    <w:link w:val="En-tteCar"/>
    <w:uiPriority w:val="99"/>
    <w:unhideWhenUsed/>
    <w:rsid w:val="00164F5B"/>
    <w:pPr>
      <w:tabs>
        <w:tab w:val="center" w:pos="4536"/>
        <w:tab w:val="right" w:pos="9072"/>
      </w:tabs>
    </w:pPr>
  </w:style>
  <w:style w:type="character" w:customStyle="1" w:styleId="En-tteCar">
    <w:name w:val="En-tête Car"/>
    <w:basedOn w:val="Policepardfaut"/>
    <w:link w:val="En-tte"/>
    <w:uiPriority w:val="99"/>
    <w:rsid w:val="00164F5B"/>
    <w:rPr>
      <w:sz w:val="24"/>
      <w:szCs w:val="24"/>
      <w:lang w:eastAsia="fr-F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fr-FR"/>
    </w:rPr>
  </w:style>
  <w:style w:type="paragraph" w:styleId="Titre1">
    <w:name w:val="heading 1"/>
    <w:basedOn w:val="Normal"/>
    <w:next w:val="Normal"/>
    <w:link w:val="Titre1Car"/>
    <w:uiPriority w:val="9"/>
    <w:qFormat/>
    <w:rsid w:val="00BF7FE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aliases w:val="Note de bas de page Car1,Note de bas de page Car1 Car,Note de bas de page Car Car Car,Note de bas de page Car Car1,Car1 Car Car Car,Car1 Car Car, Car1 Car Car Car Car, Car1 Car Car Car, Car1"/>
    <w:basedOn w:val="Normal"/>
    <w:link w:val="NotedebasdepageCar"/>
    <w:unhideWhenUsed/>
    <w:rsid w:val="00E059C9"/>
  </w:style>
  <w:style w:type="character" w:customStyle="1" w:styleId="NotedebasdepageCar">
    <w:name w:val="Note de bas de page Car"/>
    <w:aliases w:val="Note de bas de page Car1 Car1,Note de bas de page Car1 Car Car,Note de bas de page Car Car Car Car,Note de bas de page Car Car1 Car,Car1 Car Car Car Car,Car1 Car Car Car1, Car1 Car Car Car Car Car, Car1 Car Car Car Car1, Car1 Car"/>
    <w:basedOn w:val="Policepardfaut"/>
    <w:link w:val="Notedebasdepage"/>
    <w:rsid w:val="00E059C9"/>
    <w:rPr>
      <w:sz w:val="24"/>
      <w:szCs w:val="24"/>
      <w:lang w:eastAsia="fr-FR"/>
    </w:rPr>
  </w:style>
  <w:style w:type="character" w:styleId="Marquenotebasdepage">
    <w:name w:val="footnote reference"/>
    <w:basedOn w:val="Policepardfaut"/>
    <w:unhideWhenUsed/>
    <w:rsid w:val="00E059C9"/>
    <w:rPr>
      <w:vertAlign w:val="superscript"/>
    </w:rPr>
  </w:style>
  <w:style w:type="character" w:customStyle="1" w:styleId="Titre1Car">
    <w:name w:val="Titre 1 Car"/>
    <w:basedOn w:val="Policepardfaut"/>
    <w:link w:val="Titre1"/>
    <w:uiPriority w:val="9"/>
    <w:rsid w:val="00BF7FEB"/>
    <w:rPr>
      <w:rFonts w:asciiTheme="majorHAnsi" w:eastAsiaTheme="majorEastAsia" w:hAnsiTheme="majorHAnsi" w:cstheme="majorBidi"/>
      <w:b/>
      <w:bCs/>
      <w:color w:val="345A8A" w:themeColor="accent1" w:themeShade="B5"/>
      <w:sz w:val="32"/>
      <w:szCs w:val="32"/>
      <w:lang w:eastAsia="fr-FR"/>
    </w:rPr>
  </w:style>
  <w:style w:type="paragraph" w:styleId="Notedefin">
    <w:name w:val="endnote text"/>
    <w:basedOn w:val="Normal"/>
    <w:link w:val="NotedefinCar"/>
    <w:semiHidden/>
    <w:rsid w:val="00BF7FEB"/>
    <w:rPr>
      <w:rFonts w:eastAsia="Times New Roman"/>
    </w:rPr>
  </w:style>
  <w:style w:type="character" w:customStyle="1" w:styleId="NotedefinCar">
    <w:name w:val="Note de fin Car"/>
    <w:basedOn w:val="Policepardfaut"/>
    <w:link w:val="Notedefin"/>
    <w:semiHidden/>
    <w:rsid w:val="00BF7FEB"/>
    <w:rPr>
      <w:rFonts w:eastAsia="Times New Roman"/>
      <w:sz w:val="24"/>
      <w:szCs w:val="24"/>
      <w:lang w:eastAsia="fr-FR"/>
    </w:rPr>
  </w:style>
  <w:style w:type="paragraph" w:styleId="Corpsdetexte">
    <w:name w:val="Body Text"/>
    <w:basedOn w:val="Normal"/>
    <w:link w:val="CorpsdetexteCar"/>
    <w:rsid w:val="00BF7FEB"/>
    <w:pPr>
      <w:jc w:val="both"/>
    </w:pPr>
    <w:rPr>
      <w:rFonts w:ascii="Times" w:eastAsia="Times" w:hAnsi="Times"/>
      <w:szCs w:val="20"/>
    </w:rPr>
  </w:style>
  <w:style w:type="character" w:customStyle="1" w:styleId="CorpsdetexteCar">
    <w:name w:val="Corps de texte Car"/>
    <w:basedOn w:val="Policepardfaut"/>
    <w:link w:val="Corpsdetexte"/>
    <w:rsid w:val="00BF7FEB"/>
    <w:rPr>
      <w:rFonts w:ascii="Times" w:eastAsia="Times" w:hAnsi="Times"/>
      <w:sz w:val="24"/>
      <w:lang w:eastAsia="fr-FR"/>
    </w:rPr>
  </w:style>
  <w:style w:type="paragraph" w:styleId="Paragraphedeliste">
    <w:name w:val="List Paragraph"/>
    <w:basedOn w:val="Normal"/>
    <w:uiPriority w:val="34"/>
    <w:qFormat/>
    <w:rsid w:val="00BF7FEB"/>
    <w:pPr>
      <w:ind w:left="720"/>
      <w:contextualSpacing/>
    </w:pPr>
  </w:style>
  <w:style w:type="paragraph" w:styleId="Sansinterligne">
    <w:name w:val="No Spacing"/>
    <w:uiPriority w:val="1"/>
    <w:qFormat/>
    <w:rsid w:val="00441DD9"/>
    <w:rPr>
      <w:sz w:val="24"/>
      <w:szCs w:val="24"/>
      <w:lang w:eastAsia="fr-FR"/>
    </w:rPr>
  </w:style>
  <w:style w:type="paragraph" w:styleId="Pieddepage">
    <w:name w:val="footer"/>
    <w:basedOn w:val="Normal"/>
    <w:link w:val="PieddepageCar"/>
    <w:uiPriority w:val="99"/>
    <w:unhideWhenUsed/>
    <w:rsid w:val="004B4ED9"/>
    <w:pPr>
      <w:tabs>
        <w:tab w:val="center" w:pos="4536"/>
        <w:tab w:val="right" w:pos="9072"/>
      </w:tabs>
    </w:pPr>
  </w:style>
  <w:style w:type="character" w:customStyle="1" w:styleId="PieddepageCar">
    <w:name w:val="Pied de page Car"/>
    <w:basedOn w:val="Policepardfaut"/>
    <w:link w:val="Pieddepage"/>
    <w:uiPriority w:val="99"/>
    <w:rsid w:val="004B4ED9"/>
    <w:rPr>
      <w:sz w:val="24"/>
      <w:szCs w:val="24"/>
      <w:lang w:eastAsia="fr-FR"/>
    </w:rPr>
  </w:style>
  <w:style w:type="character" w:styleId="Numrodepage">
    <w:name w:val="page number"/>
    <w:basedOn w:val="Policepardfaut"/>
    <w:uiPriority w:val="99"/>
    <w:semiHidden/>
    <w:unhideWhenUsed/>
    <w:rsid w:val="004B4ED9"/>
  </w:style>
  <w:style w:type="paragraph" w:styleId="Textedebulles">
    <w:name w:val="Balloon Text"/>
    <w:basedOn w:val="Normal"/>
    <w:link w:val="TextedebullesCar"/>
    <w:uiPriority w:val="99"/>
    <w:semiHidden/>
    <w:unhideWhenUsed/>
    <w:rsid w:val="00827FE3"/>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827FE3"/>
    <w:rPr>
      <w:rFonts w:ascii="Lucida Grande" w:hAnsi="Lucida Grande" w:cs="Lucida Grande"/>
      <w:sz w:val="18"/>
      <w:szCs w:val="18"/>
      <w:lang w:eastAsia="fr-FR"/>
    </w:rPr>
  </w:style>
  <w:style w:type="character" w:customStyle="1" w:styleId="uppercase">
    <w:name w:val="uppercase"/>
    <w:basedOn w:val="Policepardfaut"/>
    <w:rsid w:val="000A13DF"/>
  </w:style>
  <w:style w:type="character" w:styleId="Accentuation">
    <w:name w:val="Emphasis"/>
    <w:basedOn w:val="Policepardfaut"/>
    <w:uiPriority w:val="20"/>
    <w:qFormat/>
    <w:rsid w:val="000A13DF"/>
    <w:rPr>
      <w:i/>
      <w:iCs/>
    </w:rPr>
  </w:style>
  <w:style w:type="character" w:styleId="Lienhypertexte">
    <w:name w:val="Hyperlink"/>
    <w:basedOn w:val="Policepardfaut"/>
    <w:uiPriority w:val="99"/>
    <w:unhideWhenUsed/>
    <w:rsid w:val="000C7058"/>
    <w:rPr>
      <w:color w:val="0000FF" w:themeColor="hyperlink"/>
      <w:u w:val="single"/>
    </w:rPr>
  </w:style>
  <w:style w:type="character" w:customStyle="1" w:styleId="text">
    <w:name w:val="text"/>
    <w:basedOn w:val="Policepardfaut"/>
    <w:rsid w:val="00B11B6D"/>
  </w:style>
  <w:style w:type="character" w:styleId="Marquedannotation">
    <w:name w:val="annotation reference"/>
    <w:basedOn w:val="Policepardfaut"/>
    <w:uiPriority w:val="99"/>
    <w:semiHidden/>
    <w:unhideWhenUsed/>
    <w:rsid w:val="00E57E88"/>
    <w:rPr>
      <w:sz w:val="18"/>
      <w:szCs w:val="18"/>
    </w:rPr>
  </w:style>
  <w:style w:type="paragraph" w:styleId="Commentaire">
    <w:name w:val="annotation text"/>
    <w:basedOn w:val="Normal"/>
    <w:link w:val="CommentaireCar"/>
    <w:uiPriority w:val="99"/>
    <w:semiHidden/>
    <w:unhideWhenUsed/>
    <w:rsid w:val="00E57E88"/>
  </w:style>
  <w:style w:type="character" w:customStyle="1" w:styleId="CommentaireCar">
    <w:name w:val="Commentaire Car"/>
    <w:basedOn w:val="Policepardfaut"/>
    <w:link w:val="Commentaire"/>
    <w:uiPriority w:val="99"/>
    <w:semiHidden/>
    <w:rsid w:val="00E57E88"/>
    <w:rPr>
      <w:sz w:val="24"/>
      <w:szCs w:val="24"/>
      <w:lang w:eastAsia="fr-FR"/>
    </w:rPr>
  </w:style>
  <w:style w:type="paragraph" w:styleId="Objetducommentaire">
    <w:name w:val="annotation subject"/>
    <w:basedOn w:val="Commentaire"/>
    <w:next w:val="Commentaire"/>
    <w:link w:val="ObjetducommentaireCar"/>
    <w:uiPriority w:val="99"/>
    <w:semiHidden/>
    <w:unhideWhenUsed/>
    <w:rsid w:val="00E57E88"/>
    <w:rPr>
      <w:b/>
      <w:bCs/>
      <w:sz w:val="20"/>
      <w:szCs w:val="20"/>
    </w:rPr>
  </w:style>
  <w:style w:type="character" w:customStyle="1" w:styleId="ObjetducommentaireCar">
    <w:name w:val="Objet du commentaire Car"/>
    <w:basedOn w:val="CommentaireCar"/>
    <w:link w:val="Objetducommentaire"/>
    <w:uiPriority w:val="99"/>
    <w:semiHidden/>
    <w:rsid w:val="00E57E88"/>
    <w:rPr>
      <w:b/>
      <w:bCs/>
      <w:sz w:val="24"/>
      <w:szCs w:val="24"/>
      <w:lang w:eastAsia="fr-FR"/>
    </w:rPr>
  </w:style>
  <w:style w:type="paragraph" w:styleId="NormalWeb">
    <w:name w:val="Normal (Web)"/>
    <w:basedOn w:val="Normal"/>
    <w:uiPriority w:val="99"/>
    <w:unhideWhenUsed/>
    <w:rsid w:val="000B54FF"/>
    <w:pPr>
      <w:spacing w:before="100" w:beforeAutospacing="1" w:after="100" w:afterAutospacing="1"/>
    </w:pPr>
    <w:rPr>
      <w:rFonts w:ascii="Times" w:hAnsi="Times"/>
      <w:sz w:val="20"/>
      <w:szCs w:val="20"/>
    </w:rPr>
  </w:style>
  <w:style w:type="character" w:customStyle="1" w:styleId="spipnoteref">
    <w:name w:val="spip_note_ref"/>
    <w:basedOn w:val="Policepardfaut"/>
    <w:rsid w:val="000B54FF"/>
  </w:style>
  <w:style w:type="paragraph" w:styleId="En-tte">
    <w:name w:val="header"/>
    <w:basedOn w:val="Normal"/>
    <w:link w:val="En-tteCar"/>
    <w:uiPriority w:val="99"/>
    <w:unhideWhenUsed/>
    <w:rsid w:val="00164F5B"/>
    <w:pPr>
      <w:tabs>
        <w:tab w:val="center" w:pos="4536"/>
        <w:tab w:val="right" w:pos="9072"/>
      </w:tabs>
    </w:pPr>
  </w:style>
  <w:style w:type="character" w:customStyle="1" w:styleId="En-tteCar">
    <w:name w:val="En-tête Car"/>
    <w:basedOn w:val="Policepardfaut"/>
    <w:link w:val="En-tte"/>
    <w:uiPriority w:val="99"/>
    <w:rsid w:val="00164F5B"/>
    <w:rPr>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561418">
      <w:bodyDiv w:val="1"/>
      <w:marLeft w:val="0"/>
      <w:marRight w:val="0"/>
      <w:marTop w:val="0"/>
      <w:marBottom w:val="0"/>
      <w:divBdr>
        <w:top w:val="none" w:sz="0" w:space="0" w:color="auto"/>
        <w:left w:val="none" w:sz="0" w:space="0" w:color="auto"/>
        <w:bottom w:val="none" w:sz="0" w:space="0" w:color="auto"/>
        <w:right w:val="none" w:sz="0" w:space="0" w:color="auto"/>
      </w:divBdr>
      <w:divsChild>
        <w:div w:id="1385250013">
          <w:marLeft w:val="0"/>
          <w:marRight w:val="0"/>
          <w:marTop w:val="0"/>
          <w:marBottom w:val="0"/>
          <w:divBdr>
            <w:top w:val="none" w:sz="0" w:space="0" w:color="auto"/>
            <w:left w:val="none" w:sz="0" w:space="0" w:color="auto"/>
            <w:bottom w:val="none" w:sz="0" w:space="0" w:color="auto"/>
            <w:right w:val="none" w:sz="0" w:space="0" w:color="auto"/>
          </w:divBdr>
        </w:div>
        <w:div w:id="383873621">
          <w:marLeft w:val="0"/>
          <w:marRight w:val="0"/>
          <w:marTop w:val="0"/>
          <w:marBottom w:val="0"/>
          <w:divBdr>
            <w:top w:val="none" w:sz="0" w:space="0" w:color="auto"/>
            <w:left w:val="none" w:sz="0" w:space="0" w:color="auto"/>
            <w:bottom w:val="none" w:sz="0" w:space="0" w:color="auto"/>
            <w:right w:val="none" w:sz="0" w:space="0" w:color="auto"/>
          </w:divBdr>
        </w:div>
        <w:div w:id="1449549397">
          <w:marLeft w:val="0"/>
          <w:marRight w:val="0"/>
          <w:marTop w:val="0"/>
          <w:marBottom w:val="0"/>
          <w:divBdr>
            <w:top w:val="none" w:sz="0" w:space="0" w:color="auto"/>
            <w:left w:val="none" w:sz="0" w:space="0" w:color="auto"/>
            <w:bottom w:val="none" w:sz="0" w:space="0" w:color="auto"/>
            <w:right w:val="none" w:sz="0" w:space="0" w:color="auto"/>
          </w:divBdr>
        </w:div>
        <w:div w:id="166940951">
          <w:marLeft w:val="0"/>
          <w:marRight w:val="0"/>
          <w:marTop w:val="0"/>
          <w:marBottom w:val="0"/>
          <w:divBdr>
            <w:top w:val="none" w:sz="0" w:space="0" w:color="auto"/>
            <w:left w:val="none" w:sz="0" w:space="0" w:color="auto"/>
            <w:bottom w:val="none" w:sz="0" w:space="0" w:color="auto"/>
            <w:right w:val="none" w:sz="0" w:space="0" w:color="auto"/>
          </w:divBdr>
        </w:div>
      </w:divsChild>
    </w:div>
    <w:div w:id="940914154">
      <w:bodyDiv w:val="1"/>
      <w:marLeft w:val="0"/>
      <w:marRight w:val="0"/>
      <w:marTop w:val="0"/>
      <w:marBottom w:val="0"/>
      <w:divBdr>
        <w:top w:val="none" w:sz="0" w:space="0" w:color="auto"/>
        <w:left w:val="none" w:sz="0" w:space="0" w:color="auto"/>
        <w:bottom w:val="none" w:sz="0" w:space="0" w:color="auto"/>
        <w:right w:val="none" w:sz="0" w:space="0" w:color="auto"/>
      </w:divBdr>
    </w:div>
    <w:div w:id="1123691215">
      <w:bodyDiv w:val="1"/>
      <w:marLeft w:val="0"/>
      <w:marRight w:val="0"/>
      <w:marTop w:val="0"/>
      <w:marBottom w:val="0"/>
      <w:divBdr>
        <w:top w:val="none" w:sz="0" w:space="0" w:color="auto"/>
        <w:left w:val="none" w:sz="0" w:space="0" w:color="auto"/>
        <w:bottom w:val="none" w:sz="0" w:space="0" w:color="auto"/>
        <w:right w:val="none" w:sz="0" w:space="0" w:color="auto"/>
      </w:divBdr>
      <w:divsChild>
        <w:div w:id="1533790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4604864">
      <w:bodyDiv w:val="1"/>
      <w:marLeft w:val="0"/>
      <w:marRight w:val="0"/>
      <w:marTop w:val="0"/>
      <w:marBottom w:val="0"/>
      <w:divBdr>
        <w:top w:val="none" w:sz="0" w:space="0" w:color="auto"/>
        <w:left w:val="none" w:sz="0" w:space="0" w:color="auto"/>
        <w:bottom w:val="none" w:sz="0" w:space="0" w:color="auto"/>
        <w:right w:val="none" w:sz="0" w:space="0" w:color="auto"/>
      </w:divBdr>
      <w:divsChild>
        <w:div w:id="221068443">
          <w:marLeft w:val="0"/>
          <w:marRight w:val="0"/>
          <w:marTop w:val="0"/>
          <w:marBottom w:val="0"/>
          <w:divBdr>
            <w:top w:val="none" w:sz="0" w:space="0" w:color="auto"/>
            <w:left w:val="none" w:sz="0" w:space="0" w:color="auto"/>
            <w:bottom w:val="none" w:sz="0" w:space="0" w:color="auto"/>
            <w:right w:val="none" w:sz="0" w:space="0" w:color="auto"/>
          </w:divBdr>
        </w:div>
        <w:div w:id="526677277">
          <w:marLeft w:val="0"/>
          <w:marRight w:val="0"/>
          <w:marTop w:val="0"/>
          <w:marBottom w:val="0"/>
          <w:divBdr>
            <w:top w:val="none" w:sz="0" w:space="0" w:color="auto"/>
            <w:left w:val="none" w:sz="0" w:space="0" w:color="auto"/>
            <w:bottom w:val="none" w:sz="0" w:space="0" w:color="auto"/>
            <w:right w:val="none" w:sz="0" w:space="0" w:color="auto"/>
          </w:divBdr>
        </w:div>
        <w:div w:id="330837217">
          <w:marLeft w:val="0"/>
          <w:marRight w:val="0"/>
          <w:marTop w:val="0"/>
          <w:marBottom w:val="0"/>
          <w:divBdr>
            <w:top w:val="none" w:sz="0" w:space="0" w:color="auto"/>
            <w:left w:val="none" w:sz="0" w:space="0" w:color="auto"/>
            <w:bottom w:val="none" w:sz="0" w:space="0" w:color="auto"/>
            <w:right w:val="none" w:sz="0" w:space="0" w:color="auto"/>
          </w:divBdr>
        </w:div>
        <w:div w:id="1065303401">
          <w:marLeft w:val="0"/>
          <w:marRight w:val="0"/>
          <w:marTop w:val="0"/>
          <w:marBottom w:val="0"/>
          <w:divBdr>
            <w:top w:val="none" w:sz="0" w:space="0" w:color="auto"/>
            <w:left w:val="none" w:sz="0" w:space="0" w:color="auto"/>
            <w:bottom w:val="none" w:sz="0" w:space="0" w:color="auto"/>
            <w:right w:val="none" w:sz="0" w:space="0" w:color="auto"/>
          </w:divBdr>
        </w:div>
        <w:div w:id="2005931205">
          <w:marLeft w:val="0"/>
          <w:marRight w:val="0"/>
          <w:marTop w:val="0"/>
          <w:marBottom w:val="0"/>
          <w:divBdr>
            <w:top w:val="none" w:sz="0" w:space="0" w:color="auto"/>
            <w:left w:val="none" w:sz="0" w:space="0" w:color="auto"/>
            <w:bottom w:val="none" w:sz="0" w:space="0" w:color="auto"/>
            <w:right w:val="none" w:sz="0" w:space="0" w:color="auto"/>
          </w:divBdr>
        </w:div>
        <w:div w:id="1224483199">
          <w:marLeft w:val="0"/>
          <w:marRight w:val="0"/>
          <w:marTop w:val="0"/>
          <w:marBottom w:val="0"/>
          <w:divBdr>
            <w:top w:val="none" w:sz="0" w:space="0" w:color="auto"/>
            <w:left w:val="none" w:sz="0" w:space="0" w:color="auto"/>
            <w:bottom w:val="none" w:sz="0" w:space="0" w:color="auto"/>
            <w:right w:val="none" w:sz="0" w:space="0" w:color="auto"/>
          </w:divBdr>
        </w:div>
        <w:div w:id="439304336">
          <w:marLeft w:val="0"/>
          <w:marRight w:val="0"/>
          <w:marTop w:val="0"/>
          <w:marBottom w:val="0"/>
          <w:divBdr>
            <w:top w:val="none" w:sz="0" w:space="0" w:color="auto"/>
            <w:left w:val="none" w:sz="0" w:space="0" w:color="auto"/>
            <w:bottom w:val="none" w:sz="0" w:space="0" w:color="auto"/>
            <w:right w:val="none" w:sz="0" w:space="0" w:color="auto"/>
          </w:divBdr>
        </w:div>
        <w:div w:id="1963799630">
          <w:marLeft w:val="0"/>
          <w:marRight w:val="0"/>
          <w:marTop w:val="0"/>
          <w:marBottom w:val="0"/>
          <w:divBdr>
            <w:top w:val="none" w:sz="0" w:space="0" w:color="auto"/>
            <w:left w:val="none" w:sz="0" w:space="0" w:color="auto"/>
            <w:bottom w:val="none" w:sz="0" w:space="0" w:color="auto"/>
            <w:right w:val="none" w:sz="0" w:space="0" w:color="auto"/>
          </w:divBdr>
        </w:div>
        <w:div w:id="875506943">
          <w:marLeft w:val="0"/>
          <w:marRight w:val="0"/>
          <w:marTop w:val="0"/>
          <w:marBottom w:val="0"/>
          <w:divBdr>
            <w:top w:val="none" w:sz="0" w:space="0" w:color="auto"/>
            <w:left w:val="none" w:sz="0" w:space="0" w:color="auto"/>
            <w:bottom w:val="none" w:sz="0" w:space="0" w:color="auto"/>
            <w:right w:val="none" w:sz="0" w:space="0" w:color="auto"/>
          </w:divBdr>
        </w:div>
        <w:div w:id="995573240">
          <w:marLeft w:val="0"/>
          <w:marRight w:val="0"/>
          <w:marTop w:val="0"/>
          <w:marBottom w:val="0"/>
          <w:divBdr>
            <w:top w:val="none" w:sz="0" w:space="0" w:color="auto"/>
            <w:left w:val="none" w:sz="0" w:space="0" w:color="auto"/>
            <w:bottom w:val="none" w:sz="0" w:space="0" w:color="auto"/>
            <w:right w:val="none" w:sz="0" w:space="0" w:color="auto"/>
          </w:divBdr>
        </w:div>
        <w:div w:id="2143377598">
          <w:marLeft w:val="0"/>
          <w:marRight w:val="0"/>
          <w:marTop w:val="0"/>
          <w:marBottom w:val="0"/>
          <w:divBdr>
            <w:top w:val="none" w:sz="0" w:space="0" w:color="auto"/>
            <w:left w:val="none" w:sz="0" w:space="0" w:color="auto"/>
            <w:bottom w:val="none" w:sz="0" w:space="0" w:color="auto"/>
            <w:right w:val="none" w:sz="0" w:space="0" w:color="auto"/>
          </w:divBdr>
        </w:div>
        <w:div w:id="350838698">
          <w:marLeft w:val="0"/>
          <w:marRight w:val="0"/>
          <w:marTop w:val="0"/>
          <w:marBottom w:val="0"/>
          <w:divBdr>
            <w:top w:val="none" w:sz="0" w:space="0" w:color="auto"/>
            <w:left w:val="none" w:sz="0" w:space="0" w:color="auto"/>
            <w:bottom w:val="none" w:sz="0" w:space="0" w:color="auto"/>
            <w:right w:val="none" w:sz="0" w:space="0" w:color="auto"/>
          </w:divBdr>
        </w:div>
        <w:div w:id="671682532">
          <w:marLeft w:val="0"/>
          <w:marRight w:val="0"/>
          <w:marTop w:val="0"/>
          <w:marBottom w:val="0"/>
          <w:divBdr>
            <w:top w:val="none" w:sz="0" w:space="0" w:color="auto"/>
            <w:left w:val="none" w:sz="0" w:space="0" w:color="auto"/>
            <w:bottom w:val="none" w:sz="0" w:space="0" w:color="auto"/>
            <w:right w:val="none" w:sz="0" w:space="0" w:color="auto"/>
          </w:divBdr>
        </w:div>
        <w:div w:id="759764326">
          <w:marLeft w:val="0"/>
          <w:marRight w:val="0"/>
          <w:marTop w:val="0"/>
          <w:marBottom w:val="0"/>
          <w:divBdr>
            <w:top w:val="none" w:sz="0" w:space="0" w:color="auto"/>
            <w:left w:val="none" w:sz="0" w:space="0" w:color="auto"/>
            <w:bottom w:val="none" w:sz="0" w:space="0" w:color="auto"/>
            <w:right w:val="none" w:sz="0" w:space="0" w:color="auto"/>
          </w:divBdr>
        </w:div>
        <w:div w:id="2020811576">
          <w:marLeft w:val="0"/>
          <w:marRight w:val="0"/>
          <w:marTop w:val="0"/>
          <w:marBottom w:val="0"/>
          <w:divBdr>
            <w:top w:val="none" w:sz="0" w:space="0" w:color="auto"/>
            <w:left w:val="none" w:sz="0" w:space="0" w:color="auto"/>
            <w:bottom w:val="none" w:sz="0" w:space="0" w:color="auto"/>
            <w:right w:val="none" w:sz="0" w:space="0" w:color="auto"/>
          </w:divBdr>
        </w:div>
        <w:div w:id="739211562">
          <w:marLeft w:val="0"/>
          <w:marRight w:val="0"/>
          <w:marTop w:val="0"/>
          <w:marBottom w:val="0"/>
          <w:divBdr>
            <w:top w:val="none" w:sz="0" w:space="0" w:color="auto"/>
            <w:left w:val="none" w:sz="0" w:space="0" w:color="auto"/>
            <w:bottom w:val="none" w:sz="0" w:space="0" w:color="auto"/>
            <w:right w:val="none" w:sz="0" w:space="0" w:color="auto"/>
          </w:divBdr>
        </w:div>
        <w:div w:id="1555585739">
          <w:marLeft w:val="0"/>
          <w:marRight w:val="0"/>
          <w:marTop w:val="0"/>
          <w:marBottom w:val="0"/>
          <w:divBdr>
            <w:top w:val="none" w:sz="0" w:space="0" w:color="auto"/>
            <w:left w:val="none" w:sz="0" w:space="0" w:color="auto"/>
            <w:bottom w:val="none" w:sz="0" w:space="0" w:color="auto"/>
            <w:right w:val="none" w:sz="0" w:space="0" w:color="auto"/>
          </w:divBdr>
        </w:div>
        <w:div w:id="1183930649">
          <w:marLeft w:val="0"/>
          <w:marRight w:val="0"/>
          <w:marTop w:val="0"/>
          <w:marBottom w:val="0"/>
          <w:divBdr>
            <w:top w:val="none" w:sz="0" w:space="0" w:color="auto"/>
            <w:left w:val="none" w:sz="0" w:space="0" w:color="auto"/>
            <w:bottom w:val="none" w:sz="0" w:space="0" w:color="auto"/>
            <w:right w:val="none" w:sz="0" w:space="0" w:color="auto"/>
          </w:divBdr>
        </w:div>
        <w:div w:id="1043557503">
          <w:marLeft w:val="0"/>
          <w:marRight w:val="0"/>
          <w:marTop w:val="0"/>
          <w:marBottom w:val="0"/>
          <w:divBdr>
            <w:top w:val="none" w:sz="0" w:space="0" w:color="auto"/>
            <w:left w:val="none" w:sz="0" w:space="0" w:color="auto"/>
            <w:bottom w:val="none" w:sz="0" w:space="0" w:color="auto"/>
            <w:right w:val="none" w:sz="0" w:space="0" w:color="auto"/>
          </w:divBdr>
        </w:div>
        <w:div w:id="1804737754">
          <w:marLeft w:val="0"/>
          <w:marRight w:val="0"/>
          <w:marTop w:val="0"/>
          <w:marBottom w:val="0"/>
          <w:divBdr>
            <w:top w:val="none" w:sz="0" w:space="0" w:color="auto"/>
            <w:left w:val="none" w:sz="0" w:space="0" w:color="auto"/>
            <w:bottom w:val="none" w:sz="0" w:space="0" w:color="auto"/>
            <w:right w:val="none" w:sz="0" w:space="0" w:color="auto"/>
          </w:divBdr>
        </w:div>
        <w:div w:id="1674725607">
          <w:marLeft w:val="0"/>
          <w:marRight w:val="0"/>
          <w:marTop w:val="0"/>
          <w:marBottom w:val="0"/>
          <w:divBdr>
            <w:top w:val="none" w:sz="0" w:space="0" w:color="auto"/>
            <w:left w:val="none" w:sz="0" w:space="0" w:color="auto"/>
            <w:bottom w:val="none" w:sz="0" w:space="0" w:color="auto"/>
            <w:right w:val="none" w:sz="0" w:space="0" w:color="auto"/>
          </w:divBdr>
        </w:div>
        <w:div w:id="1561743737">
          <w:marLeft w:val="0"/>
          <w:marRight w:val="0"/>
          <w:marTop w:val="0"/>
          <w:marBottom w:val="0"/>
          <w:divBdr>
            <w:top w:val="none" w:sz="0" w:space="0" w:color="auto"/>
            <w:left w:val="none" w:sz="0" w:space="0" w:color="auto"/>
            <w:bottom w:val="none" w:sz="0" w:space="0" w:color="auto"/>
            <w:right w:val="none" w:sz="0" w:space="0" w:color="auto"/>
          </w:divBdr>
        </w:div>
        <w:div w:id="1025328450">
          <w:marLeft w:val="0"/>
          <w:marRight w:val="0"/>
          <w:marTop w:val="0"/>
          <w:marBottom w:val="0"/>
          <w:divBdr>
            <w:top w:val="none" w:sz="0" w:space="0" w:color="auto"/>
            <w:left w:val="none" w:sz="0" w:space="0" w:color="auto"/>
            <w:bottom w:val="none" w:sz="0" w:space="0" w:color="auto"/>
            <w:right w:val="none" w:sz="0" w:space="0" w:color="auto"/>
          </w:divBdr>
        </w:div>
        <w:div w:id="551966138">
          <w:marLeft w:val="0"/>
          <w:marRight w:val="0"/>
          <w:marTop w:val="0"/>
          <w:marBottom w:val="0"/>
          <w:divBdr>
            <w:top w:val="none" w:sz="0" w:space="0" w:color="auto"/>
            <w:left w:val="none" w:sz="0" w:space="0" w:color="auto"/>
            <w:bottom w:val="none" w:sz="0" w:space="0" w:color="auto"/>
            <w:right w:val="none" w:sz="0" w:space="0" w:color="auto"/>
          </w:divBdr>
        </w:div>
        <w:div w:id="1349798214">
          <w:marLeft w:val="0"/>
          <w:marRight w:val="0"/>
          <w:marTop w:val="0"/>
          <w:marBottom w:val="0"/>
          <w:divBdr>
            <w:top w:val="none" w:sz="0" w:space="0" w:color="auto"/>
            <w:left w:val="none" w:sz="0" w:space="0" w:color="auto"/>
            <w:bottom w:val="none" w:sz="0" w:space="0" w:color="auto"/>
            <w:right w:val="none" w:sz="0" w:space="0" w:color="auto"/>
          </w:divBdr>
        </w:div>
        <w:div w:id="835878552">
          <w:marLeft w:val="0"/>
          <w:marRight w:val="0"/>
          <w:marTop w:val="0"/>
          <w:marBottom w:val="0"/>
          <w:divBdr>
            <w:top w:val="none" w:sz="0" w:space="0" w:color="auto"/>
            <w:left w:val="none" w:sz="0" w:space="0" w:color="auto"/>
            <w:bottom w:val="none" w:sz="0" w:space="0" w:color="auto"/>
            <w:right w:val="none" w:sz="0" w:space="0" w:color="auto"/>
          </w:divBdr>
        </w:div>
        <w:div w:id="1154446752">
          <w:marLeft w:val="0"/>
          <w:marRight w:val="0"/>
          <w:marTop w:val="0"/>
          <w:marBottom w:val="0"/>
          <w:divBdr>
            <w:top w:val="none" w:sz="0" w:space="0" w:color="auto"/>
            <w:left w:val="none" w:sz="0" w:space="0" w:color="auto"/>
            <w:bottom w:val="none" w:sz="0" w:space="0" w:color="auto"/>
            <w:right w:val="none" w:sz="0" w:space="0" w:color="auto"/>
          </w:divBdr>
        </w:div>
        <w:div w:id="687219085">
          <w:marLeft w:val="0"/>
          <w:marRight w:val="0"/>
          <w:marTop w:val="0"/>
          <w:marBottom w:val="0"/>
          <w:divBdr>
            <w:top w:val="none" w:sz="0" w:space="0" w:color="auto"/>
            <w:left w:val="none" w:sz="0" w:space="0" w:color="auto"/>
            <w:bottom w:val="none" w:sz="0" w:space="0" w:color="auto"/>
            <w:right w:val="none" w:sz="0" w:space="0" w:color="auto"/>
          </w:divBdr>
        </w:div>
        <w:div w:id="598106147">
          <w:marLeft w:val="0"/>
          <w:marRight w:val="0"/>
          <w:marTop w:val="0"/>
          <w:marBottom w:val="0"/>
          <w:divBdr>
            <w:top w:val="none" w:sz="0" w:space="0" w:color="auto"/>
            <w:left w:val="none" w:sz="0" w:space="0" w:color="auto"/>
            <w:bottom w:val="none" w:sz="0" w:space="0" w:color="auto"/>
            <w:right w:val="none" w:sz="0" w:space="0" w:color="auto"/>
          </w:divBdr>
        </w:div>
        <w:div w:id="832835901">
          <w:marLeft w:val="0"/>
          <w:marRight w:val="0"/>
          <w:marTop w:val="0"/>
          <w:marBottom w:val="0"/>
          <w:divBdr>
            <w:top w:val="none" w:sz="0" w:space="0" w:color="auto"/>
            <w:left w:val="none" w:sz="0" w:space="0" w:color="auto"/>
            <w:bottom w:val="none" w:sz="0" w:space="0" w:color="auto"/>
            <w:right w:val="none" w:sz="0" w:space="0" w:color="auto"/>
          </w:divBdr>
        </w:div>
        <w:div w:id="1548952121">
          <w:marLeft w:val="0"/>
          <w:marRight w:val="0"/>
          <w:marTop w:val="0"/>
          <w:marBottom w:val="0"/>
          <w:divBdr>
            <w:top w:val="none" w:sz="0" w:space="0" w:color="auto"/>
            <w:left w:val="none" w:sz="0" w:space="0" w:color="auto"/>
            <w:bottom w:val="none" w:sz="0" w:space="0" w:color="auto"/>
            <w:right w:val="none" w:sz="0" w:space="0" w:color="auto"/>
          </w:divBdr>
        </w:div>
        <w:div w:id="2095348807">
          <w:marLeft w:val="0"/>
          <w:marRight w:val="0"/>
          <w:marTop w:val="0"/>
          <w:marBottom w:val="0"/>
          <w:divBdr>
            <w:top w:val="none" w:sz="0" w:space="0" w:color="auto"/>
            <w:left w:val="none" w:sz="0" w:space="0" w:color="auto"/>
            <w:bottom w:val="none" w:sz="0" w:space="0" w:color="auto"/>
            <w:right w:val="none" w:sz="0" w:space="0" w:color="auto"/>
          </w:divBdr>
        </w:div>
        <w:div w:id="1873957972">
          <w:marLeft w:val="0"/>
          <w:marRight w:val="0"/>
          <w:marTop w:val="0"/>
          <w:marBottom w:val="0"/>
          <w:divBdr>
            <w:top w:val="none" w:sz="0" w:space="0" w:color="auto"/>
            <w:left w:val="none" w:sz="0" w:space="0" w:color="auto"/>
            <w:bottom w:val="none" w:sz="0" w:space="0" w:color="auto"/>
            <w:right w:val="none" w:sz="0" w:space="0" w:color="auto"/>
          </w:divBdr>
        </w:div>
        <w:div w:id="886641865">
          <w:marLeft w:val="0"/>
          <w:marRight w:val="0"/>
          <w:marTop w:val="0"/>
          <w:marBottom w:val="0"/>
          <w:divBdr>
            <w:top w:val="none" w:sz="0" w:space="0" w:color="auto"/>
            <w:left w:val="none" w:sz="0" w:space="0" w:color="auto"/>
            <w:bottom w:val="none" w:sz="0" w:space="0" w:color="auto"/>
            <w:right w:val="none" w:sz="0" w:space="0" w:color="auto"/>
          </w:divBdr>
        </w:div>
        <w:div w:id="1751845830">
          <w:marLeft w:val="0"/>
          <w:marRight w:val="0"/>
          <w:marTop w:val="0"/>
          <w:marBottom w:val="0"/>
          <w:divBdr>
            <w:top w:val="none" w:sz="0" w:space="0" w:color="auto"/>
            <w:left w:val="none" w:sz="0" w:space="0" w:color="auto"/>
            <w:bottom w:val="none" w:sz="0" w:space="0" w:color="auto"/>
            <w:right w:val="none" w:sz="0" w:space="0" w:color="auto"/>
          </w:divBdr>
        </w:div>
        <w:div w:id="608972531">
          <w:marLeft w:val="0"/>
          <w:marRight w:val="0"/>
          <w:marTop w:val="0"/>
          <w:marBottom w:val="0"/>
          <w:divBdr>
            <w:top w:val="none" w:sz="0" w:space="0" w:color="auto"/>
            <w:left w:val="none" w:sz="0" w:space="0" w:color="auto"/>
            <w:bottom w:val="none" w:sz="0" w:space="0" w:color="auto"/>
            <w:right w:val="none" w:sz="0" w:space="0" w:color="auto"/>
          </w:divBdr>
        </w:div>
        <w:div w:id="1058241000">
          <w:marLeft w:val="0"/>
          <w:marRight w:val="0"/>
          <w:marTop w:val="0"/>
          <w:marBottom w:val="0"/>
          <w:divBdr>
            <w:top w:val="none" w:sz="0" w:space="0" w:color="auto"/>
            <w:left w:val="none" w:sz="0" w:space="0" w:color="auto"/>
            <w:bottom w:val="none" w:sz="0" w:space="0" w:color="auto"/>
            <w:right w:val="none" w:sz="0" w:space="0" w:color="auto"/>
          </w:divBdr>
        </w:div>
        <w:div w:id="1453939096">
          <w:marLeft w:val="0"/>
          <w:marRight w:val="0"/>
          <w:marTop w:val="0"/>
          <w:marBottom w:val="0"/>
          <w:divBdr>
            <w:top w:val="none" w:sz="0" w:space="0" w:color="auto"/>
            <w:left w:val="none" w:sz="0" w:space="0" w:color="auto"/>
            <w:bottom w:val="none" w:sz="0" w:space="0" w:color="auto"/>
            <w:right w:val="none" w:sz="0" w:space="0" w:color="auto"/>
          </w:divBdr>
        </w:div>
        <w:div w:id="855583663">
          <w:marLeft w:val="0"/>
          <w:marRight w:val="0"/>
          <w:marTop w:val="0"/>
          <w:marBottom w:val="0"/>
          <w:divBdr>
            <w:top w:val="none" w:sz="0" w:space="0" w:color="auto"/>
            <w:left w:val="none" w:sz="0" w:space="0" w:color="auto"/>
            <w:bottom w:val="none" w:sz="0" w:space="0" w:color="auto"/>
            <w:right w:val="none" w:sz="0" w:space="0" w:color="auto"/>
          </w:divBdr>
        </w:div>
        <w:div w:id="1822303735">
          <w:marLeft w:val="0"/>
          <w:marRight w:val="0"/>
          <w:marTop w:val="0"/>
          <w:marBottom w:val="0"/>
          <w:divBdr>
            <w:top w:val="none" w:sz="0" w:space="0" w:color="auto"/>
            <w:left w:val="none" w:sz="0" w:space="0" w:color="auto"/>
            <w:bottom w:val="none" w:sz="0" w:space="0" w:color="auto"/>
            <w:right w:val="none" w:sz="0" w:space="0" w:color="auto"/>
          </w:divBdr>
        </w:div>
        <w:div w:id="2036078121">
          <w:marLeft w:val="0"/>
          <w:marRight w:val="0"/>
          <w:marTop w:val="0"/>
          <w:marBottom w:val="0"/>
          <w:divBdr>
            <w:top w:val="none" w:sz="0" w:space="0" w:color="auto"/>
            <w:left w:val="none" w:sz="0" w:space="0" w:color="auto"/>
            <w:bottom w:val="none" w:sz="0" w:space="0" w:color="auto"/>
            <w:right w:val="none" w:sz="0" w:space="0" w:color="auto"/>
          </w:divBdr>
        </w:div>
        <w:div w:id="779026864">
          <w:marLeft w:val="0"/>
          <w:marRight w:val="0"/>
          <w:marTop w:val="0"/>
          <w:marBottom w:val="0"/>
          <w:divBdr>
            <w:top w:val="none" w:sz="0" w:space="0" w:color="auto"/>
            <w:left w:val="none" w:sz="0" w:space="0" w:color="auto"/>
            <w:bottom w:val="none" w:sz="0" w:space="0" w:color="auto"/>
            <w:right w:val="none" w:sz="0" w:space="0" w:color="auto"/>
          </w:divBdr>
        </w:div>
        <w:div w:id="1409425493">
          <w:marLeft w:val="0"/>
          <w:marRight w:val="0"/>
          <w:marTop w:val="0"/>
          <w:marBottom w:val="0"/>
          <w:divBdr>
            <w:top w:val="none" w:sz="0" w:space="0" w:color="auto"/>
            <w:left w:val="none" w:sz="0" w:space="0" w:color="auto"/>
            <w:bottom w:val="none" w:sz="0" w:space="0" w:color="auto"/>
            <w:right w:val="none" w:sz="0" w:space="0" w:color="auto"/>
          </w:divBdr>
        </w:div>
        <w:div w:id="1875380572">
          <w:marLeft w:val="0"/>
          <w:marRight w:val="0"/>
          <w:marTop w:val="0"/>
          <w:marBottom w:val="0"/>
          <w:divBdr>
            <w:top w:val="none" w:sz="0" w:space="0" w:color="auto"/>
            <w:left w:val="none" w:sz="0" w:space="0" w:color="auto"/>
            <w:bottom w:val="none" w:sz="0" w:space="0" w:color="auto"/>
            <w:right w:val="none" w:sz="0" w:space="0" w:color="auto"/>
          </w:divBdr>
        </w:div>
        <w:div w:id="441648748">
          <w:marLeft w:val="0"/>
          <w:marRight w:val="0"/>
          <w:marTop w:val="0"/>
          <w:marBottom w:val="0"/>
          <w:divBdr>
            <w:top w:val="none" w:sz="0" w:space="0" w:color="auto"/>
            <w:left w:val="none" w:sz="0" w:space="0" w:color="auto"/>
            <w:bottom w:val="none" w:sz="0" w:space="0" w:color="auto"/>
            <w:right w:val="none" w:sz="0" w:space="0" w:color="auto"/>
          </w:divBdr>
        </w:div>
        <w:div w:id="1604806588">
          <w:marLeft w:val="0"/>
          <w:marRight w:val="0"/>
          <w:marTop w:val="0"/>
          <w:marBottom w:val="0"/>
          <w:divBdr>
            <w:top w:val="none" w:sz="0" w:space="0" w:color="auto"/>
            <w:left w:val="none" w:sz="0" w:space="0" w:color="auto"/>
            <w:bottom w:val="none" w:sz="0" w:space="0" w:color="auto"/>
            <w:right w:val="none" w:sz="0" w:space="0" w:color="auto"/>
          </w:divBdr>
        </w:div>
        <w:div w:id="988945933">
          <w:marLeft w:val="0"/>
          <w:marRight w:val="0"/>
          <w:marTop w:val="0"/>
          <w:marBottom w:val="0"/>
          <w:divBdr>
            <w:top w:val="none" w:sz="0" w:space="0" w:color="auto"/>
            <w:left w:val="none" w:sz="0" w:space="0" w:color="auto"/>
            <w:bottom w:val="none" w:sz="0" w:space="0" w:color="auto"/>
            <w:right w:val="none" w:sz="0" w:space="0" w:color="auto"/>
          </w:divBdr>
        </w:div>
        <w:div w:id="1890025312">
          <w:marLeft w:val="0"/>
          <w:marRight w:val="0"/>
          <w:marTop w:val="0"/>
          <w:marBottom w:val="0"/>
          <w:divBdr>
            <w:top w:val="none" w:sz="0" w:space="0" w:color="auto"/>
            <w:left w:val="none" w:sz="0" w:space="0" w:color="auto"/>
            <w:bottom w:val="none" w:sz="0" w:space="0" w:color="auto"/>
            <w:right w:val="none" w:sz="0" w:space="0" w:color="auto"/>
          </w:divBdr>
        </w:div>
        <w:div w:id="957177442">
          <w:marLeft w:val="0"/>
          <w:marRight w:val="0"/>
          <w:marTop w:val="0"/>
          <w:marBottom w:val="0"/>
          <w:divBdr>
            <w:top w:val="none" w:sz="0" w:space="0" w:color="auto"/>
            <w:left w:val="none" w:sz="0" w:space="0" w:color="auto"/>
            <w:bottom w:val="none" w:sz="0" w:space="0" w:color="auto"/>
            <w:right w:val="none" w:sz="0" w:space="0" w:color="auto"/>
          </w:divBdr>
        </w:div>
        <w:div w:id="1969697867">
          <w:marLeft w:val="0"/>
          <w:marRight w:val="0"/>
          <w:marTop w:val="0"/>
          <w:marBottom w:val="0"/>
          <w:divBdr>
            <w:top w:val="none" w:sz="0" w:space="0" w:color="auto"/>
            <w:left w:val="none" w:sz="0" w:space="0" w:color="auto"/>
            <w:bottom w:val="none" w:sz="0" w:space="0" w:color="auto"/>
            <w:right w:val="none" w:sz="0" w:space="0" w:color="auto"/>
          </w:divBdr>
        </w:div>
        <w:div w:id="748307853">
          <w:marLeft w:val="0"/>
          <w:marRight w:val="0"/>
          <w:marTop w:val="0"/>
          <w:marBottom w:val="0"/>
          <w:divBdr>
            <w:top w:val="none" w:sz="0" w:space="0" w:color="auto"/>
            <w:left w:val="none" w:sz="0" w:space="0" w:color="auto"/>
            <w:bottom w:val="none" w:sz="0" w:space="0" w:color="auto"/>
            <w:right w:val="none" w:sz="0" w:space="0" w:color="auto"/>
          </w:divBdr>
        </w:div>
        <w:div w:id="1114516048">
          <w:marLeft w:val="0"/>
          <w:marRight w:val="0"/>
          <w:marTop w:val="0"/>
          <w:marBottom w:val="0"/>
          <w:divBdr>
            <w:top w:val="none" w:sz="0" w:space="0" w:color="auto"/>
            <w:left w:val="none" w:sz="0" w:space="0" w:color="auto"/>
            <w:bottom w:val="none" w:sz="0" w:space="0" w:color="auto"/>
            <w:right w:val="none" w:sz="0" w:space="0" w:color="auto"/>
          </w:divBdr>
        </w:div>
        <w:div w:id="1407265180">
          <w:marLeft w:val="0"/>
          <w:marRight w:val="0"/>
          <w:marTop w:val="0"/>
          <w:marBottom w:val="0"/>
          <w:divBdr>
            <w:top w:val="none" w:sz="0" w:space="0" w:color="auto"/>
            <w:left w:val="none" w:sz="0" w:space="0" w:color="auto"/>
            <w:bottom w:val="none" w:sz="0" w:space="0" w:color="auto"/>
            <w:right w:val="none" w:sz="0" w:space="0" w:color="auto"/>
          </w:divBdr>
        </w:div>
        <w:div w:id="1558280531">
          <w:marLeft w:val="0"/>
          <w:marRight w:val="0"/>
          <w:marTop w:val="0"/>
          <w:marBottom w:val="0"/>
          <w:divBdr>
            <w:top w:val="none" w:sz="0" w:space="0" w:color="auto"/>
            <w:left w:val="none" w:sz="0" w:space="0" w:color="auto"/>
            <w:bottom w:val="none" w:sz="0" w:space="0" w:color="auto"/>
            <w:right w:val="none" w:sz="0" w:space="0" w:color="auto"/>
          </w:divBdr>
        </w:div>
        <w:div w:id="555943276">
          <w:marLeft w:val="0"/>
          <w:marRight w:val="0"/>
          <w:marTop w:val="0"/>
          <w:marBottom w:val="0"/>
          <w:divBdr>
            <w:top w:val="none" w:sz="0" w:space="0" w:color="auto"/>
            <w:left w:val="none" w:sz="0" w:space="0" w:color="auto"/>
            <w:bottom w:val="none" w:sz="0" w:space="0" w:color="auto"/>
            <w:right w:val="none" w:sz="0" w:space="0" w:color="auto"/>
          </w:divBdr>
        </w:div>
        <w:div w:id="391848643">
          <w:marLeft w:val="0"/>
          <w:marRight w:val="0"/>
          <w:marTop w:val="0"/>
          <w:marBottom w:val="0"/>
          <w:divBdr>
            <w:top w:val="none" w:sz="0" w:space="0" w:color="auto"/>
            <w:left w:val="none" w:sz="0" w:space="0" w:color="auto"/>
            <w:bottom w:val="none" w:sz="0" w:space="0" w:color="auto"/>
            <w:right w:val="none" w:sz="0" w:space="0" w:color="auto"/>
          </w:divBdr>
        </w:div>
        <w:div w:id="708719799">
          <w:marLeft w:val="0"/>
          <w:marRight w:val="0"/>
          <w:marTop w:val="0"/>
          <w:marBottom w:val="0"/>
          <w:divBdr>
            <w:top w:val="none" w:sz="0" w:space="0" w:color="auto"/>
            <w:left w:val="none" w:sz="0" w:space="0" w:color="auto"/>
            <w:bottom w:val="none" w:sz="0" w:space="0" w:color="auto"/>
            <w:right w:val="none" w:sz="0" w:space="0" w:color="auto"/>
          </w:divBdr>
        </w:div>
        <w:div w:id="1949654852">
          <w:marLeft w:val="0"/>
          <w:marRight w:val="0"/>
          <w:marTop w:val="0"/>
          <w:marBottom w:val="0"/>
          <w:divBdr>
            <w:top w:val="none" w:sz="0" w:space="0" w:color="auto"/>
            <w:left w:val="none" w:sz="0" w:space="0" w:color="auto"/>
            <w:bottom w:val="none" w:sz="0" w:space="0" w:color="auto"/>
            <w:right w:val="none" w:sz="0" w:space="0" w:color="auto"/>
          </w:divBdr>
        </w:div>
        <w:div w:id="1282298311">
          <w:marLeft w:val="0"/>
          <w:marRight w:val="0"/>
          <w:marTop w:val="0"/>
          <w:marBottom w:val="0"/>
          <w:divBdr>
            <w:top w:val="none" w:sz="0" w:space="0" w:color="auto"/>
            <w:left w:val="none" w:sz="0" w:space="0" w:color="auto"/>
            <w:bottom w:val="none" w:sz="0" w:space="0" w:color="auto"/>
            <w:right w:val="none" w:sz="0" w:space="0" w:color="auto"/>
          </w:divBdr>
        </w:div>
        <w:div w:id="1319964844">
          <w:marLeft w:val="0"/>
          <w:marRight w:val="0"/>
          <w:marTop w:val="0"/>
          <w:marBottom w:val="0"/>
          <w:divBdr>
            <w:top w:val="none" w:sz="0" w:space="0" w:color="auto"/>
            <w:left w:val="none" w:sz="0" w:space="0" w:color="auto"/>
            <w:bottom w:val="none" w:sz="0" w:space="0" w:color="auto"/>
            <w:right w:val="none" w:sz="0" w:space="0" w:color="auto"/>
          </w:divBdr>
        </w:div>
        <w:div w:id="912469256">
          <w:marLeft w:val="0"/>
          <w:marRight w:val="0"/>
          <w:marTop w:val="0"/>
          <w:marBottom w:val="0"/>
          <w:divBdr>
            <w:top w:val="none" w:sz="0" w:space="0" w:color="auto"/>
            <w:left w:val="none" w:sz="0" w:space="0" w:color="auto"/>
            <w:bottom w:val="none" w:sz="0" w:space="0" w:color="auto"/>
            <w:right w:val="none" w:sz="0" w:space="0" w:color="auto"/>
          </w:divBdr>
        </w:div>
        <w:div w:id="380904089">
          <w:marLeft w:val="0"/>
          <w:marRight w:val="0"/>
          <w:marTop w:val="0"/>
          <w:marBottom w:val="0"/>
          <w:divBdr>
            <w:top w:val="none" w:sz="0" w:space="0" w:color="auto"/>
            <w:left w:val="none" w:sz="0" w:space="0" w:color="auto"/>
            <w:bottom w:val="none" w:sz="0" w:space="0" w:color="auto"/>
            <w:right w:val="none" w:sz="0" w:space="0" w:color="auto"/>
          </w:divBdr>
        </w:div>
      </w:divsChild>
    </w:div>
    <w:div w:id="16828529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afsp.msh-paris.fr/archives/2002/genretxt/marques.pdf" TargetMode="External"/><Relationship Id="rId10" Type="http://schemas.openxmlformats.org/officeDocument/2006/relationships/hyperlink" Target="http://www.participation-et-democratie.fr/es/dico/emancipation"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A5670-E971-884F-A4F5-56D6DC983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14</Pages>
  <Words>7417</Words>
  <Characters>41536</Characters>
  <Application>Microsoft Macintosh Word</Application>
  <DocSecurity>0</DocSecurity>
  <Lines>619</Lines>
  <Paragraphs>77</Paragraphs>
  <ScaleCrop>false</ScaleCrop>
  <Company/>
  <LinksUpToDate>false</LinksUpToDate>
  <CharactersWithSpaces>48876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 Paoletti</dc:creator>
  <cp:keywords/>
  <dc:description/>
  <cp:lastModifiedBy>RUI</cp:lastModifiedBy>
  <cp:revision>3</cp:revision>
  <cp:lastPrinted>2015-06-21T13:08:00Z</cp:lastPrinted>
  <dcterms:created xsi:type="dcterms:W3CDTF">2015-06-25T05:14:00Z</dcterms:created>
  <dcterms:modified xsi:type="dcterms:W3CDTF">2015-06-25T05:45:00Z</dcterms:modified>
</cp:coreProperties>
</file>