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93D" w:rsidRPr="003F34DC" w:rsidRDefault="0089580A">
      <w:pPr>
        <w:rPr>
          <w:rFonts w:ascii="Times New Roman" w:hAnsi="Times New Roman" w:cs="Times New Roman"/>
          <w:b/>
          <w:lang w:val="es-ES"/>
        </w:rPr>
      </w:pPr>
      <w:r>
        <w:rPr>
          <w:rFonts w:ascii="Times New Roman" w:hAnsi="Times New Roman" w:cs="Times New Roman"/>
          <w:b/>
          <w:lang w:val="es-ES"/>
        </w:rPr>
        <w:t>Feminización del cuerpo humano</w:t>
      </w:r>
      <w:r w:rsidR="003F34DC" w:rsidRPr="003F34DC">
        <w:rPr>
          <w:rFonts w:ascii="Times New Roman" w:hAnsi="Times New Roman" w:cs="Times New Roman"/>
          <w:b/>
          <w:lang w:val="es-ES"/>
        </w:rPr>
        <w:t>: poder y propiedad</w:t>
      </w:r>
    </w:p>
    <w:p w:rsidR="003F34DC" w:rsidRPr="00074974" w:rsidRDefault="003F34DC">
      <w:pPr>
        <w:rPr>
          <w:rFonts w:ascii="Times New Roman" w:hAnsi="Times New Roman" w:cs="Times New Roman"/>
          <w:lang w:val="es-ES"/>
        </w:rPr>
      </w:pPr>
      <w:r w:rsidRPr="003F34DC">
        <w:rPr>
          <w:rFonts w:ascii="Times New Roman" w:hAnsi="Times New Roman" w:cs="Times New Roman"/>
          <w:lang w:val="es-ES"/>
        </w:rPr>
        <w:t>Elena Beltrán</w:t>
      </w:r>
      <w:r>
        <w:rPr>
          <w:rFonts w:ascii="Times New Roman" w:hAnsi="Times New Roman" w:cs="Times New Roman"/>
          <w:lang w:val="es-ES"/>
        </w:rPr>
        <w:t xml:space="preserve"> (Universidad Autónoma de Madrid)</w:t>
      </w:r>
    </w:p>
    <w:p w:rsidR="00C37175" w:rsidRPr="00074974" w:rsidRDefault="00C37175">
      <w:pPr>
        <w:rPr>
          <w:rFonts w:ascii="Times New Roman" w:hAnsi="Times New Roman" w:cs="Times New Roman"/>
          <w:lang w:val="es-ES"/>
        </w:rPr>
      </w:pPr>
    </w:p>
    <w:p w:rsidR="002A365F" w:rsidRPr="00074974" w:rsidRDefault="00B910D3">
      <w:pPr>
        <w:rPr>
          <w:rFonts w:ascii="Times New Roman" w:hAnsi="Times New Roman" w:cs="Times New Roman"/>
          <w:b/>
          <w:lang w:val="es-ES"/>
        </w:rPr>
      </w:pPr>
      <w:r w:rsidRPr="00074974">
        <w:rPr>
          <w:rFonts w:ascii="Times New Roman" w:hAnsi="Times New Roman" w:cs="Times New Roman"/>
          <w:b/>
          <w:lang w:val="es-ES"/>
        </w:rPr>
        <w:t>A modo de i</w:t>
      </w:r>
      <w:r w:rsidR="002F045D" w:rsidRPr="00074974">
        <w:rPr>
          <w:rFonts w:ascii="Times New Roman" w:hAnsi="Times New Roman" w:cs="Times New Roman"/>
          <w:b/>
          <w:lang w:val="es-ES"/>
        </w:rPr>
        <w:t xml:space="preserve">ntroducción </w:t>
      </w:r>
    </w:p>
    <w:p w:rsidR="005F48C4" w:rsidRPr="00074974" w:rsidRDefault="00361261" w:rsidP="00905A19">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Existe un paralelismo entre la situación histórica de las mujeres</w:t>
      </w:r>
      <w:r w:rsidR="00993EE3" w:rsidRPr="00074974">
        <w:rPr>
          <w:rFonts w:ascii="Times New Roman" w:hAnsi="Times New Roman" w:cs="Times New Roman"/>
          <w:sz w:val="24"/>
          <w:szCs w:val="24"/>
          <w:lang w:val="es-ES"/>
        </w:rPr>
        <w:t xml:space="preserve"> en cuanto a la falta de control sobre su cuerpo</w:t>
      </w:r>
      <w:r w:rsidRPr="00074974">
        <w:rPr>
          <w:rFonts w:ascii="Times New Roman" w:hAnsi="Times New Roman" w:cs="Times New Roman"/>
          <w:sz w:val="24"/>
          <w:szCs w:val="24"/>
          <w:lang w:val="es-ES"/>
        </w:rPr>
        <w:t xml:space="preserve"> y la situación que ha surgido en épocas recientes</w:t>
      </w:r>
      <w:r w:rsidR="009A55C3">
        <w:rPr>
          <w:rFonts w:ascii="Times New Roman" w:hAnsi="Times New Roman" w:cs="Times New Roman"/>
          <w:sz w:val="24"/>
          <w:szCs w:val="24"/>
          <w:lang w:val="es-ES"/>
        </w:rPr>
        <w:t xml:space="preserve"> </w:t>
      </w:r>
      <w:r w:rsidR="00993EE3" w:rsidRPr="00074974">
        <w:rPr>
          <w:rFonts w:ascii="Times New Roman" w:hAnsi="Times New Roman" w:cs="Times New Roman"/>
          <w:sz w:val="24"/>
          <w:szCs w:val="24"/>
          <w:lang w:val="es-ES"/>
        </w:rPr>
        <w:t>cuando se trata de</w:t>
      </w:r>
      <w:r w:rsidRPr="00074974">
        <w:rPr>
          <w:rFonts w:ascii="Times New Roman" w:hAnsi="Times New Roman" w:cs="Times New Roman"/>
          <w:sz w:val="24"/>
          <w:szCs w:val="24"/>
          <w:lang w:val="es-ES"/>
        </w:rPr>
        <w:t xml:space="preserve"> las actividades de las corporaciones biotecnológicas y los avances en la investigación y comercialización de los productos derivados del cuerpo humano</w:t>
      </w:r>
      <w:r w:rsidR="009A55C3" w:rsidRPr="009A55C3">
        <w:rPr>
          <w:rFonts w:ascii="Times New Roman" w:hAnsi="Times New Roman" w:cs="Times New Roman"/>
          <w:sz w:val="24"/>
          <w:szCs w:val="24"/>
          <w:lang w:val="es-ES"/>
        </w:rPr>
        <w:t xml:space="preserve"> </w:t>
      </w:r>
      <w:r w:rsidR="009A55C3" w:rsidRPr="00074974">
        <w:rPr>
          <w:rFonts w:ascii="Times New Roman" w:hAnsi="Times New Roman" w:cs="Times New Roman"/>
          <w:sz w:val="24"/>
          <w:szCs w:val="24"/>
          <w:lang w:val="es-ES"/>
        </w:rPr>
        <w:t>que</w:t>
      </w:r>
      <w:r w:rsidR="0089580A">
        <w:rPr>
          <w:rFonts w:ascii="Times New Roman" w:hAnsi="Times New Roman" w:cs="Times New Roman"/>
          <w:sz w:val="24"/>
          <w:szCs w:val="24"/>
          <w:lang w:val="es-ES"/>
        </w:rPr>
        <w:t>,</w:t>
      </w:r>
      <w:r w:rsidR="009A55C3" w:rsidRPr="00074974">
        <w:rPr>
          <w:rFonts w:ascii="Times New Roman" w:hAnsi="Times New Roman" w:cs="Times New Roman"/>
          <w:sz w:val="24"/>
          <w:szCs w:val="24"/>
          <w:lang w:val="es-ES"/>
        </w:rPr>
        <w:t xml:space="preserve"> ahora sí, afecta a mujeres y hombres</w:t>
      </w:r>
      <w:r w:rsidR="00704FAE">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w:t>
      </w:r>
      <w:r w:rsidR="003F34DC">
        <w:rPr>
          <w:rFonts w:ascii="Times New Roman" w:hAnsi="Times New Roman" w:cs="Times New Roman"/>
          <w:sz w:val="24"/>
          <w:szCs w:val="24"/>
          <w:lang w:val="es-ES"/>
        </w:rPr>
        <w:t>Para algunos l</w:t>
      </w:r>
      <w:r w:rsidR="00465D50" w:rsidRPr="00074974">
        <w:rPr>
          <w:rFonts w:ascii="Times New Roman" w:hAnsi="Times New Roman" w:cs="Times New Roman"/>
          <w:sz w:val="24"/>
          <w:szCs w:val="24"/>
          <w:lang w:val="es-ES"/>
        </w:rPr>
        <w:t>o que</w:t>
      </w:r>
      <w:r w:rsidRPr="00074974">
        <w:rPr>
          <w:rFonts w:ascii="Times New Roman" w:hAnsi="Times New Roman" w:cs="Times New Roman"/>
          <w:sz w:val="24"/>
          <w:szCs w:val="24"/>
          <w:lang w:val="es-ES"/>
        </w:rPr>
        <w:t xml:space="preserve"> está ocurriendo </w:t>
      </w:r>
      <w:r w:rsidR="00465D50" w:rsidRPr="00074974">
        <w:rPr>
          <w:rFonts w:ascii="Times New Roman" w:hAnsi="Times New Roman" w:cs="Times New Roman"/>
          <w:sz w:val="24"/>
          <w:szCs w:val="24"/>
          <w:lang w:val="es-ES"/>
        </w:rPr>
        <w:t xml:space="preserve">actualmente es </w:t>
      </w:r>
      <w:r w:rsidRPr="00074974">
        <w:rPr>
          <w:rFonts w:ascii="Times New Roman" w:hAnsi="Times New Roman" w:cs="Times New Roman"/>
          <w:sz w:val="24"/>
          <w:szCs w:val="24"/>
          <w:lang w:val="es-ES"/>
        </w:rPr>
        <w:t>algo similar a lo sucedido en la Inglaterra</w:t>
      </w:r>
      <w:r w:rsidR="00E876C7" w:rsidRPr="00074974">
        <w:rPr>
          <w:rFonts w:ascii="Times New Roman" w:hAnsi="Times New Roman" w:cs="Times New Roman"/>
          <w:sz w:val="24"/>
          <w:szCs w:val="24"/>
          <w:lang w:val="es-ES"/>
        </w:rPr>
        <w:t xml:space="preserve"> agrícola</w:t>
      </w:r>
      <w:r w:rsidRPr="00074974">
        <w:rPr>
          <w:rFonts w:ascii="Times New Roman" w:hAnsi="Times New Roman" w:cs="Times New Roman"/>
          <w:sz w:val="24"/>
          <w:szCs w:val="24"/>
          <w:lang w:val="es-ES"/>
        </w:rPr>
        <w:t xml:space="preserve"> del siglo XVI y XVII,</w:t>
      </w:r>
      <w:r w:rsidR="0089580A">
        <w:rPr>
          <w:rFonts w:ascii="Times New Roman" w:hAnsi="Times New Roman" w:cs="Times New Roman"/>
          <w:sz w:val="24"/>
          <w:szCs w:val="24"/>
          <w:lang w:val="es-ES"/>
        </w:rPr>
        <w:t xml:space="preserve"> es decir,</w:t>
      </w:r>
      <w:r w:rsidRPr="00074974">
        <w:rPr>
          <w:rFonts w:ascii="Times New Roman" w:hAnsi="Times New Roman" w:cs="Times New Roman"/>
          <w:sz w:val="24"/>
          <w:szCs w:val="24"/>
          <w:lang w:val="es-ES"/>
        </w:rPr>
        <w:t xml:space="preserve"> se están produciendo ‘cerramientos’ (</w:t>
      </w:r>
      <w:proofErr w:type="spellStart"/>
      <w:r w:rsidRPr="00074974">
        <w:rPr>
          <w:rFonts w:ascii="Times New Roman" w:hAnsi="Times New Roman" w:cs="Times New Roman"/>
          <w:sz w:val="24"/>
          <w:szCs w:val="24"/>
          <w:lang w:val="es-ES"/>
        </w:rPr>
        <w:t>en</w:t>
      </w:r>
      <w:r w:rsidR="00465D50" w:rsidRPr="00074974">
        <w:rPr>
          <w:rFonts w:ascii="Times New Roman" w:hAnsi="Times New Roman" w:cs="Times New Roman"/>
          <w:sz w:val="24"/>
          <w:szCs w:val="24"/>
          <w:lang w:val="es-ES"/>
        </w:rPr>
        <w:t>closures</w:t>
      </w:r>
      <w:proofErr w:type="spellEnd"/>
      <w:r w:rsidR="00465D50" w:rsidRPr="00074974">
        <w:rPr>
          <w:rFonts w:ascii="Times New Roman" w:hAnsi="Times New Roman" w:cs="Times New Roman"/>
          <w:sz w:val="24"/>
          <w:szCs w:val="24"/>
          <w:lang w:val="es-ES"/>
        </w:rPr>
        <w:t>)</w:t>
      </w:r>
      <w:r w:rsidR="00E876C7" w:rsidRPr="00074974">
        <w:rPr>
          <w:rFonts w:ascii="Times New Roman" w:hAnsi="Times New Roman" w:cs="Times New Roman"/>
          <w:sz w:val="24"/>
          <w:szCs w:val="24"/>
          <w:lang w:val="es-ES"/>
        </w:rPr>
        <w:t xml:space="preserve"> o apropiaciones</w:t>
      </w:r>
      <w:r w:rsidR="00465D50" w:rsidRPr="00074974">
        <w:rPr>
          <w:rFonts w:ascii="Times New Roman" w:hAnsi="Times New Roman" w:cs="Times New Roman"/>
          <w:sz w:val="24"/>
          <w:szCs w:val="24"/>
          <w:lang w:val="es-ES"/>
        </w:rPr>
        <w:t xml:space="preserve"> a través de las patentes sobre</w:t>
      </w:r>
      <w:r w:rsidRPr="00074974">
        <w:rPr>
          <w:rFonts w:ascii="Times New Roman" w:hAnsi="Times New Roman" w:cs="Times New Roman"/>
          <w:sz w:val="24"/>
          <w:szCs w:val="24"/>
          <w:lang w:val="es-ES"/>
        </w:rPr>
        <w:t xml:space="preserve"> los genes </w:t>
      </w:r>
      <w:r w:rsidR="00465D50" w:rsidRPr="00074974">
        <w:rPr>
          <w:rFonts w:ascii="Times New Roman" w:hAnsi="Times New Roman" w:cs="Times New Roman"/>
          <w:sz w:val="24"/>
          <w:szCs w:val="24"/>
          <w:lang w:val="es-ES"/>
        </w:rPr>
        <w:t xml:space="preserve">y sobre </w:t>
      </w:r>
      <w:r w:rsidRPr="00074974">
        <w:rPr>
          <w:rFonts w:ascii="Times New Roman" w:hAnsi="Times New Roman" w:cs="Times New Roman"/>
          <w:sz w:val="24"/>
          <w:szCs w:val="24"/>
          <w:lang w:val="es-ES"/>
        </w:rPr>
        <w:t>algunas formas de tejid</w:t>
      </w:r>
      <w:r w:rsidR="00A01A29">
        <w:rPr>
          <w:rFonts w:ascii="Times New Roman" w:hAnsi="Times New Roman" w:cs="Times New Roman"/>
          <w:sz w:val="24"/>
          <w:szCs w:val="24"/>
          <w:lang w:val="es-ES"/>
        </w:rPr>
        <w:t>os humanos y de sus derivados</w:t>
      </w:r>
      <w:r w:rsidR="0089580A">
        <w:rPr>
          <w:rFonts w:ascii="Times New Roman" w:hAnsi="Times New Roman" w:cs="Times New Roman"/>
          <w:sz w:val="24"/>
          <w:szCs w:val="24"/>
          <w:lang w:val="es-ES"/>
        </w:rPr>
        <w:t xml:space="preserve"> que extraen del común elementos de enorme valor futuro</w:t>
      </w:r>
      <w:r w:rsidR="005F48C4" w:rsidRPr="00074974">
        <w:rPr>
          <w:rFonts w:ascii="Times New Roman" w:hAnsi="Times New Roman" w:cs="Times New Roman"/>
          <w:sz w:val="24"/>
          <w:szCs w:val="24"/>
          <w:lang w:val="es-ES"/>
        </w:rPr>
        <w:t xml:space="preserve">. </w:t>
      </w:r>
    </w:p>
    <w:p w:rsidR="00D339C3" w:rsidRDefault="00A01A29" w:rsidP="00905A19">
      <w:pPr>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Ante estas situaciones, de repente, las personas cobran conciencia de que sus cuerpos pueden ser tratados como objetos. </w:t>
      </w:r>
      <w:r w:rsidRPr="00074974">
        <w:rPr>
          <w:rFonts w:ascii="Times New Roman" w:hAnsi="Times New Roman" w:cs="Times New Roman"/>
          <w:sz w:val="24"/>
          <w:szCs w:val="24"/>
          <w:lang w:val="es-ES"/>
        </w:rPr>
        <w:t>Hasta</w:t>
      </w:r>
      <w:r w:rsidR="005F48C4" w:rsidRPr="00074974">
        <w:rPr>
          <w:rFonts w:ascii="Times New Roman" w:hAnsi="Times New Roman" w:cs="Times New Roman"/>
          <w:sz w:val="24"/>
          <w:szCs w:val="24"/>
          <w:lang w:val="es-ES"/>
        </w:rPr>
        <w:t xml:space="preserve"> momentos muy recientes la preocupación por la </w:t>
      </w:r>
      <w:r w:rsidR="005F48C4" w:rsidRPr="00074974">
        <w:rPr>
          <w:rFonts w:ascii="Times New Roman" w:hAnsi="Times New Roman" w:cs="Times New Roman"/>
          <w:i/>
          <w:sz w:val="24"/>
          <w:szCs w:val="24"/>
          <w:lang w:val="es-ES"/>
        </w:rPr>
        <w:t>cosificación</w:t>
      </w:r>
      <w:r w:rsidR="005F48C4" w:rsidRPr="00074974">
        <w:rPr>
          <w:rFonts w:ascii="Times New Roman" w:hAnsi="Times New Roman" w:cs="Times New Roman"/>
          <w:sz w:val="24"/>
          <w:szCs w:val="24"/>
          <w:lang w:val="es-ES"/>
        </w:rPr>
        <w:t xml:space="preserve"> </w:t>
      </w:r>
      <w:r>
        <w:rPr>
          <w:rFonts w:ascii="Times New Roman" w:hAnsi="Times New Roman" w:cs="Times New Roman"/>
          <w:sz w:val="24"/>
          <w:szCs w:val="24"/>
          <w:lang w:val="es-ES"/>
        </w:rPr>
        <w:t>de los cuerpos de las</w:t>
      </w:r>
      <w:r w:rsidR="00426084" w:rsidRPr="00074974">
        <w:rPr>
          <w:rFonts w:ascii="Times New Roman" w:hAnsi="Times New Roman" w:cs="Times New Roman"/>
          <w:sz w:val="24"/>
          <w:szCs w:val="24"/>
          <w:lang w:val="es-ES"/>
        </w:rPr>
        <w:t xml:space="preserve"> personas </w:t>
      </w:r>
      <w:r w:rsidR="005F48C4" w:rsidRPr="00074974">
        <w:rPr>
          <w:rFonts w:ascii="Times New Roman" w:hAnsi="Times New Roman" w:cs="Times New Roman"/>
          <w:sz w:val="24"/>
          <w:szCs w:val="24"/>
          <w:lang w:val="es-ES"/>
        </w:rPr>
        <w:t>parecía ser más bien un asunto de mujeres, sin embargo</w:t>
      </w:r>
      <w:r w:rsidR="00D339C3">
        <w:rPr>
          <w:rFonts w:ascii="Times New Roman" w:hAnsi="Times New Roman" w:cs="Times New Roman"/>
          <w:sz w:val="24"/>
          <w:szCs w:val="24"/>
          <w:lang w:val="es-ES"/>
        </w:rPr>
        <w:t>,</w:t>
      </w:r>
      <w:r w:rsidR="00361261" w:rsidRPr="00074974">
        <w:rPr>
          <w:rFonts w:ascii="Times New Roman" w:hAnsi="Times New Roman" w:cs="Times New Roman"/>
          <w:sz w:val="24"/>
          <w:szCs w:val="24"/>
          <w:lang w:val="es-ES"/>
        </w:rPr>
        <w:t xml:space="preserve"> </w:t>
      </w:r>
      <w:r w:rsidR="005F48C4" w:rsidRPr="00074974">
        <w:rPr>
          <w:rFonts w:ascii="Times New Roman" w:hAnsi="Times New Roman" w:cs="Times New Roman"/>
          <w:sz w:val="24"/>
          <w:szCs w:val="24"/>
          <w:lang w:val="es-ES"/>
        </w:rPr>
        <w:t xml:space="preserve">ahora </w:t>
      </w:r>
      <w:r>
        <w:rPr>
          <w:rFonts w:ascii="Times New Roman" w:hAnsi="Times New Roman" w:cs="Times New Roman"/>
          <w:sz w:val="24"/>
          <w:szCs w:val="24"/>
          <w:lang w:val="es-ES"/>
        </w:rPr>
        <w:t>se universaliza</w:t>
      </w:r>
      <w:r w:rsidR="00074974" w:rsidRPr="00074974">
        <w:rPr>
          <w:rFonts w:ascii="Times New Roman" w:hAnsi="Times New Roman" w:cs="Times New Roman"/>
          <w:sz w:val="24"/>
          <w:szCs w:val="24"/>
          <w:lang w:val="es-ES"/>
        </w:rPr>
        <w:t xml:space="preserve"> esa</w:t>
      </w:r>
      <w:r w:rsidR="00361261" w:rsidRPr="00074974">
        <w:rPr>
          <w:rFonts w:ascii="Times New Roman" w:hAnsi="Times New Roman" w:cs="Times New Roman"/>
          <w:sz w:val="24"/>
          <w:szCs w:val="24"/>
          <w:lang w:val="es-ES"/>
        </w:rPr>
        <w:t xml:space="preserve"> experiencia</w:t>
      </w:r>
      <w:r w:rsidR="00426084" w:rsidRPr="00074974">
        <w:rPr>
          <w:rFonts w:ascii="Times New Roman" w:hAnsi="Times New Roman" w:cs="Times New Roman"/>
          <w:sz w:val="24"/>
          <w:szCs w:val="24"/>
          <w:lang w:val="es-ES"/>
        </w:rPr>
        <w:t xml:space="preserve"> que</w:t>
      </w:r>
      <w:r w:rsidR="005F48C4" w:rsidRPr="00074974">
        <w:rPr>
          <w:rFonts w:ascii="Times New Roman" w:hAnsi="Times New Roman" w:cs="Times New Roman"/>
          <w:sz w:val="24"/>
          <w:szCs w:val="24"/>
          <w:lang w:val="es-ES"/>
        </w:rPr>
        <w:t xml:space="preserve"> parecía ser casi exclu</w:t>
      </w:r>
      <w:r>
        <w:rPr>
          <w:rFonts w:ascii="Times New Roman" w:hAnsi="Times New Roman" w:cs="Times New Roman"/>
          <w:sz w:val="24"/>
          <w:szCs w:val="24"/>
          <w:lang w:val="es-ES"/>
        </w:rPr>
        <w:t>sivamente femenina</w:t>
      </w:r>
      <w:r w:rsidR="00C02437" w:rsidRPr="00074974">
        <w:rPr>
          <w:rFonts w:ascii="Times New Roman" w:hAnsi="Times New Roman" w:cs="Times New Roman"/>
          <w:sz w:val="24"/>
          <w:szCs w:val="24"/>
          <w:lang w:val="es-ES"/>
        </w:rPr>
        <w:t xml:space="preserve">. </w:t>
      </w:r>
    </w:p>
    <w:p w:rsidR="00836077" w:rsidRPr="00074974" w:rsidRDefault="00A01A29" w:rsidP="00905A19">
      <w:pPr>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L</w:t>
      </w:r>
      <w:r w:rsidR="00836077" w:rsidRPr="00074974">
        <w:rPr>
          <w:rFonts w:ascii="Times New Roman" w:hAnsi="Times New Roman" w:cs="Times New Roman"/>
          <w:sz w:val="24"/>
          <w:szCs w:val="24"/>
          <w:lang w:val="es-ES"/>
        </w:rPr>
        <w:t xml:space="preserve">a feminización de los cuerpos </w:t>
      </w:r>
      <w:r>
        <w:rPr>
          <w:rFonts w:ascii="Times New Roman" w:hAnsi="Times New Roman" w:cs="Times New Roman"/>
          <w:sz w:val="24"/>
          <w:szCs w:val="24"/>
          <w:lang w:val="es-ES"/>
        </w:rPr>
        <w:t>supone que</w:t>
      </w:r>
      <w:r w:rsidR="00463305" w:rsidRPr="00074974">
        <w:rPr>
          <w:rFonts w:ascii="Times New Roman" w:hAnsi="Times New Roman" w:cs="Times New Roman"/>
          <w:sz w:val="24"/>
          <w:szCs w:val="24"/>
          <w:lang w:val="es-ES"/>
        </w:rPr>
        <w:t xml:space="preserve"> hombres y mujeres son fuentes de tejido</w:t>
      </w:r>
      <w:r w:rsidR="00DE1137" w:rsidRPr="00074974">
        <w:rPr>
          <w:rFonts w:ascii="Times New Roman" w:hAnsi="Times New Roman" w:cs="Times New Roman"/>
          <w:sz w:val="24"/>
          <w:szCs w:val="24"/>
          <w:lang w:val="es-ES"/>
        </w:rPr>
        <w:t>s o de bancos biológicos. Aunque</w:t>
      </w:r>
      <w:r w:rsidR="00426084" w:rsidRPr="00074974">
        <w:rPr>
          <w:rFonts w:ascii="Times New Roman" w:hAnsi="Times New Roman" w:cs="Times New Roman"/>
          <w:sz w:val="24"/>
          <w:szCs w:val="24"/>
          <w:lang w:val="es-ES"/>
        </w:rPr>
        <w:t xml:space="preserve"> el sesgo de género siga</w:t>
      </w:r>
      <w:r w:rsidR="00483B91" w:rsidRPr="00074974">
        <w:rPr>
          <w:rFonts w:ascii="Times New Roman" w:hAnsi="Times New Roman" w:cs="Times New Roman"/>
          <w:sz w:val="24"/>
          <w:szCs w:val="24"/>
          <w:lang w:val="es-ES"/>
        </w:rPr>
        <w:t xml:space="preserve"> siendo considerable</w:t>
      </w:r>
      <w:r w:rsidR="00074974" w:rsidRPr="00074974">
        <w:rPr>
          <w:rFonts w:ascii="Times New Roman" w:hAnsi="Times New Roman" w:cs="Times New Roman"/>
          <w:sz w:val="24"/>
          <w:szCs w:val="24"/>
          <w:lang w:val="es-ES"/>
        </w:rPr>
        <w:t>,</w:t>
      </w:r>
      <w:r w:rsidR="00483B91" w:rsidRPr="00074974">
        <w:rPr>
          <w:rFonts w:ascii="Times New Roman" w:hAnsi="Times New Roman" w:cs="Times New Roman"/>
          <w:sz w:val="24"/>
          <w:szCs w:val="24"/>
          <w:lang w:val="es-ES"/>
        </w:rPr>
        <w:t xml:space="preserve"> pues e</w:t>
      </w:r>
      <w:r w:rsidR="00463305" w:rsidRPr="00074974">
        <w:rPr>
          <w:rFonts w:ascii="Times New Roman" w:hAnsi="Times New Roman" w:cs="Times New Roman"/>
          <w:sz w:val="24"/>
          <w:szCs w:val="24"/>
          <w:lang w:val="es-ES"/>
        </w:rPr>
        <w:t>l nivel de la preocupación y del escándalo y la cobertura académica y mediática no es tan amplia cuando la fuente del material bioló</w:t>
      </w:r>
      <w:r w:rsidR="006F440D" w:rsidRPr="00074974">
        <w:rPr>
          <w:rFonts w:ascii="Times New Roman" w:hAnsi="Times New Roman" w:cs="Times New Roman"/>
          <w:sz w:val="24"/>
          <w:szCs w:val="24"/>
          <w:lang w:val="es-ES"/>
        </w:rPr>
        <w:t>gico son</w:t>
      </w:r>
      <w:r w:rsidR="00483B91" w:rsidRPr="00074974">
        <w:rPr>
          <w:rFonts w:ascii="Times New Roman" w:hAnsi="Times New Roman" w:cs="Times New Roman"/>
          <w:sz w:val="24"/>
          <w:szCs w:val="24"/>
          <w:lang w:val="es-ES"/>
        </w:rPr>
        <w:t xml:space="preserve"> las mujeres. Basta un ejemplo, a</w:t>
      </w:r>
      <w:r w:rsidR="006F440D" w:rsidRPr="00074974">
        <w:rPr>
          <w:rFonts w:ascii="Times New Roman" w:hAnsi="Times New Roman" w:cs="Times New Roman"/>
          <w:sz w:val="24"/>
          <w:szCs w:val="24"/>
          <w:lang w:val="es-ES"/>
        </w:rPr>
        <w:t xml:space="preserve"> todos nos resulta familiar el debate sobre células madre, en el que lo fundamental parece ser el embrión, sin embargo</w:t>
      </w:r>
      <w:r w:rsidR="00DC37A0" w:rsidRPr="00074974">
        <w:rPr>
          <w:rFonts w:ascii="Times New Roman" w:hAnsi="Times New Roman" w:cs="Times New Roman"/>
          <w:sz w:val="24"/>
          <w:szCs w:val="24"/>
          <w:lang w:val="es-ES"/>
        </w:rPr>
        <w:t>,</w:t>
      </w:r>
      <w:r w:rsidR="006F440D" w:rsidRPr="00074974">
        <w:rPr>
          <w:rFonts w:ascii="Times New Roman" w:hAnsi="Times New Roman" w:cs="Times New Roman"/>
          <w:sz w:val="24"/>
          <w:szCs w:val="24"/>
          <w:lang w:val="es-ES"/>
        </w:rPr>
        <w:t xml:space="preserve"> los</w:t>
      </w:r>
      <w:r w:rsidR="00074974" w:rsidRPr="00074974">
        <w:rPr>
          <w:rFonts w:ascii="Times New Roman" w:hAnsi="Times New Roman" w:cs="Times New Roman"/>
          <w:sz w:val="24"/>
          <w:szCs w:val="24"/>
          <w:lang w:val="es-ES"/>
        </w:rPr>
        <w:t xml:space="preserve"> óvulos necesarios para que</w:t>
      </w:r>
      <w:r w:rsidR="00426084" w:rsidRPr="00074974">
        <w:rPr>
          <w:rFonts w:ascii="Times New Roman" w:hAnsi="Times New Roman" w:cs="Times New Roman"/>
          <w:sz w:val="24"/>
          <w:szCs w:val="24"/>
          <w:lang w:val="es-ES"/>
        </w:rPr>
        <w:t xml:space="preserve"> exista</w:t>
      </w:r>
      <w:r w:rsidR="00483B91" w:rsidRPr="00074974">
        <w:rPr>
          <w:rFonts w:ascii="Times New Roman" w:hAnsi="Times New Roman" w:cs="Times New Roman"/>
          <w:sz w:val="24"/>
          <w:szCs w:val="24"/>
          <w:lang w:val="es-ES"/>
        </w:rPr>
        <w:t xml:space="preserve"> este embrión</w:t>
      </w:r>
      <w:r w:rsidR="006F440D" w:rsidRPr="00074974">
        <w:rPr>
          <w:rFonts w:ascii="Times New Roman" w:hAnsi="Times New Roman" w:cs="Times New Roman"/>
          <w:sz w:val="24"/>
          <w:szCs w:val="24"/>
          <w:lang w:val="es-ES"/>
        </w:rPr>
        <w:t xml:space="preserve"> ni se mencionan, y el procedimiento de extracción de óvulos no es inocuo (nada que ver con la obtención de esperma)</w:t>
      </w:r>
      <w:r w:rsidR="00074974" w:rsidRPr="00074974">
        <w:rPr>
          <w:rFonts w:ascii="Times New Roman" w:hAnsi="Times New Roman" w:cs="Times New Roman"/>
          <w:sz w:val="24"/>
          <w:szCs w:val="24"/>
          <w:lang w:val="es-ES"/>
        </w:rPr>
        <w:t>.</w:t>
      </w:r>
      <w:r w:rsidR="00D63B4F" w:rsidRPr="00074974">
        <w:rPr>
          <w:rFonts w:ascii="Times New Roman" w:hAnsi="Times New Roman" w:cs="Times New Roman"/>
          <w:sz w:val="24"/>
          <w:szCs w:val="24"/>
          <w:lang w:val="es-ES"/>
        </w:rPr>
        <w:t xml:space="preserve"> </w:t>
      </w:r>
      <w:r w:rsidR="00426084" w:rsidRPr="00074974">
        <w:rPr>
          <w:rFonts w:ascii="Times New Roman" w:hAnsi="Times New Roman" w:cs="Times New Roman"/>
          <w:sz w:val="24"/>
          <w:szCs w:val="24"/>
          <w:lang w:val="es-ES"/>
        </w:rPr>
        <w:t>P</w:t>
      </w:r>
      <w:r w:rsidR="00D63B4F" w:rsidRPr="00074974">
        <w:rPr>
          <w:rFonts w:ascii="Times New Roman" w:hAnsi="Times New Roman" w:cs="Times New Roman"/>
          <w:sz w:val="24"/>
          <w:szCs w:val="24"/>
          <w:lang w:val="es-ES"/>
        </w:rPr>
        <w:t>ara bien o para mal</w:t>
      </w:r>
      <w:r w:rsidR="00DC37A0" w:rsidRPr="00074974">
        <w:rPr>
          <w:rFonts w:ascii="Times New Roman" w:hAnsi="Times New Roman" w:cs="Times New Roman"/>
          <w:sz w:val="24"/>
          <w:szCs w:val="24"/>
          <w:lang w:val="es-ES"/>
        </w:rPr>
        <w:t>, de momento más bien lo segundo</w:t>
      </w:r>
      <w:r w:rsidR="00D63B4F" w:rsidRPr="00074974">
        <w:rPr>
          <w:rFonts w:ascii="Times New Roman" w:hAnsi="Times New Roman" w:cs="Times New Roman"/>
          <w:sz w:val="24"/>
          <w:szCs w:val="24"/>
          <w:lang w:val="es-ES"/>
        </w:rPr>
        <w:t>, t</w:t>
      </w:r>
      <w:r w:rsidR="00463305" w:rsidRPr="00074974">
        <w:rPr>
          <w:rFonts w:ascii="Times New Roman" w:hAnsi="Times New Roman" w:cs="Times New Roman"/>
          <w:sz w:val="24"/>
          <w:szCs w:val="24"/>
          <w:lang w:val="es-ES"/>
        </w:rPr>
        <w:t>odavía hoy</w:t>
      </w:r>
      <w:r w:rsidR="00DC37A0" w:rsidRPr="00074974">
        <w:rPr>
          <w:rFonts w:ascii="Times New Roman" w:hAnsi="Times New Roman" w:cs="Times New Roman"/>
          <w:sz w:val="24"/>
          <w:szCs w:val="24"/>
          <w:lang w:val="es-ES"/>
        </w:rPr>
        <w:t xml:space="preserve"> los elementos biológicos procedentes de</w:t>
      </w:r>
      <w:r w:rsidR="00426084" w:rsidRPr="00074974">
        <w:rPr>
          <w:rFonts w:ascii="Times New Roman" w:hAnsi="Times New Roman" w:cs="Times New Roman"/>
          <w:sz w:val="24"/>
          <w:szCs w:val="24"/>
          <w:lang w:val="es-ES"/>
        </w:rPr>
        <w:t xml:space="preserve"> los</w:t>
      </w:r>
      <w:r w:rsidR="00DC37A0" w:rsidRPr="00074974">
        <w:rPr>
          <w:rFonts w:ascii="Times New Roman" w:hAnsi="Times New Roman" w:cs="Times New Roman"/>
          <w:sz w:val="24"/>
          <w:szCs w:val="24"/>
          <w:lang w:val="es-ES"/>
        </w:rPr>
        <w:t xml:space="preserve"> cuerpos femeninos</w:t>
      </w:r>
      <w:r w:rsidR="00426084" w:rsidRPr="00074974">
        <w:rPr>
          <w:rFonts w:ascii="Times New Roman" w:hAnsi="Times New Roman" w:cs="Times New Roman"/>
          <w:sz w:val="24"/>
          <w:szCs w:val="24"/>
          <w:lang w:val="es-ES"/>
        </w:rPr>
        <w:t xml:space="preserve"> son más necesarios y valiosos, sin que ese valor se reconozca habitualmente, por ello</w:t>
      </w:r>
      <w:r w:rsidR="00D339C3">
        <w:rPr>
          <w:rFonts w:ascii="Times New Roman" w:hAnsi="Times New Roman" w:cs="Times New Roman"/>
          <w:sz w:val="24"/>
          <w:szCs w:val="24"/>
          <w:lang w:val="es-ES"/>
        </w:rPr>
        <w:t>,</w:t>
      </w:r>
      <w:r w:rsidR="00DC37A0" w:rsidRPr="00074974">
        <w:rPr>
          <w:rFonts w:ascii="Times New Roman" w:hAnsi="Times New Roman" w:cs="Times New Roman"/>
          <w:sz w:val="24"/>
          <w:szCs w:val="24"/>
          <w:lang w:val="es-ES"/>
        </w:rPr>
        <w:t xml:space="preserve"> el impacto de las investigaciones y </w:t>
      </w:r>
      <w:r w:rsidR="00463305" w:rsidRPr="00074974">
        <w:rPr>
          <w:rFonts w:ascii="Times New Roman" w:hAnsi="Times New Roman" w:cs="Times New Roman"/>
          <w:sz w:val="24"/>
          <w:szCs w:val="24"/>
          <w:lang w:val="es-ES"/>
        </w:rPr>
        <w:t>los riesgos siguen siendo mayores para las mujeres</w:t>
      </w:r>
      <w:r w:rsidR="00DC37A0" w:rsidRPr="00074974">
        <w:rPr>
          <w:rFonts w:ascii="Times New Roman" w:hAnsi="Times New Roman" w:cs="Times New Roman"/>
          <w:sz w:val="24"/>
          <w:szCs w:val="24"/>
          <w:lang w:val="es-ES"/>
        </w:rPr>
        <w:t xml:space="preserve"> (a título de ejemplo, el fraude</w:t>
      </w:r>
      <w:r w:rsidR="00426084" w:rsidRPr="00074974">
        <w:rPr>
          <w:rFonts w:ascii="Times New Roman" w:hAnsi="Times New Roman" w:cs="Times New Roman"/>
          <w:sz w:val="24"/>
          <w:szCs w:val="24"/>
          <w:lang w:val="es-ES"/>
        </w:rPr>
        <w:t xml:space="preserve"> sobre el logro de clonaciones</w:t>
      </w:r>
      <w:r w:rsidR="00DC37A0" w:rsidRPr="00074974">
        <w:rPr>
          <w:rFonts w:ascii="Times New Roman" w:hAnsi="Times New Roman" w:cs="Times New Roman"/>
          <w:sz w:val="24"/>
          <w:szCs w:val="24"/>
          <w:lang w:val="es-ES"/>
        </w:rPr>
        <w:t xml:space="preserve"> de </w:t>
      </w:r>
      <w:proofErr w:type="spellStart"/>
      <w:r w:rsidR="00DC37A0" w:rsidRPr="00074974">
        <w:rPr>
          <w:rFonts w:ascii="Times New Roman" w:hAnsi="Times New Roman" w:cs="Times New Roman"/>
          <w:sz w:val="24"/>
          <w:szCs w:val="24"/>
          <w:lang w:val="es-ES"/>
        </w:rPr>
        <w:t>Hwang</w:t>
      </w:r>
      <w:proofErr w:type="spellEnd"/>
      <w:r w:rsidR="00DC37A0" w:rsidRPr="00074974">
        <w:rPr>
          <w:rFonts w:ascii="Times New Roman" w:hAnsi="Times New Roman" w:cs="Times New Roman"/>
          <w:sz w:val="24"/>
          <w:szCs w:val="24"/>
          <w:lang w:val="es-ES"/>
        </w:rPr>
        <w:t xml:space="preserve"> </w:t>
      </w:r>
      <w:proofErr w:type="spellStart"/>
      <w:r w:rsidR="00DC37A0" w:rsidRPr="00074974">
        <w:rPr>
          <w:rFonts w:ascii="Times New Roman" w:hAnsi="Times New Roman" w:cs="Times New Roman"/>
          <w:sz w:val="24"/>
          <w:szCs w:val="24"/>
          <w:lang w:val="es-ES"/>
        </w:rPr>
        <w:t>Woo</w:t>
      </w:r>
      <w:proofErr w:type="spellEnd"/>
      <w:r w:rsidR="00DC37A0" w:rsidRPr="00074974">
        <w:rPr>
          <w:rFonts w:ascii="Times New Roman" w:hAnsi="Times New Roman" w:cs="Times New Roman"/>
          <w:sz w:val="24"/>
          <w:szCs w:val="24"/>
          <w:lang w:val="es-ES"/>
        </w:rPr>
        <w:t xml:space="preserve"> </w:t>
      </w:r>
      <w:proofErr w:type="spellStart"/>
      <w:r w:rsidR="00DC37A0" w:rsidRPr="00074974">
        <w:rPr>
          <w:rFonts w:ascii="Times New Roman" w:hAnsi="Times New Roman" w:cs="Times New Roman"/>
          <w:sz w:val="24"/>
          <w:szCs w:val="24"/>
          <w:lang w:val="es-ES"/>
        </w:rPr>
        <w:t>Suk</w:t>
      </w:r>
      <w:proofErr w:type="spellEnd"/>
      <w:r w:rsidR="00DC37A0" w:rsidRPr="00074974">
        <w:rPr>
          <w:rFonts w:ascii="Times New Roman" w:hAnsi="Times New Roman" w:cs="Times New Roman"/>
          <w:sz w:val="24"/>
          <w:szCs w:val="24"/>
          <w:lang w:val="es-ES"/>
        </w:rPr>
        <w:t xml:space="preserve"> que necesitó más de 2200 óvulos de 129 mujeres, unas cuantas de ellas jóvenes investigadoras de su laboratorio</w:t>
      </w:r>
      <w:r w:rsidR="00426084" w:rsidRPr="00074974">
        <w:rPr>
          <w:rFonts w:ascii="Times New Roman" w:hAnsi="Times New Roman" w:cs="Times New Roman"/>
          <w:sz w:val="24"/>
          <w:szCs w:val="24"/>
          <w:lang w:val="es-ES"/>
        </w:rPr>
        <w:t xml:space="preserve"> y fue desde sectores feministas surcoreanos desde donde se dio la voz de alarma inicial para </w:t>
      </w:r>
      <w:r w:rsidR="00426084" w:rsidRPr="00074974">
        <w:rPr>
          <w:rFonts w:ascii="Times New Roman" w:hAnsi="Times New Roman" w:cs="Times New Roman"/>
          <w:sz w:val="24"/>
          <w:szCs w:val="24"/>
          <w:lang w:val="es-ES"/>
        </w:rPr>
        <w:lastRenderedPageBreak/>
        <w:t>descubrir el fraude</w:t>
      </w:r>
      <w:r w:rsidR="0019645D" w:rsidRPr="00074974">
        <w:rPr>
          <w:rFonts w:ascii="Times New Roman" w:hAnsi="Times New Roman" w:cs="Times New Roman"/>
          <w:sz w:val="24"/>
          <w:szCs w:val="24"/>
          <w:lang w:val="es-ES"/>
        </w:rPr>
        <w:t>; otro ejemplo puede ser la cuestión de la atribución de propiedad del cordón umbilical</w:t>
      </w:r>
      <w:r w:rsidR="00DC37A0" w:rsidRPr="00074974">
        <w:rPr>
          <w:rFonts w:ascii="Times New Roman" w:hAnsi="Times New Roman" w:cs="Times New Roman"/>
          <w:sz w:val="24"/>
          <w:szCs w:val="24"/>
          <w:lang w:val="es-ES"/>
        </w:rPr>
        <w:t xml:space="preserve">) </w:t>
      </w:r>
      <w:r w:rsidR="00DF3B83" w:rsidRPr="00074974">
        <w:rPr>
          <w:rFonts w:ascii="Times New Roman" w:hAnsi="Times New Roman" w:cs="Times New Roman"/>
          <w:sz w:val="24"/>
          <w:szCs w:val="24"/>
          <w:lang w:val="es-ES"/>
        </w:rPr>
        <w:t xml:space="preserve">. </w:t>
      </w:r>
      <w:r w:rsidR="00463305" w:rsidRPr="00074974">
        <w:rPr>
          <w:rFonts w:ascii="Times New Roman" w:hAnsi="Times New Roman" w:cs="Times New Roman"/>
          <w:sz w:val="24"/>
          <w:szCs w:val="24"/>
          <w:lang w:val="es-ES"/>
        </w:rPr>
        <w:t xml:space="preserve">    </w:t>
      </w:r>
    </w:p>
    <w:p w:rsidR="002B36C2" w:rsidRPr="00074974" w:rsidRDefault="002B36C2" w:rsidP="00905A19">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La biotecnología</w:t>
      </w:r>
      <w:r w:rsidR="00426084" w:rsidRPr="00074974">
        <w:rPr>
          <w:rFonts w:ascii="Times New Roman" w:hAnsi="Times New Roman" w:cs="Times New Roman"/>
          <w:sz w:val="24"/>
          <w:szCs w:val="24"/>
          <w:lang w:val="es-ES"/>
        </w:rPr>
        <w:t xml:space="preserve"> con sus avances</w:t>
      </w:r>
      <w:r w:rsidRPr="00074974">
        <w:rPr>
          <w:rFonts w:ascii="Times New Roman" w:hAnsi="Times New Roman" w:cs="Times New Roman"/>
          <w:sz w:val="24"/>
          <w:szCs w:val="24"/>
          <w:lang w:val="es-ES"/>
        </w:rPr>
        <w:t xml:space="preserve"> ha hecho la noción de cuerpo mucho más fluida, pues de un lado, las funciones corporales pueden ser replicadas o mejoradas por objetos originalmente ajenos al propio cuerpo como los marcapasos o los ventiladores, o por sustancias procedentes del cuerpo humano pero sometidas a procesos industriales. Por otro lado, los materiales que se extraen del cuerpo humano entran en la investigación y en el comercio como objetos. La cuestión es si esa fluidez conlleva una </w:t>
      </w:r>
      <w:r w:rsidRPr="00912E3C">
        <w:rPr>
          <w:rFonts w:ascii="Times New Roman" w:hAnsi="Times New Roman" w:cs="Times New Roman"/>
          <w:i/>
          <w:sz w:val="24"/>
          <w:szCs w:val="24"/>
          <w:lang w:val="es-ES"/>
        </w:rPr>
        <w:t xml:space="preserve">cosificación </w:t>
      </w:r>
      <w:r w:rsidRPr="00074974">
        <w:rPr>
          <w:rFonts w:ascii="Times New Roman" w:hAnsi="Times New Roman" w:cs="Times New Roman"/>
          <w:sz w:val="24"/>
          <w:szCs w:val="24"/>
          <w:lang w:val="es-ES"/>
        </w:rPr>
        <w:t xml:space="preserve">de los seres humanos. </w:t>
      </w:r>
      <w:r w:rsidR="00D339C3">
        <w:rPr>
          <w:rFonts w:ascii="Times New Roman" w:hAnsi="Times New Roman" w:cs="Times New Roman"/>
          <w:sz w:val="24"/>
          <w:szCs w:val="24"/>
          <w:lang w:val="es-ES"/>
        </w:rPr>
        <w:t>Porque este trabajo</w:t>
      </w:r>
      <w:r w:rsidR="00DD378E" w:rsidRPr="00074974">
        <w:rPr>
          <w:rFonts w:ascii="Times New Roman" w:hAnsi="Times New Roman" w:cs="Times New Roman"/>
          <w:sz w:val="24"/>
          <w:szCs w:val="24"/>
          <w:lang w:val="es-ES"/>
        </w:rPr>
        <w:t xml:space="preserve"> tiene que ver con el examen de la conveniencia de reconocer a las personas algún título de propiedad sobre sus cuerpos y sobre los elementos que se extraen de los mismos. Los ordenamientos jurídicos y las respuestas jurisprudenciales son reticentes a este reconocimiento, sin embargo la necesidad de articular mecanismos de protección a las personas hacen necesaria esta exploración. </w:t>
      </w:r>
    </w:p>
    <w:p w:rsidR="00B910D3" w:rsidRPr="00074974" w:rsidRDefault="00B910D3" w:rsidP="00B910D3">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En lo que sigue</w:t>
      </w:r>
      <w:r w:rsidR="00E876C7" w:rsidRPr="00074974">
        <w:rPr>
          <w:rFonts w:ascii="Times New Roman" w:hAnsi="Times New Roman" w:cs="Times New Roman"/>
          <w:sz w:val="24"/>
          <w:szCs w:val="24"/>
          <w:lang w:val="es-ES"/>
        </w:rPr>
        <w:t>, después de subrayar el papel de la propiedad en la construcción del sujeto,</w:t>
      </w:r>
      <w:r w:rsidRPr="00074974">
        <w:rPr>
          <w:rFonts w:ascii="Times New Roman" w:hAnsi="Times New Roman" w:cs="Times New Roman"/>
          <w:sz w:val="24"/>
          <w:szCs w:val="24"/>
          <w:lang w:val="es-ES"/>
        </w:rPr>
        <w:t xml:space="preserve"> </w:t>
      </w:r>
      <w:r w:rsidR="00426084" w:rsidRPr="00074974">
        <w:rPr>
          <w:rFonts w:ascii="Times New Roman" w:hAnsi="Times New Roman" w:cs="Times New Roman"/>
          <w:sz w:val="24"/>
          <w:szCs w:val="24"/>
          <w:lang w:val="es-ES"/>
        </w:rPr>
        <w:t>me voy a centrar en un tema</w:t>
      </w:r>
      <w:r w:rsidRPr="00074974">
        <w:rPr>
          <w:rFonts w:ascii="Times New Roman" w:hAnsi="Times New Roman" w:cs="Times New Roman"/>
          <w:sz w:val="24"/>
          <w:szCs w:val="24"/>
          <w:lang w:val="es-ES"/>
        </w:rPr>
        <w:t xml:space="preserve"> fundamental, en la relación sujeto-objeto</w:t>
      </w:r>
      <w:r w:rsidR="00DD378E" w:rsidRPr="00074974">
        <w:rPr>
          <w:rFonts w:ascii="Times New Roman" w:hAnsi="Times New Roman" w:cs="Times New Roman"/>
          <w:sz w:val="24"/>
          <w:szCs w:val="24"/>
          <w:lang w:val="es-ES"/>
        </w:rPr>
        <w:t>, se trata de</w:t>
      </w:r>
      <w:r w:rsidR="00D63B4F" w:rsidRPr="00074974">
        <w:rPr>
          <w:rFonts w:ascii="Times New Roman" w:hAnsi="Times New Roman" w:cs="Times New Roman"/>
          <w:sz w:val="24"/>
          <w:szCs w:val="24"/>
          <w:lang w:val="es-ES"/>
        </w:rPr>
        <w:t xml:space="preserve"> la idea de </w:t>
      </w:r>
      <w:r w:rsidR="00D63B4F" w:rsidRPr="00074974">
        <w:rPr>
          <w:rFonts w:ascii="Times New Roman" w:hAnsi="Times New Roman" w:cs="Times New Roman"/>
          <w:i/>
          <w:sz w:val="24"/>
          <w:szCs w:val="24"/>
          <w:lang w:val="es-ES"/>
        </w:rPr>
        <w:t>cosificación</w:t>
      </w:r>
      <w:r w:rsidRPr="00074974">
        <w:rPr>
          <w:rFonts w:ascii="Times New Roman" w:hAnsi="Times New Roman" w:cs="Times New Roman"/>
          <w:i/>
          <w:sz w:val="24"/>
          <w:szCs w:val="24"/>
          <w:lang w:val="es-ES"/>
        </w:rPr>
        <w:t>.</w:t>
      </w:r>
      <w:r w:rsidRPr="00074974">
        <w:rPr>
          <w:rFonts w:ascii="Times New Roman" w:hAnsi="Times New Roman" w:cs="Times New Roman"/>
          <w:sz w:val="24"/>
          <w:szCs w:val="24"/>
          <w:lang w:val="es-ES"/>
        </w:rPr>
        <w:t xml:space="preserve"> Es una cuestión central en la literatura feminista y</w:t>
      </w:r>
      <w:r w:rsidR="00D63B4F" w:rsidRPr="00074974">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ahora, en esta nueva deriva de feminización de los cuerpos, adquiere una importancia esencial en relación con el cuerpo humano de cualquier sexo. </w:t>
      </w:r>
      <w:r w:rsidR="00D63B4F" w:rsidRPr="00074974">
        <w:rPr>
          <w:rFonts w:ascii="Times New Roman" w:hAnsi="Times New Roman" w:cs="Times New Roman"/>
          <w:sz w:val="24"/>
          <w:szCs w:val="24"/>
          <w:lang w:val="es-ES"/>
        </w:rPr>
        <w:t>Una de las objeciones más recurrentes a la consideración de un derecho de propiedad sobre el propio cuerpo y sus elementos es la que tiene que ver con este tema de la cosificación de las personas. No es un tema nuevo, pues Locke o Kant o Hegel</w:t>
      </w:r>
      <w:r w:rsidR="00D339C3">
        <w:rPr>
          <w:rFonts w:ascii="Times New Roman" w:hAnsi="Times New Roman" w:cs="Times New Roman"/>
          <w:sz w:val="24"/>
          <w:szCs w:val="24"/>
          <w:lang w:val="es-ES"/>
        </w:rPr>
        <w:t>,</w:t>
      </w:r>
      <w:r w:rsidR="00D63B4F" w:rsidRPr="00074974">
        <w:rPr>
          <w:rFonts w:ascii="Times New Roman" w:hAnsi="Times New Roman" w:cs="Times New Roman"/>
          <w:sz w:val="24"/>
          <w:szCs w:val="24"/>
          <w:lang w:val="es-ES"/>
        </w:rPr>
        <w:t xml:space="preserve"> </w:t>
      </w:r>
      <w:r w:rsidR="00994817" w:rsidRPr="00074974">
        <w:rPr>
          <w:rFonts w:ascii="Times New Roman" w:hAnsi="Times New Roman" w:cs="Times New Roman"/>
          <w:sz w:val="24"/>
          <w:szCs w:val="24"/>
          <w:lang w:val="es-ES"/>
        </w:rPr>
        <w:t>entre los clásicos</w:t>
      </w:r>
      <w:r w:rsidR="00D339C3">
        <w:rPr>
          <w:rFonts w:ascii="Times New Roman" w:hAnsi="Times New Roman" w:cs="Times New Roman"/>
          <w:sz w:val="24"/>
          <w:szCs w:val="24"/>
          <w:lang w:val="es-ES"/>
        </w:rPr>
        <w:t>,</w:t>
      </w:r>
      <w:r w:rsidR="00D63B4F" w:rsidRPr="00074974">
        <w:rPr>
          <w:rFonts w:ascii="Times New Roman" w:hAnsi="Times New Roman" w:cs="Times New Roman"/>
          <w:sz w:val="24"/>
          <w:szCs w:val="24"/>
          <w:lang w:val="es-ES"/>
        </w:rPr>
        <w:t xml:space="preserve"> lo tocan en sus obras. </w:t>
      </w:r>
      <w:r w:rsidRPr="00074974">
        <w:rPr>
          <w:rFonts w:ascii="Times New Roman" w:hAnsi="Times New Roman" w:cs="Times New Roman"/>
          <w:sz w:val="24"/>
          <w:szCs w:val="24"/>
          <w:lang w:val="es-ES"/>
        </w:rPr>
        <w:t xml:space="preserve">No voy a tratar </w:t>
      </w:r>
      <w:r w:rsidR="0081265C" w:rsidRPr="00074974">
        <w:rPr>
          <w:rFonts w:ascii="Times New Roman" w:hAnsi="Times New Roman" w:cs="Times New Roman"/>
          <w:sz w:val="24"/>
          <w:szCs w:val="24"/>
          <w:lang w:val="es-ES"/>
        </w:rPr>
        <w:t>aquí,</w:t>
      </w:r>
      <w:r w:rsidRPr="00074974">
        <w:rPr>
          <w:rFonts w:ascii="Times New Roman" w:hAnsi="Times New Roman" w:cs="Times New Roman"/>
          <w:sz w:val="24"/>
          <w:szCs w:val="24"/>
          <w:lang w:val="es-ES"/>
        </w:rPr>
        <w:t xml:space="preserve"> porque lo he hecho en otra parte</w:t>
      </w:r>
      <w:r w:rsidR="0081265C" w:rsidRPr="00074974">
        <w:rPr>
          <w:rFonts w:ascii="Times New Roman" w:hAnsi="Times New Roman" w:cs="Times New Roman"/>
          <w:sz w:val="24"/>
          <w:szCs w:val="24"/>
          <w:lang w:val="es-ES"/>
        </w:rPr>
        <w:t xml:space="preserve"> lo que dicen estos autores</w:t>
      </w:r>
      <w:r w:rsidRPr="00074974">
        <w:rPr>
          <w:rFonts w:ascii="Times New Roman" w:hAnsi="Times New Roman" w:cs="Times New Roman"/>
          <w:sz w:val="24"/>
          <w:szCs w:val="24"/>
          <w:lang w:val="es-ES"/>
        </w:rPr>
        <w:t>,</w:t>
      </w:r>
      <w:r w:rsidR="0081265C" w:rsidRPr="00074974">
        <w:rPr>
          <w:rFonts w:ascii="Times New Roman" w:hAnsi="Times New Roman" w:cs="Times New Roman"/>
          <w:sz w:val="24"/>
          <w:szCs w:val="24"/>
          <w:lang w:val="es-ES"/>
        </w:rPr>
        <w:t xml:space="preserve"> ni tampoco</w:t>
      </w:r>
      <w:r w:rsidR="00994817" w:rsidRPr="00074974">
        <w:rPr>
          <w:rFonts w:ascii="Times New Roman" w:hAnsi="Times New Roman" w:cs="Times New Roman"/>
          <w:sz w:val="24"/>
          <w:szCs w:val="24"/>
          <w:lang w:val="es-ES"/>
        </w:rPr>
        <w:t xml:space="preserve"> la idea libertaria de selfownership o autodominio, ni</w:t>
      </w:r>
      <w:r w:rsidRPr="00074974">
        <w:rPr>
          <w:rFonts w:ascii="Times New Roman" w:hAnsi="Times New Roman" w:cs="Times New Roman"/>
          <w:sz w:val="24"/>
          <w:szCs w:val="24"/>
          <w:lang w:val="es-ES"/>
        </w:rPr>
        <w:t xml:space="preserve"> temas básicos como el de la fundamentación de la propiedad y el de una definición de propiedad compatible con una idea de propiedad sobre el cuerpo humano</w:t>
      </w:r>
      <w:r w:rsidR="0081265C" w:rsidRPr="00074974">
        <w:rPr>
          <w:rFonts w:ascii="Times New Roman" w:hAnsi="Times New Roman" w:cs="Times New Roman"/>
          <w:sz w:val="24"/>
          <w:szCs w:val="24"/>
          <w:lang w:val="es-ES"/>
        </w:rPr>
        <w:t xml:space="preserve"> y sus elementos</w:t>
      </w:r>
      <w:r w:rsidRPr="00074974">
        <w:rPr>
          <w:rFonts w:ascii="Times New Roman" w:hAnsi="Times New Roman" w:cs="Times New Roman"/>
          <w:sz w:val="24"/>
          <w:szCs w:val="24"/>
          <w:lang w:val="es-ES"/>
        </w:rPr>
        <w:t>. Tampoco puedo hacer más, de momento, que esbozar algunas cuestiones.</w:t>
      </w:r>
      <w:r w:rsidR="0075125D" w:rsidRPr="00074974">
        <w:rPr>
          <w:rFonts w:ascii="Times New Roman" w:hAnsi="Times New Roman" w:cs="Times New Roman"/>
          <w:sz w:val="24"/>
          <w:szCs w:val="24"/>
          <w:lang w:val="es-ES"/>
        </w:rPr>
        <w:t xml:space="preserve"> </w:t>
      </w:r>
    </w:p>
    <w:p w:rsidR="00B910D3" w:rsidRPr="00074974" w:rsidRDefault="00B910D3" w:rsidP="00905A19">
      <w:pPr>
        <w:spacing w:line="360" w:lineRule="auto"/>
        <w:jc w:val="both"/>
        <w:rPr>
          <w:rFonts w:ascii="Times New Roman" w:hAnsi="Times New Roman" w:cs="Times New Roman"/>
          <w:b/>
          <w:sz w:val="24"/>
          <w:szCs w:val="24"/>
          <w:lang w:val="es-ES"/>
        </w:rPr>
      </w:pPr>
      <w:r w:rsidRPr="00074974">
        <w:rPr>
          <w:rFonts w:ascii="Times New Roman" w:hAnsi="Times New Roman" w:cs="Times New Roman"/>
          <w:b/>
          <w:sz w:val="24"/>
          <w:szCs w:val="24"/>
          <w:lang w:val="es-ES"/>
        </w:rPr>
        <w:t>Derechos humanos, propiedad, control del cuerpo</w:t>
      </w:r>
    </w:p>
    <w:p w:rsidR="002A365F" w:rsidRPr="00074974" w:rsidRDefault="002A365F" w:rsidP="002A365F">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En la fundamentación de los derechos individuales está el principio de autonomía de los seres humanos que supone que las personas han de guiarse de acuerdo con las leyes que se dan a sí mismas. Por eso no es una casualidad que, a la vez que se abren paso en la historia las concepciones de derechos humanos, surjan las grandes revoluciones </w:t>
      </w:r>
      <w:r w:rsidRPr="00074974">
        <w:rPr>
          <w:rFonts w:ascii="Times New Roman" w:hAnsi="Times New Roman" w:cs="Times New Roman"/>
          <w:sz w:val="24"/>
          <w:szCs w:val="24"/>
          <w:lang w:val="es-ES"/>
        </w:rPr>
        <w:lastRenderedPageBreak/>
        <w:t>ilustradas</w:t>
      </w:r>
      <w:r w:rsidRPr="00074974">
        <w:rPr>
          <w:rStyle w:val="Refdenotaalpie"/>
          <w:rFonts w:ascii="Times New Roman" w:hAnsi="Times New Roman" w:cs="Times New Roman"/>
          <w:sz w:val="24"/>
          <w:szCs w:val="24"/>
          <w:lang w:val="es-ES"/>
        </w:rPr>
        <w:footnoteReference w:id="1"/>
      </w:r>
      <w:r w:rsidR="00E9432E" w:rsidRPr="00074974">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En las declaraciones de derechos revolucionarias aparecen las proclamaciones de derechos que se pretenden universales, aunque esa universalidad deje fuera a una gran parte de la humanidad, así a las mujeres, y en general a los asalariados y a las personas sometidas a situaciones de esclavitud, perfectamente legalizada entonces, en el siglo XVIII en muchos países</w:t>
      </w:r>
      <w:r w:rsidRPr="00074974">
        <w:rPr>
          <w:rStyle w:val="Refdenotaalpie"/>
          <w:rFonts w:ascii="Times New Roman" w:hAnsi="Times New Roman" w:cs="Times New Roman"/>
          <w:sz w:val="24"/>
          <w:szCs w:val="24"/>
          <w:lang w:val="es-ES"/>
        </w:rPr>
        <w:footnoteReference w:id="2"/>
      </w:r>
      <w:r w:rsidRPr="00074974">
        <w:rPr>
          <w:rFonts w:ascii="Times New Roman" w:hAnsi="Times New Roman" w:cs="Times New Roman"/>
          <w:sz w:val="24"/>
          <w:szCs w:val="24"/>
          <w:lang w:val="es-ES"/>
        </w:rPr>
        <w:t xml:space="preserve">. </w:t>
      </w:r>
    </w:p>
    <w:p w:rsidR="002A365F" w:rsidRPr="00074974" w:rsidRDefault="002A365F" w:rsidP="002A365F">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Tampoco esas exclusiones son casuales, parten en gran medida de un criterio que algunos autores como Kant articulan con</w:t>
      </w:r>
      <w:r w:rsidR="00465D50" w:rsidRPr="00074974">
        <w:rPr>
          <w:rFonts w:ascii="Times New Roman" w:hAnsi="Times New Roman" w:cs="Times New Roman"/>
          <w:sz w:val="24"/>
          <w:szCs w:val="24"/>
          <w:lang w:val="es-ES"/>
        </w:rPr>
        <w:t xml:space="preserve"> gran</w:t>
      </w:r>
      <w:r w:rsidRPr="00074974">
        <w:rPr>
          <w:rFonts w:ascii="Times New Roman" w:hAnsi="Times New Roman" w:cs="Times New Roman"/>
          <w:sz w:val="24"/>
          <w:szCs w:val="24"/>
          <w:lang w:val="es-ES"/>
        </w:rPr>
        <w:t xml:space="preserve"> cuidado, se trata del cr</w:t>
      </w:r>
      <w:r w:rsidR="00465D50" w:rsidRPr="00074974">
        <w:rPr>
          <w:rFonts w:ascii="Times New Roman" w:hAnsi="Times New Roman" w:cs="Times New Roman"/>
          <w:sz w:val="24"/>
          <w:szCs w:val="24"/>
          <w:lang w:val="es-ES"/>
        </w:rPr>
        <w:t>iterio de dependencia, que equivale a</w:t>
      </w:r>
      <w:r w:rsidRPr="00074974">
        <w:rPr>
          <w:rFonts w:ascii="Times New Roman" w:hAnsi="Times New Roman" w:cs="Times New Roman"/>
          <w:sz w:val="24"/>
          <w:szCs w:val="24"/>
          <w:lang w:val="es-ES"/>
        </w:rPr>
        <w:t xml:space="preserve"> la no titularidad de propiedad</w:t>
      </w:r>
      <w:r w:rsidRPr="00074974">
        <w:rPr>
          <w:rStyle w:val="Refdenotaalpie"/>
          <w:rFonts w:ascii="Times New Roman" w:hAnsi="Times New Roman" w:cs="Times New Roman"/>
          <w:sz w:val="24"/>
          <w:szCs w:val="24"/>
          <w:lang w:val="es-ES"/>
        </w:rPr>
        <w:footnoteReference w:id="3"/>
      </w:r>
      <w:r w:rsidRPr="00074974">
        <w:rPr>
          <w:rFonts w:ascii="Times New Roman" w:hAnsi="Times New Roman" w:cs="Times New Roman"/>
          <w:sz w:val="24"/>
          <w:szCs w:val="24"/>
          <w:lang w:val="es-ES"/>
        </w:rPr>
        <w:t>. No hemos de olvidar que e</w:t>
      </w:r>
      <w:r w:rsidR="00465D50" w:rsidRPr="00074974">
        <w:rPr>
          <w:rFonts w:ascii="Times New Roman" w:hAnsi="Times New Roman" w:cs="Times New Roman"/>
          <w:sz w:val="24"/>
          <w:szCs w:val="24"/>
          <w:lang w:val="es-ES"/>
        </w:rPr>
        <w:t>n las declaraciones de derechos</w:t>
      </w:r>
      <w:r w:rsidR="0075125D" w:rsidRPr="00074974">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la propiedad desempeña un papel destacado, al fin y al cabo estas declaraciones son la manifestación del poder de la burguesía ascendente frente al </w:t>
      </w:r>
      <w:proofErr w:type="spellStart"/>
      <w:r w:rsidRPr="00074974">
        <w:rPr>
          <w:rFonts w:ascii="Times New Roman" w:hAnsi="Times New Roman" w:cs="Times New Roman"/>
          <w:i/>
          <w:sz w:val="24"/>
          <w:szCs w:val="24"/>
          <w:lang w:val="es-ES"/>
        </w:rPr>
        <w:t>ancien</w:t>
      </w:r>
      <w:proofErr w:type="spellEnd"/>
      <w:r w:rsidRPr="00074974">
        <w:rPr>
          <w:rFonts w:ascii="Times New Roman" w:hAnsi="Times New Roman" w:cs="Times New Roman"/>
          <w:i/>
          <w:sz w:val="24"/>
          <w:szCs w:val="24"/>
          <w:lang w:val="es-ES"/>
        </w:rPr>
        <w:t xml:space="preserve"> </w:t>
      </w:r>
      <w:proofErr w:type="spellStart"/>
      <w:r w:rsidRPr="00074974">
        <w:rPr>
          <w:rFonts w:ascii="Times New Roman" w:hAnsi="Times New Roman" w:cs="Times New Roman"/>
          <w:i/>
          <w:sz w:val="24"/>
          <w:szCs w:val="24"/>
          <w:lang w:val="es-ES"/>
        </w:rPr>
        <w:t>régime</w:t>
      </w:r>
      <w:proofErr w:type="spellEnd"/>
      <w:r w:rsidRPr="00074974">
        <w:rPr>
          <w:rStyle w:val="Refdenotaalpie"/>
          <w:rFonts w:ascii="Times New Roman" w:hAnsi="Times New Roman" w:cs="Times New Roman"/>
          <w:sz w:val="24"/>
          <w:szCs w:val="24"/>
          <w:lang w:val="es-ES"/>
        </w:rPr>
        <w:footnoteReference w:id="4"/>
      </w:r>
      <w:r w:rsidRPr="00074974">
        <w:rPr>
          <w:rFonts w:ascii="Times New Roman" w:hAnsi="Times New Roman" w:cs="Times New Roman"/>
          <w:sz w:val="24"/>
          <w:szCs w:val="24"/>
          <w:lang w:val="es-ES"/>
        </w:rPr>
        <w:t xml:space="preserve">. Ser titular de propiedad es y ha sido siempre una manifestación de poder, y por ello los excluidos de la titularidad de propiedad pasan a ser ciudadanos de segunda clase, no son reconocidos como verdaderos titulares de los derechos humanos tan ruidosamente proclamados. Así sucede a las mujeres y a los sirvientes. O ni siquiera se les reconoce como titulares de derecho alguno, como sucede a los esclavos. Todos los no propietarios comparten la característica de ser dependientes, ya sea de un amo, de un patrón o de un marido, pero además comparten otra característica común: la falta de control y de decisión acerca de sus cuerpos, esa falta de control se manifiesta de diferentes maneras, en diferentes medidas, en circunstancias diversas. Carecen de la posibilidad de controlar los usos, frutos y cuidados de sus propios cuerpos. Con frecuencia se justifica esa situación en la naturaleza, así en el caso de las mujeres y también </w:t>
      </w:r>
      <w:r w:rsidR="00C37175" w:rsidRPr="00074974">
        <w:rPr>
          <w:rFonts w:ascii="Times New Roman" w:hAnsi="Times New Roman" w:cs="Times New Roman"/>
          <w:sz w:val="24"/>
          <w:szCs w:val="24"/>
          <w:lang w:val="es-ES"/>
        </w:rPr>
        <w:t>en el</w:t>
      </w:r>
      <w:r w:rsidRPr="00074974">
        <w:rPr>
          <w:rFonts w:ascii="Times New Roman" w:hAnsi="Times New Roman" w:cs="Times New Roman"/>
          <w:sz w:val="24"/>
          <w:szCs w:val="24"/>
          <w:lang w:val="es-ES"/>
        </w:rPr>
        <w:t xml:space="preserve"> de los esclavos</w:t>
      </w:r>
      <w:r w:rsidRPr="00074974">
        <w:rPr>
          <w:rStyle w:val="Refdenotaalpie"/>
          <w:rFonts w:ascii="Times New Roman" w:hAnsi="Times New Roman" w:cs="Times New Roman"/>
          <w:sz w:val="24"/>
          <w:szCs w:val="24"/>
          <w:lang w:val="es-ES"/>
        </w:rPr>
        <w:footnoteReference w:id="5"/>
      </w:r>
      <w:r w:rsidRPr="00074974">
        <w:rPr>
          <w:rFonts w:ascii="Times New Roman" w:hAnsi="Times New Roman" w:cs="Times New Roman"/>
          <w:sz w:val="24"/>
          <w:szCs w:val="24"/>
          <w:lang w:val="es-ES"/>
        </w:rPr>
        <w:t xml:space="preserve">. Con respecto a los sirvientes, algunos autores establecen conexiones entre esos cuerpos que realizan unas tareas y trabajos a partir de los cuales se obtienen unos frutos y la posibilidad </w:t>
      </w:r>
      <w:r w:rsidRPr="00074974">
        <w:rPr>
          <w:rFonts w:ascii="Times New Roman" w:hAnsi="Times New Roman" w:cs="Times New Roman"/>
          <w:sz w:val="24"/>
          <w:szCs w:val="24"/>
          <w:lang w:val="es-ES"/>
        </w:rPr>
        <w:lastRenderedPageBreak/>
        <w:t xml:space="preserve">de apropiación de esos frutos (que se atribuirán al patrón, no al sirviente cuyo cuerpo los </w:t>
      </w:r>
      <w:proofErr w:type="gramStart"/>
      <w:r w:rsidRPr="00074974">
        <w:rPr>
          <w:rFonts w:ascii="Times New Roman" w:hAnsi="Times New Roman" w:cs="Times New Roman"/>
          <w:sz w:val="24"/>
          <w:szCs w:val="24"/>
          <w:lang w:val="es-ES"/>
        </w:rPr>
        <w:t>produce</w:t>
      </w:r>
      <w:proofErr w:type="gramEnd"/>
      <w:r w:rsidRPr="00074974">
        <w:rPr>
          <w:rFonts w:ascii="Times New Roman" w:hAnsi="Times New Roman" w:cs="Times New Roman"/>
          <w:sz w:val="24"/>
          <w:szCs w:val="24"/>
          <w:lang w:val="es-ES"/>
        </w:rPr>
        <w:t>)</w:t>
      </w:r>
      <w:r w:rsidR="00C07374">
        <w:rPr>
          <w:rFonts w:ascii="Times New Roman" w:hAnsi="Times New Roman" w:cs="Times New Roman"/>
          <w:sz w:val="24"/>
          <w:szCs w:val="24"/>
          <w:lang w:val="es-ES"/>
        </w:rPr>
        <w:t>.</w:t>
      </w:r>
    </w:p>
    <w:p w:rsidR="009B0C7D" w:rsidRPr="00074974" w:rsidRDefault="009B0C7D" w:rsidP="009B0C7D">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Tal vez no se haya subrayado suficientemente la relevancia de la propiedad en la construcción del sujeto político, o más bien del sujeto </w:t>
      </w:r>
      <w:r w:rsidRPr="00074974">
        <w:rPr>
          <w:rFonts w:ascii="Times New Roman" w:hAnsi="Times New Roman" w:cs="Times New Roman"/>
          <w:i/>
          <w:sz w:val="24"/>
          <w:szCs w:val="24"/>
          <w:lang w:val="es-ES"/>
        </w:rPr>
        <w:t>‘</w:t>
      </w:r>
      <w:proofErr w:type="spellStart"/>
      <w:r w:rsidRPr="00074974">
        <w:rPr>
          <w:rFonts w:ascii="Times New Roman" w:hAnsi="Times New Roman" w:cs="Times New Roman"/>
          <w:i/>
          <w:sz w:val="24"/>
          <w:szCs w:val="24"/>
          <w:lang w:val="es-ES"/>
        </w:rPr>
        <w:t>tout</w:t>
      </w:r>
      <w:proofErr w:type="spellEnd"/>
      <w:r w:rsidRPr="00074974">
        <w:rPr>
          <w:rFonts w:ascii="Times New Roman" w:hAnsi="Times New Roman" w:cs="Times New Roman"/>
          <w:i/>
          <w:sz w:val="24"/>
          <w:szCs w:val="24"/>
          <w:lang w:val="es-ES"/>
        </w:rPr>
        <w:t xml:space="preserve"> </w:t>
      </w:r>
      <w:proofErr w:type="spellStart"/>
      <w:r w:rsidRPr="00074974">
        <w:rPr>
          <w:rFonts w:ascii="Times New Roman" w:hAnsi="Times New Roman" w:cs="Times New Roman"/>
          <w:i/>
          <w:sz w:val="24"/>
          <w:szCs w:val="24"/>
          <w:lang w:val="es-ES"/>
        </w:rPr>
        <w:t>court</w:t>
      </w:r>
      <w:proofErr w:type="spellEnd"/>
      <w:r w:rsidRPr="00074974">
        <w:rPr>
          <w:rFonts w:ascii="Times New Roman" w:hAnsi="Times New Roman" w:cs="Times New Roman"/>
          <w:i/>
          <w:sz w:val="24"/>
          <w:szCs w:val="24"/>
          <w:lang w:val="es-ES"/>
        </w:rPr>
        <w:t>’.</w:t>
      </w:r>
      <w:r w:rsidRPr="00074974">
        <w:rPr>
          <w:rFonts w:ascii="Times New Roman" w:hAnsi="Times New Roman" w:cs="Times New Roman"/>
          <w:sz w:val="24"/>
          <w:szCs w:val="24"/>
          <w:lang w:val="es-ES"/>
        </w:rPr>
        <w:t xml:space="preserve"> Las y los dependientes carecían de la categoría plena de sujetos y estaban más cerca de la consideración de objetos. </w:t>
      </w:r>
    </w:p>
    <w:p w:rsidR="00761090" w:rsidRPr="00074974" w:rsidRDefault="00761090" w:rsidP="002A365F">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Si estamos dispuestos a aceptar que “propiedad es pod</w:t>
      </w:r>
      <w:r w:rsidR="00845CAB" w:rsidRPr="00074974">
        <w:rPr>
          <w:rFonts w:ascii="Times New Roman" w:hAnsi="Times New Roman" w:cs="Times New Roman"/>
          <w:sz w:val="24"/>
          <w:szCs w:val="24"/>
          <w:lang w:val="es-ES"/>
        </w:rPr>
        <w:t xml:space="preserve">er”, </w:t>
      </w:r>
      <w:r w:rsidR="00912E3C">
        <w:rPr>
          <w:rFonts w:ascii="Times New Roman" w:hAnsi="Times New Roman" w:cs="Times New Roman"/>
          <w:sz w:val="24"/>
          <w:szCs w:val="24"/>
          <w:lang w:val="es-ES"/>
        </w:rPr>
        <w:t>entonces</w:t>
      </w:r>
      <w:r w:rsidR="00845CAB" w:rsidRPr="00074974">
        <w:rPr>
          <w:rFonts w:ascii="Times New Roman" w:hAnsi="Times New Roman" w:cs="Times New Roman"/>
          <w:sz w:val="24"/>
          <w:szCs w:val="24"/>
          <w:lang w:val="es-ES"/>
        </w:rPr>
        <w:t xml:space="preserve"> son los más débiles, esa ciudadanía inicialmente calificada como pasiva e históricamente dependiente la que</w:t>
      </w:r>
      <w:r w:rsidRPr="00074974">
        <w:rPr>
          <w:rFonts w:ascii="Times New Roman" w:hAnsi="Times New Roman" w:cs="Times New Roman"/>
          <w:sz w:val="24"/>
          <w:szCs w:val="24"/>
          <w:lang w:val="es-ES"/>
        </w:rPr>
        <w:t xml:space="preserve"> necesitan mecanismos más fuertes para defender sus derechos de control sobre sus propios cuerpos, ya no solo contra amos, maridos o patronos, sino también, ahora, contra otro tipo de entidades o de corporaciones, extraordinariamente poderosas, frente a las cuales el lenguaje de la propiedad es un lenguaje mucho más articulado jurídicamente</w:t>
      </w:r>
      <w:r w:rsidR="00845CAB" w:rsidRPr="00074974">
        <w:rPr>
          <w:rFonts w:ascii="Times New Roman" w:hAnsi="Times New Roman" w:cs="Times New Roman"/>
          <w:sz w:val="24"/>
          <w:szCs w:val="24"/>
          <w:lang w:val="es-ES"/>
        </w:rPr>
        <w:t xml:space="preserve"> a la hora de defenderse</w:t>
      </w:r>
      <w:r w:rsidRPr="00074974">
        <w:rPr>
          <w:rFonts w:ascii="Times New Roman" w:hAnsi="Times New Roman" w:cs="Times New Roman"/>
          <w:sz w:val="24"/>
          <w:szCs w:val="24"/>
          <w:lang w:val="es-ES"/>
        </w:rPr>
        <w:t>, y por tanto más eficaz que los lenguajes tradicionales</w:t>
      </w:r>
      <w:r w:rsidR="000D0C8E">
        <w:rPr>
          <w:rFonts w:ascii="Times New Roman" w:hAnsi="Times New Roman" w:cs="Times New Roman"/>
          <w:sz w:val="24"/>
          <w:szCs w:val="24"/>
          <w:lang w:val="es-ES"/>
        </w:rPr>
        <w:t>.</w:t>
      </w:r>
    </w:p>
    <w:p w:rsidR="00C07374" w:rsidRDefault="00E9432E" w:rsidP="00E9432E">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E</w:t>
      </w:r>
      <w:r w:rsidR="00EA760D" w:rsidRPr="00074974">
        <w:rPr>
          <w:rFonts w:ascii="Times New Roman" w:hAnsi="Times New Roman" w:cs="Times New Roman"/>
          <w:sz w:val="24"/>
          <w:szCs w:val="24"/>
          <w:lang w:val="es-ES"/>
        </w:rPr>
        <w:t xml:space="preserve">l hilo conductor de este </w:t>
      </w:r>
      <w:proofErr w:type="spellStart"/>
      <w:r w:rsidR="00EA760D" w:rsidRPr="00074974">
        <w:rPr>
          <w:rFonts w:ascii="Times New Roman" w:hAnsi="Times New Roman" w:cs="Times New Roman"/>
          <w:i/>
          <w:sz w:val="24"/>
          <w:szCs w:val="24"/>
          <w:lang w:val="es-ES"/>
        </w:rPr>
        <w:t>work</w:t>
      </w:r>
      <w:proofErr w:type="spellEnd"/>
      <w:r w:rsidR="00EA760D" w:rsidRPr="00074974">
        <w:rPr>
          <w:rFonts w:ascii="Times New Roman" w:hAnsi="Times New Roman" w:cs="Times New Roman"/>
          <w:i/>
          <w:sz w:val="24"/>
          <w:szCs w:val="24"/>
          <w:lang w:val="es-ES"/>
        </w:rPr>
        <w:t xml:space="preserve"> in </w:t>
      </w:r>
      <w:proofErr w:type="spellStart"/>
      <w:r w:rsidR="00EA760D" w:rsidRPr="00074974">
        <w:rPr>
          <w:rFonts w:ascii="Times New Roman" w:hAnsi="Times New Roman" w:cs="Times New Roman"/>
          <w:i/>
          <w:sz w:val="24"/>
          <w:szCs w:val="24"/>
          <w:lang w:val="es-ES"/>
        </w:rPr>
        <w:t>progress</w:t>
      </w:r>
      <w:proofErr w:type="spellEnd"/>
      <w:r w:rsidRPr="00074974">
        <w:rPr>
          <w:rFonts w:ascii="Times New Roman" w:hAnsi="Times New Roman" w:cs="Times New Roman"/>
          <w:sz w:val="24"/>
          <w:szCs w:val="24"/>
          <w:lang w:val="es-ES"/>
        </w:rPr>
        <w:t xml:space="preserve"> consiste en examinar la conveniencia de pensar en una idea de propiedad en relación con el cuerpo humano, como un medio para que cada persona pueda controlar los usos de su cuerpo y preservarlo frente a decisiones ajenas. Para que pueda defender dignament</w:t>
      </w:r>
      <w:r w:rsidR="003F64BA" w:rsidRPr="00074974">
        <w:rPr>
          <w:rFonts w:ascii="Times New Roman" w:hAnsi="Times New Roman" w:cs="Times New Roman"/>
          <w:sz w:val="24"/>
          <w:szCs w:val="24"/>
          <w:lang w:val="es-ES"/>
        </w:rPr>
        <w:t xml:space="preserve">e sus opciones. </w:t>
      </w:r>
    </w:p>
    <w:p w:rsidR="00E9432E" w:rsidRPr="00074974" w:rsidRDefault="00943457" w:rsidP="00E9432E">
      <w:pPr>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Antes de continuar</w:t>
      </w:r>
      <w:r w:rsidR="00912E3C">
        <w:rPr>
          <w:rFonts w:ascii="Times New Roman" w:hAnsi="Times New Roman" w:cs="Times New Roman"/>
          <w:sz w:val="24"/>
          <w:szCs w:val="24"/>
          <w:lang w:val="es-ES"/>
        </w:rPr>
        <w:t xml:space="preserve"> es </w:t>
      </w:r>
      <w:r w:rsidR="008D6789">
        <w:rPr>
          <w:rFonts w:ascii="Times New Roman" w:hAnsi="Times New Roman" w:cs="Times New Roman"/>
          <w:sz w:val="24"/>
          <w:szCs w:val="24"/>
          <w:lang w:val="es-ES"/>
        </w:rPr>
        <w:t>i</w:t>
      </w:r>
      <w:r w:rsidR="00912E3C">
        <w:rPr>
          <w:rFonts w:ascii="Times New Roman" w:hAnsi="Times New Roman" w:cs="Times New Roman"/>
          <w:sz w:val="24"/>
          <w:szCs w:val="24"/>
          <w:lang w:val="es-ES"/>
        </w:rPr>
        <w:t>ndispensable</w:t>
      </w:r>
      <w:r w:rsidR="00E9432E" w:rsidRPr="00074974">
        <w:rPr>
          <w:rFonts w:ascii="Times New Roman" w:hAnsi="Times New Roman" w:cs="Times New Roman"/>
          <w:sz w:val="24"/>
          <w:szCs w:val="24"/>
          <w:lang w:val="es-ES"/>
        </w:rPr>
        <w:t xml:space="preserve"> destacar que el reconocimiento de algún tipo de propiedad sobre el cuerpo y sus partes es una condición necesaria, pero no suficien</w:t>
      </w:r>
      <w:r w:rsidR="008D6789">
        <w:rPr>
          <w:rFonts w:ascii="Times New Roman" w:hAnsi="Times New Roman" w:cs="Times New Roman"/>
          <w:sz w:val="24"/>
          <w:szCs w:val="24"/>
          <w:lang w:val="es-ES"/>
        </w:rPr>
        <w:t xml:space="preserve">te, para convertir el cuerpo en </w:t>
      </w:r>
      <w:proofErr w:type="spellStart"/>
      <w:r w:rsidR="008D6789">
        <w:rPr>
          <w:rFonts w:ascii="Times New Roman" w:hAnsi="Times New Roman" w:cs="Times New Roman"/>
          <w:sz w:val="24"/>
          <w:szCs w:val="24"/>
          <w:lang w:val="es-ES"/>
        </w:rPr>
        <w:t>mercancia</w:t>
      </w:r>
      <w:proofErr w:type="spellEnd"/>
      <w:r w:rsidR="00E9432E" w:rsidRPr="00074974">
        <w:rPr>
          <w:rFonts w:ascii="Times New Roman" w:hAnsi="Times New Roman" w:cs="Times New Roman"/>
          <w:sz w:val="24"/>
          <w:szCs w:val="24"/>
          <w:lang w:val="es-ES"/>
        </w:rPr>
        <w:t>. La admisión de una idea de propiedad no implica obligatoriamente el paso siguiente: un mercado donde circulen libremente órganos, óvulos, tejidos, córneas o cualesquiera partes del cuerpo. Una cosa es pensar en los seres humanos como titulares de algún tipo de propiedad sobre sus cuerpos. Otra diferente, es pensar en esos cuerpos o sus partes circulando en un mercado. Muchas de las polémicas sobre este tema está</w:t>
      </w:r>
      <w:r w:rsidR="003F64BA" w:rsidRPr="00074974">
        <w:rPr>
          <w:rFonts w:ascii="Times New Roman" w:hAnsi="Times New Roman" w:cs="Times New Roman"/>
          <w:sz w:val="24"/>
          <w:szCs w:val="24"/>
          <w:lang w:val="es-ES"/>
        </w:rPr>
        <w:t>n motivadas por la asimilación</w:t>
      </w:r>
      <w:r w:rsidR="00E9432E" w:rsidRPr="00074974">
        <w:rPr>
          <w:rFonts w:ascii="Times New Roman" w:hAnsi="Times New Roman" w:cs="Times New Roman"/>
          <w:sz w:val="24"/>
          <w:szCs w:val="24"/>
          <w:lang w:val="es-ES"/>
        </w:rPr>
        <w:t xml:space="preserve"> sin matices de cualquier idea de propiedad a la suposición de un mercado sin restricciones. No es ese el planteamiento de estas páginas</w:t>
      </w:r>
      <w:r w:rsidR="00E9432E" w:rsidRPr="00074974">
        <w:rPr>
          <w:rStyle w:val="Refdenotaalpie"/>
          <w:rFonts w:ascii="Times New Roman" w:hAnsi="Times New Roman" w:cs="Times New Roman"/>
          <w:sz w:val="24"/>
          <w:szCs w:val="24"/>
          <w:lang w:val="es-ES"/>
        </w:rPr>
        <w:footnoteReference w:id="6"/>
      </w:r>
      <w:r w:rsidR="00E9432E" w:rsidRPr="00074974">
        <w:rPr>
          <w:rFonts w:ascii="Times New Roman" w:hAnsi="Times New Roman" w:cs="Times New Roman"/>
          <w:sz w:val="24"/>
          <w:szCs w:val="24"/>
          <w:lang w:val="es-ES"/>
        </w:rPr>
        <w:t>.</w:t>
      </w:r>
    </w:p>
    <w:p w:rsidR="00677815" w:rsidRPr="00074974" w:rsidRDefault="003A1B8B" w:rsidP="00E9432E">
      <w:pPr>
        <w:spacing w:line="360" w:lineRule="auto"/>
        <w:jc w:val="both"/>
        <w:rPr>
          <w:rFonts w:ascii="Times New Roman" w:hAnsi="Times New Roman" w:cs="Times New Roman"/>
          <w:b/>
          <w:sz w:val="24"/>
          <w:szCs w:val="24"/>
          <w:lang w:val="es-ES"/>
        </w:rPr>
      </w:pPr>
      <w:r w:rsidRPr="00074974">
        <w:rPr>
          <w:rFonts w:ascii="Times New Roman" w:hAnsi="Times New Roman" w:cs="Times New Roman"/>
          <w:b/>
          <w:sz w:val="24"/>
          <w:szCs w:val="24"/>
          <w:lang w:val="es-ES"/>
        </w:rPr>
        <w:t>Sujetos,</w:t>
      </w:r>
      <w:r w:rsidR="00677815" w:rsidRPr="00074974">
        <w:rPr>
          <w:rFonts w:ascii="Times New Roman" w:hAnsi="Times New Roman" w:cs="Times New Roman"/>
          <w:b/>
          <w:sz w:val="24"/>
          <w:szCs w:val="24"/>
          <w:lang w:val="es-ES"/>
        </w:rPr>
        <w:t xml:space="preserve"> objetos</w:t>
      </w:r>
      <w:r w:rsidRPr="00074974">
        <w:rPr>
          <w:rFonts w:ascii="Times New Roman" w:hAnsi="Times New Roman" w:cs="Times New Roman"/>
          <w:b/>
          <w:sz w:val="24"/>
          <w:szCs w:val="24"/>
          <w:lang w:val="es-ES"/>
        </w:rPr>
        <w:t xml:space="preserve"> y propiedades</w:t>
      </w:r>
    </w:p>
    <w:p w:rsidR="00A5757A" w:rsidRPr="00074974" w:rsidRDefault="00A5757A" w:rsidP="00A5757A">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lastRenderedPageBreak/>
        <w:t xml:space="preserve">Es frecuente deslizarse desde el debate acerca de la posibilidad de hablar de propiedad sobre las partes del cuerpo humano a la mención de la </w:t>
      </w:r>
      <w:r w:rsidRPr="00074974">
        <w:rPr>
          <w:rFonts w:ascii="Times New Roman" w:hAnsi="Times New Roman" w:cs="Times New Roman"/>
          <w:i/>
          <w:sz w:val="24"/>
          <w:szCs w:val="24"/>
          <w:lang w:val="es-ES"/>
        </w:rPr>
        <w:t>cosificación</w:t>
      </w:r>
      <w:r w:rsidRPr="00074974">
        <w:rPr>
          <w:rFonts w:ascii="Times New Roman" w:hAnsi="Times New Roman" w:cs="Times New Roman"/>
          <w:sz w:val="24"/>
          <w:szCs w:val="24"/>
          <w:lang w:val="es-ES"/>
        </w:rPr>
        <w:t xml:space="preserve"> de los seres humanos</w:t>
      </w:r>
      <w:r w:rsidR="00F27C45" w:rsidRPr="00074974">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w:t>
      </w:r>
      <w:r w:rsidR="00F27C45" w:rsidRPr="00074974">
        <w:rPr>
          <w:rFonts w:ascii="Times New Roman" w:hAnsi="Times New Roman" w:cs="Times New Roman"/>
          <w:sz w:val="24"/>
          <w:szCs w:val="24"/>
          <w:lang w:val="es-ES"/>
        </w:rPr>
        <w:t>T</w:t>
      </w:r>
      <w:r w:rsidRPr="00074974">
        <w:rPr>
          <w:rFonts w:ascii="Times New Roman" w:hAnsi="Times New Roman" w:cs="Times New Roman"/>
          <w:sz w:val="24"/>
          <w:szCs w:val="24"/>
          <w:lang w:val="es-ES"/>
        </w:rPr>
        <w:t xml:space="preserve">al vez sería admisible pensar en un cierto grado de </w:t>
      </w:r>
      <w:r w:rsidRPr="00074974">
        <w:rPr>
          <w:rFonts w:ascii="Times New Roman" w:hAnsi="Times New Roman" w:cs="Times New Roman"/>
          <w:i/>
          <w:sz w:val="24"/>
          <w:szCs w:val="24"/>
          <w:lang w:val="es-ES"/>
        </w:rPr>
        <w:t xml:space="preserve">cosificación </w:t>
      </w:r>
      <w:r w:rsidRPr="00074974">
        <w:rPr>
          <w:rFonts w:ascii="Times New Roman" w:hAnsi="Times New Roman" w:cs="Times New Roman"/>
          <w:sz w:val="24"/>
          <w:szCs w:val="24"/>
          <w:lang w:val="es-ES"/>
        </w:rPr>
        <w:t xml:space="preserve">al mencionar las partes del cuerpo humano que se pueden separar del mismo y ser tratadas, inevitablemente, como cosas. Esto no supondría necesariamente una </w:t>
      </w:r>
      <w:r w:rsidRPr="00074974">
        <w:rPr>
          <w:rFonts w:ascii="Times New Roman" w:hAnsi="Times New Roman" w:cs="Times New Roman"/>
          <w:i/>
          <w:sz w:val="24"/>
          <w:szCs w:val="24"/>
          <w:lang w:val="es-ES"/>
        </w:rPr>
        <w:t>cosificación</w:t>
      </w:r>
      <w:r w:rsidRPr="00074974">
        <w:rPr>
          <w:rFonts w:ascii="Times New Roman" w:hAnsi="Times New Roman" w:cs="Times New Roman"/>
          <w:sz w:val="24"/>
          <w:szCs w:val="24"/>
          <w:lang w:val="es-ES"/>
        </w:rPr>
        <w:t xml:space="preserve"> de los seres humanos. Ni tampoco</w:t>
      </w:r>
      <w:r w:rsidR="0075125D" w:rsidRPr="00074974">
        <w:rPr>
          <w:rFonts w:ascii="Times New Roman" w:hAnsi="Times New Roman" w:cs="Times New Roman"/>
          <w:sz w:val="24"/>
          <w:szCs w:val="24"/>
          <w:lang w:val="es-ES"/>
        </w:rPr>
        <w:t>, como ya se ha dicho,</w:t>
      </w:r>
      <w:r w:rsidRPr="00074974">
        <w:rPr>
          <w:rFonts w:ascii="Times New Roman" w:hAnsi="Times New Roman" w:cs="Times New Roman"/>
          <w:sz w:val="24"/>
          <w:szCs w:val="24"/>
          <w:lang w:val="es-ES"/>
        </w:rPr>
        <w:t xml:space="preserve"> habría de implicar forz</w:t>
      </w:r>
      <w:r w:rsidR="001C0A18" w:rsidRPr="00074974">
        <w:rPr>
          <w:rFonts w:ascii="Times New Roman" w:hAnsi="Times New Roman" w:cs="Times New Roman"/>
          <w:sz w:val="24"/>
          <w:szCs w:val="24"/>
          <w:lang w:val="es-ES"/>
        </w:rPr>
        <w:t>osamente su mercantilización</w:t>
      </w:r>
      <w:r w:rsidRPr="00074974">
        <w:rPr>
          <w:rStyle w:val="Refdenotaalpie"/>
          <w:rFonts w:ascii="Times New Roman" w:hAnsi="Times New Roman" w:cs="Times New Roman"/>
          <w:sz w:val="24"/>
          <w:szCs w:val="24"/>
        </w:rPr>
        <w:footnoteReference w:id="7"/>
      </w:r>
      <w:r w:rsidRPr="00074974">
        <w:rPr>
          <w:rFonts w:ascii="Times New Roman" w:hAnsi="Times New Roman" w:cs="Times New Roman"/>
          <w:sz w:val="24"/>
          <w:szCs w:val="24"/>
          <w:lang w:val="es-ES"/>
        </w:rPr>
        <w:t>. Al hacer esa separación, tal vez podamos escapar del tipo de objeciones que excluyen la posibilidad de propiedad total o parcial sobre el cuerpo humano bajo la premisa de que los seres humanos tienen dignidad y las cosas tienen precio. Este tipo de objeciones parecen destinadas sobre todo a la mercantilización de partes del cuerpo o a la descalificación de algunos usos del mismo como una ofensa a la dignidad de los seres humanos.</w:t>
      </w:r>
      <w:r w:rsidRPr="00074974">
        <w:rPr>
          <w:rStyle w:val="Refdenotaalpie"/>
          <w:rFonts w:ascii="Times New Roman" w:hAnsi="Times New Roman" w:cs="Times New Roman"/>
          <w:sz w:val="24"/>
          <w:szCs w:val="24"/>
        </w:rPr>
        <w:footnoteReference w:id="8"/>
      </w:r>
      <w:r w:rsidRPr="00074974">
        <w:rPr>
          <w:rFonts w:ascii="Times New Roman" w:hAnsi="Times New Roman" w:cs="Times New Roman"/>
          <w:sz w:val="24"/>
          <w:szCs w:val="24"/>
          <w:lang w:val="es-ES"/>
        </w:rPr>
        <w:t xml:space="preserve"> </w:t>
      </w:r>
    </w:p>
    <w:p w:rsidR="00843BC9" w:rsidRPr="00074974" w:rsidRDefault="00843BC9" w:rsidP="00843BC9">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Con el fin de clarificar el significado de </w:t>
      </w:r>
      <w:r w:rsidRPr="00074974">
        <w:rPr>
          <w:rFonts w:ascii="Times New Roman" w:hAnsi="Times New Roman" w:cs="Times New Roman"/>
          <w:i/>
          <w:sz w:val="24"/>
          <w:szCs w:val="24"/>
          <w:lang w:val="es-ES"/>
        </w:rPr>
        <w:t>cosificación</w:t>
      </w:r>
      <w:r w:rsidRPr="00074974">
        <w:rPr>
          <w:rFonts w:ascii="Times New Roman" w:hAnsi="Times New Roman" w:cs="Times New Roman"/>
          <w:sz w:val="24"/>
          <w:szCs w:val="24"/>
          <w:lang w:val="es-ES"/>
        </w:rPr>
        <w:t>, es posible aludir a una serie de comportamientos relacionados con el hecho de tratar a una persona como una cosa que vienen introduci</w:t>
      </w:r>
      <w:r w:rsidR="00787794">
        <w:rPr>
          <w:rFonts w:ascii="Times New Roman" w:hAnsi="Times New Roman" w:cs="Times New Roman"/>
          <w:sz w:val="24"/>
          <w:szCs w:val="24"/>
          <w:lang w:val="es-ES"/>
        </w:rPr>
        <w:t xml:space="preserve">dos por el término </w:t>
      </w:r>
      <w:r w:rsidR="00787794" w:rsidRPr="007A5795">
        <w:rPr>
          <w:rFonts w:ascii="Times New Roman" w:hAnsi="Times New Roman" w:cs="Times New Roman"/>
          <w:i/>
          <w:sz w:val="24"/>
          <w:szCs w:val="24"/>
          <w:lang w:val="es-ES"/>
        </w:rPr>
        <w:t>cosificación</w:t>
      </w:r>
      <w:r w:rsidR="00787794">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w:t>
      </w:r>
      <w:r w:rsidR="00787794" w:rsidRPr="00074974">
        <w:rPr>
          <w:rFonts w:ascii="Times New Roman" w:hAnsi="Times New Roman" w:cs="Times New Roman"/>
          <w:sz w:val="24"/>
          <w:szCs w:val="24"/>
          <w:lang w:val="es-ES"/>
        </w:rPr>
        <w:t>Ninguno</w:t>
      </w:r>
      <w:r w:rsidR="00787794">
        <w:rPr>
          <w:rFonts w:ascii="Times New Roman" w:hAnsi="Times New Roman" w:cs="Times New Roman"/>
          <w:sz w:val="24"/>
          <w:szCs w:val="24"/>
          <w:lang w:val="es-ES"/>
        </w:rPr>
        <w:t xml:space="preserve"> de estos comportamientos</w:t>
      </w:r>
      <w:r w:rsidRPr="00074974">
        <w:rPr>
          <w:rFonts w:ascii="Times New Roman" w:hAnsi="Times New Roman" w:cs="Times New Roman"/>
          <w:sz w:val="24"/>
          <w:szCs w:val="24"/>
          <w:lang w:val="es-ES"/>
        </w:rPr>
        <w:t xml:space="preserve"> implica a los demás, aunque existan conexiones entre ellos. Este es el modo de aproximarse al tema de</w:t>
      </w:r>
      <w:r w:rsidR="007A5795">
        <w:rPr>
          <w:rFonts w:ascii="Times New Roman" w:hAnsi="Times New Roman" w:cs="Times New Roman"/>
          <w:sz w:val="24"/>
          <w:szCs w:val="24"/>
          <w:lang w:val="es-ES"/>
        </w:rPr>
        <w:t xml:space="preserve"> </w:t>
      </w:r>
      <w:proofErr w:type="spellStart"/>
      <w:r w:rsidR="007A5795">
        <w:rPr>
          <w:rFonts w:ascii="Times New Roman" w:hAnsi="Times New Roman" w:cs="Times New Roman"/>
          <w:sz w:val="24"/>
          <w:szCs w:val="24"/>
          <w:lang w:val="es-ES"/>
        </w:rPr>
        <w:t>Nussbaum</w:t>
      </w:r>
      <w:proofErr w:type="spellEnd"/>
      <w:r w:rsidR="007A5795">
        <w:rPr>
          <w:rFonts w:ascii="Times New Roman" w:hAnsi="Times New Roman" w:cs="Times New Roman"/>
          <w:sz w:val="24"/>
          <w:szCs w:val="24"/>
          <w:lang w:val="es-ES"/>
        </w:rPr>
        <w:t>, que se acerca</w:t>
      </w:r>
      <w:r w:rsidRPr="00074974">
        <w:rPr>
          <w:rFonts w:ascii="Times New Roman" w:hAnsi="Times New Roman" w:cs="Times New Roman"/>
          <w:sz w:val="24"/>
          <w:szCs w:val="24"/>
          <w:lang w:val="es-ES"/>
        </w:rPr>
        <w:t xml:space="preserve"> a los significados de cosificación a partir de la cita de</w:t>
      </w:r>
      <w:r w:rsidR="007A5795">
        <w:rPr>
          <w:rFonts w:ascii="Times New Roman" w:hAnsi="Times New Roman" w:cs="Times New Roman"/>
          <w:sz w:val="24"/>
          <w:szCs w:val="24"/>
          <w:lang w:val="es-ES"/>
        </w:rPr>
        <w:t xml:space="preserve"> fragmentos literarios, señalando reiteradamente la importancia</w:t>
      </w:r>
      <w:r w:rsidRPr="00074974">
        <w:rPr>
          <w:rFonts w:ascii="Times New Roman" w:hAnsi="Times New Roman" w:cs="Times New Roman"/>
          <w:sz w:val="24"/>
          <w:szCs w:val="24"/>
          <w:lang w:val="es-ES"/>
        </w:rPr>
        <w:t xml:space="preserve"> de contextualizar las situaciones para interpretar la verdadera significación de las relaciones</w:t>
      </w:r>
      <w:r w:rsidRPr="00074974">
        <w:rPr>
          <w:rStyle w:val="Refdenotaalpie"/>
          <w:rFonts w:ascii="Times New Roman" w:hAnsi="Times New Roman" w:cs="Times New Roman"/>
          <w:sz w:val="24"/>
          <w:szCs w:val="24"/>
        </w:rPr>
        <w:footnoteReference w:id="9"/>
      </w:r>
      <w:r w:rsidRPr="00074974">
        <w:rPr>
          <w:rFonts w:ascii="Times New Roman" w:hAnsi="Times New Roman" w:cs="Times New Roman"/>
          <w:sz w:val="24"/>
          <w:szCs w:val="24"/>
          <w:lang w:val="es-ES"/>
        </w:rPr>
        <w:t xml:space="preserve">.  </w:t>
      </w:r>
      <w:r w:rsidR="003F777A" w:rsidRPr="00074974">
        <w:rPr>
          <w:rFonts w:ascii="Times New Roman" w:hAnsi="Times New Roman" w:cs="Times New Roman"/>
          <w:sz w:val="24"/>
          <w:szCs w:val="24"/>
          <w:lang w:val="es-ES"/>
        </w:rPr>
        <w:t xml:space="preserve">Es verdad que </w:t>
      </w:r>
      <w:proofErr w:type="spellStart"/>
      <w:r w:rsidR="003F777A" w:rsidRPr="00074974">
        <w:rPr>
          <w:rFonts w:ascii="Times New Roman" w:hAnsi="Times New Roman" w:cs="Times New Roman"/>
          <w:sz w:val="24"/>
          <w:szCs w:val="24"/>
          <w:lang w:val="es-ES"/>
        </w:rPr>
        <w:t>Nussbaum</w:t>
      </w:r>
      <w:proofErr w:type="spellEnd"/>
      <w:r w:rsidR="003F777A" w:rsidRPr="00074974">
        <w:rPr>
          <w:rFonts w:ascii="Times New Roman" w:hAnsi="Times New Roman" w:cs="Times New Roman"/>
          <w:sz w:val="24"/>
          <w:szCs w:val="24"/>
          <w:lang w:val="es-ES"/>
        </w:rPr>
        <w:t xml:space="preserve"> nos hace esta enumeración pensando en las relaciones sexuales, sin embargo pu</w:t>
      </w:r>
      <w:r w:rsidR="00F27C45" w:rsidRPr="00074974">
        <w:rPr>
          <w:rFonts w:ascii="Times New Roman" w:hAnsi="Times New Roman" w:cs="Times New Roman"/>
          <w:sz w:val="24"/>
          <w:szCs w:val="24"/>
          <w:lang w:val="es-ES"/>
        </w:rPr>
        <w:t>ede servir para darnos pistas</w:t>
      </w:r>
      <w:r w:rsidR="003F777A" w:rsidRPr="00074974">
        <w:rPr>
          <w:rFonts w:ascii="Times New Roman" w:hAnsi="Times New Roman" w:cs="Times New Roman"/>
          <w:sz w:val="24"/>
          <w:szCs w:val="24"/>
          <w:lang w:val="es-ES"/>
        </w:rPr>
        <w:t xml:space="preserve"> acerca del significado de esta palabra. </w:t>
      </w:r>
      <w:r w:rsidRPr="00074974">
        <w:rPr>
          <w:rFonts w:ascii="Times New Roman" w:hAnsi="Times New Roman" w:cs="Times New Roman"/>
          <w:sz w:val="24"/>
          <w:szCs w:val="24"/>
          <w:lang w:val="es-ES"/>
        </w:rPr>
        <w:t xml:space="preserve">La idea de tratar a una persona como una cosa, es decir, </w:t>
      </w:r>
      <w:r w:rsidRPr="00074974">
        <w:rPr>
          <w:rFonts w:ascii="Times New Roman" w:hAnsi="Times New Roman" w:cs="Times New Roman"/>
          <w:i/>
          <w:sz w:val="24"/>
          <w:szCs w:val="24"/>
          <w:lang w:val="es-ES"/>
        </w:rPr>
        <w:t>cosificarla,</w:t>
      </w:r>
      <w:r w:rsidR="00F27C45" w:rsidRPr="00074974">
        <w:rPr>
          <w:rFonts w:ascii="Times New Roman" w:hAnsi="Times New Roman" w:cs="Times New Roman"/>
          <w:sz w:val="24"/>
          <w:szCs w:val="24"/>
          <w:lang w:val="es-ES"/>
        </w:rPr>
        <w:t xml:space="preserve"> estaría</w:t>
      </w:r>
      <w:r w:rsidRPr="00074974">
        <w:rPr>
          <w:rFonts w:ascii="Times New Roman" w:hAnsi="Times New Roman" w:cs="Times New Roman"/>
          <w:sz w:val="24"/>
          <w:szCs w:val="24"/>
          <w:lang w:val="es-ES"/>
        </w:rPr>
        <w:t xml:space="preserve"> presente en todas las nociones enumeradas a continuación:</w:t>
      </w:r>
    </w:p>
    <w:p w:rsidR="00843BC9" w:rsidRPr="00074974" w:rsidRDefault="00843BC9" w:rsidP="00843BC9">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w:t>
      </w:r>
      <w:r w:rsidRPr="00074974">
        <w:rPr>
          <w:rFonts w:ascii="Times New Roman" w:hAnsi="Times New Roman" w:cs="Times New Roman"/>
          <w:i/>
          <w:sz w:val="24"/>
          <w:szCs w:val="24"/>
          <w:lang w:val="es-ES"/>
        </w:rPr>
        <w:t>Instrumentalización:</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a los objetos como </w:t>
      </w:r>
      <w:r w:rsidR="006540E6" w:rsidRPr="00074974">
        <w:rPr>
          <w:rFonts w:ascii="Times New Roman" w:hAnsi="Times New Roman" w:cs="Times New Roman"/>
          <w:sz w:val="24"/>
          <w:szCs w:val="24"/>
          <w:lang w:val="es-ES"/>
        </w:rPr>
        <w:t xml:space="preserve">herramientas para sus propósitos </w:t>
      </w:r>
      <w:r w:rsidRPr="00074974">
        <w:rPr>
          <w:rFonts w:ascii="Times New Roman" w:hAnsi="Times New Roman" w:cs="Times New Roman"/>
          <w:sz w:val="24"/>
          <w:szCs w:val="24"/>
          <w:lang w:val="es-ES"/>
        </w:rPr>
        <w:t>-</w:t>
      </w:r>
      <w:r w:rsidRPr="00074974">
        <w:rPr>
          <w:rFonts w:ascii="Times New Roman" w:hAnsi="Times New Roman" w:cs="Times New Roman"/>
          <w:i/>
          <w:sz w:val="24"/>
          <w:szCs w:val="24"/>
          <w:lang w:val="es-ES"/>
        </w:rPr>
        <w:t>Denegación de autonomía</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al objeto como carente de autonomía y de capacidad de autodeterminación.</w:t>
      </w:r>
      <w:r w:rsidR="006540E6" w:rsidRPr="00074974">
        <w:rPr>
          <w:rFonts w:ascii="Times New Roman" w:hAnsi="Times New Roman" w:cs="Times New Roman"/>
          <w:sz w:val="24"/>
          <w:szCs w:val="24"/>
          <w:lang w:val="es-ES"/>
        </w:rPr>
        <w:t xml:space="preserve"> </w:t>
      </w:r>
      <w:r w:rsidRPr="00074974">
        <w:rPr>
          <w:rFonts w:ascii="Times New Roman" w:hAnsi="Times New Roman" w:cs="Times New Roman"/>
          <w:sz w:val="24"/>
          <w:szCs w:val="24"/>
          <w:lang w:val="es-ES"/>
        </w:rPr>
        <w:t>-</w:t>
      </w:r>
      <w:r w:rsidRPr="00074974">
        <w:rPr>
          <w:rFonts w:ascii="Times New Roman" w:hAnsi="Times New Roman" w:cs="Times New Roman"/>
          <w:i/>
          <w:sz w:val="24"/>
          <w:szCs w:val="24"/>
          <w:lang w:val="es-ES"/>
        </w:rPr>
        <w:t>Inercia:</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el objeto como carente de capacidad de agencia o incluso de actividad.</w:t>
      </w:r>
      <w:r w:rsidR="006540E6" w:rsidRPr="00074974">
        <w:rPr>
          <w:rFonts w:ascii="Times New Roman" w:hAnsi="Times New Roman" w:cs="Times New Roman"/>
          <w:sz w:val="24"/>
          <w:szCs w:val="24"/>
          <w:lang w:val="es-ES"/>
        </w:rPr>
        <w:t xml:space="preserve"> </w:t>
      </w:r>
      <w:r w:rsidRPr="00074974">
        <w:rPr>
          <w:rFonts w:ascii="Times New Roman" w:hAnsi="Times New Roman" w:cs="Times New Roman"/>
          <w:sz w:val="24"/>
          <w:szCs w:val="24"/>
          <w:lang w:val="es-ES"/>
        </w:rPr>
        <w:t>-</w:t>
      </w:r>
      <w:r w:rsidRPr="00074974">
        <w:rPr>
          <w:rFonts w:ascii="Times New Roman" w:hAnsi="Times New Roman" w:cs="Times New Roman"/>
          <w:i/>
          <w:sz w:val="24"/>
          <w:szCs w:val="24"/>
          <w:lang w:val="es-ES"/>
        </w:rPr>
        <w:t>Fungibilidad</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el objeto como intercambiable, ya sea con otros objetos del mismo tipo o con objetos de otros tipos.</w:t>
      </w:r>
      <w:r w:rsidR="006540E6" w:rsidRPr="00074974">
        <w:rPr>
          <w:rFonts w:ascii="Times New Roman" w:hAnsi="Times New Roman" w:cs="Times New Roman"/>
          <w:sz w:val="24"/>
          <w:szCs w:val="24"/>
          <w:lang w:val="es-ES"/>
        </w:rPr>
        <w:t xml:space="preserve"> </w:t>
      </w:r>
      <w:r w:rsidRPr="00074974">
        <w:rPr>
          <w:rFonts w:ascii="Times New Roman" w:hAnsi="Times New Roman" w:cs="Times New Roman"/>
          <w:sz w:val="24"/>
          <w:szCs w:val="24"/>
          <w:lang w:val="es-ES"/>
        </w:rPr>
        <w:t>-</w:t>
      </w:r>
      <w:proofErr w:type="spellStart"/>
      <w:r w:rsidRPr="00074974">
        <w:rPr>
          <w:rFonts w:ascii="Times New Roman" w:hAnsi="Times New Roman" w:cs="Times New Roman"/>
          <w:i/>
          <w:sz w:val="24"/>
          <w:szCs w:val="24"/>
          <w:lang w:val="es-ES"/>
        </w:rPr>
        <w:t>Violabilidad</w:t>
      </w:r>
      <w:proofErr w:type="spellEnd"/>
      <w:r w:rsidRPr="00074974">
        <w:rPr>
          <w:rFonts w:ascii="Times New Roman" w:hAnsi="Times New Roman" w:cs="Times New Roman"/>
          <w:i/>
          <w:sz w:val="24"/>
          <w:szCs w:val="24"/>
          <w:lang w:val="es-ES"/>
        </w:rPr>
        <w:t>:</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el objeto como carente de </w:t>
      </w:r>
      <w:r w:rsidRPr="00074974">
        <w:rPr>
          <w:rFonts w:ascii="Times New Roman" w:hAnsi="Times New Roman" w:cs="Times New Roman"/>
          <w:sz w:val="24"/>
          <w:szCs w:val="24"/>
          <w:lang w:val="es-ES"/>
        </w:rPr>
        <w:lastRenderedPageBreak/>
        <w:t>límites a su integridad, como algo que es permisible quebrar, aplastar, allanar.</w:t>
      </w:r>
      <w:r w:rsidR="006540E6" w:rsidRPr="00074974">
        <w:rPr>
          <w:rFonts w:ascii="Times New Roman" w:hAnsi="Times New Roman" w:cs="Times New Roman"/>
          <w:sz w:val="24"/>
          <w:szCs w:val="24"/>
          <w:lang w:val="es-ES"/>
        </w:rPr>
        <w:t xml:space="preserve"> </w:t>
      </w:r>
      <w:r w:rsidRPr="00074974">
        <w:rPr>
          <w:rFonts w:ascii="Times New Roman" w:hAnsi="Times New Roman" w:cs="Times New Roman"/>
          <w:sz w:val="24"/>
          <w:szCs w:val="24"/>
          <w:lang w:val="es-ES"/>
        </w:rPr>
        <w:t>-</w:t>
      </w:r>
      <w:r w:rsidRPr="00074974">
        <w:rPr>
          <w:rFonts w:ascii="Times New Roman" w:hAnsi="Times New Roman" w:cs="Times New Roman"/>
          <w:i/>
          <w:sz w:val="24"/>
          <w:szCs w:val="24"/>
          <w:lang w:val="es-ES"/>
        </w:rPr>
        <w:t>Posesión</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el objeto como algo que puede ser poseído por otro, comprado o vendido. -</w:t>
      </w:r>
      <w:r w:rsidRPr="00074974">
        <w:rPr>
          <w:rFonts w:ascii="Times New Roman" w:hAnsi="Times New Roman" w:cs="Times New Roman"/>
          <w:i/>
          <w:sz w:val="24"/>
          <w:szCs w:val="24"/>
          <w:lang w:val="es-ES"/>
        </w:rPr>
        <w:t>Denegación de subjetividad</w:t>
      </w:r>
      <w:r w:rsidRPr="00074974">
        <w:rPr>
          <w:rFonts w:ascii="Times New Roman" w:hAnsi="Times New Roman" w:cs="Times New Roman"/>
          <w:sz w:val="24"/>
          <w:szCs w:val="24"/>
          <w:lang w:val="es-ES"/>
        </w:rPr>
        <w:t xml:space="preserve">: el </w:t>
      </w:r>
      <w:proofErr w:type="spellStart"/>
      <w:r w:rsidRPr="00074974">
        <w:rPr>
          <w:rFonts w:ascii="Times New Roman" w:hAnsi="Times New Roman" w:cs="Times New Roman"/>
          <w:sz w:val="24"/>
          <w:szCs w:val="24"/>
          <w:lang w:val="es-ES"/>
        </w:rPr>
        <w:t>cosificador</w:t>
      </w:r>
      <w:proofErr w:type="spellEnd"/>
      <w:r w:rsidRPr="00074974">
        <w:rPr>
          <w:rFonts w:ascii="Times New Roman" w:hAnsi="Times New Roman" w:cs="Times New Roman"/>
          <w:sz w:val="24"/>
          <w:szCs w:val="24"/>
          <w:lang w:val="es-ES"/>
        </w:rPr>
        <w:t xml:space="preserve"> trata al objeto como algo cuya experiencia y sentimientos no han de ser tenidos en cuenta.</w:t>
      </w:r>
    </w:p>
    <w:p w:rsidR="009556DA" w:rsidRPr="00074974" w:rsidRDefault="00843BC9" w:rsidP="00843BC9">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La importancia del contexto, que hemos mencionado anteriormente, radica en hacer hincapié en los participantes en la relación y en sus interacciones y poner el énfasis en este punto o bien en prestar atención al entorno social y político en el que se desarrolla la acción</w:t>
      </w:r>
      <w:r w:rsidRPr="00074974">
        <w:rPr>
          <w:rStyle w:val="Refdenotaalpie"/>
          <w:rFonts w:ascii="Times New Roman" w:hAnsi="Times New Roman" w:cs="Times New Roman"/>
          <w:sz w:val="24"/>
          <w:szCs w:val="24"/>
        </w:rPr>
        <w:footnoteReference w:id="10"/>
      </w:r>
      <w:r w:rsidRPr="00074974">
        <w:rPr>
          <w:rFonts w:ascii="Times New Roman" w:hAnsi="Times New Roman" w:cs="Times New Roman"/>
          <w:sz w:val="24"/>
          <w:szCs w:val="24"/>
          <w:lang w:val="es-ES"/>
        </w:rPr>
        <w:t xml:space="preserve">. Para </w:t>
      </w:r>
      <w:proofErr w:type="spellStart"/>
      <w:r w:rsidRPr="00074974">
        <w:rPr>
          <w:rFonts w:ascii="Times New Roman" w:hAnsi="Times New Roman" w:cs="Times New Roman"/>
          <w:sz w:val="24"/>
          <w:szCs w:val="24"/>
          <w:lang w:val="es-ES"/>
        </w:rPr>
        <w:t>Nussbaum</w:t>
      </w:r>
      <w:proofErr w:type="spellEnd"/>
      <w:r w:rsidRPr="00074974">
        <w:rPr>
          <w:rFonts w:ascii="Times New Roman" w:hAnsi="Times New Roman" w:cs="Times New Roman"/>
          <w:sz w:val="24"/>
          <w:szCs w:val="24"/>
          <w:lang w:val="es-ES"/>
        </w:rPr>
        <w:t xml:space="preserve"> queda claro que algunos tipos de cosificación y de uso instrumental no niegan la autonomía individual. Instrumentalizar a alguien solo e</w:t>
      </w:r>
      <w:r w:rsidR="007C5DC2" w:rsidRPr="00074974">
        <w:rPr>
          <w:rFonts w:ascii="Times New Roman" w:hAnsi="Times New Roman" w:cs="Times New Roman"/>
          <w:sz w:val="24"/>
          <w:szCs w:val="24"/>
          <w:lang w:val="es-ES"/>
        </w:rPr>
        <w:t>s incorrecto</w:t>
      </w:r>
      <w:r w:rsidRPr="00074974">
        <w:rPr>
          <w:rFonts w:ascii="Times New Roman" w:hAnsi="Times New Roman" w:cs="Times New Roman"/>
          <w:sz w:val="24"/>
          <w:szCs w:val="24"/>
          <w:lang w:val="es-ES"/>
        </w:rPr>
        <w:t xml:space="preserve"> cuando se le considera solo y </w:t>
      </w:r>
      <w:r w:rsidR="009418E2" w:rsidRPr="00074974">
        <w:rPr>
          <w:rFonts w:ascii="Times New Roman" w:hAnsi="Times New Roman" w:cs="Times New Roman"/>
          <w:sz w:val="24"/>
          <w:szCs w:val="24"/>
          <w:lang w:val="es-ES"/>
        </w:rPr>
        <w:t>exclusivamente un instrumento. Aunque p</w:t>
      </w:r>
      <w:r w:rsidRPr="00074974">
        <w:rPr>
          <w:rFonts w:ascii="Times New Roman" w:hAnsi="Times New Roman" w:cs="Times New Roman"/>
          <w:sz w:val="24"/>
          <w:szCs w:val="24"/>
          <w:lang w:val="es-ES"/>
        </w:rPr>
        <w:t>ara que la instrumentalización pueda considerarse correcta es necesari</w:t>
      </w:r>
      <w:r w:rsidR="00DA1F9C" w:rsidRPr="00074974">
        <w:rPr>
          <w:rFonts w:ascii="Times New Roman" w:hAnsi="Times New Roman" w:cs="Times New Roman"/>
          <w:sz w:val="24"/>
          <w:szCs w:val="24"/>
          <w:lang w:val="es-ES"/>
        </w:rPr>
        <w:t xml:space="preserve">a </w:t>
      </w:r>
      <w:r w:rsidR="002647FA" w:rsidRPr="00074974">
        <w:rPr>
          <w:rFonts w:ascii="Times New Roman" w:hAnsi="Times New Roman" w:cs="Times New Roman"/>
          <w:sz w:val="24"/>
          <w:szCs w:val="24"/>
          <w:lang w:val="es-ES"/>
        </w:rPr>
        <w:t>una “narrativa”.  Pero sobre todo, es necesaria</w:t>
      </w:r>
      <w:r w:rsidR="000202A6" w:rsidRPr="00074974">
        <w:rPr>
          <w:rFonts w:ascii="Times New Roman" w:hAnsi="Times New Roman" w:cs="Times New Roman"/>
          <w:sz w:val="24"/>
          <w:szCs w:val="24"/>
          <w:lang w:val="es-ES"/>
        </w:rPr>
        <w:t xml:space="preserve"> una simetría y</w:t>
      </w:r>
      <w:r w:rsidRPr="00074974">
        <w:rPr>
          <w:rFonts w:ascii="Times New Roman" w:hAnsi="Times New Roman" w:cs="Times New Roman"/>
          <w:sz w:val="24"/>
          <w:szCs w:val="24"/>
          <w:lang w:val="es-ES"/>
        </w:rPr>
        <w:t xml:space="preserve"> reciprocidad entre las partes que intervienen en la relación.</w:t>
      </w:r>
      <w:r w:rsidR="009418E2" w:rsidRPr="00074974">
        <w:rPr>
          <w:rFonts w:ascii="Times New Roman" w:hAnsi="Times New Roman" w:cs="Times New Roman"/>
          <w:sz w:val="24"/>
          <w:szCs w:val="24"/>
          <w:lang w:val="es-ES"/>
        </w:rPr>
        <w:t xml:space="preserve"> </w:t>
      </w:r>
    </w:p>
    <w:p w:rsidR="009556DA" w:rsidRPr="00074974" w:rsidRDefault="009556DA" w:rsidP="00843BC9">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P</w:t>
      </w:r>
      <w:r w:rsidR="00DB394E" w:rsidRPr="00074974">
        <w:rPr>
          <w:rFonts w:ascii="Times New Roman" w:hAnsi="Times New Roman" w:cs="Times New Roman"/>
          <w:sz w:val="24"/>
          <w:szCs w:val="24"/>
          <w:lang w:val="es-ES"/>
        </w:rPr>
        <w:t>or ello, pensar en alguna</w:t>
      </w:r>
      <w:r w:rsidRPr="00074974">
        <w:rPr>
          <w:rFonts w:ascii="Times New Roman" w:hAnsi="Times New Roman" w:cs="Times New Roman"/>
          <w:sz w:val="24"/>
          <w:szCs w:val="24"/>
          <w:lang w:val="es-ES"/>
        </w:rPr>
        <w:t xml:space="preserve"> idea de propiedad de nuestro cuerpo y</w:t>
      </w:r>
      <w:r w:rsidR="00DB394E" w:rsidRPr="00074974">
        <w:rPr>
          <w:rFonts w:ascii="Times New Roman" w:hAnsi="Times New Roman" w:cs="Times New Roman"/>
          <w:sz w:val="24"/>
          <w:szCs w:val="24"/>
          <w:lang w:val="es-ES"/>
        </w:rPr>
        <w:t xml:space="preserve"> de sus partes tampoco debería</w:t>
      </w:r>
      <w:r w:rsidRPr="00074974">
        <w:rPr>
          <w:rFonts w:ascii="Times New Roman" w:hAnsi="Times New Roman" w:cs="Times New Roman"/>
          <w:sz w:val="24"/>
          <w:szCs w:val="24"/>
          <w:lang w:val="es-ES"/>
        </w:rPr>
        <w:t xml:space="preserve"> ser visto</w:t>
      </w:r>
      <w:r w:rsidR="00DB394E" w:rsidRPr="00074974">
        <w:rPr>
          <w:rFonts w:ascii="Times New Roman" w:hAnsi="Times New Roman" w:cs="Times New Roman"/>
          <w:sz w:val="24"/>
          <w:szCs w:val="24"/>
          <w:lang w:val="es-ES"/>
        </w:rPr>
        <w:t xml:space="preserve"> necesariamente</w:t>
      </w:r>
      <w:r w:rsidRPr="00074974">
        <w:rPr>
          <w:rFonts w:ascii="Times New Roman" w:hAnsi="Times New Roman" w:cs="Times New Roman"/>
          <w:sz w:val="24"/>
          <w:szCs w:val="24"/>
          <w:lang w:val="es-ES"/>
        </w:rPr>
        <w:t xml:space="preserve"> como una </w:t>
      </w:r>
      <w:r w:rsidRPr="00074974">
        <w:rPr>
          <w:rFonts w:ascii="Times New Roman" w:hAnsi="Times New Roman" w:cs="Times New Roman"/>
          <w:i/>
          <w:sz w:val="24"/>
          <w:szCs w:val="24"/>
          <w:lang w:val="es-ES"/>
        </w:rPr>
        <w:t>cosificación</w:t>
      </w:r>
      <w:r w:rsidRPr="00074974">
        <w:rPr>
          <w:rFonts w:ascii="Times New Roman" w:hAnsi="Times New Roman" w:cs="Times New Roman"/>
          <w:sz w:val="24"/>
          <w:szCs w:val="24"/>
          <w:lang w:val="es-ES"/>
        </w:rPr>
        <w:t xml:space="preserve"> de los seres humanos,</w:t>
      </w:r>
      <w:r w:rsidR="007C5DC2" w:rsidRPr="00074974">
        <w:rPr>
          <w:rFonts w:ascii="Times New Roman" w:hAnsi="Times New Roman" w:cs="Times New Roman"/>
          <w:sz w:val="24"/>
          <w:szCs w:val="24"/>
          <w:lang w:val="es-ES"/>
        </w:rPr>
        <w:t xml:space="preserve"> pues e</w:t>
      </w:r>
      <w:r w:rsidR="00A406AC">
        <w:rPr>
          <w:rFonts w:ascii="Times New Roman" w:hAnsi="Times New Roman" w:cs="Times New Roman"/>
          <w:sz w:val="24"/>
          <w:szCs w:val="24"/>
          <w:lang w:val="es-ES"/>
        </w:rPr>
        <w:t xml:space="preserve">n la construcción </w:t>
      </w:r>
      <w:r w:rsidR="007C5DC2" w:rsidRPr="00074974">
        <w:rPr>
          <w:rFonts w:ascii="Times New Roman" w:hAnsi="Times New Roman" w:cs="Times New Roman"/>
          <w:sz w:val="24"/>
          <w:szCs w:val="24"/>
          <w:lang w:val="es-ES"/>
        </w:rPr>
        <w:t>de derechos de propiedad sobre el cuerpo humano lo que se busca es p</w:t>
      </w:r>
      <w:r w:rsidR="00C07374">
        <w:rPr>
          <w:rFonts w:ascii="Times New Roman" w:hAnsi="Times New Roman" w:cs="Times New Roman"/>
          <w:sz w:val="24"/>
          <w:szCs w:val="24"/>
          <w:lang w:val="es-ES"/>
        </w:rPr>
        <w:t>recisamente colocar a las personas</w:t>
      </w:r>
      <w:r w:rsidR="007C5DC2" w:rsidRPr="00074974">
        <w:rPr>
          <w:rFonts w:ascii="Times New Roman" w:hAnsi="Times New Roman" w:cs="Times New Roman"/>
          <w:sz w:val="24"/>
          <w:szCs w:val="24"/>
          <w:lang w:val="es-ES"/>
        </w:rPr>
        <w:t xml:space="preserve"> que intervienen en algún tipo de relación en la que están implicados elementos de ese cuerpo humano en una posición más simétrica</w:t>
      </w:r>
      <w:r w:rsidR="00DB394E" w:rsidRPr="00074974">
        <w:rPr>
          <w:rFonts w:ascii="Times New Roman" w:hAnsi="Times New Roman" w:cs="Times New Roman"/>
          <w:sz w:val="24"/>
          <w:szCs w:val="24"/>
          <w:lang w:val="es-ES"/>
        </w:rPr>
        <w:t xml:space="preserve"> con respecto a los que en muchos casos buscan esos elementos, y estos sí son reconocidos como propietarios sin problemas</w:t>
      </w:r>
      <w:r w:rsidR="007C5DC2" w:rsidRPr="00074974">
        <w:rPr>
          <w:rFonts w:ascii="Times New Roman" w:hAnsi="Times New Roman" w:cs="Times New Roman"/>
          <w:sz w:val="24"/>
          <w:szCs w:val="24"/>
          <w:lang w:val="es-ES"/>
        </w:rPr>
        <w:t>. Pero además,</w:t>
      </w:r>
      <w:r w:rsidRPr="00074974">
        <w:rPr>
          <w:rFonts w:ascii="Times New Roman" w:hAnsi="Times New Roman" w:cs="Times New Roman"/>
          <w:sz w:val="24"/>
          <w:szCs w:val="24"/>
          <w:lang w:val="es-ES"/>
        </w:rPr>
        <w:t xml:space="preserve"> porque la misma noción de propiedad tiene un significado</w:t>
      </w:r>
      <w:r w:rsidR="00984A82" w:rsidRPr="00074974">
        <w:rPr>
          <w:rFonts w:ascii="Times New Roman" w:hAnsi="Times New Roman" w:cs="Times New Roman"/>
          <w:sz w:val="24"/>
          <w:szCs w:val="24"/>
          <w:lang w:val="es-ES"/>
        </w:rPr>
        <w:t xml:space="preserve"> en el</w:t>
      </w:r>
      <w:r w:rsidRPr="00074974">
        <w:rPr>
          <w:rFonts w:ascii="Times New Roman" w:hAnsi="Times New Roman" w:cs="Times New Roman"/>
          <w:sz w:val="24"/>
          <w:szCs w:val="24"/>
          <w:lang w:val="es-ES"/>
        </w:rPr>
        <w:t xml:space="preserve"> que no es tan evidente</w:t>
      </w:r>
      <w:r w:rsidR="00984A82" w:rsidRPr="00074974">
        <w:rPr>
          <w:rFonts w:ascii="Times New Roman" w:hAnsi="Times New Roman" w:cs="Times New Roman"/>
          <w:sz w:val="24"/>
          <w:szCs w:val="24"/>
          <w:lang w:val="es-ES"/>
        </w:rPr>
        <w:t xml:space="preserve"> que se haya de entender como una relación entre personas y cosas</w:t>
      </w:r>
      <w:r w:rsidRPr="00074974">
        <w:rPr>
          <w:rFonts w:ascii="Times New Roman" w:hAnsi="Times New Roman" w:cs="Times New Roman"/>
          <w:sz w:val="24"/>
          <w:szCs w:val="24"/>
          <w:lang w:val="es-ES"/>
        </w:rPr>
        <w:t>.</w:t>
      </w:r>
    </w:p>
    <w:p w:rsidR="00B237E1" w:rsidRPr="00074974" w:rsidRDefault="007A5795" w:rsidP="00B237E1">
      <w:pPr>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El </w:t>
      </w:r>
      <w:r w:rsidR="00B237E1" w:rsidRPr="00074974">
        <w:rPr>
          <w:rFonts w:ascii="Times New Roman" w:hAnsi="Times New Roman" w:cs="Times New Roman"/>
          <w:sz w:val="24"/>
          <w:szCs w:val="24"/>
          <w:lang w:val="es-ES"/>
        </w:rPr>
        <w:t>Código civil</w:t>
      </w:r>
      <w:r>
        <w:rPr>
          <w:rFonts w:ascii="Times New Roman" w:hAnsi="Times New Roman" w:cs="Times New Roman"/>
          <w:sz w:val="24"/>
          <w:szCs w:val="24"/>
          <w:lang w:val="es-ES"/>
        </w:rPr>
        <w:t xml:space="preserve"> español</w:t>
      </w:r>
      <w:r w:rsidR="00B237E1" w:rsidRPr="00074974">
        <w:rPr>
          <w:rFonts w:ascii="Times New Roman" w:hAnsi="Times New Roman" w:cs="Times New Roman"/>
          <w:sz w:val="24"/>
          <w:szCs w:val="24"/>
          <w:lang w:val="es-ES"/>
        </w:rPr>
        <w:t xml:space="preserve"> se refiere en el artículo 348 a la propiedad como “el derecho de gozar y disponer de una cosa, sin más limitaciones que las establecidas en las leyes”.</w:t>
      </w:r>
    </w:p>
    <w:p w:rsidR="00B237E1" w:rsidRPr="00074974" w:rsidRDefault="00B237E1" w:rsidP="00B237E1">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Hablar de </w:t>
      </w:r>
      <w:r w:rsidRPr="00074974">
        <w:rPr>
          <w:rFonts w:ascii="Times New Roman" w:hAnsi="Times New Roman" w:cs="Times New Roman"/>
          <w:i/>
          <w:sz w:val="24"/>
          <w:szCs w:val="24"/>
          <w:lang w:val="es-ES"/>
        </w:rPr>
        <w:t>cosas</w:t>
      </w:r>
      <w:r w:rsidRPr="00074974">
        <w:rPr>
          <w:rFonts w:ascii="Times New Roman" w:hAnsi="Times New Roman" w:cs="Times New Roman"/>
          <w:sz w:val="24"/>
          <w:szCs w:val="24"/>
          <w:lang w:val="es-ES"/>
        </w:rPr>
        <w:t xml:space="preserve"> origina algunos problemas a la hora de pensar en términos de propiedad en relación con los cuerpos de las personas. La propiedad serviría</w:t>
      </w:r>
      <w:r w:rsidR="009556DA" w:rsidRPr="00074974">
        <w:rPr>
          <w:rFonts w:ascii="Times New Roman" w:hAnsi="Times New Roman" w:cs="Times New Roman"/>
          <w:sz w:val="24"/>
          <w:szCs w:val="24"/>
          <w:lang w:val="es-ES"/>
        </w:rPr>
        <w:t xml:space="preserve"> en ese caso</w:t>
      </w:r>
      <w:r w:rsidRPr="00074974">
        <w:rPr>
          <w:rFonts w:ascii="Times New Roman" w:hAnsi="Times New Roman" w:cs="Times New Roman"/>
          <w:sz w:val="24"/>
          <w:szCs w:val="24"/>
          <w:lang w:val="es-ES"/>
        </w:rPr>
        <w:t xml:space="preserve"> para bienes solo contingentemente relacionados con nosotros. En el caso del cuerpo humano solo se podría hablar de propiedad en relación con aquellas partes de nuestro cuerpo separables del mismo. Algunos autores van más lejos al afirmar que la conexión que tenemos con </w:t>
      </w:r>
      <w:r w:rsidRPr="00074974">
        <w:rPr>
          <w:rFonts w:ascii="Times New Roman" w:hAnsi="Times New Roman" w:cs="Times New Roman"/>
          <w:sz w:val="24"/>
          <w:szCs w:val="24"/>
          <w:lang w:val="es-ES"/>
        </w:rPr>
        <w:lastRenderedPageBreak/>
        <w:t xml:space="preserve">nuestro cuerpo no se puede decir que sea una conexión contingente y que en general no contemplamos las partes del cuerpo como una propiedad, ni siquiera cuando alienamos nuestras inmunidades, al permitir a los médicos las intervenciones quirúrgicas por ejemplo, y aunque existan unos deberes de no interferencia por parte de terceros y una legislación que protege la integridad del mismo. </w:t>
      </w:r>
      <w:r w:rsidRPr="00074974">
        <w:rPr>
          <w:rStyle w:val="Refdenotaalpie"/>
          <w:rFonts w:ascii="Times New Roman" w:hAnsi="Times New Roman" w:cs="Times New Roman"/>
          <w:sz w:val="24"/>
          <w:szCs w:val="24"/>
        </w:rPr>
        <w:footnoteReference w:id="11"/>
      </w:r>
    </w:p>
    <w:p w:rsidR="00B237E1" w:rsidRPr="00074974" w:rsidRDefault="00B237E1" w:rsidP="00B237E1">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Sin embargo, no hemos de olvidar que el grado en que consideramos las partes de nuestro cuerpo separables de nosotros depende de las convenciones sociales, de la tecnología y de nuestras intenciones. No parece lo mismo hablar de nuestros cabellos, o de nuestra sangre y venderlos a cambio de un precio, que hablar de óvulos, de esperma, o de riñones, o de trozos de hígado. Un criterio posible para las diferencias podría ser la posibilidad de extraer el órgano o una parte del cuerpo sin menoscabo de la vida de la persona. En todos los casos mencionados eso parece posible, sin embargo sigue pareciéndonos diferente hablar de cabellos y de riñones. O incluso de esperma y de riñones. Tal vez no sea solo la separabilidad del cuerpo humano lo que es relevante, sino el nivel de intrusión que puede suponer esa separabilidad. Cuando las restricciones a la separabilidad sobrepasan unos ciertos límites es más probable que el poseedor de esos bienes los considere más que su propiedad, como una parte constitutiva de su existencia. Pero los avances científicos y médicos nos colocan constantemente ante decisiones sobre temas y cuestiones nuevas, impensables poco tiempo antes. Si la cara de una persona es trasplantable, parece que la separabilidad está clara, pero qué decir de la contingencia de la relación de una persona con su cara. Tal vez estemos en un punto en que la volatilidad de criterios que en algún momento parecieron acertados haga imprescindible la exploración de alternativas.  </w:t>
      </w:r>
    </w:p>
    <w:p w:rsidR="00B237E1" w:rsidRPr="00074974" w:rsidRDefault="00B237E1" w:rsidP="00B237E1">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En algún momento, entre los teóricos de la propiedad, era habitual contrastar el modo profano y el punto de vista jurídico con respecto a la propiedad. Para el profano la propiedad sería una relación entre una persona y una cosa, para el jurista la propiedad es un interés que siempre tiene que ver con relaciones entre </w:t>
      </w:r>
      <w:r w:rsidR="004E5CB1" w:rsidRPr="00074974">
        <w:rPr>
          <w:rFonts w:ascii="Times New Roman" w:hAnsi="Times New Roman" w:cs="Times New Roman"/>
          <w:sz w:val="24"/>
          <w:szCs w:val="24"/>
          <w:lang w:val="es-ES"/>
        </w:rPr>
        <w:t>personas</w:t>
      </w:r>
      <w:r w:rsidRPr="00074974">
        <w:rPr>
          <w:rStyle w:val="Refdenotaalpie"/>
          <w:rFonts w:ascii="Times New Roman" w:hAnsi="Times New Roman" w:cs="Times New Roman"/>
          <w:sz w:val="24"/>
          <w:szCs w:val="24"/>
        </w:rPr>
        <w:footnoteReference w:id="12"/>
      </w:r>
      <w:r w:rsidRPr="00074974">
        <w:rPr>
          <w:rFonts w:ascii="Times New Roman" w:hAnsi="Times New Roman" w:cs="Times New Roman"/>
          <w:sz w:val="24"/>
          <w:szCs w:val="24"/>
          <w:lang w:val="es-ES"/>
        </w:rPr>
        <w:t xml:space="preserve">. </w:t>
      </w:r>
    </w:p>
    <w:p w:rsidR="00B237E1" w:rsidRPr="00074974" w:rsidRDefault="00B237E1" w:rsidP="00B237E1">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En la tradición jurídica continental, encontramos las palabras de Hans Kelsen</w:t>
      </w:r>
    </w:p>
    <w:p w:rsidR="00F01AD6" w:rsidRPr="00074974" w:rsidRDefault="00B237E1" w:rsidP="004E5CB1">
      <w:pPr>
        <w:spacing w:line="240" w:lineRule="auto"/>
        <w:jc w:val="both"/>
        <w:rPr>
          <w:rFonts w:ascii="Times New Roman" w:hAnsi="Times New Roman" w:cs="Times New Roman"/>
          <w:sz w:val="20"/>
          <w:szCs w:val="20"/>
          <w:lang w:val="es-ES"/>
        </w:rPr>
      </w:pPr>
      <w:r w:rsidRPr="00074974">
        <w:rPr>
          <w:rFonts w:ascii="Times New Roman" w:hAnsi="Times New Roman" w:cs="Times New Roman"/>
          <w:sz w:val="20"/>
          <w:szCs w:val="20"/>
          <w:lang w:val="es-ES"/>
        </w:rPr>
        <w:t xml:space="preserve">“El </w:t>
      </w:r>
      <w:proofErr w:type="spellStart"/>
      <w:r w:rsidRPr="00074974">
        <w:rPr>
          <w:rFonts w:ascii="Times New Roman" w:hAnsi="Times New Roman" w:cs="Times New Roman"/>
          <w:i/>
          <w:sz w:val="20"/>
          <w:szCs w:val="20"/>
          <w:lang w:val="es-ES"/>
        </w:rPr>
        <w:t>ius</w:t>
      </w:r>
      <w:proofErr w:type="spellEnd"/>
      <w:r w:rsidRPr="00074974">
        <w:rPr>
          <w:rFonts w:ascii="Times New Roman" w:hAnsi="Times New Roman" w:cs="Times New Roman"/>
          <w:i/>
          <w:sz w:val="20"/>
          <w:szCs w:val="20"/>
          <w:lang w:val="es-ES"/>
        </w:rPr>
        <w:t xml:space="preserve"> in rem</w:t>
      </w:r>
      <w:r w:rsidRPr="00074974">
        <w:rPr>
          <w:rFonts w:ascii="Times New Roman" w:hAnsi="Times New Roman" w:cs="Times New Roman"/>
          <w:sz w:val="20"/>
          <w:szCs w:val="20"/>
          <w:lang w:val="es-ES"/>
        </w:rPr>
        <w:t xml:space="preserve"> es, hablando estrictamente, un </w:t>
      </w:r>
      <w:proofErr w:type="spellStart"/>
      <w:r w:rsidRPr="00074974">
        <w:rPr>
          <w:rFonts w:ascii="Times New Roman" w:hAnsi="Times New Roman" w:cs="Times New Roman"/>
          <w:i/>
          <w:sz w:val="20"/>
          <w:szCs w:val="20"/>
          <w:lang w:val="es-ES"/>
        </w:rPr>
        <w:t>ius</w:t>
      </w:r>
      <w:proofErr w:type="spellEnd"/>
      <w:r w:rsidRPr="00074974">
        <w:rPr>
          <w:rFonts w:ascii="Times New Roman" w:hAnsi="Times New Roman" w:cs="Times New Roman"/>
          <w:i/>
          <w:sz w:val="20"/>
          <w:szCs w:val="20"/>
          <w:lang w:val="es-ES"/>
        </w:rPr>
        <w:t xml:space="preserve"> in </w:t>
      </w:r>
      <w:proofErr w:type="spellStart"/>
      <w:r w:rsidRPr="00074974">
        <w:rPr>
          <w:rFonts w:ascii="Times New Roman" w:hAnsi="Times New Roman" w:cs="Times New Roman"/>
          <w:i/>
          <w:sz w:val="20"/>
          <w:szCs w:val="20"/>
          <w:lang w:val="es-ES"/>
        </w:rPr>
        <w:t>personam</w:t>
      </w:r>
      <w:proofErr w:type="spellEnd"/>
      <w:r w:rsidRPr="00074974">
        <w:rPr>
          <w:rFonts w:ascii="Times New Roman" w:hAnsi="Times New Roman" w:cs="Times New Roman"/>
          <w:sz w:val="20"/>
          <w:szCs w:val="20"/>
          <w:lang w:val="es-ES"/>
        </w:rPr>
        <w:t xml:space="preserve">, un derecho frente a las personas y no sobre las cosas, como el término parece sugerir […]. El derecho de propiedad es la facultad que un individuo </w:t>
      </w:r>
      <w:r w:rsidRPr="00074974">
        <w:rPr>
          <w:rFonts w:ascii="Times New Roman" w:hAnsi="Times New Roman" w:cs="Times New Roman"/>
          <w:sz w:val="20"/>
          <w:szCs w:val="20"/>
          <w:lang w:val="es-ES"/>
        </w:rPr>
        <w:lastRenderedPageBreak/>
        <w:t>tiene frente a todos los demás, de exigir a estos que se conduzcan de cierto modo en relación con él, a saber, absteniéndose de cualquier interferencia en la facultad de disposición de la cosa objeto del derecho”</w:t>
      </w:r>
      <w:r w:rsidRPr="00074974">
        <w:rPr>
          <w:rStyle w:val="Refdenotaalpie"/>
          <w:rFonts w:ascii="Times New Roman" w:hAnsi="Times New Roman" w:cs="Times New Roman"/>
        </w:rPr>
        <w:footnoteReference w:id="13"/>
      </w:r>
    </w:p>
    <w:p w:rsidR="004E5CB1" w:rsidRPr="00074974" w:rsidRDefault="004E5CB1">
      <w:pPr>
        <w:rPr>
          <w:rFonts w:ascii="Times New Roman" w:hAnsi="Times New Roman" w:cs="Times New Roman"/>
          <w:b/>
          <w:lang w:val="es-ES"/>
        </w:rPr>
      </w:pPr>
    </w:p>
    <w:p w:rsidR="009B0C7D" w:rsidRPr="00074974" w:rsidRDefault="009B0C7D">
      <w:pPr>
        <w:rPr>
          <w:rFonts w:ascii="Times New Roman" w:hAnsi="Times New Roman" w:cs="Times New Roman"/>
          <w:b/>
          <w:lang w:val="es-ES"/>
        </w:rPr>
      </w:pPr>
      <w:r w:rsidRPr="00074974">
        <w:rPr>
          <w:rFonts w:ascii="Times New Roman" w:hAnsi="Times New Roman" w:cs="Times New Roman"/>
          <w:b/>
          <w:lang w:val="es-ES"/>
        </w:rPr>
        <w:t xml:space="preserve">Ventajas de un derecho de propiedad sobre </w:t>
      </w:r>
      <w:r w:rsidR="00A406AC">
        <w:rPr>
          <w:rFonts w:ascii="Times New Roman" w:hAnsi="Times New Roman" w:cs="Times New Roman"/>
          <w:b/>
          <w:lang w:val="es-ES"/>
        </w:rPr>
        <w:t>el propio cuerpo y elementos humanos</w:t>
      </w:r>
    </w:p>
    <w:p w:rsidR="009B0C7D" w:rsidRPr="00074974" w:rsidRDefault="009B0C7D" w:rsidP="009B0C7D">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 Mientras los defensores de posiciones vinculadas con el libertarismo, desde el mundo jurídico o económico no tienen dudas acerca de la idea de </w:t>
      </w:r>
      <w:r w:rsidRPr="00074974">
        <w:rPr>
          <w:rFonts w:ascii="Times New Roman" w:hAnsi="Times New Roman" w:cs="Times New Roman"/>
          <w:i/>
          <w:sz w:val="24"/>
          <w:szCs w:val="24"/>
          <w:lang w:val="es-ES"/>
        </w:rPr>
        <w:t>selfownership</w:t>
      </w:r>
      <w:r w:rsidRPr="00074974">
        <w:rPr>
          <w:rFonts w:ascii="Times New Roman" w:hAnsi="Times New Roman" w:cs="Times New Roman"/>
          <w:sz w:val="24"/>
          <w:szCs w:val="24"/>
          <w:lang w:val="es-ES"/>
        </w:rPr>
        <w:t xml:space="preserve">, como propiedad absoluta sobre cuerpo y de todo lo que proceda del mismo o de las actividades realizadas a través de él; sin embargo desde el bastión del rechazo hacia el uso de la idea de propiedad en relación con el cuerpo humano se entiende que la aceptación de esa idea presupone  dar un paso decisivo en el camino de la </w:t>
      </w:r>
      <w:r w:rsidRPr="00074974">
        <w:rPr>
          <w:rFonts w:ascii="Times New Roman" w:hAnsi="Times New Roman" w:cs="Times New Roman"/>
          <w:i/>
          <w:sz w:val="24"/>
          <w:szCs w:val="24"/>
          <w:lang w:val="es-ES"/>
        </w:rPr>
        <w:t>cosificación</w:t>
      </w:r>
      <w:r w:rsidRPr="00074974">
        <w:rPr>
          <w:rFonts w:ascii="Times New Roman" w:hAnsi="Times New Roman" w:cs="Times New Roman"/>
          <w:sz w:val="24"/>
          <w:szCs w:val="24"/>
          <w:lang w:val="es-ES"/>
        </w:rPr>
        <w:t xml:space="preserve"> de las personas. Este camino sería contrario a la dignidad humana, o al menos, a algunas concepciones de la misma, y siempre desde esta línea de pensamiento, nos acercaría peligrosamente a la pendiente resbaladiza de la mercantilización del cuerpo humano</w:t>
      </w:r>
      <w:r w:rsidRPr="00074974">
        <w:rPr>
          <w:rStyle w:val="Refdenotaalpie"/>
          <w:rFonts w:ascii="Times New Roman" w:hAnsi="Times New Roman" w:cs="Times New Roman"/>
          <w:sz w:val="24"/>
          <w:szCs w:val="24"/>
        </w:rPr>
        <w:footnoteReference w:id="14"/>
      </w:r>
      <w:r w:rsidRPr="00074974">
        <w:rPr>
          <w:rFonts w:ascii="Times New Roman" w:hAnsi="Times New Roman" w:cs="Times New Roman"/>
          <w:sz w:val="24"/>
          <w:szCs w:val="24"/>
          <w:lang w:val="es-ES"/>
        </w:rPr>
        <w:t xml:space="preserve">. Es importante resaltar el fuerte componente emocional e ideológico siempre latente en este debate, porque no es lo mismo hablar del cuerpo humano que de otros objetos de propiedad.  Aunque es cierto que el tema de la mercantilización merece una atención más detenida, que no puede ser incluida en estas páginas. </w:t>
      </w:r>
    </w:p>
    <w:p w:rsidR="009B0C7D" w:rsidRPr="00074974" w:rsidRDefault="009B0C7D" w:rsidP="009B0C7D">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Si consideramos el caso </w:t>
      </w:r>
      <w:r w:rsidRPr="00074974">
        <w:rPr>
          <w:rFonts w:ascii="Times New Roman" w:hAnsi="Times New Roman" w:cs="Times New Roman"/>
          <w:i/>
          <w:sz w:val="24"/>
          <w:szCs w:val="24"/>
          <w:lang w:val="es-ES"/>
        </w:rPr>
        <w:t xml:space="preserve">Moore v. </w:t>
      </w:r>
      <w:proofErr w:type="spellStart"/>
      <w:r w:rsidRPr="00074974">
        <w:rPr>
          <w:rFonts w:ascii="Times New Roman" w:hAnsi="Times New Roman" w:cs="Times New Roman"/>
          <w:i/>
          <w:sz w:val="24"/>
          <w:szCs w:val="24"/>
          <w:lang w:val="es-ES"/>
        </w:rPr>
        <w:t>Regents</w:t>
      </w:r>
      <w:proofErr w:type="spellEnd"/>
      <w:r w:rsidRPr="00074974">
        <w:rPr>
          <w:rFonts w:ascii="Times New Roman" w:hAnsi="Times New Roman" w:cs="Times New Roman"/>
          <w:i/>
          <w:sz w:val="24"/>
          <w:szCs w:val="24"/>
          <w:lang w:val="es-ES"/>
        </w:rPr>
        <w:t xml:space="preserve"> of </w:t>
      </w:r>
      <w:proofErr w:type="spellStart"/>
      <w:r w:rsidRPr="00074974">
        <w:rPr>
          <w:rFonts w:ascii="Times New Roman" w:hAnsi="Times New Roman" w:cs="Times New Roman"/>
          <w:i/>
          <w:sz w:val="24"/>
          <w:szCs w:val="24"/>
          <w:lang w:val="es-ES"/>
        </w:rPr>
        <w:t>the</w:t>
      </w:r>
      <w:proofErr w:type="spellEnd"/>
      <w:r w:rsidRPr="00074974">
        <w:rPr>
          <w:rFonts w:ascii="Times New Roman" w:hAnsi="Times New Roman" w:cs="Times New Roman"/>
          <w:i/>
          <w:sz w:val="24"/>
          <w:szCs w:val="24"/>
          <w:lang w:val="es-ES"/>
        </w:rPr>
        <w:t xml:space="preserve"> </w:t>
      </w:r>
      <w:proofErr w:type="spellStart"/>
      <w:r w:rsidRPr="00074974">
        <w:rPr>
          <w:rFonts w:ascii="Times New Roman" w:hAnsi="Times New Roman" w:cs="Times New Roman"/>
          <w:i/>
          <w:sz w:val="24"/>
          <w:szCs w:val="24"/>
          <w:lang w:val="es-ES"/>
        </w:rPr>
        <w:t>University</w:t>
      </w:r>
      <w:proofErr w:type="spellEnd"/>
      <w:r w:rsidRPr="00074974">
        <w:rPr>
          <w:rFonts w:ascii="Times New Roman" w:hAnsi="Times New Roman" w:cs="Times New Roman"/>
          <w:i/>
          <w:sz w:val="24"/>
          <w:szCs w:val="24"/>
          <w:lang w:val="es-ES"/>
        </w:rPr>
        <w:t xml:space="preserve"> of California</w:t>
      </w:r>
      <w:r w:rsidRPr="00074974">
        <w:rPr>
          <w:rFonts w:ascii="Times New Roman" w:hAnsi="Times New Roman" w:cs="Times New Roman"/>
          <w:sz w:val="24"/>
          <w:szCs w:val="24"/>
          <w:lang w:val="es-ES"/>
        </w:rPr>
        <w:t xml:space="preserve"> vemos como el argumento principal para denegar los derechos de propiedad de Moore sostiene que si se reconocen estos derechos, se otorgaría a los pacientes una capacidad potencial de bloquear la investigación y el avance científico, </w:t>
      </w:r>
      <w:r w:rsidR="00964CE8" w:rsidRPr="00074974">
        <w:rPr>
          <w:rFonts w:ascii="Times New Roman" w:hAnsi="Times New Roman" w:cs="Times New Roman"/>
          <w:sz w:val="24"/>
          <w:szCs w:val="24"/>
          <w:lang w:val="es-ES"/>
        </w:rPr>
        <w:t xml:space="preserve">pues </w:t>
      </w:r>
      <w:r w:rsidRPr="00074974">
        <w:rPr>
          <w:rFonts w:ascii="Times New Roman" w:hAnsi="Times New Roman" w:cs="Times New Roman"/>
          <w:sz w:val="24"/>
          <w:szCs w:val="24"/>
          <w:lang w:val="es-ES"/>
        </w:rPr>
        <w:t xml:space="preserve">desaparecerían los incentivos para investigar por parte de las empresas y laboratorios. A pesar de los cual, la Corte de Apelación que falló en el caso mencionó la flagrante ironía de negar la propiedad  de los tejidos y elementos extraídos de su cuerpo a Moore mientras se reconoce a UCLA, que litigaría como víctima si le fueran robados. El mismo juez que llama la atención sobre este punto, </w:t>
      </w:r>
      <w:proofErr w:type="spellStart"/>
      <w:r w:rsidRPr="00074974">
        <w:rPr>
          <w:rFonts w:ascii="Times New Roman" w:hAnsi="Times New Roman" w:cs="Times New Roman"/>
          <w:sz w:val="24"/>
          <w:szCs w:val="24"/>
          <w:lang w:val="es-ES"/>
        </w:rPr>
        <w:t>Broussard</w:t>
      </w:r>
      <w:proofErr w:type="spellEnd"/>
      <w:r w:rsidRPr="00074974">
        <w:rPr>
          <w:rFonts w:ascii="Times New Roman" w:hAnsi="Times New Roman" w:cs="Times New Roman"/>
          <w:sz w:val="24"/>
          <w:szCs w:val="24"/>
          <w:lang w:val="es-ES"/>
        </w:rPr>
        <w:t>, defiende que</w:t>
      </w:r>
    </w:p>
    <w:p w:rsidR="009B0C7D" w:rsidRPr="00074974" w:rsidRDefault="009B0C7D" w:rsidP="009B0C7D">
      <w:pPr>
        <w:spacing w:line="240" w:lineRule="auto"/>
        <w:ind w:left="357"/>
        <w:jc w:val="both"/>
        <w:rPr>
          <w:rFonts w:ascii="Times New Roman" w:hAnsi="Times New Roman" w:cs="Times New Roman"/>
          <w:sz w:val="20"/>
          <w:szCs w:val="20"/>
          <w:lang w:val="es-ES"/>
        </w:rPr>
      </w:pPr>
      <w:r w:rsidRPr="00074974">
        <w:rPr>
          <w:rFonts w:ascii="Times New Roman" w:hAnsi="Times New Roman" w:cs="Times New Roman"/>
          <w:sz w:val="20"/>
          <w:szCs w:val="20"/>
          <w:lang w:val="es-ES"/>
        </w:rPr>
        <w:t>“se puede argumentar que como cuestión de regulación o de moralidad sería más sabia la prohibición a cualquier individuo o entidad privada el aprovechamiento del valor fortuito que se puede extraer de alguna parte del cuerpo humano y en lugar de eso</w:t>
      </w:r>
      <w:r w:rsidRPr="00074974">
        <w:rPr>
          <w:rFonts w:ascii="Times New Roman" w:hAnsi="Times New Roman" w:cs="Times New Roman"/>
          <w:sz w:val="24"/>
          <w:szCs w:val="24"/>
          <w:lang w:val="es-ES"/>
        </w:rPr>
        <w:t xml:space="preserve"> </w:t>
      </w:r>
      <w:r w:rsidRPr="00074974">
        <w:rPr>
          <w:rFonts w:ascii="Times New Roman" w:hAnsi="Times New Roman" w:cs="Times New Roman"/>
          <w:sz w:val="20"/>
          <w:szCs w:val="20"/>
          <w:lang w:val="es-ES"/>
        </w:rPr>
        <w:t>extraer esas partes valiosas para depositarlas en un depósito público que permitiría la libre disposición a los científicos para la mejora de la sociedad en su conjunto”</w:t>
      </w:r>
      <w:r w:rsidRPr="00074974">
        <w:rPr>
          <w:rStyle w:val="Refdenotaalpie"/>
          <w:rFonts w:ascii="Times New Roman" w:hAnsi="Times New Roman" w:cs="Times New Roman"/>
        </w:rPr>
        <w:footnoteReference w:id="15"/>
      </w:r>
    </w:p>
    <w:p w:rsidR="009B0C7D" w:rsidRPr="00074974" w:rsidRDefault="009B0C7D" w:rsidP="009B0C7D">
      <w:pPr>
        <w:spacing w:line="240" w:lineRule="auto"/>
        <w:ind w:left="357"/>
        <w:jc w:val="both"/>
        <w:rPr>
          <w:rFonts w:ascii="Times New Roman" w:hAnsi="Times New Roman" w:cs="Times New Roman"/>
          <w:sz w:val="24"/>
          <w:szCs w:val="24"/>
          <w:lang w:val="es-ES"/>
        </w:rPr>
      </w:pPr>
    </w:p>
    <w:p w:rsidR="009B0C7D" w:rsidRPr="00074974" w:rsidRDefault="009B0C7D" w:rsidP="009B0C7D">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 El argumento final para el reconocimiento de los derechos a UCLA es el de la falta de valor de los tejidos sin el nivel de conocimientos y de trabajo invertidos por los científicos de sus laboratorios</w:t>
      </w:r>
      <w:r w:rsidRPr="00074974">
        <w:rPr>
          <w:rStyle w:val="Refdenotaalpie"/>
          <w:rFonts w:ascii="Times New Roman" w:hAnsi="Times New Roman" w:cs="Times New Roman"/>
          <w:sz w:val="24"/>
          <w:szCs w:val="24"/>
        </w:rPr>
        <w:footnoteReference w:id="16"/>
      </w:r>
      <w:r w:rsidRPr="00074974">
        <w:rPr>
          <w:rFonts w:ascii="Times New Roman" w:hAnsi="Times New Roman" w:cs="Times New Roman"/>
          <w:sz w:val="24"/>
          <w:szCs w:val="24"/>
          <w:lang w:val="es-ES"/>
        </w:rPr>
        <w:t xml:space="preserve">. Sin embargo, la reivindicación de propiedad de Moore no necesariamente tiene que ser asumida como una reivindicación de las ganancias obtenidas a partir del uso de sus tejidos. Moore podría obtener algunos de los derechos asociados a la propiedad y no necesariamente un dominio absoluto e incondicional, o un derecho a vender o a obtener todas las ganancias generadas.  Tendría, tal vez, un derecho a estar protegido frente a intrusiones no consentidas, o a tomar decisiones acerca de cómo quiere que se usen sus tejidos, o podría donarlos a quien considerase oportuno. </w:t>
      </w:r>
    </w:p>
    <w:p w:rsidR="009B0C7D" w:rsidRPr="00074974" w:rsidRDefault="009B0C7D" w:rsidP="009B0C7D">
      <w:pPr>
        <w:spacing w:line="360" w:lineRule="auto"/>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Probablemente</w:t>
      </w:r>
      <w:r w:rsidR="00A406AC">
        <w:rPr>
          <w:rFonts w:ascii="Times New Roman" w:hAnsi="Times New Roman" w:cs="Times New Roman"/>
          <w:sz w:val="24"/>
          <w:szCs w:val="24"/>
          <w:lang w:val="es-ES"/>
        </w:rPr>
        <w:t>,</w:t>
      </w:r>
      <w:r w:rsidRPr="00074974">
        <w:rPr>
          <w:rFonts w:ascii="Times New Roman" w:hAnsi="Times New Roman" w:cs="Times New Roman"/>
          <w:sz w:val="24"/>
          <w:szCs w:val="24"/>
          <w:lang w:val="es-ES"/>
        </w:rPr>
        <w:t xml:space="preserve"> en un mundo ideal las palabras del Juez </w:t>
      </w:r>
      <w:proofErr w:type="spellStart"/>
      <w:r w:rsidRPr="00074974">
        <w:rPr>
          <w:rFonts w:ascii="Times New Roman" w:hAnsi="Times New Roman" w:cs="Times New Roman"/>
          <w:sz w:val="24"/>
          <w:szCs w:val="24"/>
          <w:lang w:val="es-ES"/>
        </w:rPr>
        <w:t>Broussard</w:t>
      </w:r>
      <w:proofErr w:type="spellEnd"/>
      <w:r w:rsidRPr="00074974">
        <w:rPr>
          <w:rFonts w:ascii="Times New Roman" w:hAnsi="Times New Roman" w:cs="Times New Roman"/>
          <w:sz w:val="24"/>
          <w:szCs w:val="24"/>
          <w:lang w:val="es-ES"/>
        </w:rPr>
        <w:t xml:space="preserve"> en la decisión del caso Moore, antes citadas, marcarían el objetivo a alcanzar. Esto es, una sanidad y una investigación financiadas generosamente con fondos públicos, destinadas exclusivamente a mejorar la vida de las personas, sin atender a criterios de beneficios comerciales. Me temo que ese ya no es el mundo real. La creciente privatización de todo lo que se relaciona con la sanidad, con la investigación y con la medicina nos pone ante nuevos desafíos que nos llevan a preguntarnos si la protección a las personas por parte de los ordenamientos jurídicos es suficiente; a preguntarnos además acerca de si cabe una justificación moral de la propiedad capaz de responder a estas cuestiones; sobre la legitimidad de la mercantilización de determinados bienes; sobre cómo se articula un auténtico consentimiento informado; o como se protege la privacidad.  Estos desafíos nos obligan a profundizar en la búsqueda para reducir las asimetrías entre informador y paciente; entre instituciones e individuos; entre ricos y pobres</w:t>
      </w:r>
      <w:r w:rsidR="004E5CB1" w:rsidRPr="00074974">
        <w:rPr>
          <w:rFonts w:ascii="Times New Roman" w:hAnsi="Times New Roman" w:cs="Times New Roman"/>
          <w:sz w:val="24"/>
          <w:szCs w:val="24"/>
          <w:lang w:val="es-ES"/>
        </w:rPr>
        <w:t>, entre hombres y mujeres</w:t>
      </w:r>
      <w:r w:rsidRPr="00074974">
        <w:rPr>
          <w:rFonts w:ascii="Times New Roman" w:hAnsi="Times New Roman" w:cs="Times New Roman"/>
          <w:sz w:val="24"/>
          <w:szCs w:val="24"/>
          <w:lang w:val="es-ES"/>
        </w:rPr>
        <w:t xml:space="preserve">. Nos conduce a muchas otras cuestiones fundamentales que no han sido tratadas aquí, aunque se han apuntado en ocasiones, relacionadas con la pregunta inicial ¿contribuye la idea de propiedad a una mejor protección de las personas en el momento actual cuando se trata de los derechos sobre sus cuerpos o partes de los mismos? </w:t>
      </w:r>
    </w:p>
    <w:p w:rsidR="008856E3" w:rsidRPr="00074974" w:rsidRDefault="009B0C7D" w:rsidP="008856E3">
      <w:pPr>
        <w:spacing w:line="360" w:lineRule="auto"/>
        <w:ind w:left="360"/>
        <w:jc w:val="both"/>
        <w:rPr>
          <w:rFonts w:ascii="Times New Roman" w:hAnsi="Times New Roman" w:cs="Times New Roman"/>
          <w:sz w:val="24"/>
          <w:szCs w:val="24"/>
          <w:lang w:val="es-ES"/>
        </w:rPr>
      </w:pPr>
      <w:r w:rsidRPr="00074974">
        <w:rPr>
          <w:rFonts w:ascii="Times New Roman" w:hAnsi="Times New Roman" w:cs="Times New Roman"/>
          <w:sz w:val="24"/>
          <w:szCs w:val="24"/>
          <w:lang w:val="es-ES"/>
        </w:rPr>
        <w:t xml:space="preserve"> </w:t>
      </w:r>
    </w:p>
    <w:p w:rsidR="009B0C7D" w:rsidRPr="003F34DC" w:rsidRDefault="009B0C7D" w:rsidP="008856E3">
      <w:pPr>
        <w:spacing w:line="360" w:lineRule="auto"/>
        <w:ind w:left="360"/>
        <w:jc w:val="both"/>
        <w:rPr>
          <w:rFonts w:ascii="Times New Roman" w:hAnsi="Times New Roman" w:cs="Times New Roman"/>
          <w:sz w:val="18"/>
          <w:szCs w:val="18"/>
          <w:lang w:val="es-ES"/>
        </w:rPr>
      </w:pPr>
      <w:r w:rsidRPr="003F34DC">
        <w:rPr>
          <w:rFonts w:ascii="Times New Roman" w:hAnsi="Times New Roman" w:cs="Times New Roman"/>
          <w:b/>
          <w:sz w:val="18"/>
          <w:szCs w:val="18"/>
          <w:lang w:val="es-ES"/>
        </w:rPr>
        <w:t xml:space="preserve">Bibliografía </w:t>
      </w:r>
    </w:p>
    <w:p w:rsidR="009B0C7D" w:rsidRPr="00074974" w:rsidRDefault="009B0C7D" w:rsidP="009B0C7D">
      <w:pPr>
        <w:spacing w:line="240" w:lineRule="auto"/>
        <w:jc w:val="both"/>
        <w:rPr>
          <w:rFonts w:ascii="Times New Roman" w:hAnsi="Times New Roman" w:cs="Times New Roman"/>
          <w:sz w:val="18"/>
          <w:szCs w:val="18"/>
          <w:lang w:val="es-ES"/>
        </w:rPr>
      </w:pPr>
      <w:r w:rsidRPr="00074974">
        <w:rPr>
          <w:rFonts w:ascii="Times New Roman" w:hAnsi="Times New Roman" w:cs="Times New Roman"/>
          <w:sz w:val="18"/>
          <w:szCs w:val="18"/>
          <w:lang w:val="es-ES"/>
        </w:rPr>
        <w:t xml:space="preserve">BELTRÁN, E. (1987): “Locke y </w:t>
      </w:r>
      <w:proofErr w:type="spellStart"/>
      <w:r w:rsidRPr="00074974">
        <w:rPr>
          <w:rFonts w:ascii="Times New Roman" w:hAnsi="Times New Roman" w:cs="Times New Roman"/>
          <w:sz w:val="18"/>
          <w:szCs w:val="18"/>
          <w:lang w:val="es-ES"/>
        </w:rPr>
        <w:t>Nozick</w:t>
      </w:r>
      <w:proofErr w:type="spellEnd"/>
      <w:r w:rsidRPr="00074974">
        <w:rPr>
          <w:rFonts w:ascii="Times New Roman" w:hAnsi="Times New Roman" w:cs="Times New Roman"/>
          <w:sz w:val="18"/>
          <w:szCs w:val="18"/>
          <w:lang w:val="es-ES"/>
        </w:rPr>
        <w:t xml:space="preserve"> sobre propiedad”, Sistema 77, pp. 131-139</w:t>
      </w:r>
    </w:p>
    <w:p w:rsidR="009B0C7D" w:rsidRPr="00074974" w:rsidRDefault="009B0C7D" w:rsidP="009B0C7D">
      <w:pPr>
        <w:spacing w:line="240" w:lineRule="auto"/>
        <w:jc w:val="both"/>
        <w:rPr>
          <w:rFonts w:ascii="Times New Roman" w:hAnsi="Times New Roman" w:cs="Times New Roman"/>
          <w:sz w:val="18"/>
          <w:szCs w:val="18"/>
          <w:lang w:val="es-ES"/>
        </w:rPr>
      </w:pPr>
      <w:r w:rsidRPr="00074974">
        <w:rPr>
          <w:rFonts w:ascii="Times New Roman" w:hAnsi="Times New Roman" w:cs="Times New Roman"/>
          <w:sz w:val="18"/>
          <w:szCs w:val="18"/>
          <w:lang w:val="es-ES"/>
        </w:rPr>
        <w:lastRenderedPageBreak/>
        <w:t xml:space="preserve">-(2011a): “Sexo, normas y mercados” en </w:t>
      </w:r>
      <w:r w:rsidRPr="00074974">
        <w:rPr>
          <w:rFonts w:ascii="Times New Roman" w:hAnsi="Times New Roman" w:cs="Times New Roman"/>
          <w:bCs/>
          <w:i/>
          <w:sz w:val="18"/>
          <w:szCs w:val="18"/>
          <w:lang w:val="es-ES"/>
        </w:rPr>
        <w:t>Claves</w:t>
      </w:r>
      <w:r w:rsidRPr="00074974">
        <w:rPr>
          <w:rFonts w:ascii="Times New Roman" w:hAnsi="Times New Roman" w:cs="Times New Roman"/>
          <w:i/>
          <w:sz w:val="18"/>
          <w:szCs w:val="18"/>
          <w:lang w:val="es-ES"/>
        </w:rPr>
        <w:t>,</w:t>
      </w:r>
      <w:r w:rsidRPr="00074974">
        <w:rPr>
          <w:rFonts w:ascii="Times New Roman" w:hAnsi="Times New Roman" w:cs="Times New Roman"/>
          <w:sz w:val="18"/>
          <w:szCs w:val="18"/>
          <w:lang w:val="es-ES"/>
        </w:rPr>
        <w:t xml:space="preserve"> 217, Nov.</w:t>
      </w:r>
    </w:p>
    <w:p w:rsidR="009B0C7D" w:rsidRPr="00074974" w:rsidRDefault="00A53A0F" w:rsidP="009B0C7D">
      <w:pPr>
        <w:spacing w:line="240" w:lineRule="auto"/>
        <w:jc w:val="both"/>
        <w:rPr>
          <w:rFonts w:ascii="Times New Roman" w:hAnsi="Times New Roman" w:cs="Times New Roman"/>
          <w:sz w:val="18"/>
          <w:szCs w:val="18"/>
          <w:lang w:val="en-US"/>
        </w:rPr>
      </w:pPr>
      <w:r w:rsidRPr="00074974">
        <w:rPr>
          <w:rFonts w:ascii="Times New Roman" w:hAnsi="Times New Roman" w:cs="Times New Roman"/>
          <w:sz w:val="18"/>
          <w:szCs w:val="18"/>
          <w:lang w:val="es-ES"/>
        </w:rPr>
        <w:t xml:space="preserve">- (2011b) </w:t>
      </w:r>
      <w:r w:rsidR="009B0C7D" w:rsidRPr="00074974">
        <w:rPr>
          <w:rFonts w:ascii="Times New Roman" w:hAnsi="Times New Roman" w:cs="Times New Roman"/>
          <w:sz w:val="18"/>
          <w:szCs w:val="18"/>
          <w:lang w:val="es-ES"/>
        </w:rPr>
        <w:t xml:space="preserve">“En los márgenes del derecho antidiscriminatorio: prostitución y derechos de las mujeres” </w:t>
      </w:r>
      <w:r w:rsidR="00C047E1" w:rsidRPr="00074974">
        <w:rPr>
          <w:rFonts w:ascii="Times New Roman" w:hAnsi="Times New Roman" w:cs="Times New Roman"/>
          <w:sz w:val="18"/>
          <w:szCs w:val="18"/>
          <w:lang w:val="es-ES"/>
        </w:rPr>
        <w:t xml:space="preserve">en </w:t>
      </w:r>
      <w:r w:rsidR="00C047E1" w:rsidRPr="00074974">
        <w:rPr>
          <w:rFonts w:ascii="Times New Roman" w:hAnsi="Times New Roman" w:cs="Times New Roman"/>
          <w:i/>
          <w:sz w:val="18"/>
          <w:szCs w:val="18"/>
          <w:lang w:val="es-ES"/>
        </w:rPr>
        <w:t>Anales</w:t>
      </w:r>
      <w:r w:rsidR="009B0C7D" w:rsidRPr="00074974">
        <w:rPr>
          <w:rFonts w:ascii="Times New Roman" w:hAnsi="Times New Roman" w:cs="Times New Roman"/>
          <w:i/>
          <w:sz w:val="18"/>
          <w:szCs w:val="18"/>
          <w:lang w:val="es-ES"/>
        </w:rPr>
        <w:t xml:space="preserve"> de la Cátedra Francisco Suarez. </w:t>
      </w:r>
      <w:r w:rsidR="009B0C7D" w:rsidRPr="00074974">
        <w:rPr>
          <w:rFonts w:ascii="Times New Roman" w:hAnsi="Times New Roman" w:cs="Times New Roman"/>
          <w:sz w:val="18"/>
          <w:szCs w:val="18"/>
          <w:lang w:val="en-US"/>
        </w:rPr>
        <w:t>Universidad de Granada, pp. 43-63.</w:t>
      </w:r>
    </w:p>
    <w:p w:rsidR="009B0C7D" w:rsidRDefault="009B0C7D" w:rsidP="009B0C7D">
      <w:pPr>
        <w:spacing w:line="240" w:lineRule="auto"/>
        <w:jc w:val="both"/>
        <w:rPr>
          <w:rFonts w:ascii="Times New Roman" w:hAnsi="Times New Roman" w:cs="Times New Roman"/>
          <w:sz w:val="18"/>
          <w:szCs w:val="18"/>
          <w:lang w:val="en-US"/>
        </w:rPr>
      </w:pPr>
      <w:r w:rsidRPr="00074974">
        <w:rPr>
          <w:rFonts w:ascii="Times New Roman" w:hAnsi="Times New Roman" w:cs="Times New Roman"/>
          <w:sz w:val="18"/>
          <w:szCs w:val="18"/>
          <w:lang w:val="en-US"/>
        </w:rPr>
        <w:t xml:space="preserve">- (2015): “Property in Human Bodies, Self-Preservation and Human Rights” </w:t>
      </w:r>
      <w:proofErr w:type="spellStart"/>
      <w:r w:rsidRPr="00074974">
        <w:rPr>
          <w:rFonts w:ascii="Times New Roman" w:hAnsi="Times New Roman" w:cs="Times New Roman"/>
          <w:sz w:val="18"/>
          <w:szCs w:val="18"/>
          <w:lang w:val="en-US"/>
        </w:rPr>
        <w:t>en</w:t>
      </w:r>
      <w:proofErr w:type="spellEnd"/>
      <w:r w:rsidRPr="00074974">
        <w:rPr>
          <w:rFonts w:ascii="Times New Roman" w:hAnsi="Times New Roman" w:cs="Times New Roman"/>
          <w:sz w:val="18"/>
          <w:szCs w:val="18"/>
          <w:lang w:val="en-US"/>
        </w:rPr>
        <w:t xml:space="preserve"> Xu and Allen (eds.) </w:t>
      </w:r>
      <w:r w:rsidRPr="00074974">
        <w:rPr>
          <w:rFonts w:ascii="Times New Roman" w:hAnsi="Times New Roman" w:cs="Times New Roman"/>
          <w:i/>
          <w:sz w:val="18"/>
          <w:szCs w:val="18"/>
          <w:lang w:val="en-US"/>
        </w:rPr>
        <w:t>Property and Human Rights,</w:t>
      </w:r>
      <w:r w:rsidRPr="00074974">
        <w:rPr>
          <w:rFonts w:ascii="Times New Roman" w:hAnsi="Times New Roman" w:cs="Times New Roman"/>
          <w:sz w:val="18"/>
          <w:szCs w:val="18"/>
          <w:lang w:val="en-US"/>
        </w:rPr>
        <w:t xml:space="preserve"> Hart Publishing</w:t>
      </w:r>
    </w:p>
    <w:p w:rsidR="000D0C8E" w:rsidRPr="000D0C8E" w:rsidRDefault="000D0C8E" w:rsidP="000D0C8E">
      <w:pPr>
        <w:jc w:val="both"/>
        <w:rPr>
          <w:b/>
          <w:sz w:val="18"/>
          <w:szCs w:val="18"/>
          <w:lang w:val="es-ES"/>
        </w:rPr>
      </w:pPr>
      <w:r>
        <w:rPr>
          <w:rFonts w:ascii="Times New Roman" w:hAnsi="Times New Roman" w:cs="Times New Roman"/>
          <w:sz w:val="18"/>
          <w:szCs w:val="18"/>
          <w:lang w:val="es-ES"/>
        </w:rPr>
        <w:t xml:space="preserve">- </w:t>
      </w:r>
      <w:r w:rsidRPr="000D0C8E">
        <w:rPr>
          <w:rFonts w:ascii="Times New Roman" w:hAnsi="Times New Roman" w:cs="Times New Roman"/>
          <w:sz w:val="18"/>
          <w:szCs w:val="18"/>
          <w:lang w:val="es-ES"/>
        </w:rPr>
        <w:t xml:space="preserve">(2015): </w:t>
      </w:r>
      <w:r>
        <w:rPr>
          <w:rFonts w:ascii="Times New Roman" w:hAnsi="Times New Roman" w:cs="Times New Roman"/>
          <w:sz w:val="18"/>
          <w:szCs w:val="18"/>
          <w:lang w:val="es-ES"/>
        </w:rPr>
        <w:t>“</w:t>
      </w:r>
      <w:r w:rsidRPr="000D0C8E">
        <w:rPr>
          <w:rFonts w:ascii="Times New Roman" w:hAnsi="Times New Roman" w:cs="Times New Roman"/>
          <w:sz w:val="18"/>
          <w:szCs w:val="18"/>
          <w:lang w:val="es-ES"/>
        </w:rPr>
        <w:t>El cuerpo humano: derechos sin propiedad o propiedad sin derechos</w:t>
      </w:r>
      <w:r w:rsidRPr="000D0C8E">
        <w:rPr>
          <w:rFonts w:ascii="Times New Roman" w:hAnsi="Times New Roman" w:cs="Times New Roman"/>
          <w:sz w:val="18"/>
          <w:szCs w:val="18"/>
          <w:lang w:val="es-ES"/>
        </w:rPr>
        <w:t>” en Revista de Estudios Políticos, 169, Julio-Septiembre.</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BECKER, L. C. (1977): </w:t>
      </w:r>
      <w:r w:rsidRPr="00074974">
        <w:rPr>
          <w:rFonts w:ascii="Times New Roman" w:hAnsi="Times New Roman"/>
          <w:i/>
          <w:sz w:val="18"/>
          <w:szCs w:val="18"/>
          <w:lang w:val="en-US"/>
        </w:rPr>
        <w:t>Property Rights. Philosophic Foundations,</w:t>
      </w:r>
      <w:r w:rsidRPr="00074974">
        <w:rPr>
          <w:rFonts w:ascii="Times New Roman" w:hAnsi="Times New Roman"/>
          <w:sz w:val="18"/>
          <w:szCs w:val="18"/>
          <w:lang w:val="en-US"/>
        </w:rPr>
        <w:t xml:space="preserve"> Routledge and Kegan Paul.</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CHRISTMAN, J.</w:t>
      </w:r>
      <w:r w:rsidRPr="00074974">
        <w:rPr>
          <w:rFonts w:ascii="Times New Roman" w:hAnsi="Times New Roman"/>
          <w:sz w:val="18"/>
          <w:szCs w:val="18"/>
          <w:lang w:val="en-US"/>
        </w:rPr>
        <w:t xml:space="preserve"> (1994): </w:t>
      </w:r>
      <w:r w:rsidRPr="00074974">
        <w:rPr>
          <w:rFonts w:ascii="Times New Roman" w:hAnsi="Times New Roman"/>
          <w:i/>
          <w:sz w:val="18"/>
          <w:szCs w:val="18"/>
          <w:lang w:val="en-US"/>
        </w:rPr>
        <w:t>The Myth of Property: Toward an Egalitarian Theory of Ownership</w:t>
      </w:r>
      <w:r w:rsidRPr="00074974">
        <w:rPr>
          <w:rFonts w:ascii="Times New Roman" w:hAnsi="Times New Roman"/>
          <w:sz w:val="18"/>
          <w:szCs w:val="18"/>
          <w:lang w:val="en-US"/>
        </w:rPr>
        <w:t>. Oxford University Press</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COHEN, G. A. (1995): </w:t>
      </w:r>
      <w:r w:rsidRPr="00074974">
        <w:rPr>
          <w:rFonts w:ascii="Times New Roman" w:hAnsi="Times New Roman"/>
          <w:i/>
          <w:sz w:val="18"/>
          <w:szCs w:val="18"/>
        </w:rPr>
        <w:t>Selfownership, Freedom and Equality</w:t>
      </w:r>
      <w:r w:rsidRPr="00074974">
        <w:rPr>
          <w:rFonts w:ascii="Times New Roman" w:hAnsi="Times New Roman"/>
          <w:sz w:val="18"/>
          <w:szCs w:val="18"/>
        </w:rPr>
        <w:t>, Cambridge University Press.</w:t>
      </w:r>
    </w:p>
    <w:p w:rsidR="009B0C7D" w:rsidRPr="00074974" w:rsidRDefault="009B0C7D" w:rsidP="009B0C7D">
      <w:pPr>
        <w:pStyle w:val="Textonotapie"/>
        <w:jc w:val="both"/>
        <w:rPr>
          <w:rFonts w:ascii="Times New Roman" w:hAnsi="Times New Roman"/>
          <w:i/>
          <w:sz w:val="18"/>
          <w:szCs w:val="18"/>
        </w:rPr>
      </w:pPr>
      <w:r w:rsidRPr="00074974">
        <w:rPr>
          <w:rFonts w:ascii="Times New Roman" w:hAnsi="Times New Roman"/>
          <w:sz w:val="18"/>
          <w:szCs w:val="18"/>
        </w:rPr>
        <w:t>DEMSETZ, H. (1967); “Toward a Theory of Property Rights”, 57</w:t>
      </w:r>
      <w:r w:rsidRPr="00074974">
        <w:rPr>
          <w:rFonts w:ascii="Times New Roman" w:hAnsi="Times New Roman"/>
          <w:i/>
          <w:sz w:val="18"/>
          <w:szCs w:val="18"/>
        </w:rPr>
        <w:t xml:space="preserve"> American Economic Review.</w:t>
      </w:r>
    </w:p>
    <w:p w:rsidR="009B0C7D" w:rsidRPr="00074974" w:rsidRDefault="009B0C7D" w:rsidP="009B0C7D">
      <w:pPr>
        <w:pStyle w:val="Textonotapie"/>
        <w:jc w:val="both"/>
        <w:rPr>
          <w:rFonts w:ascii="Times New Roman" w:hAnsi="Times New Roman"/>
          <w:sz w:val="18"/>
          <w:szCs w:val="18"/>
          <w:lang w:val="es-ES"/>
        </w:rPr>
      </w:pPr>
      <w:bookmarkStart w:id="0" w:name="_GoBack"/>
      <w:bookmarkEnd w:id="0"/>
      <w:r w:rsidRPr="00074974">
        <w:rPr>
          <w:rFonts w:ascii="Times New Roman" w:hAnsi="Times New Roman"/>
          <w:sz w:val="18"/>
          <w:szCs w:val="18"/>
          <w:lang w:val="es-ES"/>
        </w:rPr>
        <w:t xml:space="preserve">DÍEZ-PICAZO, L (2012): </w:t>
      </w:r>
      <w:r w:rsidRPr="00074974">
        <w:rPr>
          <w:rFonts w:ascii="Times New Roman" w:hAnsi="Times New Roman"/>
          <w:i/>
          <w:sz w:val="18"/>
          <w:szCs w:val="18"/>
          <w:lang w:val="es-ES"/>
        </w:rPr>
        <w:t>Fundamentos de Derecho civil patrimonial VI,</w:t>
      </w:r>
      <w:r w:rsidRPr="00074974">
        <w:rPr>
          <w:rFonts w:ascii="Times New Roman" w:hAnsi="Times New Roman"/>
          <w:sz w:val="18"/>
          <w:szCs w:val="18"/>
          <w:lang w:val="es-ES"/>
        </w:rPr>
        <w:t xml:space="preserve"> </w:t>
      </w:r>
      <w:proofErr w:type="spellStart"/>
      <w:r w:rsidRPr="00074974">
        <w:rPr>
          <w:rFonts w:ascii="Times New Roman" w:hAnsi="Times New Roman"/>
          <w:sz w:val="18"/>
          <w:szCs w:val="18"/>
          <w:lang w:val="es-ES"/>
        </w:rPr>
        <w:t>Civitas</w:t>
      </w:r>
      <w:proofErr w:type="spellEnd"/>
      <w:r w:rsidRPr="00074974">
        <w:rPr>
          <w:rFonts w:ascii="Times New Roman" w:hAnsi="Times New Roman"/>
          <w:sz w:val="18"/>
          <w:szCs w:val="18"/>
          <w:lang w:val="es-ES"/>
        </w:rPr>
        <w:t>.</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ENDICOT, TH.; GETZLER, J.; PEEL, E. (Ed) (2006): Properties of Law, Oxford University Press. </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FABRE, C. (2006): </w:t>
      </w:r>
      <w:r w:rsidRPr="00074974">
        <w:rPr>
          <w:rFonts w:ascii="Times New Roman" w:hAnsi="Times New Roman"/>
          <w:i/>
          <w:sz w:val="18"/>
          <w:szCs w:val="18"/>
          <w:lang w:val="en-US"/>
        </w:rPr>
        <w:t xml:space="preserve">Whose Body is it </w:t>
      </w:r>
      <w:proofErr w:type="gramStart"/>
      <w:r w:rsidRPr="00074974">
        <w:rPr>
          <w:rFonts w:ascii="Times New Roman" w:hAnsi="Times New Roman"/>
          <w:i/>
          <w:sz w:val="18"/>
          <w:szCs w:val="18"/>
          <w:lang w:val="en-US"/>
        </w:rPr>
        <w:t>Anyway</w:t>
      </w:r>
      <w:proofErr w:type="gramEnd"/>
      <w:r w:rsidRPr="00074974">
        <w:rPr>
          <w:rFonts w:ascii="Times New Roman" w:hAnsi="Times New Roman"/>
          <w:i/>
          <w:sz w:val="18"/>
          <w:szCs w:val="18"/>
          <w:lang w:val="en-US"/>
        </w:rPr>
        <w:t>? Justice and the Integrity of the Person</w:t>
      </w:r>
      <w:r w:rsidRPr="00074974">
        <w:rPr>
          <w:rFonts w:ascii="Times New Roman" w:hAnsi="Times New Roman"/>
          <w:sz w:val="18"/>
          <w:szCs w:val="18"/>
          <w:lang w:val="en-US"/>
        </w:rPr>
        <w:t>, Clarendon Press.</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FRIED, B. H. (2004): “Left-Libertarianism: A Review Essay” </w:t>
      </w:r>
      <w:proofErr w:type="spellStart"/>
      <w:r w:rsidRPr="00074974">
        <w:rPr>
          <w:rFonts w:ascii="Times New Roman" w:hAnsi="Times New Roman"/>
          <w:sz w:val="18"/>
          <w:szCs w:val="18"/>
        </w:rPr>
        <w:t>en</w:t>
      </w:r>
      <w:proofErr w:type="spellEnd"/>
      <w:r w:rsidRPr="00074974">
        <w:rPr>
          <w:rFonts w:ascii="Times New Roman" w:hAnsi="Times New Roman"/>
          <w:sz w:val="18"/>
          <w:szCs w:val="18"/>
        </w:rPr>
        <w:t xml:space="preserve"> </w:t>
      </w:r>
      <w:r w:rsidRPr="00074974">
        <w:rPr>
          <w:rFonts w:ascii="Times New Roman" w:hAnsi="Times New Roman"/>
          <w:i/>
          <w:sz w:val="18"/>
          <w:szCs w:val="18"/>
        </w:rPr>
        <w:t>Philosophy and Public Affairs</w:t>
      </w:r>
      <w:r w:rsidRPr="00074974">
        <w:rPr>
          <w:rFonts w:ascii="Times New Roman" w:hAnsi="Times New Roman"/>
          <w:sz w:val="18"/>
          <w:szCs w:val="18"/>
        </w:rPr>
        <w:t>, 32.</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FRIED, B. H. (2005): “Left-Libertarianism Once More: A Rejoinder to </w:t>
      </w:r>
      <w:proofErr w:type="spellStart"/>
      <w:r w:rsidRPr="00074974">
        <w:rPr>
          <w:rFonts w:ascii="Times New Roman" w:hAnsi="Times New Roman"/>
          <w:sz w:val="18"/>
          <w:szCs w:val="18"/>
        </w:rPr>
        <w:t>Vallentyne</w:t>
      </w:r>
      <w:proofErr w:type="spellEnd"/>
      <w:r w:rsidRPr="00074974">
        <w:rPr>
          <w:rFonts w:ascii="Times New Roman" w:hAnsi="Times New Roman"/>
          <w:sz w:val="18"/>
          <w:szCs w:val="18"/>
        </w:rPr>
        <w:t xml:space="preserve">, Steiner and Otsuka”, </w:t>
      </w:r>
      <w:r w:rsidRPr="00074974">
        <w:rPr>
          <w:rFonts w:ascii="Times New Roman" w:hAnsi="Times New Roman"/>
          <w:i/>
          <w:sz w:val="18"/>
          <w:szCs w:val="18"/>
        </w:rPr>
        <w:t>Philosophy and Public Affairs</w:t>
      </w:r>
      <w:r w:rsidRPr="00074974">
        <w:rPr>
          <w:rFonts w:ascii="Times New Roman" w:hAnsi="Times New Roman"/>
          <w:sz w:val="18"/>
          <w:szCs w:val="18"/>
        </w:rPr>
        <w:t>, 33.</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HARRIS, J.W. (2001): </w:t>
      </w:r>
      <w:r w:rsidRPr="00074974">
        <w:rPr>
          <w:rFonts w:ascii="Times New Roman" w:hAnsi="Times New Roman"/>
          <w:i/>
          <w:sz w:val="18"/>
          <w:szCs w:val="18"/>
        </w:rPr>
        <w:t>Property and Justice</w:t>
      </w:r>
      <w:r w:rsidRPr="00074974">
        <w:rPr>
          <w:rFonts w:ascii="Times New Roman" w:hAnsi="Times New Roman"/>
          <w:sz w:val="18"/>
          <w:szCs w:val="18"/>
        </w:rPr>
        <w:t>, Oxford University Press.</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HONORÉ, T. (1987): “Ownership”, </w:t>
      </w:r>
      <w:proofErr w:type="spellStart"/>
      <w:r w:rsidRPr="00074974">
        <w:rPr>
          <w:rFonts w:ascii="Times New Roman" w:hAnsi="Times New Roman"/>
          <w:sz w:val="18"/>
          <w:szCs w:val="18"/>
          <w:lang w:val="en-US"/>
        </w:rPr>
        <w:t>en</w:t>
      </w:r>
      <w:proofErr w:type="spellEnd"/>
      <w:r w:rsidRPr="00074974">
        <w:rPr>
          <w:rFonts w:ascii="Times New Roman" w:hAnsi="Times New Roman"/>
          <w:sz w:val="18"/>
          <w:szCs w:val="18"/>
          <w:lang w:val="en-US"/>
        </w:rPr>
        <w:t xml:space="preserve"> </w:t>
      </w:r>
      <w:r w:rsidRPr="00074974">
        <w:rPr>
          <w:rFonts w:ascii="Times New Roman" w:hAnsi="Times New Roman"/>
          <w:i/>
          <w:sz w:val="18"/>
          <w:szCs w:val="18"/>
          <w:lang w:val="en-US"/>
        </w:rPr>
        <w:t>Making Law Bind</w:t>
      </w:r>
      <w:r w:rsidRPr="00074974">
        <w:rPr>
          <w:rFonts w:ascii="Times New Roman" w:hAnsi="Times New Roman"/>
          <w:sz w:val="18"/>
          <w:szCs w:val="18"/>
          <w:lang w:val="en-US"/>
        </w:rPr>
        <w:t xml:space="preserve">, Oxford, Clarendon Press [1960] </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HUNT, L (2008): </w:t>
      </w:r>
      <w:r w:rsidRPr="00074974">
        <w:rPr>
          <w:rFonts w:ascii="Times New Roman" w:hAnsi="Times New Roman"/>
          <w:i/>
          <w:sz w:val="18"/>
          <w:szCs w:val="18"/>
          <w:lang w:val="en-US"/>
        </w:rPr>
        <w:t>Inventing Human Rights. A History</w:t>
      </w:r>
      <w:r w:rsidRPr="00074974">
        <w:rPr>
          <w:rFonts w:ascii="Times New Roman" w:hAnsi="Times New Roman"/>
          <w:sz w:val="18"/>
          <w:szCs w:val="18"/>
          <w:lang w:val="en-US"/>
        </w:rPr>
        <w:t xml:space="preserve">. New York, </w:t>
      </w:r>
      <w:proofErr w:type="spellStart"/>
      <w:r w:rsidRPr="00074974">
        <w:rPr>
          <w:rFonts w:ascii="Times New Roman" w:hAnsi="Times New Roman"/>
          <w:sz w:val="18"/>
          <w:szCs w:val="18"/>
          <w:lang w:val="en-US"/>
        </w:rPr>
        <w:t>Northon</w:t>
      </w:r>
      <w:proofErr w:type="spellEnd"/>
      <w:r w:rsidRPr="00074974">
        <w:rPr>
          <w:rFonts w:ascii="Times New Roman" w:hAnsi="Times New Roman"/>
          <w:sz w:val="18"/>
          <w:szCs w:val="18"/>
          <w:lang w:val="en-US"/>
        </w:rPr>
        <w:t xml:space="preserve"> and C.</w:t>
      </w:r>
    </w:p>
    <w:p w:rsidR="009B0C7D" w:rsidRPr="00074974" w:rsidRDefault="009B0C7D" w:rsidP="009B0C7D">
      <w:pPr>
        <w:pStyle w:val="Textonotapie"/>
        <w:jc w:val="both"/>
        <w:rPr>
          <w:rFonts w:ascii="Times New Roman" w:hAnsi="Times New Roman"/>
          <w:sz w:val="18"/>
          <w:szCs w:val="18"/>
          <w:lang w:val="es-ES"/>
        </w:rPr>
      </w:pPr>
      <w:r w:rsidRPr="00074974">
        <w:rPr>
          <w:rFonts w:ascii="Times New Roman" w:hAnsi="Times New Roman"/>
          <w:sz w:val="18"/>
          <w:szCs w:val="18"/>
          <w:lang w:val="es-ES"/>
        </w:rPr>
        <w:t xml:space="preserve">KANT, I. (1988): </w:t>
      </w:r>
      <w:hyperlink r:id="rId7" w:history="1">
        <w:r w:rsidRPr="00074974">
          <w:rPr>
            <w:rStyle w:val="Hipervnculo"/>
            <w:rFonts w:ascii="Times New Roman" w:hAnsi="Times New Roman"/>
            <w:i/>
            <w:sz w:val="18"/>
            <w:szCs w:val="18"/>
            <w:lang w:val="es-ES"/>
          </w:rPr>
          <w:t>Lecciones de ética</w:t>
        </w:r>
        <w:r w:rsidRPr="00074974">
          <w:rPr>
            <w:rStyle w:val="Hipervnculo"/>
            <w:rFonts w:ascii="Times New Roman" w:hAnsi="Times New Roman"/>
            <w:sz w:val="18"/>
            <w:szCs w:val="18"/>
            <w:lang w:val="es-ES"/>
          </w:rPr>
          <w:t xml:space="preserve">; introducción y notas de R. R. </w:t>
        </w:r>
        <w:proofErr w:type="spellStart"/>
        <w:r w:rsidRPr="00074974">
          <w:rPr>
            <w:rStyle w:val="Hipervnculo"/>
            <w:rFonts w:ascii="Times New Roman" w:hAnsi="Times New Roman"/>
            <w:sz w:val="18"/>
            <w:szCs w:val="18"/>
            <w:lang w:val="es-ES"/>
          </w:rPr>
          <w:t>Aramayo</w:t>
        </w:r>
        <w:proofErr w:type="spellEnd"/>
        <w:r w:rsidRPr="00074974">
          <w:rPr>
            <w:rStyle w:val="Hipervnculo"/>
            <w:rFonts w:ascii="Times New Roman" w:hAnsi="Times New Roman"/>
            <w:sz w:val="18"/>
            <w:szCs w:val="18"/>
            <w:lang w:val="es-ES"/>
          </w:rPr>
          <w:t xml:space="preserve">; trad. de R. R. </w:t>
        </w:r>
        <w:proofErr w:type="spellStart"/>
        <w:r w:rsidRPr="00074974">
          <w:rPr>
            <w:rStyle w:val="Hipervnculo"/>
            <w:rFonts w:ascii="Times New Roman" w:hAnsi="Times New Roman"/>
            <w:sz w:val="18"/>
            <w:szCs w:val="18"/>
            <w:lang w:val="es-ES"/>
          </w:rPr>
          <w:t>Aramayo</w:t>
        </w:r>
        <w:proofErr w:type="spellEnd"/>
        <w:r w:rsidRPr="00074974">
          <w:rPr>
            <w:rStyle w:val="Hipervnculo"/>
            <w:rFonts w:ascii="Times New Roman" w:hAnsi="Times New Roman"/>
            <w:sz w:val="18"/>
            <w:szCs w:val="18"/>
            <w:lang w:val="es-ES"/>
          </w:rPr>
          <w:t xml:space="preserve"> y C. Roldán</w:t>
        </w:r>
      </w:hyperlink>
      <w:r w:rsidRPr="00074974">
        <w:rPr>
          <w:rFonts w:ascii="Times New Roman" w:hAnsi="Times New Roman"/>
          <w:sz w:val="18"/>
          <w:szCs w:val="18"/>
          <w:lang w:val="es-ES"/>
        </w:rPr>
        <w:t>.</w:t>
      </w:r>
    </w:p>
    <w:p w:rsidR="009B0C7D" w:rsidRPr="00074974" w:rsidRDefault="009B0C7D" w:rsidP="009B0C7D">
      <w:pPr>
        <w:pStyle w:val="Textonotapie"/>
        <w:jc w:val="both"/>
        <w:rPr>
          <w:rFonts w:ascii="Times New Roman" w:hAnsi="Times New Roman"/>
          <w:sz w:val="18"/>
          <w:szCs w:val="18"/>
          <w:lang w:val="es-ES"/>
        </w:rPr>
      </w:pPr>
      <w:r w:rsidRPr="00074974">
        <w:rPr>
          <w:rFonts w:ascii="Times New Roman" w:hAnsi="Times New Roman"/>
          <w:sz w:val="18"/>
          <w:szCs w:val="18"/>
          <w:lang w:val="es-ES"/>
        </w:rPr>
        <w:t xml:space="preserve">- (1986): “De la relación entre teoría y práctica en el derecho político (Contra Hobbes)”, en Teoría y Práctica, R.R. </w:t>
      </w:r>
      <w:proofErr w:type="spellStart"/>
      <w:r w:rsidRPr="00074974">
        <w:rPr>
          <w:rFonts w:ascii="Times New Roman" w:hAnsi="Times New Roman"/>
          <w:sz w:val="18"/>
          <w:szCs w:val="18"/>
          <w:lang w:val="es-ES"/>
        </w:rPr>
        <w:t>Aramayo</w:t>
      </w:r>
      <w:proofErr w:type="spellEnd"/>
      <w:r w:rsidRPr="00074974">
        <w:rPr>
          <w:rFonts w:ascii="Times New Roman" w:hAnsi="Times New Roman"/>
          <w:sz w:val="18"/>
          <w:szCs w:val="18"/>
          <w:lang w:val="es-ES"/>
        </w:rPr>
        <w:t xml:space="preserve"> (estudio preliminar) trad. de J. M. Palacios; M. F. Pérez y R. R. </w:t>
      </w:r>
      <w:proofErr w:type="spellStart"/>
      <w:r w:rsidRPr="00074974">
        <w:rPr>
          <w:rFonts w:ascii="Times New Roman" w:hAnsi="Times New Roman"/>
          <w:sz w:val="18"/>
          <w:szCs w:val="18"/>
          <w:lang w:val="es-ES"/>
        </w:rPr>
        <w:t>Aramayo</w:t>
      </w:r>
      <w:proofErr w:type="spellEnd"/>
      <w:r w:rsidRPr="00074974">
        <w:rPr>
          <w:rFonts w:ascii="Times New Roman" w:hAnsi="Times New Roman"/>
          <w:sz w:val="18"/>
          <w:szCs w:val="18"/>
          <w:lang w:val="es-ES"/>
        </w:rPr>
        <w:t xml:space="preserve"> [1793].</w:t>
      </w:r>
    </w:p>
    <w:p w:rsidR="009B0C7D" w:rsidRPr="00074974" w:rsidRDefault="009B0C7D" w:rsidP="009B0C7D">
      <w:pPr>
        <w:pStyle w:val="Textonotapie"/>
        <w:jc w:val="both"/>
        <w:rPr>
          <w:rFonts w:ascii="Times New Roman" w:hAnsi="Times New Roman"/>
          <w:sz w:val="18"/>
          <w:szCs w:val="18"/>
          <w:lang w:val="es-ES"/>
        </w:rPr>
      </w:pPr>
      <w:r w:rsidRPr="00074974">
        <w:rPr>
          <w:rFonts w:ascii="Times New Roman" w:hAnsi="Times New Roman"/>
          <w:sz w:val="18"/>
          <w:szCs w:val="18"/>
          <w:lang w:val="es-ES"/>
        </w:rPr>
        <w:t xml:space="preserve">KELSEN, H (1979a): </w:t>
      </w:r>
      <w:r w:rsidRPr="00074974">
        <w:rPr>
          <w:rFonts w:ascii="Times New Roman" w:hAnsi="Times New Roman"/>
          <w:i/>
          <w:sz w:val="18"/>
          <w:szCs w:val="18"/>
          <w:lang w:val="es-ES"/>
        </w:rPr>
        <w:t>Teoría General del Derecho y del Estado,</w:t>
      </w:r>
      <w:r w:rsidRPr="00074974">
        <w:rPr>
          <w:rFonts w:ascii="Times New Roman" w:hAnsi="Times New Roman"/>
          <w:sz w:val="18"/>
          <w:szCs w:val="18"/>
          <w:lang w:val="es-ES"/>
        </w:rPr>
        <w:t xml:space="preserve"> trad. de E. García Máynez, México, UNAM, [1934].</w:t>
      </w:r>
    </w:p>
    <w:p w:rsidR="009B0C7D" w:rsidRPr="00074974" w:rsidRDefault="009B0C7D" w:rsidP="009B0C7D">
      <w:pPr>
        <w:pStyle w:val="Textonotapie"/>
        <w:jc w:val="both"/>
        <w:rPr>
          <w:rFonts w:ascii="Times New Roman" w:hAnsi="Times New Roman"/>
          <w:sz w:val="18"/>
          <w:szCs w:val="18"/>
          <w:lang w:val="es-ES"/>
        </w:rPr>
      </w:pPr>
      <w:r w:rsidRPr="00074974">
        <w:rPr>
          <w:rFonts w:ascii="Times New Roman" w:hAnsi="Times New Roman"/>
          <w:sz w:val="18"/>
          <w:szCs w:val="18"/>
          <w:lang w:val="es-ES"/>
        </w:rPr>
        <w:t xml:space="preserve">-(1979b) </w:t>
      </w:r>
      <w:r w:rsidRPr="00074974">
        <w:rPr>
          <w:rFonts w:ascii="Times New Roman" w:hAnsi="Times New Roman"/>
          <w:i/>
          <w:sz w:val="18"/>
          <w:szCs w:val="18"/>
          <w:lang w:val="es-ES"/>
        </w:rPr>
        <w:t>Teoría Pura el Derecho</w:t>
      </w:r>
      <w:r w:rsidRPr="00074974">
        <w:rPr>
          <w:rFonts w:ascii="Times New Roman" w:hAnsi="Times New Roman"/>
          <w:sz w:val="18"/>
          <w:szCs w:val="18"/>
          <w:lang w:val="es-ES"/>
        </w:rPr>
        <w:t>, trad. de R. Salmerón, México, UNAM, pp.143-145 [1960]</w:t>
      </w:r>
    </w:p>
    <w:p w:rsidR="009B0C7D" w:rsidRPr="00074974" w:rsidRDefault="009B0C7D" w:rsidP="009B0C7D">
      <w:pPr>
        <w:pStyle w:val="Textonotapie"/>
        <w:jc w:val="both"/>
        <w:rPr>
          <w:rStyle w:val="st"/>
          <w:rFonts w:ascii="Times New Roman" w:hAnsi="Times New Roman"/>
          <w:color w:val="222222"/>
          <w:sz w:val="18"/>
          <w:szCs w:val="18"/>
          <w:lang w:val="es-ES"/>
        </w:rPr>
      </w:pPr>
      <w:r w:rsidRPr="00074974">
        <w:rPr>
          <w:rFonts w:ascii="Times New Roman" w:hAnsi="Times New Roman"/>
          <w:sz w:val="18"/>
          <w:szCs w:val="18"/>
          <w:lang w:val="es-ES"/>
        </w:rPr>
        <w:t xml:space="preserve">LAPORTA, F </w:t>
      </w:r>
      <w:r w:rsidRPr="00074974">
        <w:rPr>
          <w:rStyle w:val="st"/>
          <w:rFonts w:ascii="Times New Roman" w:hAnsi="Times New Roman"/>
          <w:color w:val="222222"/>
          <w:sz w:val="18"/>
          <w:szCs w:val="18"/>
          <w:lang w:val="es-ES"/>
        </w:rPr>
        <w:t xml:space="preserve">(1987). «Sobre el concepto de </w:t>
      </w:r>
      <w:r w:rsidRPr="00074974">
        <w:rPr>
          <w:rStyle w:val="nfasis"/>
          <w:rFonts w:ascii="Times New Roman" w:hAnsi="Times New Roman"/>
          <w:color w:val="222222"/>
          <w:sz w:val="18"/>
          <w:szCs w:val="18"/>
          <w:lang w:val="es-ES"/>
        </w:rPr>
        <w:t>derechos humanos</w:t>
      </w:r>
      <w:r w:rsidRPr="00074974">
        <w:rPr>
          <w:rStyle w:val="st"/>
          <w:rFonts w:ascii="Times New Roman" w:hAnsi="Times New Roman"/>
          <w:color w:val="222222"/>
          <w:sz w:val="18"/>
          <w:szCs w:val="18"/>
          <w:lang w:val="es-ES"/>
        </w:rPr>
        <w:t>», en DOX A n°4, pp. 23-47.</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LOCKE, J. (1988): </w:t>
      </w:r>
      <w:r w:rsidRPr="00074974">
        <w:rPr>
          <w:rFonts w:ascii="Times New Roman" w:hAnsi="Times New Roman"/>
          <w:i/>
          <w:sz w:val="18"/>
          <w:szCs w:val="18"/>
          <w:lang w:val="en-US"/>
        </w:rPr>
        <w:t>Two Treatises of Government</w:t>
      </w:r>
      <w:r w:rsidRPr="00074974">
        <w:rPr>
          <w:rFonts w:ascii="Times New Roman" w:hAnsi="Times New Roman"/>
          <w:sz w:val="18"/>
          <w:szCs w:val="18"/>
          <w:lang w:val="en-US"/>
        </w:rPr>
        <w:t xml:space="preserve">, Ed. Peter </w:t>
      </w:r>
      <w:proofErr w:type="spellStart"/>
      <w:r w:rsidRPr="00074974">
        <w:rPr>
          <w:rFonts w:ascii="Times New Roman" w:hAnsi="Times New Roman"/>
          <w:sz w:val="18"/>
          <w:szCs w:val="18"/>
          <w:lang w:val="en-US"/>
        </w:rPr>
        <w:t>Laslett</w:t>
      </w:r>
      <w:proofErr w:type="spellEnd"/>
      <w:r w:rsidRPr="00074974">
        <w:rPr>
          <w:rFonts w:ascii="Times New Roman" w:hAnsi="Times New Roman"/>
          <w:sz w:val="18"/>
          <w:szCs w:val="18"/>
          <w:lang w:val="en-US"/>
        </w:rPr>
        <w:t>, Cambridge University Press.</w:t>
      </w:r>
    </w:p>
    <w:p w:rsidR="009B0C7D" w:rsidRPr="00074974" w:rsidRDefault="009B0C7D" w:rsidP="009B0C7D">
      <w:pPr>
        <w:pStyle w:val="Textonotapie"/>
        <w:jc w:val="both"/>
        <w:rPr>
          <w:rFonts w:ascii="Times New Roman" w:hAnsi="Times New Roman"/>
          <w:sz w:val="18"/>
          <w:szCs w:val="18"/>
          <w:lang w:val="es-ES"/>
        </w:rPr>
      </w:pPr>
      <w:r w:rsidRPr="00074974">
        <w:rPr>
          <w:rFonts w:ascii="Times New Roman" w:hAnsi="Times New Roman"/>
          <w:sz w:val="18"/>
          <w:szCs w:val="18"/>
          <w:lang w:val="es-ES"/>
        </w:rPr>
        <w:t xml:space="preserve">LORA, P.; GASCÓN, M. (2008): </w:t>
      </w:r>
      <w:r w:rsidRPr="00074974">
        <w:rPr>
          <w:rFonts w:ascii="Times New Roman" w:hAnsi="Times New Roman"/>
          <w:i/>
          <w:sz w:val="18"/>
          <w:szCs w:val="18"/>
          <w:lang w:val="es-ES"/>
        </w:rPr>
        <w:t>Bioética. Principios, desafíos, debates</w:t>
      </w:r>
      <w:r w:rsidRPr="00074974">
        <w:rPr>
          <w:rFonts w:ascii="Times New Roman" w:hAnsi="Times New Roman"/>
          <w:sz w:val="18"/>
          <w:szCs w:val="18"/>
          <w:lang w:val="es-ES"/>
        </w:rPr>
        <w:t xml:space="preserve">, Madrid, Alianza ed. </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MACPHERSON, C. B. (1962): </w:t>
      </w:r>
      <w:r w:rsidRPr="00074974">
        <w:rPr>
          <w:rFonts w:ascii="Times New Roman" w:hAnsi="Times New Roman"/>
          <w:i/>
          <w:sz w:val="18"/>
          <w:szCs w:val="18"/>
          <w:lang w:val="en-US"/>
        </w:rPr>
        <w:t>The Political Theory of Possessive Individualism</w:t>
      </w:r>
      <w:r w:rsidRPr="00074974">
        <w:rPr>
          <w:rFonts w:ascii="Times New Roman" w:hAnsi="Times New Roman"/>
          <w:sz w:val="18"/>
          <w:szCs w:val="18"/>
          <w:lang w:val="en-US"/>
        </w:rPr>
        <w:t>, Oxford, Clarendon Press.</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lang w:val="en-US"/>
        </w:rPr>
        <w:t>-</w:t>
      </w:r>
      <w:r w:rsidRPr="00074974">
        <w:rPr>
          <w:rFonts w:ascii="Times New Roman" w:hAnsi="Times New Roman"/>
          <w:sz w:val="18"/>
          <w:szCs w:val="18"/>
        </w:rPr>
        <w:t xml:space="preserve"> (1975): “Capitalism and the Changing Concept of Property” </w:t>
      </w:r>
      <w:proofErr w:type="spellStart"/>
      <w:r w:rsidRPr="00074974">
        <w:rPr>
          <w:rFonts w:ascii="Times New Roman" w:hAnsi="Times New Roman"/>
          <w:sz w:val="18"/>
          <w:szCs w:val="18"/>
        </w:rPr>
        <w:t>en</w:t>
      </w:r>
      <w:proofErr w:type="spellEnd"/>
      <w:r w:rsidRPr="00074974">
        <w:rPr>
          <w:rFonts w:ascii="Times New Roman" w:hAnsi="Times New Roman"/>
          <w:sz w:val="18"/>
          <w:szCs w:val="18"/>
        </w:rPr>
        <w:t xml:space="preserve"> E. </w:t>
      </w:r>
      <w:proofErr w:type="spellStart"/>
      <w:r w:rsidRPr="00074974">
        <w:rPr>
          <w:rFonts w:ascii="Times New Roman" w:hAnsi="Times New Roman"/>
          <w:sz w:val="18"/>
          <w:szCs w:val="18"/>
        </w:rPr>
        <w:t>Kamenka</w:t>
      </w:r>
      <w:proofErr w:type="spellEnd"/>
      <w:r w:rsidRPr="00074974">
        <w:rPr>
          <w:rFonts w:ascii="Times New Roman" w:hAnsi="Times New Roman"/>
          <w:sz w:val="18"/>
          <w:szCs w:val="18"/>
        </w:rPr>
        <w:t xml:space="preserve"> y R. S. Neale (</w:t>
      </w:r>
      <w:proofErr w:type="spellStart"/>
      <w:proofErr w:type="gramStart"/>
      <w:r w:rsidRPr="00074974">
        <w:rPr>
          <w:rFonts w:ascii="Times New Roman" w:hAnsi="Times New Roman"/>
          <w:sz w:val="18"/>
          <w:szCs w:val="18"/>
        </w:rPr>
        <w:t>ed</w:t>
      </w:r>
      <w:proofErr w:type="spellEnd"/>
      <w:proofErr w:type="gramEnd"/>
      <w:r w:rsidRPr="00074974">
        <w:rPr>
          <w:rFonts w:ascii="Times New Roman" w:hAnsi="Times New Roman"/>
          <w:sz w:val="18"/>
          <w:szCs w:val="18"/>
        </w:rPr>
        <w:t xml:space="preserve">), </w:t>
      </w:r>
      <w:r w:rsidRPr="00074974">
        <w:rPr>
          <w:rFonts w:ascii="Times New Roman" w:hAnsi="Times New Roman"/>
          <w:i/>
          <w:sz w:val="18"/>
          <w:szCs w:val="18"/>
        </w:rPr>
        <w:t>Feudalism, Capitalism and Beyond,</w:t>
      </w:r>
      <w:r w:rsidRPr="00074974">
        <w:rPr>
          <w:rFonts w:ascii="Times New Roman" w:hAnsi="Times New Roman"/>
          <w:sz w:val="18"/>
          <w:szCs w:val="18"/>
        </w:rPr>
        <w:t xml:space="preserve"> Edward Arnold.</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 (1978): </w:t>
      </w:r>
      <w:r w:rsidRPr="00074974">
        <w:rPr>
          <w:rFonts w:ascii="Times New Roman" w:hAnsi="Times New Roman"/>
          <w:i/>
          <w:sz w:val="18"/>
          <w:szCs w:val="18"/>
        </w:rPr>
        <w:t>Property, Mainstream and Critical Positions</w:t>
      </w:r>
      <w:r w:rsidRPr="00074974">
        <w:rPr>
          <w:rFonts w:ascii="Times New Roman" w:hAnsi="Times New Roman"/>
          <w:sz w:val="18"/>
          <w:szCs w:val="18"/>
        </w:rPr>
        <w:t>, Basil Blackwell.</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MUNZER, S. (1990): </w:t>
      </w:r>
      <w:r w:rsidRPr="00074974">
        <w:rPr>
          <w:rFonts w:ascii="Times New Roman" w:hAnsi="Times New Roman"/>
          <w:i/>
          <w:sz w:val="18"/>
          <w:szCs w:val="18"/>
          <w:lang w:val="en-US"/>
        </w:rPr>
        <w:t>A Theory of Property</w:t>
      </w:r>
      <w:r w:rsidRPr="00074974">
        <w:rPr>
          <w:rFonts w:ascii="Times New Roman" w:hAnsi="Times New Roman"/>
          <w:sz w:val="18"/>
          <w:szCs w:val="18"/>
          <w:lang w:val="en-US"/>
        </w:rPr>
        <w:t>, Cambridge University Press.</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 xml:space="preserve">MUNZER, S (1994): “An Uneasy Case against Property Rights in Body Parts” </w:t>
      </w:r>
      <w:proofErr w:type="spellStart"/>
      <w:r w:rsidRPr="00074974">
        <w:rPr>
          <w:rFonts w:ascii="Times New Roman" w:hAnsi="Times New Roman"/>
          <w:sz w:val="18"/>
          <w:szCs w:val="18"/>
          <w:lang w:val="en-US"/>
        </w:rPr>
        <w:t>en</w:t>
      </w:r>
      <w:proofErr w:type="spellEnd"/>
      <w:r w:rsidRPr="00074974">
        <w:rPr>
          <w:rFonts w:ascii="Times New Roman" w:hAnsi="Times New Roman"/>
          <w:sz w:val="18"/>
          <w:szCs w:val="18"/>
          <w:lang w:val="en-US"/>
        </w:rPr>
        <w:t xml:space="preserve"> Frankel Paul, E; Miller, F. Paul, J (</w:t>
      </w:r>
      <w:proofErr w:type="spellStart"/>
      <w:r w:rsidRPr="00074974">
        <w:rPr>
          <w:rFonts w:ascii="Times New Roman" w:hAnsi="Times New Roman"/>
          <w:sz w:val="18"/>
          <w:szCs w:val="18"/>
          <w:lang w:val="en-US"/>
        </w:rPr>
        <w:t>eds</w:t>
      </w:r>
      <w:proofErr w:type="spellEnd"/>
      <w:r w:rsidRPr="00074974">
        <w:rPr>
          <w:rFonts w:ascii="Times New Roman" w:hAnsi="Times New Roman"/>
          <w:sz w:val="18"/>
          <w:szCs w:val="18"/>
          <w:lang w:val="en-US"/>
        </w:rPr>
        <w:t>) Property Rights, Cambridge University Press, pp. 259-286.</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lastRenderedPageBreak/>
        <w:t>MUNZER, S (1997): “</w:t>
      </w:r>
      <w:r w:rsidRPr="00074974">
        <w:rPr>
          <w:rFonts w:ascii="Times New Roman" w:hAnsi="Times New Roman"/>
          <w:color w:val="333333"/>
          <w:sz w:val="18"/>
          <w:szCs w:val="18"/>
          <w:lang w:val="en"/>
        </w:rPr>
        <w:t xml:space="preserve">Human Dignity and Property Rights in Body Parts”, in </w:t>
      </w:r>
      <w:r w:rsidRPr="00074974">
        <w:rPr>
          <w:rFonts w:ascii="Times New Roman" w:hAnsi="Times New Roman"/>
          <w:i/>
          <w:iCs/>
          <w:color w:val="333333"/>
          <w:sz w:val="18"/>
          <w:szCs w:val="18"/>
          <w:lang w:val="en"/>
        </w:rPr>
        <w:t>Property Problems: From Genes to Pension Funds</w:t>
      </w:r>
      <w:r w:rsidRPr="00074974">
        <w:rPr>
          <w:rFonts w:ascii="Times New Roman" w:hAnsi="Times New Roman"/>
          <w:color w:val="333333"/>
          <w:sz w:val="18"/>
          <w:szCs w:val="18"/>
          <w:lang w:val="en"/>
        </w:rPr>
        <w:t>, edited by J.W. Harris, Kluwer Law International</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lang w:val="en-US"/>
        </w:rPr>
        <w:t>MUNZER, S. (2013): “</w:t>
      </w:r>
      <w:r w:rsidRPr="00074974">
        <w:rPr>
          <w:rFonts w:ascii="Times New Roman" w:hAnsi="Times New Roman"/>
          <w:color w:val="333333"/>
          <w:sz w:val="18"/>
          <w:szCs w:val="18"/>
          <w:lang w:val="en"/>
        </w:rPr>
        <w:t xml:space="preserve">Property and Disagreement”, in </w:t>
      </w:r>
      <w:r w:rsidRPr="00074974">
        <w:rPr>
          <w:rFonts w:ascii="Times New Roman" w:hAnsi="Times New Roman"/>
          <w:i/>
          <w:iCs/>
          <w:color w:val="333333"/>
          <w:sz w:val="18"/>
          <w:szCs w:val="18"/>
          <w:lang w:val="en"/>
        </w:rPr>
        <w:t>Philosophical Foundations of Property Law</w:t>
      </w:r>
      <w:r w:rsidRPr="00074974">
        <w:rPr>
          <w:rFonts w:ascii="Times New Roman" w:hAnsi="Times New Roman"/>
          <w:color w:val="333333"/>
          <w:sz w:val="18"/>
          <w:szCs w:val="18"/>
          <w:lang w:val="en"/>
        </w:rPr>
        <w:t xml:space="preserve">, pp. 289-319 </w:t>
      </w:r>
    </w:p>
    <w:p w:rsidR="009B0C7D" w:rsidRPr="00074974" w:rsidRDefault="009B0C7D" w:rsidP="009B0C7D">
      <w:pPr>
        <w:pStyle w:val="Textonotapie"/>
        <w:jc w:val="both"/>
        <w:rPr>
          <w:rFonts w:ascii="Times New Roman" w:hAnsi="Times New Roman"/>
          <w:sz w:val="18"/>
          <w:szCs w:val="18"/>
          <w:lang w:val="es-ES"/>
        </w:rPr>
      </w:pPr>
      <w:r w:rsidRPr="00074974">
        <w:rPr>
          <w:rFonts w:ascii="Times New Roman" w:hAnsi="Times New Roman"/>
          <w:sz w:val="18"/>
          <w:szCs w:val="18"/>
        </w:rPr>
        <w:t xml:space="preserve">NOZICK, R. (1977): </w:t>
      </w:r>
      <w:r w:rsidRPr="00074974">
        <w:rPr>
          <w:rFonts w:ascii="Times New Roman" w:hAnsi="Times New Roman"/>
          <w:i/>
          <w:sz w:val="18"/>
          <w:szCs w:val="18"/>
        </w:rPr>
        <w:t>Anarchy, State and Utopia</w:t>
      </w:r>
      <w:r w:rsidRPr="00074974">
        <w:rPr>
          <w:rFonts w:ascii="Times New Roman" w:hAnsi="Times New Roman"/>
          <w:sz w:val="18"/>
          <w:szCs w:val="18"/>
        </w:rPr>
        <w:t xml:space="preserve">, Oxford, Blackwell. </w:t>
      </w:r>
      <w:r w:rsidRPr="00074974">
        <w:rPr>
          <w:rFonts w:ascii="Times New Roman" w:hAnsi="Times New Roman"/>
          <w:sz w:val="18"/>
          <w:szCs w:val="18"/>
          <w:lang w:val="es-ES"/>
        </w:rPr>
        <w:t>Hay trad. española, pero aquí se cita por la versión original.</w:t>
      </w:r>
    </w:p>
    <w:p w:rsidR="009B0C7D" w:rsidRPr="00074974" w:rsidRDefault="009B0C7D" w:rsidP="009B0C7D">
      <w:pPr>
        <w:pStyle w:val="Textonotapie"/>
        <w:jc w:val="both"/>
        <w:rPr>
          <w:rFonts w:ascii="Times New Roman" w:hAnsi="Times New Roman"/>
          <w:sz w:val="18"/>
          <w:szCs w:val="18"/>
          <w:lang w:val="en-US"/>
        </w:rPr>
      </w:pPr>
      <w:r w:rsidRPr="00074974">
        <w:rPr>
          <w:rFonts w:ascii="Times New Roman" w:hAnsi="Times New Roman"/>
          <w:sz w:val="18"/>
          <w:szCs w:val="18"/>
        </w:rPr>
        <w:t xml:space="preserve">OTSUKA, M. (2003): </w:t>
      </w:r>
      <w:r w:rsidRPr="00074974">
        <w:rPr>
          <w:rFonts w:ascii="Times New Roman" w:hAnsi="Times New Roman"/>
          <w:i/>
          <w:sz w:val="18"/>
          <w:szCs w:val="18"/>
        </w:rPr>
        <w:t>Libertarianism without Foundations</w:t>
      </w:r>
      <w:r w:rsidRPr="00074974">
        <w:rPr>
          <w:rFonts w:ascii="Times New Roman" w:hAnsi="Times New Roman"/>
          <w:sz w:val="18"/>
          <w:szCs w:val="18"/>
        </w:rPr>
        <w:t>, Oxford University Press, pp. 15, 19.</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lang w:val="en-US"/>
        </w:rPr>
        <w:t>-</w:t>
      </w:r>
      <w:r w:rsidRPr="00074974">
        <w:rPr>
          <w:rFonts w:ascii="Times New Roman" w:hAnsi="Times New Roman"/>
          <w:sz w:val="18"/>
          <w:szCs w:val="18"/>
        </w:rPr>
        <w:t xml:space="preserve"> (2005):  “Why Left-Libertarianism Is Not Incoherent, Indeterminate, or Irrelevant: A Reply to Fried”, </w:t>
      </w:r>
      <w:proofErr w:type="spellStart"/>
      <w:r w:rsidRPr="00074974">
        <w:rPr>
          <w:rFonts w:ascii="Times New Roman" w:hAnsi="Times New Roman"/>
          <w:sz w:val="18"/>
          <w:szCs w:val="18"/>
        </w:rPr>
        <w:t>en</w:t>
      </w:r>
      <w:proofErr w:type="spellEnd"/>
      <w:r w:rsidRPr="00074974">
        <w:rPr>
          <w:rFonts w:ascii="Times New Roman" w:hAnsi="Times New Roman"/>
          <w:sz w:val="18"/>
          <w:szCs w:val="18"/>
        </w:rPr>
        <w:t xml:space="preserve"> </w:t>
      </w:r>
      <w:r w:rsidRPr="00074974">
        <w:rPr>
          <w:rFonts w:ascii="Times New Roman" w:hAnsi="Times New Roman"/>
          <w:i/>
          <w:sz w:val="18"/>
          <w:szCs w:val="18"/>
        </w:rPr>
        <w:t>Philosophy and Public Affairs</w:t>
      </w:r>
      <w:r w:rsidRPr="00074974">
        <w:rPr>
          <w:rFonts w:ascii="Times New Roman" w:hAnsi="Times New Roman"/>
          <w:sz w:val="18"/>
          <w:szCs w:val="18"/>
        </w:rPr>
        <w:t>, 33: 201-22.</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PENNER, J. E. (1997): </w:t>
      </w:r>
      <w:r w:rsidRPr="00074974">
        <w:rPr>
          <w:rFonts w:ascii="Times New Roman" w:hAnsi="Times New Roman"/>
          <w:i/>
          <w:sz w:val="18"/>
          <w:szCs w:val="18"/>
        </w:rPr>
        <w:t>The Idea of Property in the Law</w:t>
      </w:r>
      <w:r w:rsidRPr="00074974">
        <w:rPr>
          <w:rFonts w:ascii="Times New Roman" w:hAnsi="Times New Roman"/>
          <w:sz w:val="18"/>
          <w:szCs w:val="18"/>
        </w:rPr>
        <w:t>, Oxford University Press.</w:t>
      </w:r>
    </w:p>
    <w:p w:rsidR="009B0C7D" w:rsidRPr="00074974" w:rsidRDefault="009B0C7D" w:rsidP="009B0C7D">
      <w:pPr>
        <w:pStyle w:val="Textonotapie"/>
        <w:jc w:val="both"/>
        <w:rPr>
          <w:rFonts w:ascii="Times New Roman" w:hAnsi="Times New Roman"/>
          <w:i/>
          <w:sz w:val="18"/>
          <w:szCs w:val="18"/>
          <w:lang w:val="en-US"/>
        </w:rPr>
      </w:pPr>
      <w:r w:rsidRPr="00074974">
        <w:rPr>
          <w:rFonts w:ascii="Times New Roman" w:hAnsi="Times New Roman"/>
          <w:sz w:val="18"/>
          <w:szCs w:val="18"/>
          <w:lang w:val="en-US"/>
        </w:rPr>
        <w:t xml:space="preserve">PHILLIPS, A. (2013), </w:t>
      </w:r>
      <w:r w:rsidRPr="00074974">
        <w:rPr>
          <w:rFonts w:ascii="Times New Roman" w:hAnsi="Times New Roman"/>
          <w:i/>
          <w:sz w:val="18"/>
          <w:szCs w:val="18"/>
          <w:lang w:val="en-US"/>
        </w:rPr>
        <w:t xml:space="preserve">Our Bodies, Whose Property? </w:t>
      </w:r>
      <w:r w:rsidRPr="00074974">
        <w:rPr>
          <w:rFonts w:ascii="Times New Roman" w:hAnsi="Times New Roman"/>
          <w:sz w:val="18"/>
          <w:szCs w:val="18"/>
          <w:lang w:val="en-US"/>
        </w:rPr>
        <w:t>Princeton University Press.</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POSNER, R. (1986): </w:t>
      </w:r>
      <w:r w:rsidRPr="00074974">
        <w:rPr>
          <w:rFonts w:ascii="Times New Roman" w:hAnsi="Times New Roman"/>
          <w:i/>
          <w:sz w:val="18"/>
          <w:szCs w:val="18"/>
        </w:rPr>
        <w:t>Economic Analysis of Law</w:t>
      </w:r>
      <w:r w:rsidRPr="00074974">
        <w:rPr>
          <w:rFonts w:ascii="Times New Roman" w:hAnsi="Times New Roman"/>
          <w:sz w:val="18"/>
          <w:szCs w:val="18"/>
        </w:rPr>
        <w:t>, Little Brown.</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RAWLS, J. (1999): </w:t>
      </w:r>
      <w:r w:rsidRPr="00074974">
        <w:rPr>
          <w:rFonts w:ascii="Times New Roman" w:hAnsi="Times New Roman"/>
          <w:i/>
          <w:sz w:val="18"/>
          <w:szCs w:val="18"/>
        </w:rPr>
        <w:t>A Theory of Justice</w:t>
      </w:r>
      <w:r w:rsidRPr="00074974">
        <w:rPr>
          <w:rFonts w:ascii="Times New Roman" w:hAnsi="Times New Roman"/>
          <w:sz w:val="18"/>
          <w:szCs w:val="18"/>
        </w:rPr>
        <w:t>, Harvard University Press</w:t>
      </w:r>
    </w:p>
    <w:p w:rsidR="009B0C7D" w:rsidRPr="00074974" w:rsidRDefault="009B0C7D" w:rsidP="009B0C7D">
      <w:pPr>
        <w:pStyle w:val="Textonotapie"/>
        <w:jc w:val="both"/>
        <w:rPr>
          <w:rFonts w:ascii="Times New Roman" w:hAnsi="Times New Roman"/>
          <w:sz w:val="18"/>
          <w:szCs w:val="18"/>
        </w:rPr>
      </w:pPr>
      <w:r w:rsidRPr="00074974">
        <w:rPr>
          <w:rFonts w:ascii="Times New Roman" w:hAnsi="Times New Roman"/>
          <w:sz w:val="18"/>
          <w:szCs w:val="18"/>
        </w:rPr>
        <w:t xml:space="preserve">VALLENTYNE, STEINER, OTSUKA (2005): “Why Left- Libertarianism”, </w:t>
      </w:r>
      <w:proofErr w:type="spellStart"/>
      <w:r w:rsidRPr="00074974">
        <w:rPr>
          <w:rFonts w:ascii="Times New Roman" w:hAnsi="Times New Roman"/>
          <w:sz w:val="18"/>
          <w:szCs w:val="18"/>
        </w:rPr>
        <w:t>en</w:t>
      </w:r>
      <w:proofErr w:type="spellEnd"/>
      <w:r w:rsidRPr="00074974">
        <w:rPr>
          <w:rFonts w:ascii="Times New Roman" w:hAnsi="Times New Roman"/>
          <w:sz w:val="18"/>
          <w:szCs w:val="18"/>
        </w:rPr>
        <w:t xml:space="preserve"> </w:t>
      </w:r>
      <w:r w:rsidRPr="00074974">
        <w:rPr>
          <w:rFonts w:ascii="Times New Roman" w:hAnsi="Times New Roman"/>
          <w:i/>
          <w:sz w:val="18"/>
          <w:szCs w:val="18"/>
        </w:rPr>
        <w:t>Philosophy and Public</w:t>
      </w:r>
      <w:r w:rsidRPr="00074974">
        <w:rPr>
          <w:rFonts w:ascii="Times New Roman" w:hAnsi="Times New Roman"/>
          <w:sz w:val="18"/>
          <w:szCs w:val="18"/>
        </w:rPr>
        <w:t xml:space="preserve"> </w:t>
      </w:r>
      <w:r w:rsidRPr="00074974">
        <w:rPr>
          <w:rFonts w:ascii="Times New Roman" w:hAnsi="Times New Roman"/>
          <w:i/>
          <w:sz w:val="18"/>
          <w:szCs w:val="18"/>
        </w:rPr>
        <w:t>Affairs</w:t>
      </w:r>
      <w:r w:rsidRPr="00074974">
        <w:rPr>
          <w:rFonts w:ascii="Times New Roman" w:hAnsi="Times New Roman"/>
          <w:sz w:val="18"/>
          <w:szCs w:val="18"/>
        </w:rPr>
        <w:t>, 33, 201-215;</w:t>
      </w:r>
    </w:p>
    <w:p w:rsidR="009B0C7D" w:rsidRPr="003F34DC" w:rsidRDefault="009B0C7D" w:rsidP="003F34DC">
      <w:pPr>
        <w:pStyle w:val="Textonotapie"/>
        <w:jc w:val="both"/>
        <w:rPr>
          <w:rFonts w:ascii="Times New Roman" w:hAnsi="Times New Roman"/>
          <w:sz w:val="18"/>
          <w:szCs w:val="18"/>
        </w:rPr>
      </w:pPr>
      <w:r w:rsidRPr="00074974">
        <w:rPr>
          <w:rFonts w:ascii="Times New Roman" w:hAnsi="Times New Roman"/>
          <w:sz w:val="18"/>
          <w:szCs w:val="18"/>
        </w:rPr>
        <w:t xml:space="preserve">WALDRON, J. (1988): </w:t>
      </w:r>
      <w:r w:rsidRPr="00074974">
        <w:rPr>
          <w:rFonts w:ascii="Times New Roman" w:hAnsi="Times New Roman"/>
          <w:i/>
          <w:sz w:val="18"/>
          <w:szCs w:val="18"/>
        </w:rPr>
        <w:t xml:space="preserve">The Right to Private Property, </w:t>
      </w:r>
      <w:r w:rsidRPr="00074974">
        <w:rPr>
          <w:rFonts w:ascii="Times New Roman" w:hAnsi="Times New Roman"/>
          <w:sz w:val="18"/>
          <w:szCs w:val="18"/>
        </w:rPr>
        <w:t>Oxford, Clarendon Press.</w:t>
      </w:r>
    </w:p>
    <w:sectPr w:rsidR="009B0C7D" w:rsidRPr="003F34D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3DC" w:rsidRDefault="005243DC" w:rsidP="002A365F">
      <w:pPr>
        <w:spacing w:after="0" w:line="240" w:lineRule="auto"/>
      </w:pPr>
      <w:r>
        <w:separator/>
      </w:r>
    </w:p>
  </w:endnote>
  <w:endnote w:type="continuationSeparator" w:id="0">
    <w:p w:rsidR="005243DC" w:rsidRDefault="005243DC" w:rsidP="002A3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13" w:rsidRDefault="004B521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987504"/>
      <w:docPartObj>
        <w:docPartGallery w:val="Page Numbers (Bottom of Page)"/>
        <w:docPartUnique/>
      </w:docPartObj>
    </w:sdtPr>
    <w:sdtEndPr/>
    <w:sdtContent>
      <w:p w:rsidR="004B5213" w:rsidRDefault="004B5213">
        <w:pPr>
          <w:pStyle w:val="Piedepgina"/>
          <w:jc w:val="center"/>
        </w:pPr>
        <w:r>
          <w:fldChar w:fldCharType="begin"/>
        </w:r>
        <w:r>
          <w:instrText>PAGE   \* MERGEFORMAT</w:instrText>
        </w:r>
        <w:r>
          <w:fldChar w:fldCharType="separate"/>
        </w:r>
        <w:r w:rsidR="00D81DF3" w:rsidRPr="00D81DF3">
          <w:rPr>
            <w:noProof/>
            <w:lang w:val="es-ES"/>
          </w:rPr>
          <w:t>11</w:t>
        </w:r>
        <w:r>
          <w:fldChar w:fldCharType="end"/>
        </w:r>
      </w:p>
    </w:sdtContent>
  </w:sdt>
  <w:p w:rsidR="004B5213" w:rsidRDefault="004B521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13" w:rsidRDefault="004B52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3DC" w:rsidRDefault="005243DC" w:rsidP="002A365F">
      <w:pPr>
        <w:spacing w:after="0" w:line="240" w:lineRule="auto"/>
      </w:pPr>
      <w:r>
        <w:separator/>
      </w:r>
    </w:p>
  </w:footnote>
  <w:footnote w:type="continuationSeparator" w:id="0">
    <w:p w:rsidR="005243DC" w:rsidRDefault="005243DC" w:rsidP="002A365F">
      <w:pPr>
        <w:spacing w:after="0" w:line="240" w:lineRule="auto"/>
      </w:pPr>
      <w:r>
        <w:continuationSeparator/>
      </w:r>
    </w:p>
  </w:footnote>
  <w:footnote w:id="1">
    <w:p w:rsidR="002A365F" w:rsidRPr="00E24C03" w:rsidRDefault="002A365F" w:rsidP="002A365F">
      <w:pPr>
        <w:pStyle w:val="Textonotapie"/>
        <w:rPr>
          <w:sz w:val="18"/>
          <w:szCs w:val="18"/>
          <w:lang w:val="en-US"/>
        </w:rPr>
      </w:pPr>
      <w:r w:rsidRPr="00E24C03">
        <w:rPr>
          <w:rStyle w:val="Refdenotaalpie"/>
          <w:sz w:val="18"/>
          <w:szCs w:val="18"/>
        </w:rPr>
        <w:footnoteRef/>
      </w:r>
      <w:r w:rsidRPr="00E24C03">
        <w:rPr>
          <w:sz w:val="18"/>
          <w:szCs w:val="18"/>
          <w:lang w:val="en-US"/>
        </w:rPr>
        <w:t xml:space="preserve"> L Hunt, </w:t>
      </w:r>
      <w:r w:rsidRPr="00E24C03">
        <w:rPr>
          <w:i/>
          <w:sz w:val="18"/>
          <w:szCs w:val="18"/>
          <w:lang w:val="en-US"/>
        </w:rPr>
        <w:t>Inventing Human Rights. A History</w:t>
      </w:r>
      <w:r w:rsidRPr="00E24C03">
        <w:rPr>
          <w:sz w:val="18"/>
          <w:szCs w:val="18"/>
          <w:lang w:val="en-US"/>
        </w:rPr>
        <w:t xml:space="preserve"> (New York, WW Norton and Company, 2008) esp. pp. </w:t>
      </w:r>
      <w:r>
        <w:rPr>
          <w:sz w:val="18"/>
          <w:szCs w:val="18"/>
          <w:lang w:val="en-US"/>
        </w:rPr>
        <w:t>27-30; C</w:t>
      </w:r>
      <w:r w:rsidRPr="00E24C03">
        <w:rPr>
          <w:sz w:val="18"/>
          <w:szCs w:val="18"/>
          <w:lang w:val="en-US"/>
        </w:rPr>
        <w:t xml:space="preserve"> Taylor, </w:t>
      </w:r>
      <w:r w:rsidRPr="00E24C03">
        <w:rPr>
          <w:i/>
          <w:sz w:val="18"/>
          <w:szCs w:val="18"/>
          <w:lang w:val="en-US"/>
        </w:rPr>
        <w:t>Sources of the Self. The Making of Modern Identity</w:t>
      </w:r>
      <w:r w:rsidRPr="00E24C03">
        <w:rPr>
          <w:sz w:val="18"/>
          <w:szCs w:val="18"/>
          <w:lang w:val="en-US"/>
        </w:rPr>
        <w:t xml:space="preserve"> (Cambridge, Cambridge University Press, 1989) esp. p 12.</w:t>
      </w:r>
    </w:p>
  </w:footnote>
  <w:footnote w:id="2">
    <w:p w:rsidR="002A365F" w:rsidRPr="00E24C03" w:rsidRDefault="002A365F" w:rsidP="002A365F">
      <w:pPr>
        <w:pStyle w:val="Textonotapie"/>
        <w:rPr>
          <w:sz w:val="18"/>
          <w:szCs w:val="18"/>
          <w:lang w:val="en-US"/>
        </w:rPr>
      </w:pPr>
      <w:r w:rsidRPr="00E24C03">
        <w:rPr>
          <w:rStyle w:val="Refdenotaalpie"/>
          <w:sz w:val="18"/>
          <w:szCs w:val="18"/>
        </w:rPr>
        <w:footnoteRef/>
      </w:r>
      <w:r w:rsidRPr="00E24C03">
        <w:rPr>
          <w:sz w:val="18"/>
          <w:szCs w:val="18"/>
          <w:lang w:val="en-US"/>
        </w:rPr>
        <w:t xml:space="preserve"> J Locke, </w:t>
      </w:r>
      <w:r w:rsidRPr="00E24C03">
        <w:rPr>
          <w:i/>
          <w:sz w:val="18"/>
          <w:szCs w:val="18"/>
          <w:lang w:val="en-US"/>
        </w:rPr>
        <w:t>Two</w:t>
      </w:r>
      <w:r w:rsidRPr="00E24C03">
        <w:rPr>
          <w:rFonts w:ascii="Times New Roman" w:hAnsi="Times New Roman"/>
          <w:i/>
          <w:sz w:val="18"/>
          <w:szCs w:val="18"/>
          <w:lang w:val="en-US"/>
        </w:rPr>
        <w:t xml:space="preserve"> Treatises of Government</w:t>
      </w:r>
      <w:r w:rsidR="00677815" w:rsidRPr="00E24C03">
        <w:rPr>
          <w:rFonts w:ascii="Times New Roman" w:hAnsi="Times New Roman"/>
          <w:sz w:val="18"/>
          <w:szCs w:val="18"/>
          <w:lang w:val="en-US"/>
        </w:rPr>
        <w:t>, P</w:t>
      </w:r>
      <w:r w:rsidRPr="00E24C03">
        <w:rPr>
          <w:rFonts w:ascii="Times New Roman" w:hAnsi="Times New Roman"/>
          <w:sz w:val="18"/>
          <w:szCs w:val="18"/>
          <w:lang w:val="en-US"/>
        </w:rPr>
        <w:t xml:space="preserve"> </w:t>
      </w:r>
      <w:proofErr w:type="spellStart"/>
      <w:r w:rsidRPr="00E24C03">
        <w:rPr>
          <w:rFonts w:ascii="Times New Roman" w:hAnsi="Times New Roman"/>
          <w:sz w:val="18"/>
          <w:szCs w:val="18"/>
          <w:lang w:val="en-US"/>
        </w:rPr>
        <w:t>Laslett</w:t>
      </w:r>
      <w:proofErr w:type="spellEnd"/>
      <w:r>
        <w:rPr>
          <w:rFonts w:ascii="Times New Roman" w:hAnsi="Times New Roman"/>
          <w:sz w:val="18"/>
          <w:szCs w:val="18"/>
          <w:lang w:val="en-US"/>
        </w:rPr>
        <w:t xml:space="preserve"> (</w:t>
      </w:r>
      <w:proofErr w:type="spellStart"/>
      <w:proofErr w:type="gramStart"/>
      <w:r>
        <w:rPr>
          <w:rFonts w:ascii="Times New Roman" w:hAnsi="Times New Roman"/>
          <w:sz w:val="18"/>
          <w:szCs w:val="18"/>
          <w:lang w:val="en-US"/>
        </w:rPr>
        <w:t>ed</w:t>
      </w:r>
      <w:proofErr w:type="spellEnd"/>
      <w:proofErr w:type="gramEnd"/>
      <w:r>
        <w:rPr>
          <w:rFonts w:ascii="Times New Roman" w:hAnsi="Times New Roman"/>
          <w:sz w:val="18"/>
          <w:szCs w:val="18"/>
          <w:lang w:val="en-US"/>
        </w:rPr>
        <w:t>)</w:t>
      </w:r>
      <w:r w:rsidRPr="00E24C03">
        <w:rPr>
          <w:rFonts w:ascii="Times New Roman" w:hAnsi="Times New Roman"/>
          <w:sz w:val="18"/>
          <w:szCs w:val="18"/>
          <w:lang w:val="en-US"/>
        </w:rPr>
        <w:t xml:space="preserve"> (Cambridge, Cambridge University Press, 1988)</w:t>
      </w:r>
      <w:r w:rsidRPr="00E24C03">
        <w:rPr>
          <w:sz w:val="18"/>
          <w:szCs w:val="18"/>
          <w:lang w:val="en-US"/>
        </w:rPr>
        <w:t>.</w:t>
      </w:r>
    </w:p>
  </w:footnote>
  <w:footnote w:id="3">
    <w:p w:rsidR="002A365F" w:rsidRPr="009B0A05" w:rsidRDefault="002A365F" w:rsidP="002A365F">
      <w:pPr>
        <w:pStyle w:val="Textonotapie"/>
        <w:rPr>
          <w:sz w:val="18"/>
          <w:szCs w:val="18"/>
          <w:lang w:val="en-US"/>
        </w:rPr>
      </w:pPr>
      <w:r>
        <w:rPr>
          <w:rStyle w:val="Refdenotaalpie"/>
        </w:rPr>
        <w:footnoteRef/>
      </w:r>
      <w:r>
        <w:t xml:space="preserve"> </w:t>
      </w:r>
      <w:r w:rsidRPr="009B0A05">
        <w:rPr>
          <w:sz w:val="18"/>
          <w:szCs w:val="18"/>
          <w:lang w:val="en-US"/>
        </w:rPr>
        <w:t xml:space="preserve">I Kant, </w:t>
      </w:r>
      <w:r w:rsidRPr="009B0A05">
        <w:rPr>
          <w:i/>
          <w:sz w:val="18"/>
          <w:szCs w:val="18"/>
          <w:lang w:val="en-US"/>
        </w:rPr>
        <w:t>The Metaphysics of Morals</w:t>
      </w:r>
      <w:r w:rsidRPr="009B0A05">
        <w:rPr>
          <w:sz w:val="18"/>
          <w:szCs w:val="18"/>
          <w:lang w:val="en-US"/>
        </w:rPr>
        <w:t xml:space="preserve">, ed. M. </w:t>
      </w:r>
      <w:proofErr w:type="spellStart"/>
      <w:r w:rsidRPr="009B0A05">
        <w:rPr>
          <w:sz w:val="18"/>
          <w:szCs w:val="18"/>
          <w:lang w:val="en-US"/>
        </w:rPr>
        <w:t>Gregor</w:t>
      </w:r>
      <w:proofErr w:type="spellEnd"/>
      <w:r w:rsidRPr="009B0A05">
        <w:rPr>
          <w:sz w:val="18"/>
          <w:szCs w:val="18"/>
          <w:lang w:val="en-US"/>
        </w:rPr>
        <w:t>, int. R J Sullivan (Cambridge, Cambridge University Press, 1996) para 46, (6:314).</w:t>
      </w:r>
    </w:p>
  </w:footnote>
  <w:footnote w:id="4">
    <w:p w:rsidR="002A365F" w:rsidRPr="009B0A05" w:rsidRDefault="002A365F" w:rsidP="002A365F">
      <w:pPr>
        <w:pStyle w:val="Textonotapie"/>
        <w:rPr>
          <w:sz w:val="18"/>
          <w:szCs w:val="18"/>
          <w:lang w:val="en-US"/>
        </w:rPr>
      </w:pPr>
      <w:r w:rsidRPr="009B0A05">
        <w:rPr>
          <w:rStyle w:val="Refdenotaalpie"/>
          <w:sz w:val="18"/>
          <w:szCs w:val="18"/>
        </w:rPr>
        <w:footnoteRef/>
      </w:r>
      <w:r w:rsidRPr="009B0A05">
        <w:rPr>
          <w:sz w:val="18"/>
          <w:szCs w:val="18"/>
          <w:lang w:val="en-US"/>
        </w:rPr>
        <w:t xml:space="preserve"> </w:t>
      </w:r>
      <w:r w:rsidRPr="009B0A05">
        <w:rPr>
          <w:i/>
          <w:sz w:val="18"/>
          <w:szCs w:val="18"/>
          <w:lang w:val="en-US"/>
        </w:rPr>
        <w:t>Declaration of Rights of Man and the Citizen 1789</w:t>
      </w:r>
      <w:r w:rsidRPr="009B0A05">
        <w:rPr>
          <w:sz w:val="18"/>
          <w:szCs w:val="18"/>
          <w:lang w:val="en-US"/>
        </w:rPr>
        <w:t>, art. 17. “Property being an inviolable and sacred right, no one may be deprived of it except when public necessity, certified by law, obviously requires it, and of the condition of just compensation in advance”, in Hunt, cit. p. 222.</w:t>
      </w:r>
    </w:p>
  </w:footnote>
  <w:footnote w:id="5">
    <w:p w:rsidR="002A365F" w:rsidRPr="009B0A05" w:rsidRDefault="002A365F" w:rsidP="002A365F">
      <w:pPr>
        <w:pStyle w:val="Textonotapie"/>
        <w:rPr>
          <w:sz w:val="18"/>
          <w:szCs w:val="18"/>
          <w:lang w:val="en-US"/>
        </w:rPr>
      </w:pPr>
      <w:r w:rsidRPr="009B0A05">
        <w:rPr>
          <w:rStyle w:val="Refdenotaalpie"/>
          <w:sz w:val="18"/>
          <w:szCs w:val="18"/>
        </w:rPr>
        <w:footnoteRef/>
      </w:r>
      <w:r w:rsidRPr="009B0A05">
        <w:rPr>
          <w:sz w:val="18"/>
          <w:szCs w:val="18"/>
          <w:lang w:val="en-US"/>
        </w:rPr>
        <w:t xml:space="preserve"> See, J </w:t>
      </w:r>
      <w:proofErr w:type="spellStart"/>
      <w:r w:rsidRPr="009B0A05">
        <w:rPr>
          <w:sz w:val="18"/>
          <w:szCs w:val="18"/>
          <w:lang w:val="en-US"/>
        </w:rPr>
        <w:t>J</w:t>
      </w:r>
      <w:proofErr w:type="spellEnd"/>
      <w:r w:rsidRPr="009B0A05">
        <w:rPr>
          <w:sz w:val="18"/>
          <w:szCs w:val="18"/>
          <w:lang w:val="en-US"/>
        </w:rPr>
        <w:t xml:space="preserve"> Rousseau, </w:t>
      </w:r>
      <w:r w:rsidRPr="009B0A05">
        <w:rPr>
          <w:i/>
          <w:sz w:val="18"/>
          <w:szCs w:val="18"/>
          <w:lang w:val="en-US"/>
        </w:rPr>
        <w:t>Emile or on Education</w:t>
      </w:r>
      <w:r w:rsidRPr="009B0A05">
        <w:rPr>
          <w:sz w:val="18"/>
          <w:szCs w:val="18"/>
          <w:lang w:val="en-US"/>
        </w:rPr>
        <w:t>,</w:t>
      </w:r>
      <w:r w:rsidRPr="009B0A05">
        <w:rPr>
          <w:rStyle w:val="citation"/>
          <w:sz w:val="18"/>
          <w:szCs w:val="18"/>
          <w:lang w:val="en"/>
        </w:rPr>
        <w:t xml:space="preserve"> ed. transl. and notes A Bloom (New York: Basic Books, 1979). </w:t>
      </w:r>
      <w:r w:rsidRPr="009B0A05">
        <w:rPr>
          <w:sz w:val="18"/>
          <w:szCs w:val="18"/>
          <w:lang w:val="en-US"/>
        </w:rPr>
        <w:t xml:space="preserve"> </w:t>
      </w:r>
    </w:p>
  </w:footnote>
  <w:footnote w:id="6">
    <w:p w:rsidR="00E9432E" w:rsidRPr="002F3F84" w:rsidRDefault="00E9432E" w:rsidP="00E9432E">
      <w:pPr>
        <w:rPr>
          <w:lang w:val="en-US"/>
        </w:rPr>
      </w:pPr>
      <w:r>
        <w:rPr>
          <w:rStyle w:val="Refdenotaalpie"/>
        </w:rPr>
        <w:footnoteRef/>
      </w:r>
      <w:r w:rsidRPr="00C8083C">
        <w:rPr>
          <w:lang w:val="es-ES"/>
        </w:rPr>
        <w:t xml:space="preserve"> </w:t>
      </w:r>
      <w:r w:rsidRPr="007B1F41">
        <w:rPr>
          <w:sz w:val="18"/>
          <w:szCs w:val="18"/>
          <w:lang w:val="es-ES"/>
        </w:rPr>
        <w:t xml:space="preserve">Tal vez sea importante distinguir entre la idea de persona y la configuración de la misma como titular de derechos y esa parte indispensable para ser humano que es el cuerpo. No hay persona humana sin cuerpo, pero la persona es algo más y algo diferente, aunque inextricablemente unido a su sustrato físico. </w:t>
      </w:r>
      <w:r w:rsidRPr="002F3F84">
        <w:rPr>
          <w:sz w:val="18"/>
          <w:szCs w:val="18"/>
          <w:lang w:val="en-US"/>
        </w:rPr>
        <w:t>See A Ryan</w:t>
      </w:r>
      <w:r>
        <w:rPr>
          <w:sz w:val="18"/>
          <w:szCs w:val="18"/>
          <w:lang w:val="en-US"/>
        </w:rPr>
        <w:t>,</w:t>
      </w:r>
      <w:r w:rsidRPr="002F3F84">
        <w:rPr>
          <w:sz w:val="18"/>
          <w:szCs w:val="18"/>
          <w:lang w:val="en-US"/>
        </w:rPr>
        <w:t xml:space="preserve"> “Self Ownership, Autonomy and Property Rights” in </w:t>
      </w:r>
      <w:r w:rsidRPr="002F3F84">
        <w:rPr>
          <w:i/>
          <w:sz w:val="18"/>
          <w:szCs w:val="18"/>
          <w:lang w:val="en-US"/>
        </w:rPr>
        <w:t>Property Rights</w:t>
      </w:r>
      <w:r>
        <w:rPr>
          <w:sz w:val="18"/>
          <w:szCs w:val="18"/>
          <w:lang w:val="en-US"/>
        </w:rPr>
        <w:t xml:space="preserve"> (1994)</w:t>
      </w:r>
      <w:r w:rsidRPr="002F3F84">
        <w:rPr>
          <w:sz w:val="18"/>
          <w:szCs w:val="18"/>
          <w:lang w:val="en-US"/>
        </w:rPr>
        <w:t xml:space="preserve"> </w:t>
      </w:r>
      <w:r>
        <w:rPr>
          <w:sz w:val="18"/>
          <w:szCs w:val="18"/>
          <w:lang w:val="en-US"/>
        </w:rPr>
        <w:t>243.</w:t>
      </w:r>
    </w:p>
  </w:footnote>
  <w:footnote w:id="7">
    <w:p w:rsidR="00A5757A" w:rsidRPr="002C574E" w:rsidRDefault="00A5757A" w:rsidP="00A5757A">
      <w:pPr>
        <w:pStyle w:val="Textonotapie"/>
        <w:jc w:val="both"/>
        <w:rPr>
          <w:rFonts w:ascii="Times New Roman" w:hAnsi="Times New Roman"/>
          <w:sz w:val="18"/>
          <w:szCs w:val="18"/>
          <w:lang w:val="en-US"/>
        </w:rPr>
      </w:pPr>
      <w:r w:rsidRPr="002C574E">
        <w:rPr>
          <w:rStyle w:val="Refdenotaalpie"/>
          <w:rFonts w:ascii="Times New Roman" w:hAnsi="Times New Roman"/>
          <w:sz w:val="18"/>
          <w:szCs w:val="18"/>
        </w:rPr>
        <w:footnoteRef/>
      </w:r>
      <w:r w:rsidRPr="00A5757A">
        <w:rPr>
          <w:rFonts w:ascii="Times New Roman" w:hAnsi="Times New Roman"/>
          <w:sz w:val="18"/>
          <w:szCs w:val="18"/>
          <w:lang w:val="en-US"/>
        </w:rPr>
        <w:t xml:space="preserve"> Vid. </w:t>
      </w:r>
      <w:r w:rsidRPr="002C574E">
        <w:rPr>
          <w:rFonts w:ascii="Times New Roman" w:hAnsi="Times New Roman"/>
          <w:sz w:val="18"/>
          <w:szCs w:val="18"/>
          <w:lang w:val="en-US"/>
        </w:rPr>
        <w:t xml:space="preserve">Harris, cit. pp. 194, 352. </w:t>
      </w:r>
    </w:p>
  </w:footnote>
  <w:footnote w:id="8">
    <w:p w:rsidR="00A5757A" w:rsidRPr="00B237E1" w:rsidRDefault="00A5757A" w:rsidP="00A5757A">
      <w:pPr>
        <w:pStyle w:val="Textonotapie"/>
        <w:jc w:val="both"/>
        <w:rPr>
          <w:rFonts w:ascii="Times New Roman" w:hAnsi="Times New Roman"/>
          <w:sz w:val="18"/>
          <w:szCs w:val="18"/>
          <w:lang w:val="es-ES"/>
        </w:rPr>
      </w:pPr>
      <w:r w:rsidRPr="00B519EE">
        <w:rPr>
          <w:rStyle w:val="Refdenotaalpie"/>
          <w:rFonts w:ascii="Times New Roman" w:hAnsi="Times New Roman"/>
          <w:sz w:val="18"/>
          <w:szCs w:val="18"/>
        </w:rPr>
        <w:footnoteRef/>
      </w:r>
      <w:r w:rsidRPr="00D56605">
        <w:rPr>
          <w:rFonts w:ascii="Times New Roman" w:hAnsi="Times New Roman"/>
          <w:sz w:val="18"/>
          <w:szCs w:val="18"/>
          <w:lang w:val="en-US"/>
        </w:rPr>
        <w:t xml:space="preserve"> </w:t>
      </w:r>
      <w:proofErr w:type="spellStart"/>
      <w:r w:rsidRPr="00D56605">
        <w:rPr>
          <w:rFonts w:ascii="Times New Roman" w:hAnsi="Times New Roman"/>
          <w:sz w:val="18"/>
          <w:szCs w:val="18"/>
          <w:lang w:val="en-US"/>
        </w:rPr>
        <w:t>Munzer</w:t>
      </w:r>
      <w:proofErr w:type="spellEnd"/>
      <w:r w:rsidRPr="00D56605">
        <w:rPr>
          <w:rFonts w:ascii="Times New Roman" w:hAnsi="Times New Roman"/>
          <w:sz w:val="18"/>
          <w:szCs w:val="18"/>
          <w:lang w:val="en-US"/>
        </w:rPr>
        <w:t xml:space="preserve"> (1994) pp. 266-275. </w:t>
      </w:r>
      <w:r w:rsidRPr="00B237E1">
        <w:rPr>
          <w:rFonts w:ascii="Times New Roman" w:hAnsi="Times New Roman"/>
          <w:sz w:val="18"/>
          <w:szCs w:val="18"/>
          <w:lang w:val="es-ES"/>
        </w:rPr>
        <w:t>Vid. Beltrán (2011 a y b).</w:t>
      </w:r>
    </w:p>
  </w:footnote>
  <w:footnote w:id="9">
    <w:p w:rsidR="00843BC9" w:rsidRPr="00C815A4" w:rsidRDefault="00843BC9" w:rsidP="00843BC9">
      <w:pPr>
        <w:pStyle w:val="Textonotapie"/>
        <w:jc w:val="both"/>
        <w:rPr>
          <w:lang w:val="es-ES"/>
        </w:rPr>
      </w:pPr>
      <w:r>
        <w:rPr>
          <w:rStyle w:val="Refdenotaalpie"/>
        </w:rPr>
        <w:footnoteRef/>
      </w:r>
      <w:r w:rsidRPr="00C815A4">
        <w:rPr>
          <w:lang w:val="es-ES"/>
        </w:rPr>
        <w:t xml:space="preserve"> </w:t>
      </w:r>
      <w:proofErr w:type="spellStart"/>
      <w:r w:rsidRPr="00C815A4">
        <w:rPr>
          <w:lang w:val="es-ES"/>
        </w:rPr>
        <w:t>Nussbaum</w:t>
      </w:r>
      <w:proofErr w:type="spellEnd"/>
      <w:r w:rsidRPr="00C815A4">
        <w:rPr>
          <w:lang w:val="es-ES"/>
        </w:rPr>
        <w:t>, 1995, cit. pp. 256 y ss.</w:t>
      </w:r>
    </w:p>
  </w:footnote>
  <w:footnote w:id="10">
    <w:p w:rsidR="00843BC9" w:rsidRPr="004675A0" w:rsidRDefault="00843BC9" w:rsidP="00843BC9">
      <w:pPr>
        <w:pStyle w:val="Textonotapie"/>
        <w:rPr>
          <w:lang w:val="en-US"/>
        </w:rPr>
      </w:pPr>
      <w:r>
        <w:rPr>
          <w:rStyle w:val="Refdenotaalpie"/>
        </w:rPr>
        <w:footnoteRef/>
      </w:r>
      <w:r w:rsidRPr="004675A0">
        <w:rPr>
          <w:lang w:val="en-US"/>
        </w:rPr>
        <w:t xml:space="preserve"> Marino, Patricia (2008): </w:t>
      </w:r>
      <w:r>
        <w:rPr>
          <w:lang w:val="en-US"/>
        </w:rPr>
        <w:t>“</w:t>
      </w:r>
      <w:r w:rsidRPr="004675A0">
        <w:rPr>
          <w:lang w:val="en-US"/>
        </w:rPr>
        <w:t>The Ethics of S</w:t>
      </w:r>
      <w:r>
        <w:rPr>
          <w:lang w:val="en-US"/>
        </w:rPr>
        <w:t xml:space="preserve">exual Objectification: Autonomy and Consent”, </w:t>
      </w:r>
      <w:r w:rsidRPr="005E2754">
        <w:rPr>
          <w:i/>
          <w:lang w:val="en-US"/>
        </w:rPr>
        <w:t>Inquiry</w:t>
      </w:r>
      <w:r>
        <w:rPr>
          <w:lang w:val="en-US"/>
        </w:rPr>
        <w:t xml:space="preserve">, </w:t>
      </w:r>
      <w:proofErr w:type="spellStart"/>
      <w:r>
        <w:rPr>
          <w:lang w:val="en-US"/>
        </w:rPr>
        <w:t>vol</w:t>
      </w:r>
      <w:proofErr w:type="spellEnd"/>
      <w:r>
        <w:rPr>
          <w:lang w:val="en-US"/>
        </w:rPr>
        <w:t>, 51, n. 4, 345-364, p.346.</w:t>
      </w:r>
    </w:p>
  </w:footnote>
  <w:footnote w:id="11">
    <w:p w:rsidR="00B237E1" w:rsidRPr="00854C78" w:rsidRDefault="00B237E1" w:rsidP="00B237E1">
      <w:pPr>
        <w:spacing w:line="240" w:lineRule="auto"/>
        <w:jc w:val="both"/>
        <w:rPr>
          <w:rFonts w:ascii="Times New Roman" w:hAnsi="Times New Roman"/>
          <w:sz w:val="18"/>
          <w:szCs w:val="18"/>
          <w:lang w:val="es-ES"/>
        </w:rPr>
      </w:pPr>
      <w:r w:rsidRPr="00ED6E60">
        <w:rPr>
          <w:rStyle w:val="Refdenotaalpie"/>
          <w:rFonts w:ascii="Times New Roman" w:hAnsi="Times New Roman"/>
          <w:sz w:val="18"/>
          <w:szCs w:val="18"/>
        </w:rPr>
        <w:footnoteRef/>
      </w:r>
      <w:r w:rsidRPr="00B237E1">
        <w:rPr>
          <w:rFonts w:ascii="Times New Roman" w:hAnsi="Times New Roman"/>
          <w:sz w:val="18"/>
          <w:szCs w:val="18"/>
          <w:lang w:val="es-ES"/>
        </w:rPr>
        <w:t xml:space="preserve"> </w:t>
      </w:r>
      <w:r w:rsidR="00854C78">
        <w:rPr>
          <w:rFonts w:ascii="Times New Roman" w:hAnsi="Times New Roman"/>
          <w:sz w:val="18"/>
          <w:szCs w:val="18"/>
          <w:lang w:val="es-ES"/>
        </w:rPr>
        <w:t xml:space="preserve">En este sentido, </w:t>
      </w:r>
      <w:proofErr w:type="spellStart"/>
      <w:r w:rsidR="00854C78">
        <w:rPr>
          <w:rFonts w:ascii="Times New Roman" w:hAnsi="Times New Roman"/>
          <w:sz w:val="18"/>
          <w:szCs w:val="18"/>
          <w:lang w:val="es-ES"/>
        </w:rPr>
        <w:t>Penner</w:t>
      </w:r>
      <w:proofErr w:type="spellEnd"/>
      <w:r w:rsidRPr="00854C78">
        <w:rPr>
          <w:rFonts w:ascii="Times New Roman" w:hAnsi="Times New Roman"/>
          <w:sz w:val="18"/>
          <w:szCs w:val="18"/>
          <w:lang w:val="es-ES"/>
        </w:rPr>
        <w:t xml:space="preserve"> (1997): pp. 123-125.</w:t>
      </w:r>
    </w:p>
  </w:footnote>
  <w:footnote w:id="12">
    <w:p w:rsidR="00B237E1" w:rsidRPr="00DE1137" w:rsidRDefault="00B237E1" w:rsidP="00B237E1">
      <w:pPr>
        <w:pStyle w:val="Textonotapie"/>
        <w:jc w:val="both"/>
        <w:rPr>
          <w:rFonts w:ascii="Times New Roman" w:hAnsi="Times New Roman"/>
          <w:sz w:val="18"/>
          <w:szCs w:val="18"/>
          <w:lang w:val="en-US"/>
        </w:rPr>
      </w:pPr>
      <w:r w:rsidRPr="002C574E">
        <w:rPr>
          <w:rStyle w:val="Refdenotaalpie"/>
          <w:rFonts w:ascii="Times New Roman" w:hAnsi="Times New Roman"/>
          <w:sz w:val="18"/>
          <w:szCs w:val="18"/>
        </w:rPr>
        <w:footnoteRef/>
      </w:r>
      <w:r w:rsidRPr="00DE1137">
        <w:rPr>
          <w:rFonts w:ascii="Times New Roman" w:hAnsi="Times New Roman"/>
          <w:sz w:val="18"/>
          <w:szCs w:val="18"/>
          <w:lang w:val="en-US"/>
        </w:rPr>
        <w:t xml:space="preserve"> Harris, J.W. (2001): p. 119.</w:t>
      </w:r>
    </w:p>
  </w:footnote>
  <w:footnote w:id="13">
    <w:p w:rsidR="00B237E1" w:rsidRPr="00DE1137" w:rsidRDefault="00B237E1" w:rsidP="00B237E1">
      <w:pPr>
        <w:pStyle w:val="Textonotapie"/>
        <w:jc w:val="both"/>
        <w:rPr>
          <w:rFonts w:ascii="Times New Roman" w:hAnsi="Times New Roman"/>
          <w:sz w:val="18"/>
          <w:szCs w:val="18"/>
          <w:lang w:val="en-US"/>
        </w:rPr>
      </w:pPr>
      <w:r w:rsidRPr="002C574E">
        <w:rPr>
          <w:rStyle w:val="Refdenotaalpie"/>
          <w:rFonts w:ascii="Times New Roman" w:hAnsi="Times New Roman"/>
          <w:sz w:val="18"/>
          <w:szCs w:val="18"/>
        </w:rPr>
        <w:footnoteRef/>
      </w:r>
      <w:r w:rsidRPr="00DE1137">
        <w:rPr>
          <w:rFonts w:ascii="Times New Roman" w:hAnsi="Times New Roman"/>
          <w:sz w:val="18"/>
          <w:szCs w:val="18"/>
          <w:lang w:val="en-US"/>
        </w:rPr>
        <w:t xml:space="preserve"> </w:t>
      </w:r>
      <w:proofErr w:type="spellStart"/>
      <w:r w:rsidRPr="00DE1137">
        <w:rPr>
          <w:rFonts w:ascii="Times New Roman" w:hAnsi="Times New Roman"/>
          <w:sz w:val="18"/>
          <w:szCs w:val="18"/>
          <w:lang w:val="en-US"/>
        </w:rPr>
        <w:t>Kelsen</w:t>
      </w:r>
      <w:proofErr w:type="spellEnd"/>
      <w:r w:rsidRPr="00DE1137">
        <w:rPr>
          <w:rFonts w:ascii="Times New Roman" w:hAnsi="Times New Roman"/>
          <w:sz w:val="18"/>
          <w:szCs w:val="18"/>
          <w:lang w:val="en-US"/>
        </w:rPr>
        <w:t xml:space="preserve">, H. (1979a) p. 100-101; (1979b) pp.143-145 [1960] </w:t>
      </w:r>
    </w:p>
  </w:footnote>
  <w:footnote w:id="14">
    <w:p w:rsidR="009B0C7D" w:rsidRPr="009B0C7D" w:rsidRDefault="009B0C7D" w:rsidP="009B0C7D">
      <w:pPr>
        <w:pStyle w:val="Textonotapie"/>
        <w:jc w:val="both"/>
        <w:rPr>
          <w:lang w:val="es-ES"/>
        </w:rPr>
      </w:pPr>
      <w:r>
        <w:rPr>
          <w:rStyle w:val="Refdenotaalpie"/>
        </w:rPr>
        <w:footnoteRef/>
      </w:r>
      <w:r w:rsidRPr="009B0C7D">
        <w:rPr>
          <w:lang w:val="es-ES"/>
        </w:rPr>
        <w:t xml:space="preserve"> </w:t>
      </w:r>
      <w:r w:rsidRPr="009B0C7D">
        <w:rPr>
          <w:rFonts w:ascii="Times New Roman" w:hAnsi="Times New Roman"/>
          <w:sz w:val="18"/>
          <w:szCs w:val="18"/>
          <w:lang w:val="es-ES"/>
        </w:rPr>
        <w:t>Sobre esto vid. supra.</w:t>
      </w:r>
    </w:p>
  </w:footnote>
  <w:footnote w:id="15">
    <w:p w:rsidR="009B0C7D" w:rsidRPr="00ED6E60" w:rsidRDefault="009B0C7D" w:rsidP="009B0C7D">
      <w:pPr>
        <w:pStyle w:val="Textonotapie"/>
        <w:jc w:val="both"/>
        <w:rPr>
          <w:rFonts w:ascii="Times New Roman" w:hAnsi="Times New Roman"/>
          <w:sz w:val="18"/>
          <w:szCs w:val="18"/>
          <w:lang w:val="en-US"/>
        </w:rPr>
      </w:pPr>
      <w:r w:rsidRPr="00ED6E60">
        <w:rPr>
          <w:rStyle w:val="Refdenotaalpie"/>
          <w:rFonts w:ascii="Times New Roman" w:hAnsi="Times New Roman"/>
          <w:sz w:val="18"/>
          <w:szCs w:val="18"/>
        </w:rPr>
        <w:footnoteRef/>
      </w:r>
      <w:r w:rsidRPr="009B0C7D">
        <w:rPr>
          <w:rFonts w:ascii="Times New Roman" w:hAnsi="Times New Roman"/>
          <w:sz w:val="18"/>
          <w:szCs w:val="18"/>
          <w:lang w:val="es-ES"/>
        </w:rPr>
        <w:t xml:space="preserve"> 249  Cal. </w:t>
      </w:r>
      <w:proofErr w:type="spellStart"/>
      <w:r w:rsidRPr="00ED6E60">
        <w:rPr>
          <w:rFonts w:ascii="Times New Roman" w:hAnsi="Times New Roman"/>
          <w:sz w:val="18"/>
          <w:szCs w:val="18"/>
          <w:lang w:val="en-US"/>
        </w:rPr>
        <w:t>Rptr</w:t>
      </w:r>
      <w:proofErr w:type="spellEnd"/>
      <w:r w:rsidRPr="00ED6E60">
        <w:rPr>
          <w:rFonts w:ascii="Times New Roman" w:hAnsi="Times New Roman"/>
          <w:sz w:val="18"/>
          <w:szCs w:val="18"/>
          <w:lang w:val="en-US"/>
        </w:rPr>
        <w:t>. 494, 497, 172 (1988, Court of Appeals)</w:t>
      </w:r>
    </w:p>
  </w:footnote>
  <w:footnote w:id="16">
    <w:p w:rsidR="009B0C7D" w:rsidRPr="00ED6E60" w:rsidRDefault="009B0C7D" w:rsidP="009B0C7D">
      <w:pPr>
        <w:pStyle w:val="Textonotapie"/>
        <w:jc w:val="both"/>
        <w:rPr>
          <w:rFonts w:ascii="Times New Roman" w:hAnsi="Times New Roman"/>
          <w:sz w:val="18"/>
          <w:szCs w:val="18"/>
          <w:lang w:val="en-US"/>
        </w:rPr>
      </w:pPr>
      <w:r w:rsidRPr="00ED6E60">
        <w:rPr>
          <w:rStyle w:val="Refdenotaalpie"/>
          <w:rFonts w:ascii="Times New Roman" w:hAnsi="Times New Roman"/>
          <w:sz w:val="18"/>
          <w:szCs w:val="18"/>
        </w:rPr>
        <w:footnoteRef/>
      </w:r>
      <w:r w:rsidRPr="00ED6E60">
        <w:rPr>
          <w:rFonts w:ascii="Times New Roman" w:hAnsi="Times New Roman"/>
          <w:sz w:val="18"/>
          <w:szCs w:val="18"/>
          <w:lang w:val="en-US"/>
        </w:rPr>
        <w:t xml:space="preserve"> 271 Cal. </w:t>
      </w:r>
      <w:proofErr w:type="spellStart"/>
      <w:r w:rsidRPr="00ED6E60">
        <w:rPr>
          <w:rFonts w:ascii="Times New Roman" w:hAnsi="Times New Roman"/>
          <w:sz w:val="18"/>
          <w:szCs w:val="18"/>
          <w:lang w:val="en-US"/>
        </w:rPr>
        <w:t>Rptr</w:t>
      </w:r>
      <w:proofErr w:type="spellEnd"/>
      <w:r w:rsidRPr="00ED6E60">
        <w:rPr>
          <w:rFonts w:ascii="Times New Roman" w:hAnsi="Times New Roman"/>
          <w:sz w:val="18"/>
          <w:szCs w:val="18"/>
          <w:lang w:val="en-US"/>
        </w:rPr>
        <w:t>. 146, 168 (Supreme Court)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13" w:rsidRDefault="004B521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13" w:rsidRDefault="004B521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13" w:rsidRDefault="004B521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AD6"/>
    <w:rsid w:val="000202A6"/>
    <w:rsid w:val="00074974"/>
    <w:rsid w:val="000D0C8E"/>
    <w:rsid w:val="000F13D0"/>
    <w:rsid w:val="00115C6A"/>
    <w:rsid w:val="00123A94"/>
    <w:rsid w:val="00154E70"/>
    <w:rsid w:val="00176DB4"/>
    <w:rsid w:val="0019645D"/>
    <w:rsid w:val="001B67E0"/>
    <w:rsid w:val="001C0A18"/>
    <w:rsid w:val="00250592"/>
    <w:rsid w:val="00263CE1"/>
    <w:rsid w:val="002647FA"/>
    <w:rsid w:val="002A365F"/>
    <w:rsid w:val="002B36C2"/>
    <w:rsid w:val="002F045D"/>
    <w:rsid w:val="0034306A"/>
    <w:rsid w:val="00361261"/>
    <w:rsid w:val="003A1B8B"/>
    <w:rsid w:val="003E6924"/>
    <w:rsid w:val="003F34DC"/>
    <w:rsid w:val="003F64BA"/>
    <w:rsid w:val="003F777A"/>
    <w:rsid w:val="0040463F"/>
    <w:rsid w:val="00426084"/>
    <w:rsid w:val="004420FF"/>
    <w:rsid w:val="004533BA"/>
    <w:rsid w:val="00463305"/>
    <w:rsid w:val="004648C6"/>
    <w:rsid w:val="00465D50"/>
    <w:rsid w:val="00483B91"/>
    <w:rsid w:val="004B5213"/>
    <w:rsid w:val="004B5F0C"/>
    <w:rsid w:val="004E5CB1"/>
    <w:rsid w:val="005243DC"/>
    <w:rsid w:val="005D4A49"/>
    <w:rsid w:val="005F48C4"/>
    <w:rsid w:val="00643C12"/>
    <w:rsid w:val="006540E6"/>
    <w:rsid w:val="00675007"/>
    <w:rsid w:val="00677815"/>
    <w:rsid w:val="006F405D"/>
    <w:rsid w:val="006F440D"/>
    <w:rsid w:val="00704FAE"/>
    <w:rsid w:val="0075125D"/>
    <w:rsid w:val="00761090"/>
    <w:rsid w:val="00771A3B"/>
    <w:rsid w:val="00787794"/>
    <w:rsid w:val="007A5795"/>
    <w:rsid w:val="007B1F41"/>
    <w:rsid w:val="007B58DE"/>
    <w:rsid w:val="007C5DC2"/>
    <w:rsid w:val="007D53C9"/>
    <w:rsid w:val="0081265C"/>
    <w:rsid w:val="00836077"/>
    <w:rsid w:val="00843BC9"/>
    <w:rsid w:val="00845CAB"/>
    <w:rsid w:val="00854C78"/>
    <w:rsid w:val="008856E3"/>
    <w:rsid w:val="0089580A"/>
    <w:rsid w:val="008C76B2"/>
    <w:rsid w:val="008D6789"/>
    <w:rsid w:val="00905A19"/>
    <w:rsid w:val="00912E3C"/>
    <w:rsid w:val="00915DB9"/>
    <w:rsid w:val="009418E2"/>
    <w:rsid w:val="00943457"/>
    <w:rsid w:val="009556DA"/>
    <w:rsid w:val="00964CE8"/>
    <w:rsid w:val="00982388"/>
    <w:rsid w:val="00984A82"/>
    <w:rsid w:val="00993EE3"/>
    <w:rsid w:val="00994817"/>
    <w:rsid w:val="009A55C3"/>
    <w:rsid w:val="009B0C7D"/>
    <w:rsid w:val="00A01A29"/>
    <w:rsid w:val="00A406AC"/>
    <w:rsid w:val="00A53A0F"/>
    <w:rsid w:val="00A5757A"/>
    <w:rsid w:val="00AA1CFE"/>
    <w:rsid w:val="00B237E1"/>
    <w:rsid w:val="00B910D3"/>
    <w:rsid w:val="00BA7431"/>
    <w:rsid w:val="00BC1032"/>
    <w:rsid w:val="00BC7EE9"/>
    <w:rsid w:val="00BD17E8"/>
    <w:rsid w:val="00BE593D"/>
    <w:rsid w:val="00C02437"/>
    <w:rsid w:val="00C047E1"/>
    <w:rsid w:val="00C07374"/>
    <w:rsid w:val="00C17664"/>
    <w:rsid w:val="00C37175"/>
    <w:rsid w:val="00D339C3"/>
    <w:rsid w:val="00D63B4F"/>
    <w:rsid w:val="00D81DF3"/>
    <w:rsid w:val="00DA1F9C"/>
    <w:rsid w:val="00DB394E"/>
    <w:rsid w:val="00DC37A0"/>
    <w:rsid w:val="00DD378E"/>
    <w:rsid w:val="00DE1137"/>
    <w:rsid w:val="00DF3B83"/>
    <w:rsid w:val="00E42E19"/>
    <w:rsid w:val="00E876C7"/>
    <w:rsid w:val="00E9432E"/>
    <w:rsid w:val="00E94DB1"/>
    <w:rsid w:val="00EA760D"/>
    <w:rsid w:val="00EC346A"/>
    <w:rsid w:val="00EE6F70"/>
    <w:rsid w:val="00EF0BDA"/>
    <w:rsid w:val="00F01AD6"/>
    <w:rsid w:val="00F147F9"/>
    <w:rsid w:val="00F27C45"/>
    <w:rsid w:val="00F776B3"/>
    <w:rsid w:val="00F7787C"/>
    <w:rsid w:val="00FC0F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008391-E1F1-422D-B621-D70F45298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rsid w:val="002A365F"/>
    <w:rPr>
      <w:vertAlign w:val="superscript"/>
    </w:rPr>
  </w:style>
  <w:style w:type="paragraph" w:styleId="Textonotapie">
    <w:name w:val="footnote text"/>
    <w:basedOn w:val="Normal"/>
    <w:link w:val="TextonotapieCar1"/>
    <w:uiPriority w:val="99"/>
    <w:rsid w:val="002A365F"/>
    <w:pPr>
      <w:suppressLineNumbers/>
      <w:suppressAutoHyphens/>
      <w:spacing w:after="200" w:line="276" w:lineRule="auto"/>
      <w:ind w:left="283" w:hanging="283"/>
    </w:pPr>
    <w:rPr>
      <w:rFonts w:ascii="Calibri" w:eastAsia="Calibri" w:hAnsi="Calibri" w:cs="Times New Roman"/>
      <w:kern w:val="1"/>
      <w:sz w:val="20"/>
      <w:szCs w:val="20"/>
      <w:lang w:eastAsia="ar-SA"/>
    </w:rPr>
  </w:style>
  <w:style w:type="character" w:customStyle="1" w:styleId="TextonotapieCar">
    <w:name w:val="Texto nota pie Car"/>
    <w:basedOn w:val="Fuentedeprrafopredeter"/>
    <w:uiPriority w:val="99"/>
    <w:semiHidden/>
    <w:rsid w:val="002A365F"/>
    <w:rPr>
      <w:sz w:val="20"/>
      <w:szCs w:val="20"/>
      <w:lang w:val="en-GB"/>
    </w:rPr>
  </w:style>
  <w:style w:type="character" w:customStyle="1" w:styleId="TextonotapieCar1">
    <w:name w:val="Texto nota pie Car1"/>
    <w:basedOn w:val="Fuentedeprrafopredeter"/>
    <w:link w:val="Textonotapie"/>
    <w:uiPriority w:val="99"/>
    <w:rsid w:val="002A365F"/>
    <w:rPr>
      <w:rFonts w:ascii="Calibri" w:eastAsia="Calibri" w:hAnsi="Calibri" w:cs="Times New Roman"/>
      <w:kern w:val="1"/>
      <w:sz w:val="20"/>
      <w:szCs w:val="20"/>
      <w:lang w:val="en-GB" w:eastAsia="ar-SA"/>
    </w:rPr>
  </w:style>
  <w:style w:type="character" w:customStyle="1" w:styleId="citation">
    <w:name w:val="citation"/>
    <w:basedOn w:val="Fuentedeprrafopredeter"/>
    <w:rsid w:val="002A365F"/>
  </w:style>
  <w:style w:type="character" w:styleId="Hipervnculo">
    <w:name w:val="Hyperlink"/>
    <w:uiPriority w:val="99"/>
    <w:unhideWhenUsed/>
    <w:rsid w:val="009B0C7D"/>
    <w:rPr>
      <w:color w:val="0000FF"/>
      <w:u w:val="single"/>
    </w:rPr>
  </w:style>
  <w:style w:type="character" w:styleId="nfasis">
    <w:name w:val="Emphasis"/>
    <w:basedOn w:val="Fuentedeprrafopredeter"/>
    <w:uiPriority w:val="20"/>
    <w:qFormat/>
    <w:rsid w:val="009B0C7D"/>
    <w:rPr>
      <w:b/>
      <w:bCs/>
      <w:i w:val="0"/>
      <w:iCs w:val="0"/>
    </w:rPr>
  </w:style>
  <w:style w:type="character" w:customStyle="1" w:styleId="st">
    <w:name w:val="st"/>
    <w:basedOn w:val="Fuentedeprrafopredeter"/>
    <w:rsid w:val="009B0C7D"/>
  </w:style>
  <w:style w:type="paragraph" w:styleId="Encabezado">
    <w:name w:val="header"/>
    <w:basedOn w:val="Normal"/>
    <w:link w:val="EncabezadoCar"/>
    <w:uiPriority w:val="99"/>
    <w:unhideWhenUsed/>
    <w:rsid w:val="004B52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B5213"/>
    <w:rPr>
      <w:lang w:val="en-GB"/>
    </w:rPr>
  </w:style>
  <w:style w:type="paragraph" w:styleId="Piedepgina">
    <w:name w:val="footer"/>
    <w:basedOn w:val="Normal"/>
    <w:link w:val="PiedepginaCar"/>
    <w:uiPriority w:val="99"/>
    <w:unhideWhenUsed/>
    <w:rsid w:val="004B52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B521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biblos.uam.es/uhtbin/cgisirsi/?ps=2XNmrc66XT/FILOSOFIA/162610065/18/X245/XTITLE/Lecciones+de+%E9tic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13340-659F-45F9-BC5C-62497B79B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3889</Words>
  <Characters>21392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Beltrán</dc:creator>
  <cp:keywords/>
  <dc:description/>
  <cp:lastModifiedBy>Elena Beltrán</cp:lastModifiedBy>
  <cp:revision>4</cp:revision>
  <dcterms:created xsi:type="dcterms:W3CDTF">2015-07-21T10:07:00Z</dcterms:created>
  <dcterms:modified xsi:type="dcterms:W3CDTF">2015-07-24T05:46:00Z</dcterms:modified>
</cp:coreProperties>
</file>