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340" w:rsidRDefault="00F23340" w:rsidP="00F23340">
      <w:pPr>
        <w:jc w:val="center"/>
        <w:rPr>
          <w:b/>
          <w:sz w:val="28"/>
          <w:szCs w:val="28"/>
        </w:rPr>
      </w:pPr>
      <w:bookmarkStart w:id="0" w:name="_GoBack"/>
      <w:bookmarkEnd w:id="0"/>
    </w:p>
    <w:p w:rsidR="00F23340" w:rsidRDefault="00F23340" w:rsidP="00F23340">
      <w:pPr>
        <w:jc w:val="center"/>
        <w:rPr>
          <w:b/>
          <w:sz w:val="28"/>
          <w:szCs w:val="28"/>
        </w:rPr>
      </w:pPr>
    </w:p>
    <w:p w:rsidR="00F23340" w:rsidRDefault="00F23340" w:rsidP="00F23340">
      <w:pPr>
        <w:jc w:val="center"/>
        <w:rPr>
          <w:b/>
          <w:sz w:val="28"/>
          <w:szCs w:val="28"/>
        </w:rPr>
      </w:pPr>
    </w:p>
    <w:p w:rsidR="000503E2" w:rsidRPr="00F23340" w:rsidRDefault="00F23340" w:rsidP="00F23340">
      <w:pPr>
        <w:jc w:val="center"/>
        <w:rPr>
          <w:b/>
          <w:sz w:val="28"/>
          <w:szCs w:val="28"/>
        </w:rPr>
      </w:pPr>
      <w:r>
        <w:rPr>
          <w:b/>
          <w:sz w:val="28"/>
          <w:szCs w:val="28"/>
        </w:rPr>
        <w:t xml:space="preserve">El derecho al mínimo vital como contenido necesario de todo </w:t>
      </w:r>
      <w:r w:rsidRPr="00C23B24">
        <w:rPr>
          <w:b/>
          <w:i/>
          <w:sz w:val="28"/>
          <w:szCs w:val="28"/>
        </w:rPr>
        <w:t>ius post bellum</w:t>
      </w:r>
      <w:r>
        <w:rPr>
          <w:b/>
          <w:sz w:val="28"/>
          <w:szCs w:val="28"/>
        </w:rPr>
        <w:t>: un argumento hobbesiano</w:t>
      </w:r>
    </w:p>
    <w:p w:rsidR="00303398" w:rsidRDefault="00303398"/>
    <w:p w:rsidR="00F23340" w:rsidRDefault="00F23340" w:rsidP="00F23340">
      <w:pPr>
        <w:jc w:val="right"/>
      </w:pPr>
      <w:r>
        <w:t>Ricardo García Manrique</w:t>
      </w:r>
    </w:p>
    <w:p w:rsidR="00F23340" w:rsidRDefault="00F23340" w:rsidP="00F23340">
      <w:pPr>
        <w:jc w:val="right"/>
      </w:pPr>
      <w:r>
        <w:t>Universidad de Barcelona</w:t>
      </w:r>
    </w:p>
    <w:p w:rsidR="00F23340" w:rsidRDefault="00F23340"/>
    <w:p w:rsidR="00500EA7" w:rsidRPr="00F23340" w:rsidRDefault="00F23340" w:rsidP="00500EA7">
      <w:pPr>
        <w:rPr>
          <w:b/>
          <w:smallCaps/>
          <w:szCs w:val="24"/>
        </w:rPr>
      </w:pPr>
      <w:r w:rsidRPr="00F23340">
        <w:rPr>
          <w:b/>
          <w:smallCaps/>
          <w:szCs w:val="24"/>
        </w:rPr>
        <w:t>Resumen</w:t>
      </w:r>
    </w:p>
    <w:p w:rsidR="00500EA7" w:rsidRPr="00F23340" w:rsidRDefault="00500EA7" w:rsidP="00500EA7">
      <w:pPr>
        <w:rPr>
          <w:szCs w:val="24"/>
        </w:rPr>
      </w:pPr>
    </w:p>
    <w:p w:rsidR="00500EA7" w:rsidRPr="00862640" w:rsidRDefault="00500EA7" w:rsidP="00500EA7">
      <w:pPr>
        <w:rPr>
          <w:sz w:val="20"/>
          <w:szCs w:val="20"/>
        </w:rPr>
      </w:pPr>
      <w:r w:rsidRPr="00862640">
        <w:rPr>
          <w:sz w:val="20"/>
          <w:szCs w:val="20"/>
        </w:rPr>
        <w:t xml:space="preserve">La teoría del contrato social (en su más clásica versión hobbesiana) puede ser una estructura teórica adecuada para conceptualizar el </w:t>
      </w:r>
      <w:r w:rsidRPr="00862640">
        <w:rPr>
          <w:i/>
          <w:sz w:val="20"/>
          <w:szCs w:val="20"/>
        </w:rPr>
        <w:t>ius post bellum</w:t>
      </w:r>
      <w:r w:rsidRPr="00862640">
        <w:rPr>
          <w:sz w:val="20"/>
          <w:szCs w:val="20"/>
        </w:rPr>
        <w:t xml:space="preserve"> y dotarle de sus contenidos básicos. La ponencia se propone analizar esta posibilidad. El punto de partida ha de ser la caracterización de la situación bélica precedente como un “estado de naturaleza” en el sentido hobbesiano, esto es, como un “estado de guerra” en el que han quedado suspendidas, deterioradas o destruidas las relaciones definitorias de lo social o lo comunitario. De aquí derivaría una caracterización del </w:t>
      </w:r>
      <w:r w:rsidRPr="00862640">
        <w:rPr>
          <w:i/>
          <w:sz w:val="20"/>
          <w:szCs w:val="20"/>
        </w:rPr>
        <w:t xml:space="preserve">ius post bellum </w:t>
      </w:r>
      <w:r w:rsidRPr="00862640">
        <w:rPr>
          <w:sz w:val="20"/>
          <w:szCs w:val="20"/>
        </w:rPr>
        <w:t xml:space="preserve">como renovación del contrato social, donde el elemento instaurativo primaría sobre el restaurativo y el transicional. Implícitas en esta caracterización del </w:t>
      </w:r>
      <w:r w:rsidRPr="00862640">
        <w:rPr>
          <w:i/>
          <w:sz w:val="20"/>
          <w:szCs w:val="20"/>
        </w:rPr>
        <w:t>ius post bellum</w:t>
      </w:r>
      <w:r w:rsidRPr="00862640">
        <w:rPr>
          <w:sz w:val="20"/>
          <w:szCs w:val="20"/>
        </w:rPr>
        <w:t xml:space="preserve"> están dos convicciones que actúan como presupuestos del argumento: que sólo una paz orientada dinámicamente hacia la justicia puede ser estable; y que el tiempo de la justicia es el futuro más que el pasado.</w:t>
      </w:r>
    </w:p>
    <w:p w:rsidR="00500EA7" w:rsidRPr="00862640" w:rsidRDefault="00500EA7" w:rsidP="00500EA7">
      <w:pPr>
        <w:rPr>
          <w:sz w:val="20"/>
          <w:szCs w:val="20"/>
        </w:rPr>
      </w:pPr>
    </w:p>
    <w:p w:rsidR="00500EA7" w:rsidRPr="00862640" w:rsidRDefault="00500EA7" w:rsidP="00500EA7">
      <w:pPr>
        <w:rPr>
          <w:sz w:val="20"/>
          <w:szCs w:val="20"/>
        </w:rPr>
      </w:pPr>
      <w:r w:rsidRPr="00862640">
        <w:rPr>
          <w:sz w:val="20"/>
          <w:szCs w:val="20"/>
        </w:rPr>
        <w:t xml:space="preserve">El </w:t>
      </w:r>
      <w:r w:rsidRPr="00862640">
        <w:rPr>
          <w:i/>
          <w:sz w:val="20"/>
          <w:szCs w:val="20"/>
        </w:rPr>
        <w:t>ius post bellum</w:t>
      </w:r>
      <w:r w:rsidRPr="00862640">
        <w:rPr>
          <w:sz w:val="20"/>
          <w:szCs w:val="20"/>
        </w:rPr>
        <w:t xml:space="preserve"> como nuevo contrato social permitiría la percepción del fenómeno bélico precedente como la oportunidad de reconfigurar la comunidad política en términos más justos, una reconfiguración que habría de ser articulada en torno a concepciones reforzadas de la ciudadanía y los derechos. En particular, la necesidad de establecer </w:t>
      </w:r>
      <w:r w:rsidR="00331A3E" w:rsidRPr="00862640">
        <w:rPr>
          <w:sz w:val="20"/>
          <w:szCs w:val="20"/>
        </w:rPr>
        <w:t>o recuperar estructuras comunitarias</w:t>
      </w:r>
      <w:r w:rsidRPr="00862640">
        <w:rPr>
          <w:sz w:val="20"/>
          <w:szCs w:val="20"/>
        </w:rPr>
        <w:t xml:space="preserve"> básicas gravemente afectadas por la guerra justificaría una atención especial a los derechos económicos y sociales (trabajo, educación, asistencia, vivienda) y, en todo caso, la garantía de un mínimo vital para todos.</w:t>
      </w:r>
    </w:p>
    <w:p w:rsidR="00500EA7" w:rsidRPr="00F23340" w:rsidRDefault="00500EA7" w:rsidP="00500EA7">
      <w:pPr>
        <w:rPr>
          <w:szCs w:val="24"/>
        </w:rPr>
      </w:pPr>
    </w:p>
    <w:p w:rsidR="00500EA7" w:rsidRDefault="00F23340" w:rsidP="00500EA7">
      <w:pPr>
        <w:rPr>
          <w:szCs w:val="24"/>
        </w:rPr>
      </w:pPr>
      <w:r w:rsidRPr="00F23340">
        <w:rPr>
          <w:b/>
          <w:smallCaps/>
          <w:szCs w:val="24"/>
        </w:rPr>
        <w:t>Palabras clave</w:t>
      </w:r>
      <w:r w:rsidR="00500EA7" w:rsidRPr="00F23340">
        <w:rPr>
          <w:szCs w:val="24"/>
        </w:rPr>
        <w:t>: ius post bellum; contrato social; Hobbes; derecho al mínimo vital.</w:t>
      </w:r>
    </w:p>
    <w:p w:rsidR="003B07A7" w:rsidRDefault="003B07A7" w:rsidP="00500EA7">
      <w:pPr>
        <w:rPr>
          <w:szCs w:val="24"/>
        </w:rPr>
      </w:pPr>
    </w:p>
    <w:p w:rsidR="003B07A7" w:rsidRPr="003B07A7" w:rsidRDefault="003B07A7" w:rsidP="00500EA7">
      <w:pPr>
        <w:rPr>
          <w:b/>
          <w:smallCaps/>
          <w:szCs w:val="24"/>
        </w:rPr>
      </w:pPr>
      <w:r w:rsidRPr="003B07A7">
        <w:rPr>
          <w:b/>
          <w:smallCaps/>
          <w:szCs w:val="24"/>
        </w:rPr>
        <w:t>Sumario:</w:t>
      </w:r>
    </w:p>
    <w:p w:rsidR="003B07A7" w:rsidRDefault="003B07A7" w:rsidP="00500EA7">
      <w:pPr>
        <w:rPr>
          <w:szCs w:val="24"/>
        </w:rPr>
      </w:pPr>
    </w:p>
    <w:p w:rsidR="003B07A7" w:rsidRDefault="003B07A7" w:rsidP="00500EA7">
      <w:pPr>
        <w:rPr>
          <w:szCs w:val="24"/>
        </w:rPr>
      </w:pPr>
      <w:r>
        <w:rPr>
          <w:szCs w:val="24"/>
        </w:rPr>
        <w:t>1. Vindicación de Hobbes</w:t>
      </w:r>
    </w:p>
    <w:p w:rsidR="003B07A7" w:rsidRDefault="00C23B24" w:rsidP="00500EA7">
      <w:pPr>
        <w:rPr>
          <w:szCs w:val="24"/>
        </w:rPr>
      </w:pPr>
      <w:r>
        <w:rPr>
          <w:szCs w:val="24"/>
        </w:rPr>
        <w:t xml:space="preserve">2. Dos concepciones del </w:t>
      </w:r>
      <w:r w:rsidRPr="00C23B24">
        <w:rPr>
          <w:i/>
          <w:szCs w:val="24"/>
        </w:rPr>
        <w:t>ius post bellum</w:t>
      </w:r>
      <w:r w:rsidR="003B07A7">
        <w:rPr>
          <w:szCs w:val="24"/>
        </w:rPr>
        <w:t>. La vigencia del Leviatán</w:t>
      </w:r>
    </w:p>
    <w:p w:rsidR="003B07A7" w:rsidRPr="00C23B24" w:rsidRDefault="003B07A7" w:rsidP="00500EA7">
      <w:pPr>
        <w:rPr>
          <w:i/>
          <w:szCs w:val="24"/>
        </w:rPr>
      </w:pPr>
      <w:r>
        <w:rPr>
          <w:szCs w:val="24"/>
        </w:rPr>
        <w:t>3. El derecho al mínimo vital como contenido de</w:t>
      </w:r>
      <w:r w:rsidR="00C23B24">
        <w:rPr>
          <w:szCs w:val="24"/>
        </w:rPr>
        <w:t xml:space="preserve">l </w:t>
      </w:r>
      <w:r w:rsidR="00C23B24" w:rsidRPr="00C23B24">
        <w:rPr>
          <w:i/>
          <w:szCs w:val="24"/>
        </w:rPr>
        <w:t>ius post bellum</w:t>
      </w:r>
    </w:p>
    <w:p w:rsidR="00500EA7" w:rsidRDefault="00500EA7" w:rsidP="00500EA7">
      <w:pPr>
        <w:rPr>
          <w:sz w:val="20"/>
          <w:szCs w:val="20"/>
        </w:rPr>
      </w:pPr>
    </w:p>
    <w:p w:rsidR="00F23340" w:rsidRDefault="00F23340" w:rsidP="00F23340">
      <w:pPr>
        <w:rPr>
          <w:b/>
          <w:smallCaps/>
          <w:szCs w:val="24"/>
        </w:rPr>
      </w:pPr>
    </w:p>
    <w:p w:rsidR="00500EA7" w:rsidRPr="00F23340" w:rsidRDefault="00500EA7" w:rsidP="00F23340">
      <w:pPr>
        <w:rPr>
          <w:b/>
          <w:smallCaps/>
          <w:szCs w:val="24"/>
        </w:rPr>
      </w:pPr>
      <w:r w:rsidRPr="00F23340">
        <w:rPr>
          <w:b/>
          <w:smallCaps/>
          <w:szCs w:val="24"/>
        </w:rPr>
        <w:t xml:space="preserve">1. </w:t>
      </w:r>
      <w:r w:rsidR="00F23340" w:rsidRPr="00F23340">
        <w:rPr>
          <w:b/>
          <w:smallCaps/>
          <w:szCs w:val="24"/>
        </w:rPr>
        <w:t>Vindicación de Hobbes</w:t>
      </w:r>
    </w:p>
    <w:p w:rsidR="00331A3E" w:rsidRDefault="00331A3E"/>
    <w:p w:rsidR="007D294D" w:rsidRDefault="00331A3E" w:rsidP="00642039">
      <w:r>
        <w:t>Cuando la literatura académica dedicada al</w:t>
      </w:r>
      <w:r w:rsidR="00C23B24">
        <w:t xml:space="preserve"> </w:t>
      </w:r>
      <w:r w:rsidR="00C23B24" w:rsidRPr="00C23B24">
        <w:rPr>
          <w:i/>
        </w:rPr>
        <w:t>ius post bellum</w:t>
      </w:r>
      <w:r>
        <w:t xml:space="preserve"> </w:t>
      </w:r>
      <w:r w:rsidR="00C23B24">
        <w:t>(</w:t>
      </w:r>
      <w:r>
        <w:t>IPB</w:t>
      </w:r>
      <w:r w:rsidR="00C23B24">
        <w:t>)</w:t>
      </w:r>
      <w:r>
        <w:t xml:space="preserve"> se ocupa de rastrear sus orígenes históricos en la filosofía jurídico-política moderna, uno se encuentra con la sorpresa de que la teoría política de Hobbes</w:t>
      </w:r>
      <w:r w:rsidR="003D61C7">
        <w:t xml:space="preserve"> no figura entre ellos. Se menciona a Vitoria y Suárez como precedentes, desde luego a Hugo Grocio y su </w:t>
      </w:r>
      <w:r w:rsidR="003D61C7">
        <w:rPr>
          <w:i/>
        </w:rPr>
        <w:t>De Iure Belli ac Pacis</w:t>
      </w:r>
      <w:r w:rsidR="003D61C7">
        <w:t xml:space="preserve">, a iusnaturalistas como Wolff y Vattel y, en fin, al Kant de </w:t>
      </w:r>
      <w:r w:rsidR="003D61C7">
        <w:rPr>
          <w:i/>
        </w:rPr>
        <w:t>La paz perpetua</w:t>
      </w:r>
      <w:r w:rsidR="003D61C7">
        <w:t xml:space="preserve"> (Stahn 2007: 313-314; Sharma 2008: 13-17; Orend 2008: 34-35</w:t>
      </w:r>
      <w:r w:rsidR="009B6FDC">
        <w:t>; Orend 2000: 118</w:t>
      </w:r>
      <w:r w:rsidR="003D61C7">
        <w:t>)</w:t>
      </w:r>
      <w:r w:rsidR="007D294D">
        <w:t>.</w:t>
      </w:r>
    </w:p>
    <w:p w:rsidR="007D294D" w:rsidRDefault="007D294D" w:rsidP="00642039"/>
    <w:p w:rsidR="007D294D" w:rsidRDefault="006A7173" w:rsidP="007D294D">
      <w:r>
        <w:t xml:space="preserve">La ausencia de Hobbes en este panorama llama la atención si tenemos en cuenta que su teoría política contiene, ante todo, </w:t>
      </w:r>
      <w:r w:rsidR="00642039">
        <w:t xml:space="preserve">una propuesta para abandonar el estado de guerra y entrar en un estado de paz, y esto tanto en un sentido genérico o abstracto como en otro mucho más concreto. En un sentido genérico, porque Hobbes, como buen contractualista, contrapone el estado civil al estado de naturaleza, pero caracteriza a este </w:t>
      </w:r>
      <w:r w:rsidR="00642039">
        <w:lastRenderedPageBreak/>
        <w:t>como un “estado de guerra” (la famosa “bellum omnium contra omnes”</w:t>
      </w:r>
      <w:r w:rsidR="00F34272">
        <w:t xml:space="preserve"> del capítulo XIII del </w:t>
      </w:r>
      <w:r w:rsidR="00F23340">
        <w:rPr>
          <w:i/>
        </w:rPr>
        <w:t>Leviatán</w:t>
      </w:r>
      <w:r w:rsidR="00642039">
        <w:t xml:space="preserve">), a diferencia del modo mucho más amable en que años después lo describirá Locke en su </w:t>
      </w:r>
      <w:r w:rsidR="00642039">
        <w:rPr>
          <w:i/>
        </w:rPr>
        <w:t>Ensayo sobre el gobierno civil</w:t>
      </w:r>
      <w:r w:rsidR="00642039">
        <w:t>.</w:t>
      </w:r>
      <w:r w:rsidR="007D294D">
        <w:t xml:space="preserve"> Es decir, el contrato social hobbesiano es un instrumento concebido para acabar con la guerra e inaugurar la era de la paz. Además, en un sentido mucho más concreto, Hobbes publica su</w:t>
      </w:r>
      <w:r w:rsidR="007D294D">
        <w:rPr>
          <w:i/>
        </w:rPr>
        <w:t xml:space="preserve"> Leviatán</w:t>
      </w:r>
      <w:r w:rsidR="007D294D">
        <w:t xml:space="preserve"> en 1651</w:t>
      </w:r>
      <w:r w:rsidR="009B6FDC">
        <w:t xml:space="preserve"> (la versión inglesa del </w:t>
      </w:r>
      <w:r w:rsidR="009B6FDC">
        <w:rPr>
          <w:i/>
        </w:rPr>
        <w:t>De Cive</w:t>
      </w:r>
      <w:r w:rsidR="009B6FDC">
        <w:t xml:space="preserve"> apareció en ese mismo año)</w:t>
      </w:r>
      <w:r w:rsidR="007D294D">
        <w:t xml:space="preserve"> en el contexto de la guerra civil inglesa y con el propósito declarado de contribuir a resolverla</w:t>
      </w:r>
      <w:r w:rsidR="009B6FDC">
        <w:t xml:space="preserve"> (se trata de un libro, escribe en su último párrafo, “</w:t>
      </w:r>
      <w:r w:rsidR="007D294D">
        <w:t>occasioned by the disorders of the present time</w:t>
      </w:r>
      <w:r w:rsidR="009B6FDC">
        <w:t xml:space="preserve">”; </w:t>
      </w:r>
      <w:r w:rsidR="009B6FDC">
        <w:rPr>
          <w:i/>
        </w:rPr>
        <w:t>Leviathan</w:t>
      </w:r>
      <w:r w:rsidR="009B6FDC">
        <w:t xml:space="preserve">, </w:t>
      </w:r>
      <w:r w:rsidR="007D294D">
        <w:t>“A Review and Conclusion”, 445</w:t>
      </w:r>
      <w:r w:rsidR="009B6FDC">
        <w:rPr>
          <w:rStyle w:val="Refdenotaalpie"/>
        </w:rPr>
        <w:footnoteReference w:id="1"/>
      </w:r>
      <w:r w:rsidR="007D294D">
        <w:t>)</w:t>
      </w:r>
      <w:r w:rsidR="009B6FDC">
        <w:t>.</w:t>
      </w:r>
    </w:p>
    <w:p w:rsidR="009B6FDC" w:rsidRDefault="009B6FDC" w:rsidP="007D294D"/>
    <w:p w:rsidR="009B6FDC" w:rsidRDefault="009B6FDC" w:rsidP="00CA3067">
      <w:r>
        <w:t xml:space="preserve">Que Hobbes haya sido excluido de los precursores del IPB puede deberse a dos motivos, uno más evidente y otro no tanto. El más evidente es que el IPB contemporáneo se concibe como parte de un más genérico “derecho de guerra”, que estaría compuesto por el </w:t>
      </w:r>
      <w:r>
        <w:rPr>
          <w:i/>
        </w:rPr>
        <w:t>ius ad bello</w:t>
      </w:r>
      <w:r>
        <w:t xml:space="preserve">, el </w:t>
      </w:r>
      <w:r>
        <w:rPr>
          <w:i/>
        </w:rPr>
        <w:t>ius in bello</w:t>
      </w:r>
      <w:r>
        <w:t xml:space="preserve"> y el propio </w:t>
      </w:r>
      <w:r>
        <w:rPr>
          <w:i/>
        </w:rPr>
        <w:t>ius post bellum</w:t>
      </w:r>
      <w:r>
        <w:t>.</w:t>
      </w:r>
      <w:r w:rsidR="00CA3067">
        <w:t xml:space="preserve"> Este derecho de guerra y sus tres partes serían a su vez el correlato jurídico de una “teoría de la guerra justa” y de los tres momentos de toda guerra: inicio, desarrollo y desenlace (Orend 2008). Sin embargo, no encontraremos en la obra de Hobbes una teoría de la guerra justa porque “guerra” y “justicia” son, a su parecer, términos antitéticos: no puede haber justicia, ni derecho, salvo en la paz (y esta es, en última instancia, la justificación de la paz y de las instituciones políticas que la garantizan: el hecho de que la paz sea condición necesaria de la justicia). Por eso, la concepción hobbesiana de la guerra se aleja de la tradición de la doctrina de la guerra justa y, por eso, Hobbes queda excl</w:t>
      </w:r>
      <w:r w:rsidR="0072492D">
        <w:t>uido de los precedentes del IPB.</w:t>
      </w:r>
    </w:p>
    <w:p w:rsidR="00CA3067" w:rsidRDefault="00CA3067" w:rsidP="00CA3067"/>
    <w:p w:rsidR="00CA3067" w:rsidRDefault="00CA3067" w:rsidP="00CA3067">
      <w:r>
        <w:t>El motivo menos evidente</w:t>
      </w:r>
      <w:r w:rsidR="00AE2607">
        <w:t xml:space="preserve"> (y, por tanto, más discutible) es el vínculo que tiende a establecerse entre la teoría política de Hobbes y la legitimación del absolutismo. En sus versiones más toscas, este vínculo llegaría a ser incluso una definición o una identificación: la teoría política de Hobbes “es” una legitimación del absolutismo; en otras versiones más matizadas, la teoría de Hobbes tendría como consecuencia principal la legitimación de esa forma no democrática del poder político. De un modo o del otro, el </w:t>
      </w:r>
      <w:r w:rsidR="00AE2607">
        <w:rPr>
          <w:i/>
        </w:rPr>
        <w:t>Levi</w:t>
      </w:r>
      <w:r w:rsidR="00F23340">
        <w:rPr>
          <w:i/>
        </w:rPr>
        <w:t>atán</w:t>
      </w:r>
      <w:r w:rsidR="00AE2607">
        <w:t xml:space="preserve"> (a diferencia, por ejemplo, de </w:t>
      </w:r>
      <w:r w:rsidR="00AE2607">
        <w:rPr>
          <w:i/>
        </w:rPr>
        <w:t xml:space="preserve">La paz perpetua </w:t>
      </w:r>
      <w:r w:rsidR="00AE2607">
        <w:t>kantiana) habría perdido su interés para un tiempo como el nuestro, donde el absolutismo ya no es una opción</w:t>
      </w:r>
      <w:r w:rsidR="00CD6211">
        <w:t xml:space="preserve"> defendible</w:t>
      </w:r>
      <w:r w:rsidR="00AE2607">
        <w:t xml:space="preserve">. Por eso, </w:t>
      </w:r>
      <w:r w:rsidR="00CD6211">
        <w:t>una teoría del IPB no puede contar con quien no era sino el defensor de una forma caduca de articulación de lo político.</w:t>
      </w:r>
    </w:p>
    <w:p w:rsidR="00CD6211" w:rsidRDefault="00CD6211" w:rsidP="00CA3067"/>
    <w:p w:rsidR="00CD6211" w:rsidRDefault="00CD6211" w:rsidP="00FB3892">
      <w:r>
        <w:t>Ambos motivos son cuestionables.</w:t>
      </w:r>
      <w:r w:rsidR="00FB3892">
        <w:t xml:space="preserve"> El primero porque la construcción de un IPB como parte de una teoría de la guerra justa no es la única posible, incluso puede que no sea la más recomendable. Este será el caso para quienes crean que no hay guerras justas (por ejemplo, con el argumento de que</w:t>
      </w:r>
      <w:r w:rsidR="00FB3892" w:rsidRPr="00FB3892">
        <w:t xml:space="preserve"> </w:t>
      </w:r>
      <w:r w:rsidR="00FB3892">
        <w:t xml:space="preserve">la muerte de personas inocentes no puede ser justa en ningún caso, y de que toda guerra contemporánea supone la muerte de personas inocentes; García Manrique 2008). Puesto que, si no hay guerras justas, entonces no puede haber una teoría de la guerra justa, ni tiene sentido entonces configurar un IPB como parte de una teoría tal. Pero también puede ser el caso de quienes crean que el IPB debe construirse al margen de la justicia de la guerra precedente y de forma autónoma respecto del </w:t>
      </w:r>
      <w:r w:rsidR="00FB3892">
        <w:rPr>
          <w:i/>
        </w:rPr>
        <w:t>ius ad bellum</w:t>
      </w:r>
      <w:r w:rsidR="00FB3892">
        <w:t xml:space="preserve"> y del </w:t>
      </w:r>
      <w:r w:rsidR="00FB3892">
        <w:rPr>
          <w:i/>
        </w:rPr>
        <w:t>ius in bello</w:t>
      </w:r>
      <w:r w:rsidR="00FB3892">
        <w:t>, con la vista puesta en el futuro más que en el pasado</w:t>
      </w:r>
      <w:r w:rsidR="0072492D">
        <w:t xml:space="preserve"> (Stahn 2008: 233-234)</w:t>
      </w:r>
      <w:r w:rsidR="00FB3892">
        <w:t>. Para todos ellos, las disquisiciones hobbesianas pueden resultar interesantes, como veremos.</w:t>
      </w:r>
    </w:p>
    <w:p w:rsidR="00FB3892" w:rsidRDefault="00FB3892" w:rsidP="00FB3892"/>
    <w:p w:rsidR="00FB3892" w:rsidRDefault="00F34272" w:rsidP="00FB3892">
      <w:r>
        <w:lastRenderedPageBreak/>
        <w:t>En cuanto al segundo motivo, está basado en un error que conviene rectificar. Hobbes no es sólo, ni principalmente, un teórico del absolutismo, sino de la comunidad política legítima, sea absolutista o no. Es cierto que, en el contexto que le tocó vivir (el de la guerra civil inglesa), pareció optar por el absolutismo como el régimen que mejor podía solucionar el que considera problema central de la legitimidad política, que es el de la paz. Sin embargo, su teoría del contrato social no es, ni mucho menos, una teoría que aboque necesariamente al absolutismo. Al contrario, en tanto que teoría contractualista, es una teoría de raíz democrática con la que se produce la que Bobbio llamó “inversión de la relación política”, de manera que, a partir del “modelo hobbesiano” el poder político se legitima desde abajo hacia arriba (esto es, democráticamente) y no viceversa (Bobbio</w:t>
      </w:r>
      <w:r w:rsidR="00012360">
        <w:t xml:space="preserve"> 1985: 171ss.). Las palabras del propio Hobbes no dejan lugar a dudas cuando define el contrato social en estos términos:</w:t>
      </w:r>
    </w:p>
    <w:p w:rsidR="00012360" w:rsidRDefault="00012360" w:rsidP="00FB3892"/>
    <w:p w:rsidR="00012360" w:rsidRDefault="00012360" w:rsidP="00012360">
      <w:pPr>
        <w:ind w:left="708"/>
      </w:pPr>
      <w:r>
        <w:t xml:space="preserve">This is more than consent, or concord; it is a real unity of them all in one and the same person, </w:t>
      </w:r>
      <w:r w:rsidRPr="00012360">
        <w:rPr>
          <w:i/>
        </w:rPr>
        <w:t>made by covenant of every man with every man</w:t>
      </w:r>
      <w:r>
        <w:t xml:space="preserve">, in such manner as if every man should say to every man: I authorise and give up my right of governing myself to this man, </w:t>
      </w:r>
      <w:r w:rsidRPr="00012360">
        <w:rPr>
          <w:i/>
        </w:rPr>
        <w:t>or to this assembly of men</w:t>
      </w:r>
      <w:r>
        <w:t xml:space="preserve">, on this condition; that thou give up, thy right to him, and authorise all his actions in like manner. This done, the multitude so united in one person </w:t>
      </w:r>
      <w:r w:rsidRPr="00012360">
        <w:rPr>
          <w:i/>
        </w:rPr>
        <w:t>is called a Commonwealth; in Latin, Civitas</w:t>
      </w:r>
      <w:r>
        <w:t xml:space="preserve"> (</w:t>
      </w:r>
      <w:r>
        <w:rPr>
          <w:i/>
        </w:rPr>
        <w:t>Leviathan</w:t>
      </w:r>
      <w:r>
        <w:t>, XIII: 106; las cursivas son mías y resaltan el sentido democrático del Leviatán hobbesiano)</w:t>
      </w:r>
      <w:r w:rsidR="00DB17DE">
        <w:rPr>
          <w:rStyle w:val="Refdenotaalpie"/>
        </w:rPr>
        <w:footnoteReference w:id="2"/>
      </w:r>
      <w:r>
        <w:t>.</w:t>
      </w:r>
    </w:p>
    <w:p w:rsidR="00012360" w:rsidRDefault="00012360" w:rsidP="00012360"/>
    <w:p w:rsidR="00F23340" w:rsidRDefault="00012360" w:rsidP="00012360">
      <w:r>
        <w:t>Si esto es así, entonces el segundo motivo que justificaría la exclusión de Hobbes de entre los precursores del IPB también lo podemos rechazar.</w:t>
      </w:r>
      <w:r w:rsidR="00F23340">
        <w:t xml:space="preserve"> ¿Qué nos queda entonces? Una teoría política muy sólida cuyo fin último es precisamente el establecimiento de una paz estable sobre una base democrática. Una teoría que, por tanto, puede ser útil a quienes se interesan por el IPB.</w:t>
      </w:r>
    </w:p>
    <w:p w:rsidR="00862640" w:rsidRDefault="00862640" w:rsidP="00012360"/>
    <w:p w:rsidR="00F23340" w:rsidRDefault="00F23340" w:rsidP="00012360"/>
    <w:p w:rsidR="00F23340" w:rsidRPr="003B07A7" w:rsidRDefault="00C23B24" w:rsidP="00012360">
      <w:pPr>
        <w:rPr>
          <w:b/>
          <w:smallCaps/>
        </w:rPr>
      </w:pPr>
      <w:r>
        <w:rPr>
          <w:b/>
          <w:smallCaps/>
        </w:rPr>
        <w:t xml:space="preserve">2. Dos concepciones del </w:t>
      </w:r>
      <w:r w:rsidRPr="00C23B24">
        <w:rPr>
          <w:b/>
          <w:i/>
          <w:smallCaps/>
        </w:rPr>
        <w:t>ius post bellum</w:t>
      </w:r>
      <w:r w:rsidR="00F23340" w:rsidRPr="003B07A7">
        <w:rPr>
          <w:b/>
          <w:smallCaps/>
        </w:rPr>
        <w:t xml:space="preserve">. La vigencia del </w:t>
      </w:r>
      <w:r w:rsidR="00F23340" w:rsidRPr="003B07A7">
        <w:rPr>
          <w:b/>
          <w:i/>
          <w:smallCaps/>
        </w:rPr>
        <w:t>Leviatán</w:t>
      </w:r>
    </w:p>
    <w:p w:rsidR="00F23340" w:rsidRDefault="00F23340" w:rsidP="00012360"/>
    <w:p w:rsidR="007574EA" w:rsidRDefault="00F23340" w:rsidP="00012360">
      <w:r>
        <w:t>Un rápido</w:t>
      </w:r>
      <w:r w:rsidR="00EF66FB">
        <w:t xml:space="preserve"> y somero</w:t>
      </w:r>
      <w:r>
        <w:t xml:space="preserve"> examen de la literatura académica al respecto muestra que </w:t>
      </w:r>
      <w:r w:rsidR="00354CE1">
        <w:t>hay dos concepciones dominantes del IPB, que podemos llamar “restaurativa” e “instaurativa” y que aquí se presentan solo con una intención instrumental, de cara a facilitar la exposición de lo que sigue. Haciendo abstracción de las diferencias y de los matices (que ciertamente son muchos), la concepción restaurativa del IPB se caracteriza por su intención de restaurar</w:t>
      </w:r>
      <w:r w:rsidR="007574EA">
        <w:t xml:space="preserve"> (recuperar, rehabilitar)</w:t>
      </w:r>
      <w:r w:rsidR="00354CE1">
        <w:t xml:space="preserve"> una situación pasada que el conflicto bélico habría alterado. De aquí se siguen estos caracteres: el IPB es procedimental, es decir, no tiene contenidos sustant</w:t>
      </w:r>
      <w:r w:rsidR="007574EA">
        <w:t xml:space="preserve">ivos propios, puesto que su intención es articular un </w:t>
      </w:r>
      <w:r w:rsidR="007574EA" w:rsidRPr="007574EA">
        <w:rPr>
          <w:i/>
        </w:rPr>
        <w:t>procedimiento</w:t>
      </w:r>
      <w:r w:rsidR="007574EA">
        <w:t xml:space="preserve"> que permita volver a una situación preexistente; el IPB tiene una vigencia temporal o provisional, puesto que, una vez recuperada la situación preexistente (o, si se quiere, la que venga dictada por principios sustantivos en todo caso ajenos al IPB), pierde su razón de ser; el IPB prioriza los aspectos correctivo y retributivo de la justicia, puesto que pretende corregir las </w:t>
      </w:r>
      <w:r w:rsidR="007574EA" w:rsidRPr="007574EA">
        <w:rPr>
          <w:i/>
        </w:rPr>
        <w:t>desigualdades</w:t>
      </w:r>
      <w:r w:rsidR="007574EA">
        <w:t xml:space="preserve"> generadas por </w:t>
      </w:r>
      <w:r w:rsidR="007574EA">
        <w:lastRenderedPageBreak/>
        <w:t>la guerra (aquí las desigualdades son entendidas como alteraciones de un orden previamente existente y considerado justo; pueden ser de muchos tipos, claro está)</w:t>
      </w:r>
      <w:r w:rsidR="003B07A7">
        <w:t>,</w:t>
      </w:r>
      <w:r w:rsidR="007574EA">
        <w:t xml:space="preserve"> y </w:t>
      </w:r>
      <w:r w:rsidR="007574EA">
        <w:rPr>
          <w:i/>
        </w:rPr>
        <w:t>compensar</w:t>
      </w:r>
      <w:r w:rsidR="007574EA">
        <w:t xml:space="preserve"> (es decir, retribuir) ciertas acciones que han tenido lugar durante la guer</w:t>
      </w:r>
      <w:r w:rsidR="003B07A7">
        <w:t>ra</w:t>
      </w:r>
      <w:r w:rsidR="007574EA">
        <w:t>; por eso, el IPB habilita en su seno un lugar prioritario a la justicia transicional, o incluso podemos decir que el IPB restaurativo no sino el derecho de la justicia transicional.</w:t>
      </w:r>
    </w:p>
    <w:p w:rsidR="007574EA" w:rsidRDefault="007574EA" w:rsidP="00012360"/>
    <w:p w:rsidR="007574EA" w:rsidRDefault="007574EA" w:rsidP="00012360">
      <w:r>
        <w:t>Por el contrario, de acuerdo con la concepción instaurativa, el objetivo del IPB es establecer ciertas condiciones que aseguren la paz</w:t>
      </w:r>
      <w:r w:rsidR="003B07A7">
        <w:t>,</w:t>
      </w:r>
      <w:r>
        <w:t xml:space="preserve"> con independencia de las que </w:t>
      </w:r>
      <w:r w:rsidR="00726510">
        <w:t>existi</w:t>
      </w:r>
      <w:r w:rsidR="003B07A7">
        <w:t>eran antes del conflicto bélico (y, en realidad, en oposición a ellas, puesto que se valoran como causantes más o menos directas del conflicto). De aquí se siguen unos caracteres definitorios del IPB que son los opuestos a los de la concepción restaurativa: el IPB no es sólo ni principalmente procedimental, sino que incluye contenidos sustantivos, aquellos que pueden asegurar la paz; el IPB tiene vocación de permanencia, puesto que la paz requiere que sus contenidos se mantengan; el IPB prioriza el aspecto distributivo de la justicia frente al correctivo y el retributivo, en tanto que la justicia distributiva es la modalidad de la justicia según la cual se asignan las cargas y los beneficios ciudadanos que definen sustantivamente una comunidad; el IPB, en fin, puede contener normas de justicia transicional, pero no les asigna un lugar central, ni mucho menos exclusivo.</w:t>
      </w:r>
    </w:p>
    <w:p w:rsidR="0034682B" w:rsidRDefault="0034682B" w:rsidP="00012360"/>
    <w:p w:rsidR="0034682B" w:rsidRPr="0034682B" w:rsidRDefault="0034682B" w:rsidP="00012360">
      <w:r>
        <w:t xml:space="preserve">Por supuesto, estas dos concepciones son </w:t>
      </w:r>
      <w:r>
        <w:rPr>
          <w:i/>
        </w:rPr>
        <w:t>ideales</w:t>
      </w:r>
      <w:r>
        <w:t>, en el sentido de que no tratan de reflejar propuestas concretas, en las que lo que encontraremos serán distintas combinaciones que toman elementos de una y de otra. Por poner un</w:t>
      </w:r>
      <w:r w:rsidR="000651BD">
        <w:t xml:space="preserve"> par de ejemplos</w:t>
      </w:r>
      <w:r>
        <w:t>, hay quien sostiene que el IPB es “a law of transition by definition”, pero al tiempo admite que no cabe entenderlo como orientado al retorno a una situación anterior y que debe promover un alto nivel de garantía de los derechos humanos (Stahn 2007: 310-311)</w:t>
      </w:r>
      <w:r w:rsidR="000651BD">
        <w:t>. Y hay quien observa, en línea con esta última afirmación, que las diferencias entre unas y otras concepciones del IPB no afectan a la idea de que los derechos humanos han de ser un componente necesario de toda concepción posible, con independencia del carácter más o menos transicional que se le quiera atribuir (Österdahl 2012: 281 y 285).</w:t>
      </w:r>
    </w:p>
    <w:p w:rsidR="003B07A7" w:rsidRDefault="003B07A7" w:rsidP="00012360"/>
    <w:p w:rsidR="00E05657" w:rsidRDefault="003B07A7" w:rsidP="003B07A7">
      <w:r>
        <w:t>No es este el lugar apropiado para evaluar</w:t>
      </w:r>
      <w:r w:rsidR="00684F92">
        <w:t xml:space="preserve"> con detalle</w:t>
      </w:r>
      <w:r>
        <w:t xml:space="preserve"> cuál de las dos conc</w:t>
      </w:r>
      <w:r w:rsidR="00684F92">
        <w:t xml:space="preserve">epciones del IPB es preferible. </w:t>
      </w:r>
      <w:r w:rsidR="00E05657">
        <w:t>Me limitaré, por tanto, a optar por la segunda con base en dos razones (provisionales, si se quiere, y acaso necesitadas de apoyo empírico):</w:t>
      </w:r>
    </w:p>
    <w:p w:rsidR="00E05657" w:rsidRDefault="00E05657" w:rsidP="003B07A7"/>
    <w:p w:rsidR="00E05657" w:rsidRDefault="00E05657" w:rsidP="003B07A7">
      <w:r>
        <w:t>(1) La mayor parte de las guerras contemporáneas tiene lugar en países o regiones cuya situación política, económica y social puede calificarse como mala o muy mala. Por eso, la idea de volver a la situación anterior a la guerra no parece muy recomendable. Además, es muy posible que esa situación previa haya sido una de las causas (o la causa principal) de la guerra.</w:t>
      </w:r>
    </w:p>
    <w:p w:rsidR="00E05657" w:rsidRDefault="00E05657" w:rsidP="003B07A7"/>
    <w:p w:rsidR="00E05657" w:rsidRDefault="00E05657" w:rsidP="003B07A7">
      <w:r>
        <w:t xml:space="preserve">(2) Los desastres de la guerra contemporánea suponen un alto nivel de destrucción de estructuras comunitarias básicas (políticas, administrativas, productivas, comerciales, de comunicación, sanitarias, educativas…). Haciendo de la necesidad virtud, el momento de </w:t>
      </w:r>
      <w:r>
        <w:rPr>
          <w:i/>
        </w:rPr>
        <w:t>reconstruir</w:t>
      </w:r>
      <w:r>
        <w:t xml:space="preserve"> lo preexistente puede convertirse en el momento de </w:t>
      </w:r>
      <w:r>
        <w:rPr>
          <w:i/>
        </w:rPr>
        <w:t>construir</w:t>
      </w:r>
      <w:r>
        <w:t xml:space="preserve"> lo nuevo sobre bases más eficaces y justas.</w:t>
      </w:r>
    </w:p>
    <w:p w:rsidR="00E05657" w:rsidRDefault="00E05657" w:rsidP="003B07A7"/>
    <w:p w:rsidR="007F3C26" w:rsidRDefault="00E05657" w:rsidP="003B07A7">
      <w:r>
        <w:t xml:space="preserve">Un IPB </w:t>
      </w:r>
      <w:r>
        <w:rPr>
          <w:i/>
        </w:rPr>
        <w:t>instaurativo</w:t>
      </w:r>
      <w:r w:rsidR="000C788B">
        <w:t xml:space="preserve"> me parece, pues, más deseable y más acorde con la tendencia del Derecho Internacional contemporáneo a vincular los procesos de paz con el establecimiento y aseguramiento de un determinado modelo político y jurídico: el de la </w:t>
      </w:r>
      <w:r w:rsidR="000C788B">
        <w:lastRenderedPageBreak/>
        <w:t>democracia constitucional. Por una parte, responde al concepto genérico del IPB, cuando este es definido, por ejemplo, como “a body of legal and prudential norms that apply to the entire process of the transition from armed conflict to a just and sustainable peace” (Iverson 2013:420); o cuando, de manera similar, se identifica como el intento de dar respuesta a la pregunta por “how to move from armed conflict to a durable peace” (Kleffner 2008: 1)</w:t>
      </w:r>
      <w:r w:rsidR="000618DE">
        <w:t>. Por otra parte, responde a la orientación</w:t>
      </w:r>
      <w:r w:rsidR="00B6391E">
        <w:t xml:space="preserve"> particular</w:t>
      </w:r>
      <w:r w:rsidR="000618DE">
        <w:t xml:space="preserve"> de quienes atribuyen contenidos sustantivos</w:t>
      </w:r>
      <w:r w:rsidR="00B6391E">
        <w:t xml:space="preserve"> </w:t>
      </w:r>
      <w:r w:rsidR="00282BCD">
        <w:t>insoslayables</w:t>
      </w:r>
      <w:r w:rsidR="000618DE">
        <w:t xml:space="preserve"> al IPB</w:t>
      </w:r>
      <w:r w:rsidR="00B6391E">
        <w:t>: en este sentido, los derechos humanos parecen el candidato con más posibilidades (Wilde 2008), una reivindicación (la de los derechos) que vale también para quienes sostienen una concepción del IPB basado en la teoría de la guerra justa</w:t>
      </w:r>
      <w:r w:rsidR="007F3C26">
        <w:t>, y sobre la asunción de que la guerra (justa) se ha originado en la violación de algunos de estos derechos; de manera que “vindicating rights, not vindictive revenge, is the order of the day” (Orend 2008: 40).</w:t>
      </w:r>
    </w:p>
    <w:p w:rsidR="007F3C26" w:rsidRDefault="007F3C26" w:rsidP="003B07A7"/>
    <w:p w:rsidR="008A4205" w:rsidRDefault="007F3C26" w:rsidP="0049707F">
      <w:r>
        <w:t>Pues bien, una concepción instaurativa del IPB puede encontrar inspiración en las ideas de Thomas Hobbes</w:t>
      </w:r>
      <w:r w:rsidR="00E41B41">
        <w:t xml:space="preserve">. Ante todo, porque una concepción de este tipo atribuye tres problemas centrales al IPB: el de la soberanía, el del imperio de la ley y el de la justicia distributiva (Pugh 2008), que son justamente los tres elementos centrales de la teoría política de Hobbes. Más allá de este vínculo general, hay cuatro </w:t>
      </w:r>
      <w:r w:rsidR="00862640">
        <w:t xml:space="preserve">razones más concretas relacionadas con la idea misma de la paz que habrían de despertar el interés de los partidarios de un IPB no meramente transicional y sí dotado un de contenido sustantivo: (1) </w:t>
      </w:r>
      <w:r>
        <w:t>la de Hobbes es una de las doctrinas políticas que</w:t>
      </w:r>
      <w:r w:rsidR="0049707F">
        <w:t xml:space="preserve"> mayor preeminencia</w:t>
      </w:r>
      <w:r>
        <w:t xml:space="preserve"> atribuyen al ideal de la paz</w:t>
      </w:r>
      <w:r w:rsidR="0049707F">
        <w:t xml:space="preserve">; </w:t>
      </w:r>
      <w:r w:rsidR="00862640">
        <w:t xml:space="preserve">(2) </w:t>
      </w:r>
      <w:r w:rsidR="0049707F">
        <w:t>la paz hobbesiana es una paz inst</w:t>
      </w:r>
      <w:r w:rsidR="00862640">
        <w:t>aurada y no restaurada; (3)</w:t>
      </w:r>
      <w:r w:rsidR="0049707F">
        <w:t xml:space="preserve"> esta paz está basada en contenidos materiales</w:t>
      </w:r>
      <w:r w:rsidR="00862640">
        <w:t xml:space="preserve">; y (4) </w:t>
      </w:r>
      <w:r w:rsidR="0049707F">
        <w:t>se trata de contenidos materiales mínimos que permiten una aceptación generalizada, como veremos a continuaci</w:t>
      </w:r>
      <w:r w:rsidR="008A4205">
        <w:t>ó</w:t>
      </w:r>
      <w:r w:rsidR="00862640">
        <w:t>n.</w:t>
      </w:r>
    </w:p>
    <w:p w:rsidR="00E41B41" w:rsidRDefault="00E41B41" w:rsidP="0049707F"/>
    <w:p w:rsidR="007F3C26" w:rsidRDefault="0049707F" w:rsidP="0049707F">
      <w:r>
        <w:t>Por todo ello, cabe añadir ahora, quienes se muestran partidarios de un concepto “positivo” de paz, esto es, una paz definida no como la negación de la guerra sino a través de rasgos afirmativos (</w:t>
      </w:r>
      <w:r w:rsidR="0034682B">
        <w:t xml:space="preserve">Stahn 2007: 323; </w:t>
      </w:r>
      <w:r w:rsidR="006D4C5A">
        <w:t xml:space="preserve">Gready y Robins 2014: 350; </w:t>
      </w:r>
      <w:r>
        <w:t xml:space="preserve">Calvet y Díaz Anabitarte 2016: 4-7), habrán de ver también con buenos ojos la propuesta hobbesiana, que consiste precisamente en una compleja articulación de la comunidad política pacífica, esto es, en una descripción positiva de la paz, </w:t>
      </w:r>
      <w:r w:rsidR="00584BF9">
        <w:t>hasta el punto de que, a diferencia de lo que suele ser más habitual, en su obra es la guerra la que aparece definida en negativo como la ausencia de paz (puesto que, para Hobbes, toda situación en la cual fallen los elementos constitutivos del contrato social es una situación de guerra, actual o potencial; y puesto que su afán consiste en la descripción, y por supuesto prescripción, de tales elementos constitutivos).</w:t>
      </w:r>
    </w:p>
    <w:p w:rsidR="008A4205" w:rsidRDefault="008A4205" w:rsidP="0049707F"/>
    <w:p w:rsidR="008A4205" w:rsidRDefault="008A4205" w:rsidP="0049707F"/>
    <w:p w:rsidR="008A4205" w:rsidRPr="008A4205" w:rsidRDefault="008A4205" w:rsidP="0049707F">
      <w:pPr>
        <w:rPr>
          <w:b/>
          <w:smallCaps/>
        </w:rPr>
      </w:pPr>
      <w:r w:rsidRPr="008A4205">
        <w:rPr>
          <w:b/>
          <w:smallCaps/>
        </w:rPr>
        <w:t>3. El derecho al mínimo vital</w:t>
      </w:r>
      <w:r w:rsidR="00C23B24">
        <w:rPr>
          <w:b/>
          <w:smallCaps/>
        </w:rPr>
        <w:t xml:space="preserve"> como contenido del </w:t>
      </w:r>
      <w:r w:rsidR="00C23B24" w:rsidRPr="00C23B24">
        <w:rPr>
          <w:b/>
          <w:i/>
          <w:smallCaps/>
        </w:rPr>
        <w:t>ius post bellum</w:t>
      </w:r>
    </w:p>
    <w:p w:rsidR="00584BF9" w:rsidRDefault="00584BF9" w:rsidP="0049707F"/>
    <w:p w:rsidR="00584BF9" w:rsidRDefault="00584BF9" w:rsidP="0049707F">
      <w:r>
        <w:t>En lo que sigue, voy a sugerir que la garantía de un mínimo vital</w:t>
      </w:r>
      <w:r w:rsidR="00862640">
        <w:t xml:space="preserve"> (</w:t>
      </w:r>
      <w:r>
        <w:t>o, en términos de derechos, el derecho al mínimo vital</w:t>
      </w:r>
      <w:r w:rsidR="00862640">
        <w:t>),</w:t>
      </w:r>
      <w:r>
        <w:t xml:space="preserve"> ha de ser un contenido necesario de todo IPB, y lo voy a hacer apoyándome en un argumento extraído del </w:t>
      </w:r>
      <w:r>
        <w:rPr>
          <w:i/>
        </w:rPr>
        <w:t>Leviatán</w:t>
      </w:r>
      <w:r w:rsidR="00862640">
        <w:t>. Si estoy en lo cierto, esto habría de mostrar que la fecundidad de las ideas del viejo filósofo inglés está lejos de agotarse; pero, sobre todo, habría de constituir una buena razón para que quienes se ocupan del IPB asuman la garantía del mínimo vital entre sus contenidos innegociables.</w:t>
      </w:r>
    </w:p>
    <w:p w:rsidR="00F249FC" w:rsidRDefault="00F249FC" w:rsidP="0049707F"/>
    <w:p w:rsidR="00F249FC" w:rsidRDefault="00F249FC" w:rsidP="0049707F">
      <w:r>
        <w:t xml:space="preserve">Quienes sostienen que la teoría política de Hobbes es una teoría absolutista no se apoyan solo en el hecho ya reseñado de que Hobbes apoyara la solución absolutista como la más apropiada para acabar con la guerra civil inglesa; también lo hacen en su </w:t>
      </w:r>
      <w:r>
        <w:lastRenderedPageBreak/>
        <w:t>defensa de la obediencia absoluta que el ciudadano debe al soberano. Esta obediencia absoluta sería exigida por la necesidad de mantener la vigencia de la paz. Así, a cambio de su obediencia incondicional al soberano y a sus mandatos (a su derecho), el ciudadano obtendría la paz, siempre mejor que la guerra, pero una paz desnuda, esto es, una paz compatible con cualesquiera mandatos del soberano, con su poder omnímodo.</w:t>
      </w:r>
    </w:p>
    <w:p w:rsidR="00F249FC" w:rsidRDefault="00F249FC" w:rsidP="0049707F"/>
    <w:p w:rsidR="00F249FC" w:rsidRDefault="00F249FC" w:rsidP="0049707F">
      <w:r>
        <w:t xml:space="preserve">Una teoría de la legitimidad política como esta sería, desde luego, muy poco atractiva, pues ¿qué </w:t>
      </w:r>
      <w:r w:rsidR="00282BCD">
        <w:t>razones</w:t>
      </w:r>
      <w:r>
        <w:t xml:space="preserve"> tendrían los individuos para someterse a una autoridad que no les garantizase </w:t>
      </w:r>
      <w:r>
        <w:rPr>
          <w:i/>
        </w:rPr>
        <w:t>nada</w:t>
      </w:r>
      <w:r>
        <w:t xml:space="preserve">? (puesto que una paz </w:t>
      </w:r>
      <w:r w:rsidRPr="00F249FC">
        <w:rPr>
          <w:i/>
        </w:rPr>
        <w:t>vacía de todo contenido</w:t>
      </w:r>
      <w:r>
        <w:t xml:space="preserve"> no es, en realidad, peor que la guerra). </w:t>
      </w:r>
      <w:r w:rsidR="004F42F0">
        <w:t>Las cosas, sin embargo, no son así. La paz hobbesiana sí tiene un contenido mínimo, esto es, la obligación de obedecer al soberano y a su derecho sí es condicional. Para tomar conciencia de ello, no hace falta más que leer con atención las páginas del Leviatán. En efecto, a la hora de definir los límites de la obediencia del ciudadano al po</w:t>
      </w:r>
      <w:r w:rsidR="0048536E">
        <w:t>der establecido, Hobbes escribe:</w:t>
      </w:r>
    </w:p>
    <w:p w:rsidR="0048536E" w:rsidRDefault="0048536E" w:rsidP="0049707F"/>
    <w:p w:rsidR="004F42F0" w:rsidRPr="0048536E" w:rsidRDefault="0048536E" w:rsidP="0048536E">
      <w:pPr>
        <w:ind w:left="708"/>
      </w:pPr>
      <w:r>
        <w:t>The obligation of subjects to the sovereign is understood to last as long, and no longer, than the power lasteth by which he is able to protect them. For the right men have by nature to protect themselves, when none else can protect them, can by no covenant be relinquished (</w:t>
      </w:r>
      <w:r>
        <w:rPr>
          <w:i/>
        </w:rPr>
        <w:t>Leviathan</w:t>
      </w:r>
      <w:r>
        <w:t>, XXI: 136)</w:t>
      </w:r>
      <w:r>
        <w:rPr>
          <w:rStyle w:val="Refdenotaalpie"/>
        </w:rPr>
        <w:footnoteReference w:id="3"/>
      </w:r>
    </w:p>
    <w:p w:rsidR="0048536E" w:rsidRDefault="0048536E" w:rsidP="0048536E">
      <w:pPr>
        <w:ind w:left="708"/>
      </w:pPr>
    </w:p>
    <w:p w:rsidR="004F42F0" w:rsidRDefault="004F42F0" w:rsidP="004F42F0">
      <w:r>
        <w:t xml:space="preserve">Luego, por tanto, el correlato de la obediencia es la </w:t>
      </w:r>
      <w:r>
        <w:rPr>
          <w:i/>
        </w:rPr>
        <w:t>protección</w:t>
      </w:r>
      <w:r>
        <w:t>. ¿La protección de qué? Al menos, de la vida. Por eso:</w:t>
      </w:r>
    </w:p>
    <w:p w:rsidR="0048536E" w:rsidRDefault="0048536E" w:rsidP="004F42F0"/>
    <w:p w:rsidR="0048536E" w:rsidRPr="0048536E" w:rsidRDefault="0048536E" w:rsidP="0048536E">
      <w:pPr>
        <w:ind w:left="708"/>
      </w:pPr>
      <w:r>
        <w:t>If the sovereign command a man, though justly condemned, to kill, wound, or maim himself; or not to resist those that assault him; or to abstain from the use of food, air, medicine, or any other thing without which he cannot live; yet hath that man the liberty to disobey (</w:t>
      </w:r>
      <w:r>
        <w:rPr>
          <w:i/>
        </w:rPr>
        <w:t>Leviathan</w:t>
      </w:r>
      <w:r>
        <w:t>, XXI: 134)</w:t>
      </w:r>
      <w:r w:rsidR="00DB17DE">
        <w:rPr>
          <w:rStyle w:val="Refdenotaalpie"/>
        </w:rPr>
        <w:footnoteReference w:id="4"/>
      </w:r>
    </w:p>
    <w:p w:rsidR="004F42F0" w:rsidRDefault="004F42F0" w:rsidP="004F42F0"/>
    <w:p w:rsidR="004F42F0" w:rsidRDefault="004F42F0" w:rsidP="004F42F0">
      <w:r>
        <w:t>Es más, la “vida” no ha de entenderse como mera preservaci</w:t>
      </w:r>
      <w:r w:rsidR="00BB16AD">
        <w:t>ón, sino que</w:t>
      </w:r>
      <w:r>
        <w:t>:</w:t>
      </w:r>
    </w:p>
    <w:p w:rsidR="004F42F0" w:rsidRDefault="004F42F0" w:rsidP="004F42F0"/>
    <w:p w:rsidR="00DB17DE" w:rsidRDefault="00DB17DE" w:rsidP="00DB17DE">
      <w:pPr>
        <w:ind w:left="708"/>
      </w:pPr>
      <w:r>
        <w:t>The office of the sovereign (…) consisteth in the end for which he was trusted with the sovereign power, namely the procuration of the safety of the people (…) But by safety here is not meant a bare preservation, but also all other contentments of life, which every man by lawful industry, without danger or hurt to the Commonwealth, shall acquire to himself (</w:t>
      </w:r>
      <w:r>
        <w:rPr>
          <w:i/>
        </w:rPr>
        <w:t>Leviathan</w:t>
      </w:r>
      <w:r>
        <w:t>, XXX: 205)</w:t>
      </w:r>
      <w:r>
        <w:rPr>
          <w:rStyle w:val="Refdenotaalpie"/>
        </w:rPr>
        <w:footnoteReference w:id="5"/>
      </w:r>
      <w:r>
        <w:t>.</w:t>
      </w:r>
    </w:p>
    <w:p w:rsidR="004F42F0" w:rsidRDefault="004F42F0" w:rsidP="004F42F0"/>
    <w:p w:rsidR="00BB16AD" w:rsidRDefault="00BB16AD" w:rsidP="004F42F0">
      <w:r>
        <w:t>A esta “vida” que no es “mera preservación”, no costaría mucho añadir un cierto grado de libertad y de igualdad, con apoyo en pasajes como este:</w:t>
      </w:r>
    </w:p>
    <w:p w:rsidR="00BB16AD" w:rsidRDefault="00BB16AD" w:rsidP="004F42F0"/>
    <w:p w:rsidR="00BB16AD" w:rsidRDefault="00DB17DE" w:rsidP="00DB17DE">
      <w:pPr>
        <w:ind w:left="708"/>
      </w:pPr>
      <w:r>
        <w:lastRenderedPageBreak/>
        <w:t>The liberty of a subject lieth therefore only in those things which, in regulating their actions, the sovereign hath pretermitted: such as is the liberty to buy, and sell, and otherwise contract with one another; to choose their own abode, their own diet, their own trade of life, and institute their children as they themselves think fit; and the like (</w:t>
      </w:r>
      <w:r>
        <w:rPr>
          <w:i/>
        </w:rPr>
        <w:t>Leviathan</w:t>
      </w:r>
      <w:r>
        <w:t>, XXI: 131)</w:t>
      </w:r>
      <w:r>
        <w:rPr>
          <w:rStyle w:val="Refdenotaalpie"/>
        </w:rPr>
        <w:footnoteReference w:id="6"/>
      </w:r>
    </w:p>
    <w:p w:rsidR="00BB16AD" w:rsidRDefault="00BB16AD" w:rsidP="00BB16AD">
      <w:pPr>
        <w:ind w:left="708"/>
      </w:pPr>
    </w:p>
    <w:p w:rsidR="00BB16AD" w:rsidRDefault="00BB16AD" w:rsidP="004F42F0">
      <w:r>
        <w:t xml:space="preserve">Cierto es que esta relativamente amplia libertad a la que se refiere Hobbes aparece aquí como “ejemplo”. Sin embargo, hay quien, con apoyo en este párrafo ha interpretado que Hobbes </w:t>
      </w:r>
      <w:r w:rsidRPr="00BB16AD">
        <w:t>“exige una esfera de libertad económica y cultural para el ciudadano individual”</w:t>
      </w:r>
      <w:r>
        <w:t xml:space="preserve"> (Neumann 1986: 107). En cuanto a la igualdad, encontramos numerosas alusiones a ella en el capítulo XXX del </w:t>
      </w:r>
      <w:r>
        <w:rPr>
          <w:i/>
        </w:rPr>
        <w:t>Leviatán</w:t>
      </w:r>
      <w:r>
        <w:t xml:space="preserve">, dedicado a la “función del representante soberano”, donde como obligaciones del estado figuran cuidar de que </w:t>
      </w:r>
      <w:r w:rsidRPr="00BB16AD">
        <w:t>“la justicia sea igualmente administrada en todos los estratos del pueblo”; establecer una “igualitaria aplicación de impuestos”; proveer a todos los que son incapaces de mantenerse a sí mismos “en todo aquello que es requerido por las necesidades naturales”; o estimular “todo tipo de artes”. Por supuesto, el estado tiene otras funciones además de éstas, pero hago hincapié en aquéllas que demuestran lo que importa retener ahora, esto es, que el estado nacido del contrato social es un estado que tiene fines predeterminados, y que éstos son materiales</w:t>
      </w:r>
      <w:r w:rsidR="00B53EA5">
        <w:t xml:space="preserve"> (García Manrique 2012)</w:t>
      </w:r>
      <w:r>
        <w:t xml:space="preserve"> . La paz hobbesiana no es, ni mucho menos, cualquier paz, </w:t>
      </w:r>
      <w:r w:rsidR="00B53EA5">
        <w:t>sino precisamente una que es claramente preferible a la guerra porque es una paz lo suficientemente justa.</w:t>
      </w:r>
    </w:p>
    <w:p w:rsidR="00B53EA5" w:rsidRDefault="00B53EA5" w:rsidP="004F42F0"/>
    <w:p w:rsidR="00B53EA5" w:rsidRDefault="00B53EA5" w:rsidP="00DA6FE8">
      <w:r>
        <w:t>Este mínimo de justicia que la autoridad política debe garantizar para ser considerada legítima (y, por tanto, para estar en condiciones de reclamar obediencia a los ciudadanos) recuerda mucho, dando un salto en el tiempo hasta nuestros días, a ciertos modos de argumentar de algunos tribunales superiores que, en los últimos años, han reconocido con esa base un derecho al mínimo vital</w:t>
      </w:r>
      <w:r w:rsidR="00DA6FE8">
        <w:t>, esto es, a la satisfacción de ciertas necesidades materiales mínimas, entre las que hay que contar por lo menos el agua, la alimentación y la vivienda</w:t>
      </w:r>
      <w:r>
        <w:t xml:space="preserve">. Es el caso de la Corte Constitucional colombiana, que ya en 1992 (sentencia </w:t>
      </w:r>
      <w:r w:rsidRPr="00B53EA5">
        <w:rPr>
          <w:i/>
        </w:rPr>
        <w:t>Cifuentes Muñoz</w:t>
      </w:r>
      <w:r>
        <w:t>) consideró el derecho al mínimo vital como un derecho subjetivo de aplicación inmediata cuando la persona se encuentra en estado de debilidad manifiesta y se prueba la incapacidad material de la familia para asistirla. La Corte considero que un tal derecho es un “núcleo esencial mínimo, no negociable en el debate democrático” (Champeil Desplats 2012: 229). Es también el caso del Tribunal Federal suizo, que en 1995 reconoció un derecho equivalente como derecho subjetivo de todos los ciudadanos, considerado como la “condición de ejercicio de todos los demás derechos fundamentales” (poco tiempo después, en 1999, la Constitución suiza incorporó este derecho en su artículo 12, esto es, el derecho a “recibir los medios indispensables para mantener una existencia conforme con la dignidad humana”). En años subsiguientes, otros tribunales superiores han reconocido derechos muy similares</w:t>
      </w:r>
      <w:r w:rsidR="00DA6FE8">
        <w:t>. Así lo han hecho los Tribunales Supremos de la India, de Israel y de Sudáfrica, y el Tribunal Constitucional alemán (véase Fercot 2012).</w:t>
      </w:r>
    </w:p>
    <w:p w:rsidR="00DA6FE8" w:rsidRDefault="00DA6FE8" w:rsidP="00DA6FE8"/>
    <w:p w:rsidR="00DA6FE8" w:rsidRPr="00DA6FE8" w:rsidRDefault="00DA6FE8" w:rsidP="00DA6FE8">
      <w:pPr>
        <w:rPr>
          <w:i/>
        </w:rPr>
      </w:pPr>
      <w:r>
        <w:t xml:space="preserve">Esta tendencia jurisprudencial hacia al reconocimiento de un derecho al mínimo vital tiene también una moderada pero inequívoca expresión en el ámbito del Derecho </w:t>
      </w:r>
      <w:r>
        <w:lastRenderedPageBreak/>
        <w:t>Internacional regional. Así, en 2002, el Tribunal Europeo de Derechos Humanos se expresaba en estos términos:</w:t>
      </w:r>
    </w:p>
    <w:p w:rsidR="00B53EA5" w:rsidRDefault="00B53EA5" w:rsidP="00B53EA5"/>
    <w:p w:rsidR="00DA6FE8" w:rsidRDefault="00B53EA5" w:rsidP="00DA6FE8">
      <w:pPr>
        <w:ind w:left="708"/>
      </w:pPr>
      <w:r w:rsidRPr="00D32354">
        <w:rPr>
          <w:lang w:val="en-US"/>
        </w:rPr>
        <w:t>The Court considers that a complaint about a wholly insufficient amount of pension and the other social benefits may, in principle, raise an issue under Article 3 of the Convention which prohibits inhuman or degrading treatment”</w:t>
      </w:r>
      <w:r w:rsidR="00DA6FE8">
        <w:rPr>
          <w:lang w:val="en-US"/>
        </w:rPr>
        <w:t xml:space="preserve"> </w:t>
      </w:r>
      <w:r>
        <w:rPr>
          <w:lang w:val="en-US"/>
        </w:rPr>
        <w:t>(</w:t>
      </w:r>
      <w:r>
        <w:rPr>
          <w:i/>
          <w:lang w:val="en-US"/>
        </w:rPr>
        <w:t>Larioshina c. Rusia</w:t>
      </w:r>
      <w:r>
        <w:rPr>
          <w:lang w:val="en-US"/>
        </w:rPr>
        <w:t>, 23 de abril de 2002, decisión de inadmisión</w:t>
      </w:r>
      <w:r w:rsidR="00DA6FE8">
        <w:rPr>
          <w:lang w:val="en-US"/>
        </w:rPr>
        <w:t xml:space="preserve">; una consideración reiterada en </w:t>
      </w:r>
      <w:r>
        <w:rPr>
          <w:i/>
        </w:rPr>
        <w:t>Budina c. Rusia</w:t>
      </w:r>
      <w:r>
        <w:t>, 18 de junio de 2009</w:t>
      </w:r>
      <w:r w:rsidR="00DA6FE8">
        <w:t>, decisión de inadmisión</w:t>
      </w:r>
      <w:r>
        <w:t>)</w:t>
      </w:r>
      <w:r w:rsidR="00DA6FE8">
        <w:t>.</w:t>
      </w:r>
    </w:p>
    <w:p w:rsidR="00DA6FE8" w:rsidRDefault="00DA6FE8" w:rsidP="00DA6FE8"/>
    <w:p w:rsidR="00DA6FE8" w:rsidRDefault="00DA6FE8" w:rsidP="00DA6FE8">
      <w:r>
        <w:t xml:space="preserve">Cierto es que, en ambos casos, </w:t>
      </w:r>
      <w:r w:rsidR="00B53EA5">
        <w:t>el Tribunal de Estrasburgo decidió no admitir la demanda, porque juzgó que los medios de que disponía la demandante la situaban por encima del umbral de pobreza que marca el límite del trato inhumano o degradante; pero lo que importa es que el Tribunal aceptó que, si la pobreza es realmente extrema, podemos estar ante una situación prohibida por la Convención que los Estados, por tanto, tienen la obligación de remediar (López Guerra 2015: 404-405</w:t>
      </w:r>
      <w:r>
        <w:t>).</w:t>
      </w:r>
    </w:p>
    <w:p w:rsidR="00DA6FE8" w:rsidRDefault="00DA6FE8" w:rsidP="00DA6FE8"/>
    <w:p w:rsidR="00DA6FE8" w:rsidRDefault="00DA6FE8" w:rsidP="00DA6FE8">
      <w:r>
        <w:t>Por su parte, la Corte Interamericana de Derechos Humanos, hasta donde sé, no ha realizado todavía un pronunciamiento similar</w:t>
      </w:r>
      <w:r w:rsidR="00C535F5">
        <w:t>;</w:t>
      </w:r>
      <w:r>
        <w:t xml:space="preserve"> pero su jurisprudencia contiene ya elementos suficientes para poder llevarlo a cabo sin gran esfuerzo argumentativo (García Manrique 2017)</w:t>
      </w:r>
      <w:r w:rsidR="00C535F5">
        <w:t>.</w:t>
      </w:r>
    </w:p>
    <w:p w:rsidR="00C535F5" w:rsidRDefault="00C535F5" w:rsidP="00DA6FE8"/>
    <w:p w:rsidR="00C535F5" w:rsidRDefault="00C535F5" w:rsidP="00C535F5">
      <w:r>
        <w:t>Pues bien, creo que el “argumento hobbesiano” a favor de la garantía del mínimo vital (esto es, que toda comunidad política ha de asegurarlo a todos los ciudadanos, como condición necesaria de cualquier pretensión de legitimidad, por mínima que esta sea) puede aplicarse sin dificultades al campo del IPB. Si el IPB ha de servir para garantizar una paz dotada de un cierto nivel de justicia y de estabilidad, ha de incluir en su contenido el derecho al mínimo vital, que, reitero, ha de incluir la disposición universal de ciertos niveles (mínimos, o decentes) de agua, alimentación y alojamiento (y seguramente de educación y sanidad, puesto que la idea de la vida mínimamente digna no parece que sea concebible sin ellos).</w:t>
      </w:r>
    </w:p>
    <w:p w:rsidR="00C535F5" w:rsidRDefault="00C535F5" w:rsidP="00C535F5"/>
    <w:p w:rsidR="008A38B2" w:rsidRDefault="00C535F5" w:rsidP="00C535F5">
      <w:r>
        <w:t xml:space="preserve">Hay quienes han propuesto el reconocimiento de algunos derechos económicos y sociales (en </w:t>
      </w:r>
      <w:r w:rsidR="00282BCD">
        <w:t>particular</w:t>
      </w:r>
      <w:r>
        <w:t>, el derecho a la tierra, a la vivienda y a la propiedad) como parte del IPB</w:t>
      </w:r>
      <w:r w:rsidR="008D0B5F">
        <w:t>, encontrando apoyo normativo en el art. 11 del PIDESC, que establece el derecho de toda persona “a un nivel de vida adecuado”, incluyendo “alimentación, vestido y vivienda” (Calvet y Díaz Anabitarte 2016: 8-13).</w:t>
      </w:r>
      <w:r w:rsidR="008A38B2">
        <w:t xml:space="preserve"> La base de una propuesta como esta se halla o bien en la validez intrínseca de los derechos económicos y sociales (apoyada por su reconocimiento internacional) o bien en la tesis de la interdependencia de los derechos</w:t>
      </w:r>
      <w:r w:rsidR="006D4C5A">
        <w:t xml:space="preserve"> (Gready y Robins, 2014: 346)</w:t>
      </w:r>
      <w:r w:rsidR="008A38B2">
        <w:t>, según la cual, y a los efectos que ahora interesan, la efectividad de los derechos civiles y políticos requiere del reconocimiento de los derechos económicos y sociales.</w:t>
      </w:r>
    </w:p>
    <w:p w:rsidR="008A38B2" w:rsidRDefault="008A38B2" w:rsidP="00C535F5"/>
    <w:p w:rsidR="0094237E" w:rsidRDefault="008A38B2" w:rsidP="00DA6FE8">
      <w:r>
        <w:t xml:space="preserve">La propuesta del derecho al mínimo vital cabe incluirla en esta línea, con las ventajas de que es probablemente más modesta (y, por tanto, más fácil de asumir) y de que el derecho al mínimo vital no ha de ser considerado, pese a sus contenidos, un derecho social, sino, de acuerdo con la jurisprudencia que viene de ser citada, un derecho integrado en otros derechos civiles (sea el derecho a la vida, el derecho a la integridad, o sea la idea misma de dignidad). Esta distinta calificación del derecho (como derecho civil y no como derecho social) es una ventaja por dos motivos: primero, porque los </w:t>
      </w:r>
      <w:r>
        <w:lastRenderedPageBreak/>
        <w:t>derechos civiles presentan un consenso social y político y un reconocimiento jurídico mucho mayores que los derechos sociales; segundo, porque la tesis de la indivisibilidad no deja de ser una tesis problemática, al menos si la entendemos en sentido fuerte, que sería el sentido que permitiría justificar los derechos sociales con base en los derechos civiles (Nickel 2008).</w:t>
      </w:r>
    </w:p>
    <w:p w:rsidR="0094237E" w:rsidRDefault="0094237E" w:rsidP="00DA6FE8"/>
    <w:p w:rsidR="00DA6FE8" w:rsidRDefault="0094237E" w:rsidP="0094237E">
      <w:r>
        <w:t>Por supuesto, el reconocimiento del derecho al mínimo vital como contenido del IPB no se opone de ningún modo al reconocimiento de otros derechos de carácter económico y social. Al contrario, permite apoyar este reconocimiento. Lo que sí es cierto es que, en la medida en que sus contenidos pueden coincidir, al menos parcialmente, con los de ciertos derechos sociales, el derecho al mínimo vital puede constituir una alternativa a los mismos más fácil de aceptar por la comunidad internacional. Como he tratado de mostrar en estas páginas, para ello no se requiere siquiera invocar la teoría y la práctica de los derechos humanos. Vale con el mucho más modesto, pero poderoso, argumento hobbesiano.</w:t>
      </w:r>
    </w:p>
    <w:p w:rsidR="003D61C7" w:rsidRDefault="003D61C7"/>
    <w:p w:rsidR="003D61C7" w:rsidRPr="006D429A" w:rsidRDefault="006D429A">
      <w:pPr>
        <w:rPr>
          <w:b/>
          <w:smallCaps/>
        </w:rPr>
      </w:pPr>
      <w:r w:rsidRPr="006D429A">
        <w:rPr>
          <w:b/>
          <w:smallCaps/>
        </w:rPr>
        <w:t>Bibliografía</w:t>
      </w:r>
    </w:p>
    <w:p w:rsidR="003D61C7" w:rsidRDefault="003D61C7"/>
    <w:p w:rsidR="000651BD" w:rsidRPr="000C788B" w:rsidRDefault="000651BD" w:rsidP="00012360">
      <w:pPr>
        <w:pStyle w:val="Prrafodelista"/>
        <w:numPr>
          <w:ilvl w:val="0"/>
          <w:numId w:val="2"/>
        </w:numPr>
        <w:rPr>
          <w:b/>
        </w:rPr>
      </w:pPr>
      <w:r>
        <w:t xml:space="preserve">Bobbio, Norberto (1985): </w:t>
      </w:r>
      <w:r w:rsidRPr="00012360">
        <w:rPr>
          <w:i/>
        </w:rPr>
        <w:t>Estudios de historia de la filosofía: de Hobbes a Gramsci</w:t>
      </w:r>
      <w:r>
        <w:t>, Madrid, Debate.</w:t>
      </w:r>
    </w:p>
    <w:p w:rsidR="000651BD" w:rsidRDefault="000651BD" w:rsidP="000C788B">
      <w:pPr>
        <w:pStyle w:val="Prrafodelista"/>
        <w:numPr>
          <w:ilvl w:val="0"/>
          <w:numId w:val="2"/>
        </w:numPr>
      </w:pPr>
      <w:r>
        <w:t>Calvet Martínez, Elisenda, y Díaz Anabitarte, Aitor (2016): “Addressing socio-economic rights in post-conflict situations to attain a just and positive peace: the right to land, housing and property” (manuscrito).</w:t>
      </w:r>
    </w:p>
    <w:p w:rsidR="000651BD" w:rsidRDefault="000651BD" w:rsidP="008A38B2">
      <w:pPr>
        <w:pStyle w:val="Prrafodelista"/>
        <w:numPr>
          <w:ilvl w:val="0"/>
          <w:numId w:val="2"/>
        </w:numPr>
      </w:pPr>
      <w:r w:rsidRPr="004D0823">
        <w:t xml:space="preserve">Champeil Desplats, Veronique (2012): “La justiciabilité des droits sociaux en Amérique Latine”, en D. Roman (dir.), </w:t>
      </w:r>
      <w:r w:rsidRPr="004D0823">
        <w:rPr>
          <w:i/>
        </w:rPr>
        <w:t>La justiciabilité des droits sociaux: vecteurs et résistances</w:t>
      </w:r>
      <w:r w:rsidR="0072492D">
        <w:t xml:space="preserve">. </w:t>
      </w:r>
      <w:r w:rsidRPr="004D0823">
        <w:t>París</w:t>
      </w:r>
      <w:r w:rsidR="0072492D">
        <w:t>, Pedone</w:t>
      </w:r>
      <w:r w:rsidRPr="004D0823">
        <w:t>: 223-235.</w:t>
      </w:r>
    </w:p>
    <w:p w:rsidR="000651BD" w:rsidRDefault="000651BD" w:rsidP="008A38B2">
      <w:pPr>
        <w:pStyle w:val="Prrafodelista"/>
        <w:numPr>
          <w:ilvl w:val="0"/>
          <w:numId w:val="2"/>
        </w:numPr>
      </w:pPr>
      <w:r>
        <w:t xml:space="preserve">Fercot, Céline (2012): “Le juge et le droit au minimum. Les ambigüites du droit a des conditions minimales d’existence en droit comparé”, en </w:t>
      </w:r>
      <w:r w:rsidRPr="004D0823">
        <w:t xml:space="preserve">D. Roman (dir.), </w:t>
      </w:r>
      <w:r w:rsidRPr="004D0823">
        <w:rPr>
          <w:i/>
        </w:rPr>
        <w:t>La justiciabilité des droits sociaux: vecteurs et résistances</w:t>
      </w:r>
      <w:r w:rsidR="0072492D">
        <w:t xml:space="preserve">. </w:t>
      </w:r>
      <w:r w:rsidRPr="004D0823">
        <w:t>París</w:t>
      </w:r>
      <w:r w:rsidR="0072492D">
        <w:t>, Pedone</w:t>
      </w:r>
      <w:r w:rsidRPr="004D0823">
        <w:t>:</w:t>
      </w:r>
      <w:r>
        <w:t xml:space="preserve"> 49-65.</w:t>
      </w:r>
    </w:p>
    <w:p w:rsidR="000651BD" w:rsidRDefault="000651BD" w:rsidP="006A7173">
      <w:pPr>
        <w:pStyle w:val="Prrafodelista"/>
        <w:numPr>
          <w:ilvl w:val="0"/>
          <w:numId w:val="2"/>
        </w:numPr>
      </w:pPr>
      <w:r>
        <w:t>García Manrique, Ricardo (2008): “No hay guerras justas”,</w:t>
      </w:r>
      <w:r w:rsidRPr="00FB3892">
        <w:rPr>
          <w:spacing w:val="-3"/>
        </w:rPr>
        <w:t xml:space="preserve"> </w:t>
      </w:r>
      <w:r>
        <w:rPr>
          <w:spacing w:val="-3"/>
        </w:rPr>
        <w:t>en</w:t>
      </w:r>
      <w:r>
        <w:t xml:space="preserve"> I. Campoy, J. L. Rey, M. E. Rodríguez (eds.), </w:t>
      </w:r>
      <w:r>
        <w:rPr>
          <w:i/>
        </w:rPr>
        <w:t xml:space="preserve">Desafíos actuales a los derechos humanos: reflexiones sobre el derecho a la paz. </w:t>
      </w:r>
      <w:r>
        <w:t>Madrid, Universidad Carlos III y Dykinson: 113-145.</w:t>
      </w:r>
    </w:p>
    <w:p w:rsidR="000651BD" w:rsidRDefault="000651BD" w:rsidP="008A38B2">
      <w:pPr>
        <w:pStyle w:val="Prrafodelista"/>
        <w:numPr>
          <w:ilvl w:val="0"/>
          <w:numId w:val="2"/>
        </w:numPr>
      </w:pPr>
      <w:r>
        <w:t xml:space="preserve">García Manrique, Ricardo (2012): </w:t>
      </w:r>
      <w:r>
        <w:rPr>
          <w:i/>
        </w:rPr>
        <w:t>El valor de la seguridad jurídica</w:t>
      </w:r>
      <w:r>
        <w:t>. Madrid, Iustel.</w:t>
      </w:r>
    </w:p>
    <w:p w:rsidR="000651BD" w:rsidRDefault="000651BD" w:rsidP="000C788B">
      <w:pPr>
        <w:pStyle w:val="Prrafodelista"/>
        <w:numPr>
          <w:ilvl w:val="0"/>
          <w:numId w:val="2"/>
        </w:numPr>
      </w:pPr>
      <w:r>
        <w:t>García Manrique, Ricardo (2017): “El derecho a una vida digna como derecho al mínimo vital” (manuscrito).</w:t>
      </w:r>
    </w:p>
    <w:p w:rsidR="006D4C5A" w:rsidRDefault="006D4C5A" w:rsidP="000C788B">
      <w:pPr>
        <w:pStyle w:val="Prrafodelista"/>
        <w:numPr>
          <w:ilvl w:val="0"/>
          <w:numId w:val="2"/>
        </w:numPr>
      </w:pPr>
      <w:r>
        <w:t xml:space="preserve">Gready, Paul y Robbins, Simon (2014): “From Transitional to Transformative Justice: A New Agenda for Practice”, en </w:t>
      </w:r>
      <w:r>
        <w:rPr>
          <w:i/>
        </w:rPr>
        <w:t>The International Journal of Transitional Justice</w:t>
      </w:r>
      <w:r>
        <w:t>, 8: 339-361.</w:t>
      </w:r>
    </w:p>
    <w:p w:rsidR="000651BD" w:rsidRDefault="000651BD" w:rsidP="000C788B">
      <w:pPr>
        <w:pStyle w:val="Prrafodelista"/>
        <w:numPr>
          <w:ilvl w:val="0"/>
          <w:numId w:val="2"/>
        </w:numPr>
      </w:pPr>
      <w:r>
        <w:t xml:space="preserve">Iverson, J. (2013): “Transitional Justice, Jus Post Bellum and International Criminal Law: Differentiating the Usages, History and Dynamics”, en </w:t>
      </w:r>
      <w:r w:rsidRPr="000C788B">
        <w:rPr>
          <w:i/>
        </w:rPr>
        <w:t>The Interna</w:t>
      </w:r>
      <w:r>
        <w:rPr>
          <w:i/>
        </w:rPr>
        <w:t>tional Journal of Transitional J</w:t>
      </w:r>
      <w:r w:rsidRPr="000C788B">
        <w:rPr>
          <w:i/>
        </w:rPr>
        <w:t>ustice</w:t>
      </w:r>
      <w:r>
        <w:t>, 7: 413-433.</w:t>
      </w:r>
    </w:p>
    <w:p w:rsidR="000651BD" w:rsidRDefault="000651BD" w:rsidP="000C788B">
      <w:pPr>
        <w:pStyle w:val="Prrafodelista"/>
        <w:numPr>
          <w:ilvl w:val="0"/>
          <w:numId w:val="2"/>
        </w:numPr>
      </w:pPr>
      <w:r>
        <w:t xml:space="preserve">Kleffer, Jann K. (2008): “From here to there… and the law in the middle”, en C. Stahn y J. K. Kleffner (eds.), </w:t>
      </w:r>
      <w:r>
        <w:rPr>
          <w:i/>
        </w:rPr>
        <w:t>Jus Post Bellum. Towards a Law of Transition from Conflict to Peace</w:t>
      </w:r>
      <w:r>
        <w:t>. La Haya, Asser Press: 1-8.</w:t>
      </w:r>
    </w:p>
    <w:p w:rsidR="000651BD" w:rsidRDefault="000651BD" w:rsidP="008A38B2">
      <w:pPr>
        <w:pStyle w:val="Prrafodelista"/>
        <w:numPr>
          <w:ilvl w:val="0"/>
          <w:numId w:val="2"/>
        </w:numPr>
      </w:pPr>
      <w:r>
        <w:t xml:space="preserve">López Guerra, Luis (2015): “Crisis económica y derechos humanos: una nota de jurisprudencia”, en </w:t>
      </w:r>
      <w:r>
        <w:rPr>
          <w:i/>
        </w:rPr>
        <w:t>Teoría y Realidad Constitucional</w:t>
      </w:r>
      <w:r w:rsidR="006D4C5A">
        <w:t xml:space="preserve">, </w:t>
      </w:r>
      <w:r>
        <w:t>399: 399-414.</w:t>
      </w:r>
    </w:p>
    <w:p w:rsidR="000651BD" w:rsidRDefault="000651BD" w:rsidP="000C788B">
      <w:pPr>
        <w:pStyle w:val="Prrafodelista"/>
        <w:numPr>
          <w:ilvl w:val="0"/>
          <w:numId w:val="2"/>
        </w:numPr>
      </w:pPr>
      <w:r>
        <w:t xml:space="preserve">Neumann, Franz (1986): </w:t>
      </w:r>
      <w:r>
        <w:rPr>
          <w:i/>
        </w:rPr>
        <w:t>The Rule of Law. Political Theory and the Legal System in Modern Society</w:t>
      </w:r>
      <w:r>
        <w:t>. Leamington Spa, Berg.</w:t>
      </w:r>
    </w:p>
    <w:p w:rsidR="000651BD" w:rsidRDefault="000651BD" w:rsidP="008A38B2">
      <w:pPr>
        <w:pStyle w:val="Prrafodelista"/>
        <w:numPr>
          <w:ilvl w:val="0"/>
          <w:numId w:val="2"/>
        </w:numPr>
      </w:pPr>
      <w:r>
        <w:lastRenderedPageBreak/>
        <w:t xml:space="preserve">Nickel, James W. (2008) “Rethinking Indivisibility: Towards A Theory of Supporting Relations between Human Rights”, en </w:t>
      </w:r>
      <w:r>
        <w:rPr>
          <w:i/>
        </w:rPr>
        <w:t>Human Rights Quarterly</w:t>
      </w:r>
      <w:r>
        <w:t>, 30: 984-1001.</w:t>
      </w:r>
    </w:p>
    <w:p w:rsidR="000651BD" w:rsidRDefault="000651BD" w:rsidP="006A7173">
      <w:pPr>
        <w:pStyle w:val="Prrafodelista"/>
        <w:numPr>
          <w:ilvl w:val="0"/>
          <w:numId w:val="2"/>
        </w:numPr>
      </w:pPr>
      <w:r>
        <w:t xml:space="preserve">Orend, Brian (2000): “Jus Post Bellum”, en </w:t>
      </w:r>
      <w:r>
        <w:rPr>
          <w:i/>
        </w:rPr>
        <w:t>Journal of Social Philosophy</w:t>
      </w:r>
      <w:r>
        <w:t>, 31: 117-137.</w:t>
      </w:r>
    </w:p>
    <w:p w:rsidR="000651BD" w:rsidRDefault="000651BD" w:rsidP="006A7173">
      <w:pPr>
        <w:pStyle w:val="Prrafodelista"/>
        <w:numPr>
          <w:ilvl w:val="0"/>
          <w:numId w:val="2"/>
        </w:numPr>
      </w:pPr>
      <w:r>
        <w:t xml:space="preserve">Orend, Brian (2008): “Jus Post Bellum: a Just War Theory Perspective”, en C. Stahn y J. K. Kleffner (eds.), </w:t>
      </w:r>
      <w:r>
        <w:rPr>
          <w:i/>
        </w:rPr>
        <w:t>Jus Post Bellum. Towards a Law of Transition from Conflict to Peace</w:t>
      </w:r>
      <w:r>
        <w:t>. La Haya, Asser Press: 31-52.</w:t>
      </w:r>
    </w:p>
    <w:p w:rsidR="000651BD" w:rsidRDefault="000651BD" w:rsidP="008A38B2">
      <w:pPr>
        <w:pStyle w:val="Prrafodelista"/>
        <w:numPr>
          <w:ilvl w:val="0"/>
          <w:numId w:val="2"/>
        </w:numPr>
      </w:pPr>
      <w:r>
        <w:t xml:space="preserve">Österdahl, Inger (2012): “Just War, Just Peace and the </w:t>
      </w:r>
      <w:r>
        <w:rPr>
          <w:i/>
        </w:rPr>
        <w:t>Jus Post Bellum</w:t>
      </w:r>
      <w:r>
        <w:t xml:space="preserve">”, en </w:t>
      </w:r>
      <w:r>
        <w:rPr>
          <w:i/>
        </w:rPr>
        <w:t>Nordic Journal of International Law</w:t>
      </w:r>
      <w:r>
        <w:t>, 81: 271-294.</w:t>
      </w:r>
    </w:p>
    <w:p w:rsidR="000651BD" w:rsidRDefault="000651BD" w:rsidP="000C788B">
      <w:pPr>
        <w:pStyle w:val="Prrafodelista"/>
        <w:numPr>
          <w:ilvl w:val="0"/>
          <w:numId w:val="2"/>
        </w:numPr>
      </w:pPr>
      <w:r>
        <w:t xml:space="preserve">Pugh, Michael (2008): “Challenges of Post-Conflict Intercession: Three Issues in International Politics”, en C. Stahn y J. K. Kleffner (eds.), </w:t>
      </w:r>
      <w:r>
        <w:rPr>
          <w:i/>
        </w:rPr>
        <w:t>Jus Post Bellum. Towards a Law of Transition from Conflict to Peace</w:t>
      </w:r>
      <w:r>
        <w:t>. La Haya, Asser Press: 115-130.</w:t>
      </w:r>
    </w:p>
    <w:p w:rsidR="000651BD" w:rsidRDefault="000651BD" w:rsidP="006A7173">
      <w:pPr>
        <w:pStyle w:val="Prrafodelista"/>
        <w:numPr>
          <w:ilvl w:val="0"/>
          <w:numId w:val="2"/>
        </w:numPr>
      </w:pPr>
      <w:r>
        <w:t xml:space="preserve">Sharma, Serena K. (2008): “Reconsidering the Jus ad Bellum/Jus in Bello Distinction”, en C. Stahn y J. K. Kleffner (eds.), </w:t>
      </w:r>
      <w:r>
        <w:rPr>
          <w:i/>
        </w:rPr>
        <w:t>Jus Post Bellum. Towards a Law of Transition from Conflict to Peace</w:t>
      </w:r>
      <w:r>
        <w:t>. La Haya, Asser Press: 9-30.</w:t>
      </w:r>
    </w:p>
    <w:p w:rsidR="000651BD" w:rsidRDefault="000651BD" w:rsidP="006A7173">
      <w:pPr>
        <w:pStyle w:val="Prrafodelista"/>
        <w:numPr>
          <w:ilvl w:val="0"/>
          <w:numId w:val="2"/>
        </w:numPr>
      </w:pPr>
      <w:r>
        <w:t xml:space="preserve">Stahn, Carsten (2007): “Just Post Bellum: Mapping the Discipline(s)”, en </w:t>
      </w:r>
      <w:r w:rsidRPr="006A7173">
        <w:rPr>
          <w:i/>
        </w:rPr>
        <w:t>American University International Law Review</w:t>
      </w:r>
      <w:r>
        <w:t>, 23: 311-347.</w:t>
      </w:r>
    </w:p>
    <w:p w:rsidR="000651BD" w:rsidRDefault="000651BD" w:rsidP="006A7173">
      <w:pPr>
        <w:pStyle w:val="Prrafodelista"/>
        <w:numPr>
          <w:ilvl w:val="0"/>
          <w:numId w:val="2"/>
        </w:numPr>
      </w:pPr>
      <w:r>
        <w:t>Stahn, Carsten (</w:t>
      </w:r>
      <w:r w:rsidR="0072492D">
        <w:t xml:space="preserve">2008): “The Future of Jus Post Bellum”, en C. Stahn y J. K. Kleffner (eds.), </w:t>
      </w:r>
      <w:r w:rsidR="0072492D">
        <w:rPr>
          <w:i/>
        </w:rPr>
        <w:t>Jus Post Bellum. Towards a Law of Transition from Conflict to Peace</w:t>
      </w:r>
      <w:r w:rsidR="0072492D">
        <w:t>. La Haya, Asser Press: 231-237.</w:t>
      </w:r>
    </w:p>
    <w:p w:rsidR="000651BD" w:rsidRDefault="000651BD" w:rsidP="000C788B">
      <w:pPr>
        <w:pStyle w:val="Prrafodelista"/>
        <w:numPr>
          <w:ilvl w:val="0"/>
          <w:numId w:val="2"/>
        </w:numPr>
      </w:pPr>
      <w:r>
        <w:t>Wilde, Ralph (2008): “Are Human Rights Norms Part of the Ius Post Bellum, and Shoud They Be?”, en</w:t>
      </w:r>
      <w:r w:rsidR="006D4C5A">
        <w:t xml:space="preserve"> C. Stahn y J. K. Kleffner (eds.), </w:t>
      </w:r>
      <w:r w:rsidR="006D4C5A">
        <w:rPr>
          <w:i/>
        </w:rPr>
        <w:t>Jus Post Bellum. Towards a Law of Transition from Conflict to Peace</w:t>
      </w:r>
      <w:r w:rsidR="006D4C5A">
        <w:t>. La Haya, Asser Press</w:t>
      </w:r>
      <w:r>
        <w:t>: 163-186.</w:t>
      </w:r>
    </w:p>
    <w:p w:rsidR="008A38B2" w:rsidRPr="000C788B" w:rsidRDefault="008A38B2" w:rsidP="008A38B2"/>
    <w:p w:rsidR="00812734" w:rsidRDefault="00812734"/>
    <w:p w:rsidR="00577657" w:rsidRDefault="00577657"/>
    <w:p w:rsidR="00B34CDC" w:rsidRDefault="00B34CDC"/>
    <w:sectPr w:rsidR="00B34CDC">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682" w:rsidRDefault="00E01682" w:rsidP="009B6FDC">
      <w:r>
        <w:separator/>
      </w:r>
    </w:p>
  </w:endnote>
  <w:endnote w:type="continuationSeparator" w:id="0">
    <w:p w:rsidR="00E01682" w:rsidRDefault="00E01682" w:rsidP="009B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5150539"/>
      <w:docPartObj>
        <w:docPartGallery w:val="Page Numbers (Bottom of Page)"/>
        <w:docPartUnique/>
      </w:docPartObj>
    </w:sdtPr>
    <w:sdtEndPr/>
    <w:sdtContent>
      <w:p w:rsidR="00BB16AD" w:rsidRDefault="00BB16AD">
        <w:pPr>
          <w:pStyle w:val="Piedepgina"/>
          <w:jc w:val="right"/>
        </w:pPr>
        <w:r>
          <w:fldChar w:fldCharType="begin"/>
        </w:r>
        <w:r>
          <w:instrText>PAGE   \* MERGEFORMAT</w:instrText>
        </w:r>
        <w:r>
          <w:fldChar w:fldCharType="separate"/>
        </w:r>
        <w:r w:rsidR="00202084">
          <w:rPr>
            <w:noProof/>
          </w:rPr>
          <w:t>1</w:t>
        </w:r>
        <w:r>
          <w:fldChar w:fldCharType="end"/>
        </w:r>
      </w:p>
    </w:sdtContent>
  </w:sdt>
  <w:p w:rsidR="00BB16AD" w:rsidRDefault="00BB16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682" w:rsidRDefault="00E01682" w:rsidP="009B6FDC">
      <w:r>
        <w:separator/>
      </w:r>
    </w:p>
  </w:footnote>
  <w:footnote w:type="continuationSeparator" w:id="0">
    <w:p w:rsidR="00E01682" w:rsidRDefault="00E01682" w:rsidP="009B6FDC">
      <w:r>
        <w:continuationSeparator/>
      </w:r>
    </w:p>
  </w:footnote>
  <w:footnote w:id="1">
    <w:p w:rsidR="00BB16AD" w:rsidRPr="001B219D" w:rsidRDefault="00BB16AD">
      <w:pPr>
        <w:pStyle w:val="Textonotapie"/>
      </w:pPr>
      <w:r>
        <w:rPr>
          <w:rStyle w:val="Refdenotaalpie"/>
        </w:rPr>
        <w:footnoteRef/>
      </w:r>
      <w:r>
        <w:t xml:space="preserve"> Cito por la edición de la MacMaster University disponible en la red.</w:t>
      </w:r>
      <w:r w:rsidR="001B219D">
        <w:t xml:space="preserve"> Las traducciones que figuran a pie de página pertenecen a la versión española de Carlos Mellizo (</w:t>
      </w:r>
      <w:r w:rsidR="001B219D">
        <w:rPr>
          <w:i/>
        </w:rPr>
        <w:t>Leviatán</w:t>
      </w:r>
      <w:r w:rsidR="001B219D">
        <w:t>, Madrid, Alianza, 1999).</w:t>
      </w:r>
    </w:p>
  </w:footnote>
  <w:footnote w:id="2">
    <w:p w:rsidR="00DB17DE" w:rsidRDefault="00DB17DE">
      <w:pPr>
        <w:pStyle w:val="Textonotapie"/>
      </w:pPr>
      <w:r>
        <w:rPr>
          <w:rStyle w:val="Refdenotaalpie"/>
        </w:rPr>
        <w:footnoteRef/>
      </w:r>
      <w:r>
        <w:t xml:space="preserve"> “</w:t>
      </w:r>
      <w:r w:rsidRPr="00DB17DE">
        <w:t>Algo más que consentimiento o concordia; es una verdadera unidad de todos en una y la misma persona, unidad a la que se llega mediante un acuerdo de cada hombre con cada hombre, como si cada uno estuviera diciendo al otro: autorizo y concedo el derecho de gobernarme a mí mismo, dando esa autoridad a este hombre o a esta asamblea de hombres, con la condición de que tú también le concedas tu propio derecho de igual manera, y le des esa autoridad en todas sus acciones. Una vez hecho esto, una multitud así unida en una persona es lo que</w:t>
      </w:r>
      <w:r w:rsidR="001B219D">
        <w:t xml:space="preserve"> llamamos República</w:t>
      </w:r>
      <w:r w:rsidRPr="00DB17DE">
        <w:t>, en latín Civitas</w:t>
      </w:r>
      <w:r>
        <w:t>”</w:t>
      </w:r>
      <w:r w:rsidRPr="00DB17DE">
        <w:t>.</w:t>
      </w:r>
    </w:p>
  </w:footnote>
  <w:footnote w:id="3">
    <w:p w:rsidR="0048536E" w:rsidRDefault="0048536E">
      <w:pPr>
        <w:pStyle w:val="Textonotapie"/>
      </w:pPr>
      <w:r>
        <w:rPr>
          <w:rStyle w:val="Refdenotaalpie"/>
        </w:rPr>
        <w:footnoteRef/>
      </w:r>
      <w:r>
        <w:t xml:space="preserve"> </w:t>
      </w:r>
      <w:r w:rsidR="00DB17DE">
        <w:t>“</w:t>
      </w:r>
      <w:r w:rsidR="00DB17DE" w:rsidRPr="00DB17DE">
        <w:t>La obligación de los súbditos para con el soberano se sobreentiende que durará lo que dure el poder de éste para protegerlos, y no más. Pues el derecho que por naturaleza tienen los hombres para protegerse a sí mismos cuando nadie más puede protegerlos, es un derecho al que no puede renunciarse m</w:t>
      </w:r>
      <w:r w:rsidR="00DB17DE">
        <w:t>ediante convenio alguno”.</w:t>
      </w:r>
    </w:p>
  </w:footnote>
  <w:footnote w:id="4">
    <w:p w:rsidR="00DB17DE" w:rsidRDefault="00DB17DE">
      <w:pPr>
        <w:pStyle w:val="Textonotapie"/>
      </w:pPr>
      <w:r>
        <w:rPr>
          <w:rStyle w:val="Refdenotaalpie"/>
        </w:rPr>
        <w:footnoteRef/>
      </w:r>
      <w:r>
        <w:t xml:space="preserve"> “</w:t>
      </w:r>
      <w:r w:rsidRPr="00DB17DE">
        <w:t>Si el soberano manda a un hombre (aunque éste haya sido condenado justamente) a que se mate, se hiera o se mutile a sí mismo, o que no haga resistencia a quienes lo asaltan, o que se abstenga de hacer uso de comida, aire, medicina o cualquier otra cosa sin la cual no podrá vivir, ese hombre tendrá la libertad de desobedecer</w:t>
      </w:r>
      <w:r>
        <w:t>”.</w:t>
      </w:r>
    </w:p>
  </w:footnote>
  <w:footnote w:id="5">
    <w:p w:rsidR="00DB17DE" w:rsidRDefault="00DB17DE">
      <w:pPr>
        <w:pStyle w:val="Textonotapie"/>
      </w:pPr>
      <w:r>
        <w:rPr>
          <w:rStyle w:val="Refdenotaalpie"/>
        </w:rPr>
        <w:footnoteRef/>
      </w:r>
      <w:r>
        <w:t xml:space="preserve"> “</w:t>
      </w:r>
      <w:r w:rsidRPr="00BB16AD">
        <w:t>La función del soberano (…) consiste en el fin para el cual fue investido con el poder soberano, a saber, procurar la seguridad del pueblo (…). Pero por seguridad no debe aquí entenderse una mera preservación, sino también todas las demás satisfacciones de la vida que cada hombre, mediante su legítimo trabajo, y sin peligro o daño para el estado, adquiera para sí</w:t>
      </w:r>
      <w:r>
        <w:t>”.</w:t>
      </w:r>
    </w:p>
  </w:footnote>
  <w:footnote w:id="6">
    <w:p w:rsidR="00DB17DE" w:rsidRDefault="00DB17DE">
      <w:pPr>
        <w:pStyle w:val="Textonotapie"/>
      </w:pPr>
      <w:r>
        <w:rPr>
          <w:rStyle w:val="Refdenotaalpie"/>
        </w:rPr>
        <w:footnoteRef/>
      </w:r>
      <w:r>
        <w:t xml:space="preserve"> “</w:t>
      </w:r>
      <w:r w:rsidRPr="00DB17DE">
        <w:t>La libertad de un súbdito radica, por tanto, solamente, en aquellas cosas que en la regulación de sus acciones ha pretermitido el soberano: por ejemplo, la libertad de comprar y vender y de hacer, entre sí, contratos de otro género, de escoger su propia residencia, su propio alimento, su propio género de vida, e instruir a sus niños como crea conveniente, etc.</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E77F5"/>
    <w:multiLevelType w:val="hybridMultilevel"/>
    <w:tmpl w:val="08EEE8A4"/>
    <w:lvl w:ilvl="0" w:tplc="C6F07C82">
      <w:start w:val="3"/>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2C25DDE"/>
    <w:multiLevelType w:val="hybridMultilevel"/>
    <w:tmpl w:val="2F5C333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3700450B"/>
    <w:multiLevelType w:val="hybridMultilevel"/>
    <w:tmpl w:val="BE50A77A"/>
    <w:lvl w:ilvl="0" w:tplc="C6F07C82">
      <w:start w:val="3"/>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51627EC"/>
    <w:multiLevelType w:val="hybridMultilevel"/>
    <w:tmpl w:val="FB9669CC"/>
    <w:lvl w:ilvl="0" w:tplc="C6F07C82">
      <w:start w:val="5"/>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75813508"/>
    <w:multiLevelType w:val="hybridMultilevel"/>
    <w:tmpl w:val="59DEEB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398"/>
    <w:rsid w:val="00012360"/>
    <w:rsid w:val="000503E2"/>
    <w:rsid w:val="000618DE"/>
    <w:rsid w:val="000651BD"/>
    <w:rsid w:val="000B39A8"/>
    <w:rsid w:val="000C788B"/>
    <w:rsid w:val="001B219D"/>
    <w:rsid w:val="00202084"/>
    <w:rsid w:val="00282BCD"/>
    <w:rsid w:val="003007FF"/>
    <w:rsid w:val="00303398"/>
    <w:rsid w:val="00331A3E"/>
    <w:rsid w:val="0034682B"/>
    <w:rsid w:val="00354CE1"/>
    <w:rsid w:val="003B07A7"/>
    <w:rsid w:val="003D61C7"/>
    <w:rsid w:val="00474FC3"/>
    <w:rsid w:val="0048536E"/>
    <w:rsid w:val="00494812"/>
    <w:rsid w:val="0049707F"/>
    <w:rsid w:val="004F42F0"/>
    <w:rsid w:val="00500EA7"/>
    <w:rsid w:val="00577657"/>
    <w:rsid w:val="00584BF9"/>
    <w:rsid w:val="00597993"/>
    <w:rsid w:val="005A6D41"/>
    <w:rsid w:val="005F4A83"/>
    <w:rsid w:val="00642039"/>
    <w:rsid w:val="00684F92"/>
    <w:rsid w:val="006A7173"/>
    <w:rsid w:val="006D429A"/>
    <w:rsid w:val="006D4C5A"/>
    <w:rsid w:val="006E57D6"/>
    <w:rsid w:val="0072492D"/>
    <w:rsid w:val="00726510"/>
    <w:rsid w:val="007574EA"/>
    <w:rsid w:val="007A293C"/>
    <w:rsid w:val="007D294D"/>
    <w:rsid w:val="007D5862"/>
    <w:rsid w:val="007F3C26"/>
    <w:rsid w:val="00812734"/>
    <w:rsid w:val="00862640"/>
    <w:rsid w:val="008A38B2"/>
    <w:rsid w:val="008A4205"/>
    <w:rsid w:val="008D0B5F"/>
    <w:rsid w:val="0094237E"/>
    <w:rsid w:val="009A5D62"/>
    <w:rsid w:val="009B6FDC"/>
    <w:rsid w:val="00AE2607"/>
    <w:rsid w:val="00B07663"/>
    <w:rsid w:val="00B34CDC"/>
    <w:rsid w:val="00B53EA5"/>
    <w:rsid w:val="00B6391E"/>
    <w:rsid w:val="00BB16AD"/>
    <w:rsid w:val="00BF3750"/>
    <w:rsid w:val="00C23B24"/>
    <w:rsid w:val="00C535F5"/>
    <w:rsid w:val="00CA3067"/>
    <w:rsid w:val="00CC7C4C"/>
    <w:rsid w:val="00CD6211"/>
    <w:rsid w:val="00D80E60"/>
    <w:rsid w:val="00DA6FE8"/>
    <w:rsid w:val="00DB17DE"/>
    <w:rsid w:val="00E01682"/>
    <w:rsid w:val="00E05657"/>
    <w:rsid w:val="00E41B41"/>
    <w:rsid w:val="00EF66FB"/>
    <w:rsid w:val="00F23340"/>
    <w:rsid w:val="00F249FC"/>
    <w:rsid w:val="00F34272"/>
    <w:rsid w:val="00FB38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750"/>
    <w:pPr>
      <w:spacing w:after="0" w:line="240" w:lineRule="auto"/>
      <w:jc w:val="both"/>
    </w:pPr>
    <w:rPr>
      <w:rFonts w:ascii="Times New Roman" w:hAnsi="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E57D6"/>
    <w:pPr>
      <w:ind w:left="720"/>
      <w:contextualSpacing/>
    </w:pPr>
  </w:style>
  <w:style w:type="paragraph" w:styleId="Textonotapie">
    <w:name w:val="footnote text"/>
    <w:basedOn w:val="Normal"/>
    <w:link w:val="TextonotapieCar"/>
    <w:uiPriority w:val="99"/>
    <w:semiHidden/>
    <w:unhideWhenUsed/>
    <w:rsid w:val="009B6FDC"/>
    <w:rPr>
      <w:sz w:val="20"/>
      <w:szCs w:val="20"/>
    </w:rPr>
  </w:style>
  <w:style w:type="character" w:customStyle="1" w:styleId="TextonotapieCar">
    <w:name w:val="Texto nota pie Car"/>
    <w:basedOn w:val="Fuentedeprrafopredeter"/>
    <w:link w:val="Textonotapie"/>
    <w:uiPriority w:val="99"/>
    <w:semiHidden/>
    <w:rsid w:val="009B6FDC"/>
    <w:rPr>
      <w:rFonts w:ascii="Times New Roman" w:hAnsi="Times New Roman"/>
      <w:sz w:val="20"/>
      <w:szCs w:val="20"/>
    </w:rPr>
  </w:style>
  <w:style w:type="character" w:styleId="Refdenotaalpie">
    <w:name w:val="footnote reference"/>
    <w:basedOn w:val="Fuentedeprrafopredeter"/>
    <w:uiPriority w:val="99"/>
    <w:semiHidden/>
    <w:unhideWhenUsed/>
    <w:rsid w:val="009B6FDC"/>
    <w:rPr>
      <w:vertAlign w:val="superscript"/>
    </w:rPr>
  </w:style>
  <w:style w:type="paragraph" w:styleId="Encabezado">
    <w:name w:val="header"/>
    <w:basedOn w:val="Normal"/>
    <w:link w:val="EncabezadoCar"/>
    <w:uiPriority w:val="99"/>
    <w:unhideWhenUsed/>
    <w:rsid w:val="003B07A7"/>
    <w:pPr>
      <w:tabs>
        <w:tab w:val="center" w:pos="4252"/>
        <w:tab w:val="right" w:pos="8504"/>
      </w:tabs>
    </w:pPr>
  </w:style>
  <w:style w:type="character" w:customStyle="1" w:styleId="EncabezadoCar">
    <w:name w:val="Encabezado Car"/>
    <w:basedOn w:val="Fuentedeprrafopredeter"/>
    <w:link w:val="Encabezado"/>
    <w:uiPriority w:val="99"/>
    <w:rsid w:val="003B07A7"/>
    <w:rPr>
      <w:rFonts w:ascii="Times New Roman" w:hAnsi="Times New Roman"/>
      <w:sz w:val="24"/>
    </w:rPr>
  </w:style>
  <w:style w:type="paragraph" w:styleId="Piedepgina">
    <w:name w:val="footer"/>
    <w:basedOn w:val="Normal"/>
    <w:link w:val="PiedepginaCar"/>
    <w:uiPriority w:val="99"/>
    <w:unhideWhenUsed/>
    <w:rsid w:val="003B07A7"/>
    <w:pPr>
      <w:tabs>
        <w:tab w:val="center" w:pos="4252"/>
        <w:tab w:val="right" w:pos="8504"/>
      </w:tabs>
    </w:pPr>
  </w:style>
  <w:style w:type="character" w:customStyle="1" w:styleId="PiedepginaCar">
    <w:name w:val="Pie de página Car"/>
    <w:basedOn w:val="Fuentedeprrafopredeter"/>
    <w:link w:val="Piedepgina"/>
    <w:uiPriority w:val="99"/>
    <w:rsid w:val="003B07A7"/>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750"/>
    <w:pPr>
      <w:spacing w:after="0" w:line="240" w:lineRule="auto"/>
      <w:jc w:val="both"/>
    </w:pPr>
    <w:rPr>
      <w:rFonts w:ascii="Times New Roman" w:hAnsi="Times New Roman"/>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E57D6"/>
    <w:pPr>
      <w:ind w:left="720"/>
      <w:contextualSpacing/>
    </w:pPr>
  </w:style>
  <w:style w:type="paragraph" w:styleId="Textonotapie">
    <w:name w:val="footnote text"/>
    <w:basedOn w:val="Normal"/>
    <w:link w:val="TextonotapieCar"/>
    <w:uiPriority w:val="99"/>
    <w:semiHidden/>
    <w:unhideWhenUsed/>
    <w:rsid w:val="009B6FDC"/>
    <w:rPr>
      <w:sz w:val="20"/>
      <w:szCs w:val="20"/>
    </w:rPr>
  </w:style>
  <w:style w:type="character" w:customStyle="1" w:styleId="TextonotapieCar">
    <w:name w:val="Texto nota pie Car"/>
    <w:basedOn w:val="Fuentedeprrafopredeter"/>
    <w:link w:val="Textonotapie"/>
    <w:uiPriority w:val="99"/>
    <w:semiHidden/>
    <w:rsid w:val="009B6FDC"/>
    <w:rPr>
      <w:rFonts w:ascii="Times New Roman" w:hAnsi="Times New Roman"/>
      <w:sz w:val="20"/>
      <w:szCs w:val="20"/>
    </w:rPr>
  </w:style>
  <w:style w:type="character" w:styleId="Refdenotaalpie">
    <w:name w:val="footnote reference"/>
    <w:basedOn w:val="Fuentedeprrafopredeter"/>
    <w:uiPriority w:val="99"/>
    <w:semiHidden/>
    <w:unhideWhenUsed/>
    <w:rsid w:val="009B6FDC"/>
    <w:rPr>
      <w:vertAlign w:val="superscript"/>
    </w:rPr>
  </w:style>
  <w:style w:type="paragraph" w:styleId="Encabezado">
    <w:name w:val="header"/>
    <w:basedOn w:val="Normal"/>
    <w:link w:val="EncabezadoCar"/>
    <w:uiPriority w:val="99"/>
    <w:unhideWhenUsed/>
    <w:rsid w:val="003B07A7"/>
    <w:pPr>
      <w:tabs>
        <w:tab w:val="center" w:pos="4252"/>
        <w:tab w:val="right" w:pos="8504"/>
      </w:tabs>
    </w:pPr>
  </w:style>
  <w:style w:type="character" w:customStyle="1" w:styleId="EncabezadoCar">
    <w:name w:val="Encabezado Car"/>
    <w:basedOn w:val="Fuentedeprrafopredeter"/>
    <w:link w:val="Encabezado"/>
    <w:uiPriority w:val="99"/>
    <w:rsid w:val="003B07A7"/>
    <w:rPr>
      <w:rFonts w:ascii="Times New Roman" w:hAnsi="Times New Roman"/>
      <w:sz w:val="24"/>
    </w:rPr>
  </w:style>
  <w:style w:type="paragraph" w:styleId="Piedepgina">
    <w:name w:val="footer"/>
    <w:basedOn w:val="Normal"/>
    <w:link w:val="PiedepginaCar"/>
    <w:uiPriority w:val="99"/>
    <w:unhideWhenUsed/>
    <w:rsid w:val="003B07A7"/>
    <w:pPr>
      <w:tabs>
        <w:tab w:val="center" w:pos="4252"/>
        <w:tab w:val="right" w:pos="8504"/>
      </w:tabs>
    </w:pPr>
  </w:style>
  <w:style w:type="character" w:customStyle="1" w:styleId="PiedepginaCar">
    <w:name w:val="Pie de página Car"/>
    <w:basedOn w:val="Fuentedeprrafopredeter"/>
    <w:link w:val="Piedepgina"/>
    <w:uiPriority w:val="99"/>
    <w:rsid w:val="003B07A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5986D-2180-49FD-98E5-7EEB4D533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4759</Words>
  <Characters>26180</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RICARDO</dc:creator>
  <cp:lastModifiedBy>RICARDO</cp:lastModifiedBy>
  <cp:revision>2</cp:revision>
  <dcterms:created xsi:type="dcterms:W3CDTF">2017-06-27T07:38:00Z</dcterms:created>
  <dcterms:modified xsi:type="dcterms:W3CDTF">2017-06-27T07:38:00Z</dcterms:modified>
</cp:coreProperties>
</file>