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FE3" w:rsidRDefault="00F32FE3" w:rsidP="00717B71">
      <w:pPr>
        <w:pStyle w:val="Heading1"/>
      </w:pPr>
    </w:p>
    <w:p w:rsidR="00680C70" w:rsidRDefault="00680C70" w:rsidP="00680C70"/>
    <w:p w:rsidR="00680C70" w:rsidRDefault="00680C70" w:rsidP="00680C70"/>
    <w:p w:rsidR="00680C70" w:rsidRDefault="00680C70" w:rsidP="00680C70"/>
    <w:p w:rsidR="00680C70" w:rsidRDefault="00680C70" w:rsidP="00680C70"/>
    <w:p w:rsidR="00680C70" w:rsidRDefault="00680C70" w:rsidP="00680C70"/>
    <w:p w:rsidR="00680C70" w:rsidRDefault="00680C70" w:rsidP="00680C70"/>
    <w:p w:rsidR="00680C70" w:rsidRDefault="00680C70" w:rsidP="00680C70"/>
    <w:p w:rsidR="00680C70" w:rsidRPr="00680C70" w:rsidRDefault="00680C70" w:rsidP="00680C70"/>
    <w:p w:rsidR="00680C70" w:rsidRDefault="00327133" w:rsidP="00AF071B">
      <w:pPr>
        <w:pStyle w:val="Heading1"/>
        <w:jc w:val="center"/>
      </w:pPr>
      <w:bookmarkStart w:id="0" w:name="_Toc485765241"/>
      <w:bookmarkStart w:id="1" w:name="_Toc485765659"/>
      <w:r>
        <w:t xml:space="preserve">El movimiento de trabajadoras del hogar en la Bolivia de Evo Morales: demandas y políticas públicas </w:t>
      </w:r>
      <w:r w:rsidR="00037FBB">
        <w:t>(2006-2016)</w:t>
      </w:r>
      <w:bookmarkEnd w:id="0"/>
      <w:bookmarkEnd w:id="1"/>
    </w:p>
    <w:p w:rsidR="00680C70" w:rsidRDefault="00680C70"/>
    <w:p w:rsidR="00680C70" w:rsidRDefault="00AF071B" w:rsidP="003F6248">
      <w:pPr>
        <w:jc w:val="right"/>
      </w:pPr>
      <w:r w:rsidRPr="003F6248">
        <w:t>[Número de palabras excluyendo la bibliografía:</w:t>
      </w:r>
      <w:r w:rsidR="003F6248" w:rsidRPr="003F6248">
        <w:t xml:space="preserve"> 7993</w:t>
      </w:r>
      <w:r w:rsidRPr="003F6248">
        <w:t>]</w:t>
      </w:r>
    </w:p>
    <w:p w:rsidR="00680C70" w:rsidRDefault="00680C70"/>
    <w:p w:rsidR="00680C70" w:rsidRDefault="00680C70"/>
    <w:p w:rsidR="00680C70" w:rsidRDefault="00680C70"/>
    <w:p w:rsidR="00680C70" w:rsidRDefault="00680C70"/>
    <w:p w:rsidR="00680C70" w:rsidRDefault="00680C70"/>
    <w:p w:rsidR="00327133" w:rsidRDefault="00327133"/>
    <w:p w:rsidR="00680C70" w:rsidRPr="00C107F4" w:rsidRDefault="00680C70"/>
    <w:p w:rsidR="00037FBB" w:rsidRPr="00327133" w:rsidRDefault="00037FBB">
      <w:r w:rsidRPr="00327133">
        <w:t>Pablo Castaño Tierno</w:t>
      </w:r>
    </w:p>
    <w:p w:rsidR="00037FBB" w:rsidRPr="00327133" w:rsidRDefault="00327133">
      <w:r w:rsidRPr="00327133">
        <w:t>Estudiante de doctorado en Sociología</w:t>
      </w:r>
    </w:p>
    <w:p w:rsidR="00037FBB" w:rsidRDefault="00037FBB">
      <w:pPr>
        <w:rPr>
          <w:lang w:val="en-GB"/>
        </w:rPr>
      </w:pPr>
      <w:r w:rsidRPr="00037FBB">
        <w:rPr>
          <w:lang w:val="en-GB"/>
        </w:rPr>
        <w:t>Goldsmiths, University of London</w:t>
      </w:r>
    </w:p>
    <w:p w:rsidR="00680C70" w:rsidRPr="00680C70" w:rsidRDefault="00037FBB" w:rsidP="00680C70">
      <w:pPr>
        <w:spacing w:after="160" w:line="259" w:lineRule="auto"/>
        <w:jc w:val="left"/>
        <w:rPr>
          <w:lang w:val="en-GB"/>
        </w:rPr>
      </w:pPr>
      <w:r>
        <w:rPr>
          <w:lang w:val="en-GB"/>
        </w:rPr>
        <w:br w:type="page"/>
      </w:r>
    </w:p>
    <w:sdt>
      <w:sdtPr>
        <w:rPr>
          <w:rFonts w:asciiTheme="minorHAnsi" w:eastAsiaTheme="minorHAnsi" w:hAnsiTheme="minorHAnsi" w:cstheme="minorBidi"/>
          <w:color w:val="auto"/>
          <w:sz w:val="24"/>
          <w:szCs w:val="22"/>
          <w:lang w:val="es-ES"/>
        </w:rPr>
        <w:id w:val="931794376"/>
        <w:docPartObj>
          <w:docPartGallery w:val="Table of Contents"/>
          <w:docPartUnique/>
        </w:docPartObj>
      </w:sdtPr>
      <w:sdtEndPr>
        <w:rPr>
          <w:b/>
          <w:bCs/>
          <w:noProof/>
        </w:rPr>
      </w:sdtEndPr>
      <w:sdtContent>
        <w:p w:rsidR="00680C70" w:rsidRDefault="00680C70">
          <w:pPr>
            <w:pStyle w:val="TOCHeading"/>
          </w:pPr>
          <w:proofErr w:type="spellStart"/>
          <w:r>
            <w:t>Índice</w:t>
          </w:r>
          <w:proofErr w:type="spellEnd"/>
        </w:p>
        <w:p w:rsidR="00680C70" w:rsidRDefault="00680C70" w:rsidP="002C3927">
          <w:pPr>
            <w:pStyle w:val="TOC1"/>
          </w:pPr>
        </w:p>
        <w:p w:rsidR="004A119C" w:rsidRPr="002C3927" w:rsidRDefault="00680C70" w:rsidP="002C3927">
          <w:pPr>
            <w:pStyle w:val="TOC1"/>
            <w:rPr>
              <w:rStyle w:val="Hyperlink"/>
              <w:b w:val="0"/>
            </w:rPr>
          </w:pPr>
          <w:r>
            <w:fldChar w:fldCharType="begin"/>
          </w:r>
          <w:r>
            <w:instrText xml:space="preserve"> TOC \o "1-3" \h \z \u </w:instrText>
          </w:r>
          <w:r>
            <w:fldChar w:fldCharType="separate"/>
          </w:r>
          <w:hyperlink w:anchor="_Toc485765659" w:history="1"/>
          <w:hyperlink w:anchor="_Toc485765660" w:history="1">
            <w:r w:rsidR="004A119C" w:rsidRPr="002C3927">
              <w:rPr>
                <w:rStyle w:val="Hyperlink"/>
              </w:rPr>
              <w:t>Introducción</w:t>
            </w:r>
            <w:r w:rsidR="004A119C" w:rsidRPr="002C3927">
              <w:rPr>
                <w:webHidden/>
              </w:rPr>
              <w:tab/>
            </w:r>
            <w:r w:rsidR="004A119C" w:rsidRPr="002C3927">
              <w:rPr>
                <w:webHidden/>
              </w:rPr>
              <w:fldChar w:fldCharType="begin"/>
            </w:r>
            <w:r w:rsidR="004A119C" w:rsidRPr="002C3927">
              <w:rPr>
                <w:webHidden/>
              </w:rPr>
              <w:instrText xml:space="preserve"> PAGEREF _Toc485765660 \h </w:instrText>
            </w:r>
            <w:r w:rsidR="004A119C" w:rsidRPr="002C3927">
              <w:rPr>
                <w:webHidden/>
              </w:rPr>
            </w:r>
            <w:r w:rsidR="004A119C" w:rsidRPr="002C3927">
              <w:rPr>
                <w:webHidden/>
              </w:rPr>
              <w:fldChar w:fldCharType="separate"/>
            </w:r>
            <w:r w:rsidR="00F4364A">
              <w:rPr>
                <w:webHidden/>
              </w:rPr>
              <w:t>5</w:t>
            </w:r>
            <w:r w:rsidR="004A119C" w:rsidRPr="002C3927">
              <w:rPr>
                <w:webHidden/>
              </w:rPr>
              <w:fldChar w:fldCharType="end"/>
            </w:r>
          </w:hyperlink>
        </w:p>
        <w:p w:rsidR="002C3927" w:rsidRPr="002C3927" w:rsidRDefault="002C3927" w:rsidP="002C3927"/>
        <w:p w:rsidR="004A119C" w:rsidRDefault="000009F0" w:rsidP="002C3927">
          <w:pPr>
            <w:pStyle w:val="TOC1"/>
            <w:rPr>
              <w:rFonts w:eastAsiaTheme="minorEastAsia"/>
              <w:sz w:val="22"/>
              <w:lang w:eastAsia="es-ES"/>
            </w:rPr>
          </w:pPr>
          <w:hyperlink w:anchor="_Toc485765661" w:history="1">
            <w:r w:rsidR="004A119C" w:rsidRPr="003312EE">
              <w:rPr>
                <w:rStyle w:val="Hyperlink"/>
              </w:rPr>
              <w:t>Parte 1: Metodología, pregunta de investigación y objetivos de investigación</w:t>
            </w:r>
            <w:r w:rsidR="004A119C">
              <w:rPr>
                <w:webHidden/>
              </w:rPr>
              <w:tab/>
            </w:r>
            <w:r w:rsidR="004A119C">
              <w:rPr>
                <w:webHidden/>
              </w:rPr>
              <w:fldChar w:fldCharType="begin"/>
            </w:r>
            <w:r w:rsidR="004A119C">
              <w:rPr>
                <w:webHidden/>
              </w:rPr>
              <w:instrText xml:space="preserve"> PAGEREF _Toc485765661 \h </w:instrText>
            </w:r>
            <w:r w:rsidR="004A119C">
              <w:rPr>
                <w:webHidden/>
              </w:rPr>
            </w:r>
            <w:r w:rsidR="004A119C">
              <w:rPr>
                <w:webHidden/>
              </w:rPr>
              <w:fldChar w:fldCharType="separate"/>
            </w:r>
            <w:r w:rsidR="00F4364A">
              <w:rPr>
                <w:webHidden/>
              </w:rPr>
              <w:t>7</w:t>
            </w:r>
            <w:r w:rsidR="004A119C">
              <w:rPr>
                <w:webHidden/>
              </w:rPr>
              <w:fldChar w:fldCharType="end"/>
            </w:r>
          </w:hyperlink>
        </w:p>
        <w:p w:rsidR="004A119C" w:rsidRDefault="000009F0">
          <w:pPr>
            <w:pStyle w:val="TOC2"/>
            <w:tabs>
              <w:tab w:val="right" w:leader="dot" w:pos="8494"/>
            </w:tabs>
            <w:rPr>
              <w:rFonts w:eastAsiaTheme="minorEastAsia"/>
              <w:noProof/>
              <w:sz w:val="22"/>
              <w:lang w:eastAsia="es-ES"/>
            </w:rPr>
          </w:pPr>
          <w:hyperlink w:anchor="_Toc485765662" w:history="1">
            <w:r w:rsidR="004A119C" w:rsidRPr="003312EE">
              <w:rPr>
                <w:rStyle w:val="Hyperlink"/>
                <w:noProof/>
              </w:rPr>
              <w:t>1. Metodología</w:t>
            </w:r>
            <w:r w:rsidR="004A119C">
              <w:rPr>
                <w:noProof/>
                <w:webHidden/>
              </w:rPr>
              <w:tab/>
            </w:r>
            <w:r w:rsidR="004A119C">
              <w:rPr>
                <w:noProof/>
                <w:webHidden/>
              </w:rPr>
              <w:fldChar w:fldCharType="begin"/>
            </w:r>
            <w:r w:rsidR="004A119C">
              <w:rPr>
                <w:noProof/>
                <w:webHidden/>
              </w:rPr>
              <w:instrText xml:space="preserve"> PAGEREF _Toc485765662 \h </w:instrText>
            </w:r>
            <w:r w:rsidR="004A119C">
              <w:rPr>
                <w:noProof/>
                <w:webHidden/>
              </w:rPr>
            </w:r>
            <w:r w:rsidR="004A119C">
              <w:rPr>
                <w:noProof/>
                <w:webHidden/>
              </w:rPr>
              <w:fldChar w:fldCharType="separate"/>
            </w:r>
            <w:r w:rsidR="00F4364A">
              <w:rPr>
                <w:noProof/>
                <w:webHidden/>
              </w:rPr>
              <w:t>7</w:t>
            </w:r>
            <w:r w:rsidR="004A119C">
              <w:rPr>
                <w:noProof/>
                <w:webHidden/>
              </w:rPr>
              <w:fldChar w:fldCharType="end"/>
            </w:r>
          </w:hyperlink>
        </w:p>
        <w:p w:rsidR="004A119C" w:rsidRDefault="000009F0">
          <w:pPr>
            <w:pStyle w:val="TOC2"/>
            <w:tabs>
              <w:tab w:val="right" w:leader="dot" w:pos="8494"/>
            </w:tabs>
            <w:rPr>
              <w:rFonts w:eastAsiaTheme="minorEastAsia"/>
              <w:noProof/>
              <w:sz w:val="22"/>
              <w:lang w:eastAsia="es-ES"/>
            </w:rPr>
          </w:pPr>
          <w:hyperlink w:anchor="_Toc485765663" w:history="1">
            <w:r w:rsidR="004A119C" w:rsidRPr="003312EE">
              <w:rPr>
                <w:rStyle w:val="Hyperlink"/>
                <w:noProof/>
              </w:rPr>
              <w:t>1.1. Análisis temático de contenido de documentos</w:t>
            </w:r>
            <w:r w:rsidR="004A119C">
              <w:rPr>
                <w:noProof/>
                <w:webHidden/>
              </w:rPr>
              <w:tab/>
            </w:r>
            <w:r w:rsidR="004A119C">
              <w:rPr>
                <w:noProof/>
                <w:webHidden/>
              </w:rPr>
              <w:fldChar w:fldCharType="begin"/>
            </w:r>
            <w:r w:rsidR="004A119C">
              <w:rPr>
                <w:noProof/>
                <w:webHidden/>
              </w:rPr>
              <w:instrText xml:space="preserve"> PAGEREF _Toc485765663 \h </w:instrText>
            </w:r>
            <w:r w:rsidR="004A119C">
              <w:rPr>
                <w:noProof/>
                <w:webHidden/>
              </w:rPr>
            </w:r>
            <w:r w:rsidR="004A119C">
              <w:rPr>
                <w:noProof/>
                <w:webHidden/>
              </w:rPr>
              <w:fldChar w:fldCharType="separate"/>
            </w:r>
            <w:r w:rsidR="00F4364A">
              <w:rPr>
                <w:noProof/>
                <w:webHidden/>
              </w:rPr>
              <w:t>7</w:t>
            </w:r>
            <w:r w:rsidR="004A119C">
              <w:rPr>
                <w:noProof/>
                <w:webHidden/>
              </w:rPr>
              <w:fldChar w:fldCharType="end"/>
            </w:r>
          </w:hyperlink>
        </w:p>
        <w:p w:rsidR="004A119C" w:rsidRDefault="000009F0">
          <w:pPr>
            <w:pStyle w:val="TOC2"/>
            <w:tabs>
              <w:tab w:val="right" w:leader="dot" w:pos="8494"/>
            </w:tabs>
            <w:rPr>
              <w:rFonts w:eastAsiaTheme="minorEastAsia"/>
              <w:noProof/>
              <w:sz w:val="22"/>
              <w:lang w:eastAsia="es-ES"/>
            </w:rPr>
          </w:pPr>
          <w:hyperlink w:anchor="_Toc485765664" w:history="1">
            <w:r w:rsidR="004A119C" w:rsidRPr="003312EE">
              <w:rPr>
                <w:rStyle w:val="Hyperlink"/>
                <w:noProof/>
              </w:rPr>
              <w:t>1.2. Entrevistas semi-estructuradas</w:t>
            </w:r>
            <w:r w:rsidR="004A119C">
              <w:rPr>
                <w:noProof/>
                <w:webHidden/>
              </w:rPr>
              <w:tab/>
            </w:r>
            <w:r w:rsidR="004A119C">
              <w:rPr>
                <w:noProof/>
                <w:webHidden/>
              </w:rPr>
              <w:fldChar w:fldCharType="begin"/>
            </w:r>
            <w:r w:rsidR="004A119C">
              <w:rPr>
                <w:noProof/>
                <w:webHidden/>
              </w:rPr>
              <w:instrText xml:space="preserve"> PAGEREF _Toc485765664 \h </w:instrText>
            </w:r>
            <w:r w:rsidR="004A119C">
              <w:rPr>
                <w:noProof/>
                <w:webHidden/>
              </w:rPr>
            </w:r>
            <w:r w:rsidR="004A119C">
              <w:rPr>
                <w:noProof/>
                <w:webHidden/>
              </w:rPr>
              <w:fldChar w:fldCharType="separate"/>
            </w:r>
            <w:r w:rsidR="00F4364A">
              <w:rPr>
                <w:noProof/>
                <w:webHidden/>
              </w:rPr>
              <w:t>8</w:t>
            </w:r>
            <w:r w:rsidR="004A119C">
              <w:rPr>
                <w:noProof/>
                <w:webHidden/>
              </w:rPr>
              <w:fldChar w:fldCharType="end"/>
            </w:r>
          </w:hyperlink>
        </w:p>
        <w:p w:rsidR="004A119C" w:rsidRDefault="000009F0">
          <w:pPr>
            <w:pStyle w:val="TOC2"/>
            <w:tabs>
              <w:tab w:val="right" w:leader="dot" w:pos="8494"/>
            </w:tabs>
            <w:rPr>
              <w:rStyle w:val="Hyperlink"/>
              <w:noProof/>
            </w:rPr>
          </w:pPr>
          <w:hyperlink w:anchor="_Toc485765665" w:history="1">
            <w:r w:rsidR="004A119C" w:rsidRPr="003312EE">
              <w:rPr>
                <w:rStyle w:val="Hyperlink"/>
                <w:noProof/>
              </w:rPr>
              <w:t>2. Pregunta y objetivos de investigación</w:t>
            </w:r>
            <w:r w:rsidR="004A119C">
              <w:rPr>
                <w:noProof/>
                <w:webHidden/>
              </w:rPr>
              <w:tab/>
            </w:r>
            <w:r w:rsidR="004A119C">
              <w:rPr>
                <w:noProof/>
                <w:webHidden/>
              </w:rPr>
              <w:fldChar w:fldCharType="begin"/>
            </w:r>
            <w:r w:rsidR="004A119C">
              <w:rPr>
                <w:noProof/>
                <w:webHidden/>
              </w:rPr>
              <w:instrText xml:space="preserve"> PAGEREF _Toc485765665 \h </w:instrText>
            </w:r>
            <w:r w:rsidR="004A119C">
              <w:rPr>
                <w:noProof/>
                <w:webHidden/>
              </w:rPr>
            </w:r>
            <w:r w:rsidR="004A119C">
              <w:rPr>
                <w:noProof/>
                <w:webHidden/>
              </w:rPr>
              <w:fldChar w:fldCharType="separate"/>
            </w:r>
            <w:r w:rsidR="00F4364A">
              <w:rPr>
                <w:noProof/>
                <w:webHidden/>
              </w:rPr>
              <w:t>8</w:t>
            </w:r>
            <w:r w:rsidR="004A119C">
              <w:rPr>
                <w:noProof/>
                <w:webHidden/>
              </w:rPr>
              <w:fldChar w:fldCharType="end"/>
            </w:r>
          </w:hyperlink>
        </w:p>
        <w:p w:rsidR="002C3927" w:rsidRPr="002C3927" w:rsidRDefault="002C3927" w:rsidP="002C3927"/>
        <w:p w:rsidR="004A119C" w:rsidRDefault="000009F0" w:rsidP="002C3927">
          <w:pPr>
            <w:pStyle w:val="TOC1"/>
            <w:rPr>
              <w:rFonts w:eastAsiaTheme="minorEastAsia"/>
              <w:sz w:val="22"/>
              <w:lang w:eastAsia="es-ES"/>
            </w:rPr>
          </w:pPr>
          <w:hyperlink w:anchor="_Toc485765666" w:history="1">
            <w:r w:rsidR="004A119C" w:rsidRPr="003312EE">
              <w:rPr>
                <w:rStyle w:val="Hyperlink"/>
              </w:rPr>
              <w:t>Parte 2. Las demandas de políticas públicas del movimiento boliviano de trabajadoras del hogar (2006-2016)</w:t>
            </w:r>
            <w:r w:rsidR="004A119C">
              <w:rPr>
                <w:webHidden/>
              </w:rPr>
              <w:tab/>
            </w:r>
            <w:r w:rsidR="004A119C">
              <w:rPr>
                <w:webHidden/>
              </w:rPr>
              <w:fldChar w:fldCharType="begin"/>
            </w:r>
            <w:r w:rsidR="004A119C">
              <w:rPr>
                <w:webHidden/>
              </w:rPr>
              <w:instrText xml:space="preserve"> PAGEREF _Toc485765666 \h </w:instrText>
            </w:r>
            <w:r w:rsidR="004A119C">
              <w:rPr>
                <w:webHidden/>
              </w:rPr>
            </w:r>
            <w:r w:rsidR="004A119C">
              <w:rPr>
                <w:webHidden/>
              </w:rPr>
              <w:fldChar w:fldCharType="separate"/>
            </w:r>
            <w:r w:rsidR="00F4364A">
              <w:rPr>
                <w:webHidden/>
              </w:rPr>
              <w:t>10</w:t>
            </w:r>
            <w:r w:rsidR="004A119C">
              <w:rPr>
                <w:webHidden/>
              </w:rPr>
              <w:fldChar w:fldCharType="end"/>
            </w:r>
          </w:hyperlink>
        </w:p>
        <w:p w:rsidR="004A119C" w:rsidRDefault="000009F0">
          <w:pPr>
            <w:pStyle w:val="TOC2"/>
            <w:tabs>
              <w:tab w:val="right" w:leader="dot" w:pos="8494"/>
            </w:tabs>
            <w:rPr>
              <w:rFonts w:eastAsiaTheme="minorEastAsia"/>
              <w:noProof/>
              <w:sz w:val="22"/>
              <w:lang w:eastAsia="es-ES"/>
            </w:rPr>
          </w:pPr>
          <w:hyperlink w:anchor="_Toc485765667" w:history="1">
            <w:r w:rsidR="004A119C" w:rsidRPr="003312EE">
              <w:rPr>
                <w:rStyle w:val="Hyperlink"/>
                <w:noProof/>
              </w:rPr>
              <w:t>1. Un salario justo y tiempo de descanso del trabajo</w:t>
            </w:r>
            <w:r w:rsidR="004A119C">
              <w:rPr>
                <w:noProof/>
                <w:webHidden/>
              </w:rPr>
              <w:tab/>
            </w:r>
            <w:r w:rsidR="004A119C">
              <w:rPr>
                <w:noProof/>
                <w:webHidden/>
              </w:rPr>
              <w:fldChar w:fldCharType="begin"/>
            </w:r>
            <w:r w:rsidR="004A119C">
              <w:rPr>
                <w:noProof/>
                <w:webHidden/>
              </w:rPr>
              <w:instrText xml:space="preserve"> PAGEREF _Toc485765667 \h </w:instrText>
            </w:r>
            <w:r w:rsidR="004A119C">
              <w:rPr>
                <w:noProof/>
                <w:webHidden/>
              </w:rPr>
            </w:r>
            <w:r w:rsidR="004A119C">
              <w:rPr>
                <w:noProof/>
                <w:webHidden/>
              </w:rPr>
              <w:fldChar w:fldCharType="separate"/>
            </w:r>
            <w:r w:rsidR="00F4364A">
              <w:rPr>
                <w:noProof/>
                <w:webHidden/>
              </w:rPr>
              <w:t>10</w:t>
            </w:r>
            <w:r w:rsidR="004A119C">
              <w:rPr>
                <w:noProof/>
                <w:webHidden/>
              </w:rPr>
              <w:fldChar w:fldCharType="end"/>
            </w:r>
          </w:hyperlink>
        </w:p>
        <w:p w:rsidR="004A119C" w:rsidRDefault="000009F0">
          <w:pPr>
            <w:pStyle w:val="TOC2"/>
            <w:tabs>
              <w:tab w:val="right" w:leader="dot" w:pos="8494"/>
            </w:tabs>
            <w:rPr>
              <w:rFonts w:eastAsiaTheme="minorEastAsia"/>
              <w:noProof/>
              <w:sz w:val="22"/>
              <w:lang w:eastAsia="es-ES"/>
            </w:rPr>
          </w:pPr>
          <w:hyperlink w:anchor="_Toc485765668" w:history="1">
            <w:r w:rsidR="004A119C" w:rsidRPr="003312EE">
              <w:rPr>
                <w:rStyle w:val="Hyperlink"/>
                <w:noProof/>
              </w:rPr>
              <w:t>2. Acceso a la atención sanitaria</w:t>
            </w:r>
            <w:r w:rsidR="004A119C">
              <w:rPr>
                <w:noProof/>
                <w:webHidden/>
              </w:rPr>
              <w:tab/>
            </w:r>
            <w:r w:rsidR="004A119C">
              <w:rPr>
                <w:noProof/>
                <w:webHidden/>
              </w:rPr>
              <w:fldChar w:fldCharType="begin"/>
            </w:r>
            <w:r w:rsidR="004A119C">
              <w:rPr>
                <w:noProof/>
                <w:webHidden/>
              </w:rPr>
              <w:instrText xml:space="preserve"> PAGEREF _Toc485765668 \h </w:instrText>
            </w:r>
            <w:r w:rsidR="004A119C">
              <w:rPr>
                <w:noProof/>
                <w:webHidden/>
              </w:rPr>
            </w:r>
            <w:r w:rsidR="004A119C">
              <w:rPr>
                <w:noProof/>
                <w:webHidden/>
              </w:rPr>
              <w:fldChar w:fldCharType="separate"/>
            </w:r>
            <w:r w:rsidR="00F4364A">
              <w:rPr>
                <w:noProof/>
                <w:webHidden/>
              </w:rPr>
              <w:t>11</w:t>
            </w:r>
            <w:r w:rsidR="004A119C">
              <w:rPr>
                <w:noProof/>
                <w:webHidden/>
              </w:rPr>
              <w:fldChar w:fldCharType="end"/>
            </w:r>
          </w:hyperlink>
        </w:p>
        <w:p w:rsidR="004A119C" w:rsidRDefault="000009F0">
          <w:pPr>
            <w:pStyle w:val="TOC2"/>
            <w:tabs>
              <w:tab w:val="right" w:leader="dot" w:pos="8494"/>
            </w:tabs>
            <w:rPr>
              <w:rFonts w:eastAsiaTheme="minorEastAsia"/>
              <w:noProof/>
              <w:sz w:val="22"/>
              <w:lang w:eastAsia="es-ES"/>
            </w:rPr>
          </w:pPr>
          <w:hyperlink w:anchor="_Toc485765669" w:history="1">
            <w:r w:rsidR="004A119C" w:rsidRPr="003312EE">
              <w:rPr>
                <w:rStyle w:val="Hyperlink"/>
                <w:noProof/>
              </w:rPr>
              <w:t>3. Acceso a la educación</w:t>
            </w:r>
            <w:r w:rsidR="004A119C">
              <w:rPr>
                <w:noProof/>
                <w:webHidden/>
              </w:rPr>
              <w:tab/>
            </w:r>
            <w:r w:rsidR="004A119C">
              <w:rPr>
                <w:noProof/>
                <w:webHidden/>
              </w:rPr>
              <w:fldChar w:fldCharType="begin"/>
            </w:r>
            <w:r w:rsidR="004A119C">
              <w:rPr>
                <w:noProof/>
                <w:webHidden/>
              </w:rPr>
              <w:instrText xml:space="preserve"> PAGEREF _Toc485765669 \h </w:instrText>
            </w:r>
            <w:r w:rsidR="004A119C">
              <w:rPr>
                <w:noProof/>
                <w:webHidden/>
              </w:rPr>
            </w:r>
            <w:r w:rsidR="004A119C">
              <w:rPr>
                <w:noProof/>
                <w:webHidden/>
              </w:rPr>
              <w:fldChar w:fldCharType="separate"/>
            </w:r>
            <w:r w:rsidR="00F4364A">
              <w:rPr>
                <w:noProof/>
                <w:webHidden/>
              </w:rPr>
              <w:t>11</w:t>
            </w:r>
            <w:r w:rsidR="004A119C">
              <w:rPr>
                <w:noProof/>
                <w:webHidden/>
              </w:rPr>
              <w:fldChar w:fldCharType="end"/>
            </w:r>
          </w:hyperlink>
        </w:p>
        <w:p w:rsidR="004A119C" w:rsidRDefault="000009F0">
          <w:pPr>
            <w:pStyle w:val="TOC2"/>
            <w:tabs>
              <w:tab w:val="right" w:leader="dot" w:pos="8494"/>
            </w:tabs>
            <w:rPr>
              <w:rFonts w:eastAsiaTheme="minorEastAsia"/>
              <w:noProof/>
              <w:sz w:val="22"/>
              <w:lang w:eastAsia="es-ES"/>
            </w:rPr>
          </w:pPr>
          <w:hyperlink w:anchor="_Toc485765670" w:history="1">
            <w:r w:rsidR="004A119C" w:rsidRPr="003312EE">
              <w:rPr>
                <w:rStyle w:val="Hyperlink"/>
                <w:noProof/>
              </w:rPr>
              <w:t>4. Acceso al sistema de pensiones</w:t>
            </w:r>
            <w:r w:rsidR="004A119C">
              <w:rPr>
                <w:noProof/>
                <w:webHidden/>
              </w:rPr>
              <w:tab/>
            </w:r>
            <w:r w:rsidR="004A119C">
              <w:rPr>
                <w:noProof/>
                <w:webHidden/>
              </w:rPr>
              <w:fldChar w:fldCharType="begin"/>
            </w:r>
            <w:r w:rsidR="004A119C">
              <w:rPr>
                <w:noProof/>
                <w:webHidden/>
              </w:rPr>
              <w:instrText xml:space="preserve"> PAGEREF _Toc485765670 \h </w:instrText>
            </w:r>
            <w:r w:rsidR="004A119C">
              <w:rPr>
                <w:noProof/>
                <w:webHidden/>
              </w:rPr>
            </w:r>
            <w:r w:rsidR="004A119C">
              <w:rPr>
                <w:noProof/>
                <w:webHidden/>
              </w:rPr>
              <w:fldChar w:fldCharType="separate"/>
            </w:r>
            <w:r w:rsidR="00F4364A">
              <w:rPr>
                <w:noProof/>
                <w:webHidden/>
              </w:rPr>
              <w:t>12</w:t>
            </w:r>
            <w:r w:rsidR="004A119C">
              <w:rPr>
                <w:noProof/>
                <w:webHidden/>
              </w:rPr>
              <w:fldChar w:fldCharType="end"/>
            </w:r>
          </w:hyperlink>
        </w:p>
        <w:p w:rsidR="004A119C" w:rsidRDefault="000009F0">
          <w:pPr>
            <w:pStyle w:val="TOC2"/>
            <w:tabs>
              <w:tab w:val="right" w:leader="dot" w:pos="8494"/>
            </w:tabs>
            <w:rPr>
              <w:rFonts w:eastAsiaTheme="minorEastAsia"/>
              <w:noProof/>
              <w:sz w:val="22"/>
              <w:lang w:eastAsia="es-ES"/>
            </w:rPr>
          </w:pPr>
          <w:hyperlink w:anchor="_Toc485765671" w:history="1">
            <w:r w:rsidR="004A119C" w:rsidRPr="003312EE">
              <w:rPr>
                <w:rStyle w:val="Hyperlink"/>
                <w:noProof/>
              </w:rPr>
              <w:t>5. No discriminación y derecho a trabajar y vivir sin violencia</w:t>
            </w:r>
            <w:r w:rsidR="004A119C">
              <w:rPr>
                <w:noProof/>
                <w:webHidden/>
              </w:rPr>
              <w:tab/>
            </w:r>
            <w:r w:rsidR="004A119C">
              <w:rPr>
                <w:noProof/>
                <w:webHidden/>
              </w:rPr>
              <w:fldChar w:fldCharType="begin"/>
            </w:r>
            <w:r w:rsidR="004A119C">
              <w:rPr>
                <w:noProof/>
                <w:webHidden/>
              </w:rPr>
              <w:instrText xml:space="preserve"> PAGEREF _Toc485765671 \h </w:instrText>
            </w:r>
            <w:r w:rsidR="004A119C">
              <w:rPr>
                <w:noProof/>
                <w:webHidden/>
              </w:rPr>
            </w:r>
            <w:r w:rsidR="004A119C">
              <w:rPr>
                <w:noProof/>
                <w:webHidden/>
              </w:rPr>
              <w:fldChar w:fldCharType="separate"/>
            </w:r>
            <w:r w:rsidR="00F4364A">
              <w:rPr>
                <w:noProof/>
                <w:webHidden/>
              </w:rPr>
              <w:t>12</w:t>
            </w:r>
            <w:r w:rsidR="004A119C">
              <w:rPr>
                <w:noProof/>
                <w:webHidden/>
              </w:rPr>
              <w:fldChar w:fldCharType="end"/>
            </w:r>
          </w:hyperlink>
        </w:p>
        <w:p w:rsidR="004A119C" w:rsidRDefault="000009F0">
          <w:pPr>
            <w:pStyle w:val="TOC2"/>
            <w:tabs>
              <w:tab w:val="right" w:leader="dot" w:pos="8494"/>
            </w:tabs>
            <w:rPr>
              <w:rFonts w:eastAsiaTheme="minorEastAsia"/>
              <w:noProof/>
              <w:sz w:val="22"/>
              <w:lang w:eastAsia="es-ES"/>
            </w:rPr>
          </w:pPr>
          <w:hyperlink w:anchor="_Toc485765672" w:history="1">
            <w:r w:rsidR="004A119C" w:rsidRPr="003312EE">
              <w:rPr>
                <w:rStyle w:val="Hyperlink"/>
                <w:noProof/>
              </w:rPr>
              <w:t>6. La ratificación del Convenio 189 de la OIT</w:t>
            </w:r>
            <w:r w:rsidR="004A119C">
              <w:rPr>
                <w:noProof/>
                <w:webHidden/>
              </w:rPr>
              <w:tab/>
            </w:r>
            <w:r w:rsidR="004A119C">
              <w:rPr>
                <w:noProof/>
                <w:webHidden/>
              </w:rPr>
              <w:fldChar w:fldCharType="begin"/>
            </w:r>
            <w:r w:rsidR="004A119C">
              <w:rPr>
                <w:noProof/>
                <w:webHidden/>
              </w:rPr>
              <w:instrText xml:space="preserve"> PAGEREF _Toc485765672 \h </w:instrText>
            </w:r>
            <w:r w:rsidR="004A119C">
              <w:rPr>
                <w:noProof/>
                <w:webHidden/>
              </w:rPr>
            </w:r>
            <w:r w:rsidR="004A119C">
              <w:rPr>
                <w:noProof/>
                <w:webHidden/>
              </w:rPr>
              <w:fldChar w:fldCharType="separate"/>
            </w:r>
            <w:r w:rsidR="00F4364A">
              <w:rPr>
                <w:noProof/>
                <w:webHidden/>
              </w:rPr>
              <w:t>13</w:t>
            </w:r>
            <w:r w:rsidR="004A119C">
              <w:rPr>
                <w:noProof/>
                <w:webHidden/>
              </w:rPr>
              <w:fldChar w:fldCharType="end"/>
            </w:r>
          </w:hyperlink>
        </w:p>
        <w:p w:rsidR="004A119C" w:rsidRDefault="000009F0">
          <w:pPr>
            <w:pStyle w:val="TOC2"/>
            <w:tabs>
              <w:tab w:val="right" w:leader="dot" w:pos="8494"/>
            </w:tabs>
            <w:rPr>
              <w:rFonts w:eastAsiaTheme="minorEastAsia"/>
              <w:noProof/>
              <w:sz w:val="22"/>
              <w:lang w:eastAsia="es-ES"/>
            </w:rPr>
          </w:pPr>
          <w:hyperlink w:anchor="_Toc485765673" w:history="1">
            <w:r w:rsidR="004A119C" w:rsidRPr="003312EE">
              <w:rPr>
                <w:rStyle w:val="Hyperlink"/>
                <w:noProof/>
              </w:rPr>
              <w:t>7. La obligatoriedad del contrato escrito y la libreta de salarios</w:t>
            </w:r>
            <w:r w:rsidR="004A119C">
              <w:rPr>
                <w:noProof/>
                <w:webHidden/>
              </w:rPr>
              <w:tab/>
            </w:r>
            <w:r w:rsidR="004A119C">
              <w:rPr>
                <w:noProof/>
                <w:webHidden/>
              </w:rPr>
              <w:fldChar w:fldCharType="begin"/>
            </w:r>
            <w:r w:rsidR="004A119C">
              <w:rPr>
                <w:noProof/>
                <w:webHidden/>
              </w:rPr>
              <w:instrText xml:space="preserve"> PAGEREF _Toc485765673 \h </w:instrText>
            </w:r>
            <w:r w:rsidR="004A119C">
              <w:rPr>
                <w:noProof/>
                <w:webHidden/>
              </w:rPr>
            </w:r>
            <w:r w:rsidR="004A119C">
              <w:rPr>
                <w:noProof/>
                <w:webHidden/>
              </w:rPr>
              <w:fldChar w:fldCharType="separate"/>
            </w:r>
            <w:r w:rsidR="00F4364A">
              <w:rPr>
                <w:noProof/>
                <w:webHidden/>
              </w:rPr>
              <w:t>13</w:t>
            </w:r>
            <w:r w:rsidR="004A119C">
              <w:rPr>
                <w:noProof/>
                <w:webHidden/>
              </w:rPr>
              <w:fldChar w:fldCharType="end"/>
            </w:r>
          </w:hyperlink>
        </w:p>
        <w:p w:rsidR="004A119C" w:rsidRDefault="000009F0">
          <w:pPr>
            <w:pStyle w:val="TOC2"/>
            <w:tabs>
              <w:tab w:val="right" w:leader="dot" w:pos="8494"/>
            </w:tabs>
            <w:rPr>
              <w:rStyle w:val="Hyperlink"/>
              <w:noProof/>
            </w:rPr>
          </w:pPr>
          <w:hyperlink w:anchor="_Toc485765674" w:history="1">
            <w:r w:rsidR="004A119C" w:rsidRPr="003312EE">
              <w:rPr>
                <w:rStyle w:val="Hyperlink"/>
                <w:noProof/>
              </w:rPr>
              <w:t>8. La inclusión de los derechos de las trabajadoras del hogar en la Ley General del Trabajo.</w:t>
            </w:r>
            <w:r w:rsidR="004A119C">
              <w:rPr>
                <w:noProof/>
                <w:webHidden/>
              </w:rPr>
              <w:tab/>
            </w:r>
            <w:r w:rsidR="004A119C">
              <w:rPr>
                <w:noProof/>
                <w:webHidden/>
              </w:rPr>
              <w:fldChar w:fldCharType="begin"/>
            </w:r>
            <w:r w:rsidR="004A119C">
              <w:rPr>
                <w:noProof/>
                <w:webHidden/>
              </w:rPr>
              <w:instrText xml:space="preserve"> PAGEREF _Toc485765674 \h </w:instrText>
            </w:r>
            <w:r w:rsidR="004A119C">
              <w:rPr>
                <w:noProof/>
                <w:webHidden/>
              </w:rPr>
            </w:r>
            <w:r w:rsidR="004A119C">
              <w:rPr>
                <w:noProof/>
                <w:webHidden/>
              </w:rPr>
              <w:fldChar w:fldCharType="separate"/>
            </w:r>
            <w:r w:rsidR="00F4364A">
              <w:rPr>
                <w:noProof/>
                <w:webHidden/>
              </w:rPr>
              <w:t>14</w:t>
            </w:r>
            <w:r w:rsidR="004A119C">
              <w:rPr>
                <w:noProof/>
                <w:webHidden/>
              </w:rPr>
              <w:fldChar w:fldCharType="end"/>
            </w:r>
          </w:hyperlink>
        </w:p>
        <w:p w:rsidR="002C3927" w:rsidRPr="002C3927" w:rsidRDefault="002C3927" w:rsidP="002C3927"/>
        <w:p w:rsidR="004A119C" w:rsidRDefault="000009F0" w:rsidP="002C3927">
          <w:pPr>
            <w:pStyle w:val="TOC1"/>
            <w:rPr>
              <w:rFonts w:eastAsiaTheme="minorEastAsia"/>
              <w:sz w:val="22"/>
              <w:lang w:eastAsia="es-ES"/>
            </w:rPr>
          </w:pPr>
          <w:hyperlink w:anchor="_Toc485765675" w:history="1">
            <w:r w:rsidR="004A119C" w:rsidRPr="003312EE">
              <w:rPr>
                <w:rStyle w:val="Hyperlink"/>
              </w:rPr>
              <w:t>Parte 3. Las políticas promovidas por el Gobierno boliviano en materia de derechos de las trabajadoras del hogar (2006-2016)</w:t>
            </w:r>
            <w:r w:rsidR="004A119C">
              <w:rPr>
                <w:webHidden/>
              </w:rPr>
              <w:tab/>
            </w:r>
            <w:r w:rsidR="004A119C">
              <w:rPr>
                <w:webHidden/>
              </w:rPr>
              <w:fldChar w:fldCharType="begin"/>
            </w:r>
            <w:r w:rsidR="004A119C">
              <w:rPr>
                <w:webHidden/>
              </w:rPr>
              <w:instrText xml:space="preserve"> PAGEREF _Toc485765675 \h </w:instrText>
            </w:r>
            <w:r w:rsidR="004A119C">
              <w:rPr>
                <w:webHidden/>
              </w:rPr>
            </w:r>
            <w:r w:rsidR="004A119C">
              <w:rPr>
                <w:webHidden/>
              </w:rPr>
              <w:fldChar w:fldCharType="separate"/>
            </w:r>
            <w:r w:rsidR="00F4364A">
              <w:rPr>
                <w:webHidden/>
              </w:rPr>
              <w:t>16</w:t>
            </w:r>
            <w:r w:rsidR="004A119C">
              <w:rPr>
                <w:webHidden/>
              </w:rPr>
              <w:fldChar w:fldCharType="end"/>
            </w:r>
          </w:hyperlink>
        </w:p>
        <w:p w:rsidR="004A119C" w:rsidRDefault="000009F0">
          <w:pPr>
            <w:pStyle w:val="TOC2"/>
            <w:tabs>
              <w:tab w:val="right" w:leader="dot" w:pos="8494"/>
            </w:tabs>
            <w:rPr>
              <w:rFonts w:eastAsiaTheme="minorEastAsia"/>
              <w:noProof/>
              <w:sz w:val="22"/>
              <w:lang w:eastAsia="es-ES"/>
            </w:rPr>
          </w:pPr>
          <w:hyperlink w:anchor="_Toc485765676" w:history="1">
            <w:r w:rsidR="004A119C" w:rsidRPr="003312EE">
              <w:rPr>
                <w:rStyle w:val="Hyperlink"/>
                <w:noProof/>
              </w:rPr>
              <w:t>1. La Constitución de 2009</w:t>
            </w:r>
            <w:r w:rsidR="004A119C">
              <w:rPr>
                <w:noProof/>
                <w:webHidden/>
              </w:rPr>
              <w:tab/>
            </w:r>
            <w:r w:rsidR="004A119C">
              <w:rPr>
                <w:noProof/>
                <w:webHidden/>
              </w:rPr>
              <w:fldChar w:fldCharType="begin"/>
            </w:r>
            <w:r w:rsidR="004A119C">
              <w:rPr>
                <w:noProof/>
                <w:webHidden/>
              </w:rPr>
              <w:instrText xml:space="preserve"> PAGEREF _Toc485765676 \h </w:instrText>
            </w:r>
            <w:r w:rsidR="004A119C">
              <w:rPr>
                <w:noProof/>
                <w:webHidden/>
              </w:rPr>
            </w:r>
            <w:r w:rsidR="004A119C">
              <w:rPr>
                <w:noProof/>
                <w:webHidden/>
              </w:rPr>
              <w:fldChar w:fldCharType="separate"/>
            </w:r>
            <w:r w:rsidR="00F4364A">
              <w:rPr>
                <w:noProof/>
                <w:webHidden/>
              </w:rPr>
              <w:t>16</w:t>
            </w:r>
            <w:r w:rsidR="004A119C">
              <w:rPr>
                <w:noProof/>
                <w:webHidden/>
              </w:rPr>
              <w:fldChar w:fldCharType="end"/>
            </w:r>
          </w:hyperlink>
        </w:p>
        <w:p w:rsidR="004A119C" w:rsidRDefault="000009F0">
          <w:pPr>
            <w:pStyle w:val="TOC2"/>
            <w:tabs>
              <w:tab w:val="right" w:leader="dot" w:pos="8494"/>
            </w:tabs>
            <w:rPr>
              <w:rFonts w:eastAsiaTheme="minorEastAsia"/>
              <w:noProof/>
              <w:sz w:val="22"/>
              <w:lang w:eastAsia="es-ES"/>
            </w:rPr>
          </w:pPr>
          <w:hyperlink w:anchor="_Toc485765677" w:history="1">
            <w:r w:rsidR="004A119C" w:rsidRPr="003312EE">
              <w:rPr>
                <w:rStyle w:val="Hyperlink"/>
                <w:noProof/>
              </w:rPr>
              <w:t>2. El reconocimiento del Día Nacional de las Trabajadoras del Hogar</w:t>
            </w:r>
            <w:r w:rsidR="004A119C">
              <w:rPr>
                <w:noProof/>
                <w:webHidden/>
              </w:rPr>
              <w:tab/>
            </w:r>
            <w:r w:rsidR="004A119C">
              <w:rPr>
                <w:noProof/>
                <w:webHidden/>
              </w:rPr>
              <w:fldChar w:fldCharType="begin"/>
            </w:r>
            <w:r w:rsidR="004A119C">
              <w:rPr>
                <w:noProof/>
                <w:webHidden/>
              </w:rPr>
              <w:instrText xml:space="preserve"> PAGEREF _Toc485765677 \h </w:instrText>
            </w:r>
            <w:r w:rsidR="004A119C">
              <w:rPr>
                <w:noProof/>
                <w:webHidden/>
              </w:rPr>
            </w:r>
            <w:r w:rsidR="004A119C">
              <w:rPr>
                <w:noProof/>
                <w:webHidden/>
              </w:rPr>
              <w:fldChar w:fldCharType="separate"/>
            </w:r>
            <w:r w:rsidR="00F4364A">
              <w:rPr>
                <w:noProof/>
                <w:webHidden/>
              </w:rPr>
              <w:t>17</w:t>
            </w:r>
            <w:r w:rsidR="004A119C">
              <w:rPr>
                <w:noProof/>
                <w:webHidden/>
              </w:rPr>
              <w:fldChar w:fldCharType="end"/>
            </w:r>
          </w:hyperlink>
        </w:p>
        <w:p w:rsidR="004A119C" w:rsidRDefault="000009F0">
          <w:pPr>
            <w:pStyle w:val="TOC2"/>
            <w:tabs>
              <w:tab w:val="right" w:leader="dot" w:pos="8494"/>
            </w:tabs>
            <w:rPr>
              <w:rFonts w:eastAsiaTheme="minorEastAsia"/>
              <w:noProof/>
              <w:sz w:val="22"/>
              <w:lang w:eastAsia="es-ES"/>
            </w:rPr>
          </w:pPr>
          <w:hyperlink w:anchor="_Toc485765678" w:history="1">
            <w:r w:rsidR="004A119C" w:rsidRPr="003312EE">
              <w:rPr>
                <w:rStyle w:val="Hyperlink"/>
                <w:noProof/>
              </w:rPr>
              <w:t>3. La ratificación del Convenio 189 de la OIT</w:t>
            </w:r>
            <w:r w:rsidR="004A119C">
              <w:rPr>
                <w:noProof/>
                <w:webHidden/>
              </w:rPr>
              <w:tab/>
            </w:r>
            <w:r w:rsidR="004A119C">
              <w:rPr>
                <w:noProof/>
                <w:webHidden/>
              </w:rPr>
              <w:fldChar w:fldCharType="begin"/>
            </w:r>
            <w:r w:rsidR="004A119C">
              <w:rPr>
                <w:noProof/>
                <w:webHidden/>
              </w:rPr>
              <w:instrText xml:space="preserve"> PAGEREF _Toc485765678 \h </w:instrText>
            </w:r>
            <w:r w:rsidR="004A119C">
              <w:rPr>
                <w:noProof/>
                <w:webHidden/>
              </w:rPr>
            </w:r>
            <w:r w:rsidR="004A119C">
              <w:rPr>
                <w:noProof/>
                <w:webHidden/>
              </w:rPr>
              <w:fldChar w:fldCharType="separate"/>
            </w:r>
            <w:r w:rsidR="00F4364A">
              <w:rPr>
                <w:noProof/>
                <w:webHidden/>
              </w:rPr>
              <w:t>17</w:t>
            </w:r>
            <w:r w:rsidR="004A119C">
              <w:rPr>
                <w:noProof/>
                <w:webHidden/>
              </w:rPr>
              <w:fldChar w:fldCharType="end"/>
            </w:r>
          </w:hyperlink>
        </w:p>
        <w:p w:rsidR="004A119C" w:rsidRDefault="000009F0">
          <w:pPr>
            <w:pStyle w:val="TOC2"/>
            <w:tabs>
              <w:tab w:val="right" w:leader="dot" w:pos="8494"/>
            </w:tabs>
            <w:rPr>
              <w:rFonts w:eastAsiaTheme="minorEastAsia"/>
              <w:noProof/>
              <w:sz w:val="22"/>
              <w:lang w:eastAsia="es-ES"/>
            </w:rPr>
          </w:pPr>
          <w:hyperlink w:anchor="_Toc485765679" w:history="1">
            <w:r w:rsidR="004A119C" w:rsidRPr="003312EE">
              <w:rPr>
                <w:rStyle w:val="Hyperlink"/>
                <w:noProof/>
              </w:rPr>
              <w:t>4. La Resolución Ministerial 218/14 sobre el contrato escrito y la libreta salarial</w:t>
            </w:r>
            <w:r w:rsidR="004A119C">
              <w:rPr>
                <w:noProof/>
                <w:webHidden/>
              </w:rPr>
              <w:tab/>
            </w:r>
            <w:r w:rsidR="004A119C">
              <w:rPr>
                <w:noProof/>
                <w:webHidden/>
              </w:rPr>
              <w:fldChar w:fldCharType="begin"/>
            </w:r>
            <w:r w:rsidR="004A119C">
              <w:rPr>
                <w:noProof/>
                <w:webHidden/>
              </w:rPr>
              <w:instrText xml:space="preserve"> PAGEREF _Toc485765679 \h </w:instrText>
            </w:r>
            <w:r w:rsidR="004A119C">
              <w:rPr>
                <w:noProof/>
                <w:webHidden/>
              </w:rPr>
            </w:r>
            <w:r w:rsidR="004A119C">
              <w:rPr>
                <w:noProof/>
                <w:webHidden/>
              </w:rPr>
              <w:fldChar w:fldCharType="separate"/>
            </w:r>
            <w:r w:rsidR="00F4364A">
              <w:rPr>
                <w:noProof/>
                <w:webHidden/>
              </w:rPr>
              <w:t>18</w:t>
            </w:r>
            <w:r w:rsidR="004A119C">
              <w:rPr>
                <w:noProof/>
                <w:webHidden/>
              </w:rPr>
              <w:fldChar w:fldCharType="end"/>
            </w:r>
          </w:hyperlink>
        </w:p>
        <w:p w:rsidR="004A119C" w:rsidRDefault="000009F0">
          <w:pPr>
            <w:pStyle w:val="TOC2"/>
            <w:tabs>
              <w:tab w:val="right" w:leader="dot" w:pos="8494"/>
            </w:tabs>
            <w:rPr>
              <w:rFonts w:eastAsiaTheme="minorEastAsia"/>
              <w:noProof/>
              <w:sz w:val="22"/>
              <w:lang w:eastAsia="es-ES"/>
            </w:rPr>
          </w:pPr>
          <w:hyperlink w:anchor="_Toc485765680" w:history="1">
            <w:r w:rsidR="004A119C" w:rsidRPr="003312EE">
              <w:rPr>
                <w:rStyle w:val="Hyperlink"/>
                <w:noProof/>
              </w:rPr>
              <w:t>5. La inclusión de los derechos de las trabajadoras del hogar en la nueva Ley General del Trabajo</w:t>
            </w:r>
            <w:r w:rsidR="004A119C">
              <w:rPr>
                <w:noProof/>
                <w:webHidden/>
              </w:rPr>
              <w:tab/>
            </w:r>
            <w:r w:rsidR="004A119C">
              <w:rPr>
                <w:noProof/>
                <w:webHidden/>
              </w:rPr>
              <w:fldChar w:fldCharType="begin"/>
            </w:r>
            <w:r w:rsidR="004A119C">
              <w:rPr>
                <w:noProof/>
                <w:webHidden/>
              </w:rPr>
              <w:instrText xml:space="preserve"> PAGEREF _Toc485765680 \h </w:instrText>
            </w:r>
            <w:r w:rsidR="004A119C">
              <w:rPr>
                <w:noProof/>
                <w:webHidden/>
              </w:rPr>
            </w:r>
            <w:r w:rsidR="004A119C">
              <w:rPr>
                <w:noProof/>
                <w:webHidden/>
              </w:rPr>
              <w:fldChar w:fldCharType="separate"/>
            </w:r>
            <w:r w:rsidR="00F4364A">
              <w:rPr>
                <w:noProof/>
                <w:webHidden/>
              </w:rPr>
              <w:t>19</w:t>
            </w:r>
            <w:r w:rsidR="004A119C">
              <w:rPr>
                <w:noProof/>
                <w:webHidden/>
              </w:rPr>
              <w:fldChar w:fldCharType="end"/>
            </w:r>
          </w:hyperlink>
        </w:p>
        <w:p w:rsidR="004A119C" w:rsidRDefault="000009F0">
          <w:pPr>
            <w:pStyle w:val="TOC2"/>
            <w:tabs>
              <w:tab w:val="right" w:leader="dot" w:pos="8494"/>
            </w:tabs>
            <w:rPr>
              <w:rFonts w:eastAsiaTheme="minorEastAsia"/>
              <w:noProof/>
              <w:sz w:val="22"/>
              <w:lang w:eastAsia="es-ES"/>
            </w:rPr>
          </w:pPr>
          <w:hyperlink w:anchor="_Toc485765681" w:history="1">
            <w:r w:rsidR="004A119C" w:rsidRPr="003312EE">
              <w:rPr>
                <w:rStyle w:val="Hyperlink"/>
                <w:noProof/>
              </w:rPr>
              <w:t>6. La creación de un programa de educación secundaria para trabajadoras del hogar</w:t>
            </w:r>
            <w:r w:rsidR="004A119C">
              <w:rPr>
                <w:noProof/>
                <w:webHidden/>
              </w:rPr>
              <w:tab/>
            </w:r>
            <w:r w:rsidR="004A119C">
              <w:rPr>
                <w:noProof/>
                <w:webHidden/>
              </w:rPr>
              <w:fldChar w:fldCharType="begin"/>
            </w:r>
            <w:r w:rsidR="004A119C">
              <w:rPr>
                <w:noProof/>
                <w:webHidden/>
              </w:rPr>
              <w:instrText xml:space="preserve"> PAGEREF _Toc485765681 \h </w:instrText>
            </w:r>
            <w:r w:rsidR="004A119C">
              <w:rPr>
                <w:noProof/>
                <w:webHidden/>
              </w:rPr>
            </w:r>
            <w:r w:rsidR="004A119C">
              <w:rPr>
                <w:noProof/>
                <w:webHidden/>
              </w:rPr>
              <w:fldChar w:fldCharType="separate"/>
            </w:r>
            <w:r w:rsidR="00F4364A">
              <w:rPr>
                <w:noProof/>
                <w:webHidden/>
              </w:rPr>
              <w:t>19</w:t>
            </w:r>
            <w:r w:rsidR="004A119C">
              <w:rPr>
                <w:noProof/>
                <w:webHidden/>
              </w:rPr>
              <w:fldChar w:fldCharType="end"/>
            </w:r>
          </w:hyperlink>
        </w:p>
        <w:p w:rsidR="004A119C" w:rsidRDefault="000009F0">
          <w:pPr>
            <w:pStyle w:val="TOC2"/>
            <w:tabs>
              <w:tab w:val="right" w:leader="dot" w:pos="8494"/>
            </w:tabs>
            <w:rPr>
              <w:rFonts w:eastAsiaTheme="minorEastAsia"/>
              <w:noProof/>
              <w:sz w:val="22"/>
              <w:lang w:eastAsia="es-ES"/>
            </w:rPr>
          </w:pPr>
          <w:hyperlink w:anchor="_Toc485765682" w:history="1">
            <w:r w:rsidR="004A119C" w:rsidRPr="003312EE">
              <w:rPr>
                <w:rStyle w:val="Hyperlink"/>
                <w:noProof/>
              </w:rPr>
              <w:t>7. Evaluación del grado de satisfacción de las demandas del movimiento</w:t>
            </w:r>
            <w:r w:rsidR="004A119C">
              <w:rPr>
                <w:noProof/>
                <w:webHidden/>
              </w:rPr>
              <w:tab/>
            </w:r>
            <w:r w:rsidR="004A119C">
              <w:rPr>
                <w:noProof/>
                <w:webHidden/>
              </w:rPr>
              <w:fldChar w:fldCharType="begin"/>
            </w:r>
            <w:r w:rsidR="004A119C">
              <w:rPr>
                <w:noProof/>
                <w:webHidden/>
              </w:rPr>
              <w:instrText xml:space="preserve"> PAGEREF _Toc485765682 \h </w:instrText>
            </w:r>
            <w:r w:rsidR="004A119C">
              <w:rPr>
                <w:noProof/>
                <w:webHidden/>
              </w:rPr>
            </w:r>
            <w:r w:rsidR="004A119C">
              <w:rPr>
                <w:noProof/>
                <w:webHidden/>
              </w:rPr>
              <w:fldChar w:fldCharType="separate"/>
            </w:r>
            <w:r w:rsidR="00F4364A">
              <w:rPr>
                <w:noProof/>
                <w:webHidden/>
              </w:rPr>
              <w:t>19</w:t>
            </w:r>
            <w:r w:rsidR="004A119C">
              <w:rPr>
                <w:noProof/>
                <w:webHidden/>
              </w:rPr>
              <w:fldChar w:fldCharType="end"/>
            </w:r>
          </w:hyperlink>
        </w:p>
        <w:p w:rsidR="004A119C" w:rsidRDefault="000009F0" w:rsidP="002C3927">
          <w:pPr>
            <w:pStyle w:val="TOC1"/>
            <w:rPr>
              <w:rFonts w:eastAsiaTheme="minorEastAsia"/>
              <w:sz w:val="22"/>
              <w:lang w:eastAsia="es-ES"/>
            </w:rPr>
          </w:pPr>
          <w:hyperlink w:anchor="_Toc485765683" w:history="1">
            <w:r w:rsidR="004A119C" w:rsidRPr="003312EE">
              <w:rPr>
                <w:rStyle w:val="Hyperlink"/>
              </w:rPr>
              <w:t>Parte 4. La institucionalización del movimiento de trabajadoras del hogar como factor explicativo de su impacto en las políticas públicas</w:t>
            </w:r>
            <w:r w:rsidR="004A119C">
              <w:rPr>
                <w:webHidden/>
              </w:rPr>
              <w:tab/>
            </w:r>
            <w:r w:rsidR="004A119C">
              <w:rPr>
                <w:webHidden/>
              </w:rPr>
              <w:fldChar w:fldCharType="begin"/>
            </w:r>
            <w:r w:rsidR="004A119C">
              <w:rPr>
                <w:webHidden/>
              </w:rPr>
              <w:instrText xml:space="preserve"> PAGEREF _Toc485765683 \h </w:instrText>
            </w:r>
            <w:r w:rsidR="004A119C">
              <w:rPr>
                <w:webHidden/>
              </w:rPr>
            </w:r>
            <w:r w:rsidR="004A119C">
              <w:rPr>
                <w:webHidden/>
              </w:rPr>
              <w:fldChar w:fldCharType="separate"/>
            </w:r>
            <w:r w:rsidR="00F4364A">
              <w:rPr>
                <w:webHidden/>
              </w:rPr>
              <w:t>21</w:t>
            </w:r>
            <w:r w:rsidR="004A119C">
              <w:rPr>
                <w:webHidden/>
              </w:rPr>
              <w:fldChar w:fldCharType="end"/>
            </w:r>
          </w:hyperlink>
        </w:p>
        <w:p w:rsidR="004A119C" w:rsidRDefault="000009F0">
          <w:pPr>
            <w:pStyle w:val="TOC2"/>
            <w:tabs>
              <w:tab w:val="right" w:leader="dot" w:pos="8494"/>
            </w:tabs>
            <w:rPr>
              <w:rFonts w:eastAsiaTheme="minorEastAsia"/>
              <w:noProof/>
              <w:sz w:val="22"/>
              <w:lang w:eastAsia="es-ES"/>
            </w:rPr>
          </w:pPr>
          <w:hyperlink w:anchor="_Toc485765684" w:history="1">
            <w:r w:rsidR="004A119C" w:rsidRPr="003312EE">
              <w:rPr>
                <w:rStyle w:val="Hyperlink"/>
                <w:noProof/>
              </w:rPr>
              <w:t>1. La institucionalización del movimiento boliviano de trabajadoras del hogar</w:t>
            </w:r>
            <w:r w:rsidR="004A119C">
              <w:rPr>
                <w:noProof/>
                <w:webHidden/>
              </w:rPr>
              <w:tab/>
            </w:r>
            <w:r w:rsidR="004A119C">
              <w:rPr>
                <w:noProof/>
                <w:webHidden/>
              </w:rPr>
              <w:fldChar w:fldCharType="begin"/>
            </w:r>
            <w:r w:rsidR="004A119C">
              <w:rPr>
                <w:noProof/>
                <w:webHidden/>
              </w:rPr>
              <w:instrText xml:space="preserve"> PAGEREF _Toc485765684 \h </w:instrText>
            </w:r>
            <w:r w:rsidR="004A119C">
              <w:rPr>
                <w:noProof/>
                <w:webHidden/>
              </w:rPr>
            </w:r>
            <w:r w:rsidR="004A119C">
              <w:rPr>
                <w:noProof/>
                <w:webHidden/>
              </w:rPr>
              <w:fldChar w:fldCharType="separate"/>
            </w:r>
            <w:r w:rsidR="00F4364A">
              <w:rPr>
                <w:noProof/>
                <w:webHidden/>
              </w:rPr>
              <w:t>21</w:t>
            </w:r>
            <w:r w:rsidR="004A119C">
              <w:rPr>
                <w:noProof/>
                <w:webHidden/>
              </w:rPr>
              <w:fldChar w:fldCharType="end"/>
            </w:r>
          </w:hyperlink>
        </w:p>
        <w:p w:rsidR="004A119C" w:rsidRDefault="000009F0">
          <w:pPr>
            <w:pStyle w:val="TOC3"/>
            <w:tabs>
              <w:tab w:val="right" w:leader="dot" w:pos="8494"/>
            </w:tabs>
            <w:rPr>
              <w:rFonts w:eastAsiaTheme="minorEastAsia"/>
              <w:noProof/>
              <w:sz w:val="22"/>
              <w:lang w:eastAsia="es-ES"/>
            </w:rPr>
          </w:pPr>
          <w:hyperlink w:anchor="_Toc485765685" w:history="1">
            <w:r w:rsidR="004A119C" w:rsidRPr="003312EE">
              <w:rPr>
                <w:rStyle w:val="Hyperlink"/>
                <w:noProof/>
              </w:rPr>
              <w:t>1.1. ¿”Parte de la base social del nuevo Estado”…?</w:t>
            </w:r>
            <w:r w:rsidR="004A119C">
              <w:rPr>
                <w:noProof/>
                <w:webHidden/>
              </w:rPr>
              <w:tab/>
            </w:r>
            <w:r w:rsidR="004A119C">
              <w:rPr>
                <w:noProof/>
                <w:webHidden/>
              </w:rPr>
              <w:fldChar w:fldCharType="begin"/>
            </w:r>
            <w:r w:rsidR="004A119C">
              <w:rPr>
                <w:noProof/>
                <w:webHidden/>
              </w:rPr>
              <w:instrText xml:space="preserve"> PAGEREF _Toc485765685 \h </w:instrText>
            </w:r>
            <w:r w:rsidR="004A119C">
              <w:rPr>
                <w:noProof/>
                <w:webHidden/>
              </w:rPr>
            </w:r>
            <w:r w:rsidR="004A119C">
              <w:rPr>
                <w:noProof/>
                <w:webHidden/>
              </w:rPr>
              <w:fldChar w:fldCharType="separate"/>
            </w:r>
            <w:r w:rsidR="00F4364A">
              <w:rPr>
                <w:noProof/>
                <w:webHidden/>
              </w:rPr>
              <w:t>21</w:t>
            </w:r>
            <w:r w:rsidR="004A119C">
              <w:rPr>
                <w:noProof/>
                <w:webHidden/>
              </w:rPr>
              <w:fldChar w:fldCharType="end"/>
            </w:r>
          </w:hyperlink>
        </w:p>
        <w:p w:rsidR="004A119C" w:rsidRDefault="000009F0">
          <w:pPr>
            <w:pStyle w:val="TOC3"/>
            <w:tabs>
              <w:tab w:val="right" w:leader="dot" w:pos="8494"/>
            </w:tabs>
            <w:rPr>
              <w:rFonts w:eastAsiaTheme="minorEastAsia"/>
              <w:noProof/>
              <w:sz w:val="22"/>
              <w:lang w:eastAsia="es-ES"/>
            </w:rPr>
          </w:pPr>
          <w:hyperlink w:anchor="_Toc485765686" w:history="1">
            <w:r w:rsidR="004A119C" w:rsidRPr="003312EE">
              <w:rPr>
                <w:rStyle w:val="Hyperlink"/>
                <w:noProof/>
              </w:rPr>
              <w:t>1.2. ¿… o la sombra del proceso de cambio?</w:t>
            </w:r>
            <w:r w:rsidR="004A119C">
              <w:rPr>
                <w:noProof/>
                <w:webHidden/>
              </w:rPr>
              <w:tab/>
            </w:r>
            <w:r w:rsidR="004A119C">
              <w:rPr>
                <w:noProof/>
                <w:webHidden/>
              </w:rPr>
              <w:fldChar w:fldCharType="begin"/>
            </w:r>
            <w:r w:rsidR="004A119C">
              <w:rPr>
                <w:noProof/>
                <w:webHidden/>
              </w:rPr>
              <w:instrText xml:space="preserve"> PAGEREF _Toc485765686 \h </w:instrText>
            </w:r>
            <w:r w:rsidR="004A119C">
              <w:rPr>
                <w:noProof/>
                <w:webHidden/>
              </w:rPr>
            </w:r>
            <w:r w:rsidR="004A119C">
              <w:rPr>
                <w:noProof/>
                <w:webHidden/>
              </w:rPr>
              <w:fldChar w:fldCharType="separate"/>
            </w:r>
            <w:r w:rsidR="00F4364A">
              <w:rPr>
                <w:noProof/>
                <w:webHidden/>
              </w:rPr>
              <w:t>22</w:t>
            </w:r>
            <w:r w:rsidR="004A119C">
              <w:rPr>
                <w:noProof/>
                <w:webHidden/>
              </w:rPr>
              <w:fldChar w:fldCharType="end"/>
            </w:r>
          </w:hyperlink>
        </w:p>
        <w:p w:rsidR="004A119C" w:rsidRDefault="000009F0">
          <w:pPr>
            <w:pStyle w:val="TOC2"/>
            <w:tabs>
              <w:tab w:val="right" w:leader="dot" w:pos="8494"/>
            </w:tabs>
            <w:rPr>
              <w:rStyle w:val="Hyperlink"/>
              <w:noProof/>
            </w:rPr>
          </w:pPr>
          <w:hyperlink w:anchor="_Toc485765687" w:history="1">
            <w:r w:rsidR="004A119C" w:rsidRPr="003312EE">
              <w:rPr>
                <w:rStyle w:val="Hyperlink"/>
                <w:noProof/>
              </w:rPr>
              <w:t>2. La influencia de la institucionalización del movimiento en los impactos del movimiento sobre las políticas públicas</w:t>
            </w:r>
            <w:r w:rsidR="004A119C">
              <w:rPr>
                <w:noProof/>
                <w:webHidden/>
              </w:rPr>
              <w:tab/>
            </w:r>
            <w:r w:rsidR="004A119C">
              <w:rPr>
                <w:noProof/>
                <w:webHidden/>
              </w:rPr>
              <w:fldChar w:fldCharType="begin"/>
            </w:r>
            <w:r w:rsidR="004A119C">
              <w:rPr>
                <w:noProof/>
                <w:webHidden/>
              </w:rPr>
              <w:instrText xml:space="preserve"> PAGEREF _Toc485765687 \h </w:instrText>
            </w:r>
            <w:r w:rsidR="004A119C">
              <w:rPr>
                <w:noProof/>
                <w:webHidden/>
              </w:rPr>
            </w:r>
            <w:r w:rsidR="004A119C">
              <w:rPr>
                <w:noProof/>
                <w:webHidden/>
              </w:rPr>
              <w:fldChar w:fldCharType="separate"/>
            </w:r>
            <w:r w:rsidR="00F4364A">
              <w:rPr>
                <w:noProof/>
                <w:webHidden/>
              </w:rPr>
              <w:t>24</w:t>
            </w:r>
            <w:r w:rsidR="004A119C">
              <w:rPr>
                <w:noProof/>
                <w:webHidden/>
              </w:rPr>
              <w:fldChar w:fldCharType="end"/>
            </w:r>
          </w:hyperlink>
        </w:p>
        <w:p w:rsidR="002C3927" w:rsidRPr="002C3927" w:rsidRDefault="002C3927" w:rsidP="002C3927"/>
        <w:p w:rsidR="004A119C" w:rsidRDefault="000009F0" w:rsidP="002C3927">
          <w:pPr>
            <w:pStyle w:val="TOC1"/>
            <w:rPr>
              <w:rStyle w:val="Hyperlink"/>
            </w:rPr>
          </w:pPr>
          <w:hyperlink w:anchor="_Toc485765688" w:history="1">
            <w:r w:rsidR="004A119C" w:rsidRPr="003312EE">
              <w:rPr>
                <w:rStyle w:val="Hyperlink"/>
              </w:rPr>
              <w:t>Conclusión</w:t>
            </w:r>
            <w:r w:rsidR="004A119C">
              <w:rPr>
                <w:webHidden/>
              </w:rPr>
              <w:tab/>
            </w:r>
            <w:r w:rsidR="004A119C">
              <w:rPr>
                <w:webHidden/>
              </w:rPr>
              <w:fldChar w:fldCharType="begin"/>
            </w:r>
            <w:r w:rsidR="004A119C">
              <w:rPr>
                <w:webHidden/>
              </w:rPr>
              <w:instrText xml:space="preserve"> PAGEREF _Toc485765688 \h </w:instrText>
            </w:r>
            <w:r w:rsidR="004A119C">
              <w:rPr>
                <w:webHidden/>
              </w:rPr>
            </w:r>
            <w:r w:rsidR="004A119C">
              <w:rPr>
                <w:webHidden/>
              </w:rPr>
              <w:fldChar w:fldCharType="separate"/>
            </w:r>
            <w:r w:rsidR="00F4364A">
              <w:rPr>
                <w:webHidden/>
              </w:rPr>
              <w:t>25</w:t>
            </w:r>
            <w:r w:rsidR="004A119C">
              <w:rPr>
                <w:webHidden/>
              </w:rPr>
              <w:fldChar w:fldCharType="end"/>
            </w:r>
          </w:hyperlink>
        </w:p>
        <w:p w:rsidR="002C3927" w:rsidRPr="002C3927" w:rsidRDefault="002C3927" w:rsidP="002C3927"/>
        <w:p w:rsidR="004A119C" w:rsidRDefault="000009F0" w:rsidP="002C3927">
          <w:pPr>
            <w:pStyle w:val="TOC1"/>
            <w:rPr>
              <w:rFonts w:eastAsiaTheme="minorEastAsia"/>
              <w:sz w:val="22"/>
              <w:lang w:eastAsia="es-ES"/>
            </w:rPr>
          </w:pPr>
          <w:hyperlink w:anchor="_Toc485765689" w:history="1">
            <w:r w:rsidR="004A119C" w:rsidRPr="003312EE">
              <w:rPr>
                <w:rStyle w:val="Hyperlink"/>
                <w:lang w:val="en-GB"/>
              </w:rPr>
              <w:t>Bibliografía</w:t>
            </w:r>
            <w:r w:rsidR="004A119C">
              <w:rPr>
                <w:webHidden/>
              </w:rPr>
              <w:tab/>
            </w:r>
            <w:r w:rsidR="004A119C">
              <w:rPr>
                <w:webHidden/>
              </w:rPr>
              <w:fldChar w:fldCharType="begin"/>
            </w:r>
            <w:r w:rsidR="004A119C">
              <w:rPr>
                <w:webHidden/>
              </w:rPr>
              <w:instrText xml:space="preserve"> PAGEREF _Toc485765689 \h </w:instrText>
            </w:r>
            <w:r w:rsidR="004A119C">
              <w:rPr>
                <w:webHidden/>
              </w:rPr>
            </w:r>
            <w:r w:rsidR="004A119C">
              <w:rPr>
                <w:webHidden/>
              </w:rPr>
              <w:fldChar w:fldCharType="separate"/>
            </w:r>
            <w:r w:rsidR="00F4364A">
              <w:rPr>
                <w:webHidden/>
              </w:rPr>
              <w:t>26</w:t>
            </w:r>
            <w:r w:rsidR="004A119C">
              <w:rPr>
                <w:webHidden/>
              </w:rPr>
              <w:fldChar w:fldCharType="end"/>
            </w:r>
          </w:hyperlink>
        </w:p>
        <w:p w:rsidR="00680C70" w:rsidRDefault="00680C70">
          <w:r>
            <w:rPr>
              <w:b/>
              <w:bCs/>
              <w:noProof/>
            </w:rPr>
            <w:fldChar w:fldCharType="end"/>
          </w:r>
        </w:p>
      </w:sdtContent>
    </w:sdt>
    <w:p w:rsidR="00680C70" w:rsidRDefault="00680C70" w:rsidP="00717B71">
      <w:pPr>
        <w:pStyle w:val="Heading1"/>
      </w:pPr>
    </w:p>
    <w:p w:rsidR="00680C70" w:rsidRDefault="00680C70" w:rsidP="00717B71">
      <w:pPr>
        <w:pStyle w:val="Heading1"/>
      </w:pPr>
    </w:p>
    <w:p w:rsidR="00680C70" w:rsidRDefault="00680C70" w:rsidP="00680C70"/>
    <w:p w:rsidR="00680C70" w:rsidRDefault="00680C70" w:rsidP="00680C70"/>
    <w:p w:rsidR="00680C70" w:rsidRDefault="00680C70" w:rsidP="00680C70"/>
    <w:p w:rsidR="00680C70" w:rsidRDefault="00680C70" w:rsidP="00680C70"/>
    <w:p w:rsidR="00680C70" w:rsidRDefault="00680C70" w:rsidP="00680C70"/>
    <w:p w:rsidR="00680C70" w:rsidRPr="00680C70" w:rsidRDefault="00680C70" w:rsidP="00680C70"/>
    <w:p w:rsidR="00680C70" w:rsidRDefault="00680C70" w:rsidP="00717B71">
      <w:pPr>
        <w:pStyle w:val="Heading1"/>
      </w:pPr>
    </w:p>
    <w:p w:rsidR="00680C70" w:rsidRDefault="00680C70" w:rsidP="00717B71">
      <w:pPr>
        <w:pStyle w:val="Heading1"/>
      </w:pPr>
    </w:p>
    <w:p w:rsidR="00680C70" w:rsidRDefault="00680C70" w:rsidP="00717B71">
      <w:pPr>
        <w:pStyle w:val="Heading1"/>
      </w:pPr>
    </w:p>
    <w:p w:rsidR="00680C70" w:rsidRDefault="00680C70" w:rsidP="00717B71">
      <w:pPr>
        <w:pStyle w:val="Heading1"/>
      </w:pPr>
    </w:p>
    <w:p w:rsidR="00680C70" w:rsidRDefault="00680C70" w:rsidP="00717B71">
      <w:pPr>
        <w:pStyle w:val="Heading1"/>
      </w:pPr>
    </w:p>
    <w:p w:rsidR="00680C70" w:rsidRDefault="00680C70">
      <w:pPr>
        <w:spacing w:after="160" w:line="259" w:lineRule="auto"/>
        <w:jc w:val="left"/>
        <w:rPr>
          <w:rFonts w:asciiTheme="majorHAnsi" w:eastAsiaTheme="majorEastAsia" w:hAnsiTheme="majorHAnsi" w:cstheme="majorBidi"/>
          <w:color w:val="2E74B5" w:themeColor="accent1" w:themeShade="BF"/>
          <w:sz w:val="32"/>
          <w:szCs w:val="32"/>
        </w:rPr>
      </w:pPr>
      <w:r>
        <w:br w:type="page"/>
      </w:r>
    </w:p>
    <w:p w:rsidR="00037FBB" w:rsidRPr="00037FBB" w:rsidRDefault="00037FBB" w:rsidP="00717B71">
      <w:pPr>
        <w:pStyle w:val="Heading1"/>
      </w:pPr>
      <w:bookmarkStart w:id="2" w:name="_Toc485765660"/>
      <w:r w:rsidRPr="00037FBB">
        <w:lastRenderedPageBreak/>
        <w:t>Introducción</w:t>
      </w:r>
      <w:bookmarkEnd w:id="2"/>
      <w:r w:rsidR="00666DE9">
        <w:t xml:space="preserve"> </w:t>
      </w:r>
    </w:p>
    <w:p w:rsidR="00037FBB" w:rsidRDefault="00037FBB">
      <w:r w:rsidRPr="00037FBB">
        <w:t>Las trabajadoras del hogar ocu</w:t>
      </w:r>
      <w:r>
        <w:t xml:space="preserve">pan </w:t>
      </w:r>
      <w:r w:rsidR="000009F0">
        <w:t>una posición subalterna</w:t>
      </w:r>
      <w:r>
        <w:t xml:space="preserve"> en las jerarquías de género, etnia y clase de la sociedad boliviana, ya que la mayoría son mujeres indígenas de origen rural y clase trabajadora. </w:t>
      </w:r>
      <w:r w:rsidR="003D441F">
        <w:t xml:space="preserve">A </w:t>
      </w:r>
      <w:r>
        <w:t xml:space="preserve">partir de los años ochenta consiguieron crear sus primeros sindicatos y en 1993 fundaron la Federación Nacional de Trabajadoras Asalariadas del Hogar de Bolivia (Fenatrahob). A lo largo de los noventa, la Fenatrahob consiguió el apoyo de </w:t>
      </w:r>
      <w:proofErr w:type="spellStart"/>
      <w:r>
        <w:t>ONGs</w:t>
      </w:r>
      <w:proofErr w:type="spellEnd"/>
      <w:r w:rsidR="00680C70">
        <w:t xml:space="preserve"> feministas</w:t>
      </w:r>
      <w:r>
        <w:t>, sindicatos y otras organizaciones progresistas, formando el movimiento boliviano de trabajadoras del hogar. Después de diez años de campaña, el movimiento consiguió la aprobación de la Ley 2450/2003 de Regulación del Trabajo Asalariado del Hogar, que reconoce a estas trabajadoras un nivel de derechos muy similar al del resto de trabajadores de Bolivia.</w:t>
      </w:r>
    </w:p>
    <w:p w:rsidR="00037FBB" w:rsidRDefault="00037FBB">
      <w:r>
        <w:t>La victorial electoral del partido Movimiento al Socialismo (MAS) en 2005 y la elección de Evo Morales como presidente despertaron grandes esperanzas entre las trabajadoras del hogar, ya que el MAS había apoyado de forma decidida en el Parlamento la Ley 2450 y una de las primeras decisiones del presidente Morales fue el nombrami</w:t>
      </w:r>
      <w:r w:rsidR="00680C70">
        <w:t xml:space="preserve">ento </w:t>
      </w:r>
      <w:r w:rsidR="003D441F">
        <w:t xml:space="preserve">como Ministra de Justicia </w:t>
      </w:r>
      <w:r w:rsidR="00680C70">
        <w:t>de Casimira Rodríguez, ex Secretaria E</w:t>
      </w:r>
      <w:r>
        <w:t>jecutiva de la Fen</w:t>
      </w:r>
      <w:r w:rsidR="003D441F">
        <w:t>a</w:t>
      </w:r>
      <w:r>
        <w:t xml:space="preserve">trahob,. Sin embargo, diez años después del inicio del llamado ‘proceso de cambio’ político liderado por el </w:t>
      </w:r>
      <w:r w:rsidR="00680C70">
        <w:t>Gobierno</w:t>
      </w:r>
      <w:r>
        <w:t xml:space="preserve"> del MAS, el balance de la acción del </w:t>
      </w:r>
      <w:r w:rsidR="00680C70">
        <w:t>Gobierno</w:t>
      </w:r>
      <w:r>
        <w:t xml:space="preserve"> en relación a los derechos de las trabajadoras del hogar es ambivalente. Por un lado, el </w:t>
      </w:r>
      <w:r w:rsidR="00680C70">
        <w:t>Gobierno</w:t>
      </w:r>
      <w:r>
        <w:t xml:space="preserve"> ha tomado varias medidas importantes para mejorar el prestigio social de las trabajadoras del hogar, que han sido tradicionalmente discriminadas. Por otro lado, las investigaciones existentes sugieren que el nivel de implementación de la Ley 2450/2003 es</w:t>
      </w:r>
      <w:r w:rsidR="00185D30">
        <w:t xml:space="preserve"> muy</w:t>
      </w:r>
      <w:r>
        <w:t xml:space="preserve"> bajo </w:t>
      </w:r>
      <w:r>
        <w:rPr>
          <w:lang w:val="en-GB"/>
        </w:rPr>
        <w:fldChar w:fldCharType="begin"/>
      </w:r>
      <w:r w:rsidRPr="00037FBB">
        <w:instrText xml:space="preserve"> ADDIN ZOTERO_ITEM CSL_CITATION {"citationID":"12a85pgn9d","properties":{"formattedCitation":"{\\rtf (Baptista Canedo, 2011; Peredo Beltr\\uc0\\u225{}n, 2015)}","plainCitation":"(Baptista Canedo, 2011; Peredo Beltrán, 2015)"},"citationItems":[{"id":817,"uris":["http://zotero.org/users/local/A608vxNk/items/ZV2CRP54"],"uri":["http://zotero.org/users/local/A608vxNk/items/ZV2CRP54"],"itemData":{"id":817,"type":"article","title":"Trabajo asalariado del hogar. Análisis Comparativo del Convenio de la OIT y el Marco Normativo Nacional","publisher":"Friedrich Ebert Stiftung/Plataforma por el Trabajo Digno","abstract":"Online communications network for domestic workers","URL":"http://idwfed.org/es/recursos/trabajo-asalariado-del-hogar-analisis-comparativo-del-convenio-de-la-oit-y-el-marco-normativo-nacional","language":"es","author":[{"family":"Baptista Canedo","given":"Rosario"}],"issued":{"date-parts":[["2011"]]},"accessed":{"date-parts":[["2016",10,6]]}}},{"id":1120,"uris":["http://zotero.org/users/local/A608vxNk/items/GIXN98P8"],"uri":["http://zotero.org/users/local/A608vxNk/items/GIXN98P8"],"itemData":{"id":1120,"type":"report","title":"Trabajadoras asalariadas del hogar en Bolivia: aprendizajes de una larga lucha","collection-title":"Cuaderno de trabajo Nº 21","publisher":"Red de Mujeres Transformando la Economía REMTE","publisher-place":"La Paz, Bolivia","event-place":"La Paz, Bolivia","URL":"http://www.remte-bolivia.org/attachments/article/139/21.pdf","author":[{"family":"Peredo Beltrán","given":"Elizabeth"}],"issued":{"date-parts":[["2015"]]},"accessed":{"date-parts":[["2017",9,3]]}}}],"schema":"https://github.com/citation-style-language/schema/raw/master/csl-citation.json"} </w:instrText>
      </w:r>
      <w:r>
        <w:rPr>
          <w:lang w:val="en-GB"/>
        </w:rPr>
        <w:fldChar w:fldCharType="separate"/>
      </w:r>
      <w:r w:rsidRPr="00037FBB">
        <w:rPr>
          <w:rFonts w:ascii="Calibri" w:hAnsi="Calibri" w:cs="Calibri"/>
          <w:szCs w:val="24"/>
        </w:rPr>
        <w:t>(Baptista Canedo, 2011; Peredo Beltrán, 2015)</w:t>
      </w:r>
      <w:r>
        <w:rPr>
          <w:lang w:val="en-GB"/>
        </w:rPr>
        <w:fldChar w:fldCharType="end"/>
      </w:r>
      <w:r w:rsidRPr="00037FBB">
        <w:t>.</w:t>
      </w:r>
    </w:p>
    <w:p w:rsidR="007F68DB" w:rsidRDefault="003F082E">
      <w:r>
        <w:t xml:space="preserve">Esta investigación pretende arrojar luz sobre el </w:t>
      </w:r>
      <w:r w:rsidR="003D441F">
        <w:t>ambivalente</w:t>
      </w:r>
      <w:r>
        <w:t xml:space="preserve"> balance del </w:t>
      </w:r>
      <w:r w:rsidR="00680C70">
        <w:t>Gobierno</w:t>
      </w:r>
      <w:r>
        <w:t xml:space="preserve"> del MAS en materia de políticas sobre derechos de las trabajadoras del hogar en el periodo 2006-2016, </w:t>
      </w:r>
      <w:r w:rsidR="007F68DB">
        <w:t>respondiendo a la siguiente pregunta de investigación:</w:t>
      </w:r>
    </w:p>
    <w:p w:rsidR="007F68DB" w:rsidRPr="000009F0" w:rsidRDefault="007F68DB" w:rsidP="007F68DB">
      <w:pPr>
        <w:ind w:left="567" w:right="567"/>
        <w:rPr>
          <w:rFonts w:cstheme="minorHAnsi"/>
          <w:b/>
          <w:i/>
        </w:rPr>
      </w:pPr>
      <w:r w:rsidRPr="007F68DB">
        <w:rPr>
          <w:rFonts w:cstheme="minorHAnsi"/>
          <w:i/>
        </w:rPr>
        <w:t>¿Cuáles fueron los principales impactos del movimiento boliviano de trabajadoras del hogar en las políticas públicas durante el periodo 2006-2016 y en qué medida la institucionalizaci</w:t>
      </w:r>
      <w:r>
        <w:rPr>
          <w:rFonts w:cstheme="minorHAnsi"/>
          <w:i/>
        </w:rPr>
        <w:t xml:space="preserve">ón del movimiento explica dichos impactos? </w:t>
      </w:r>
    </w:p>
    <w:p w:rsidR="00C36EEA" w:rsidRDefault="00C36EEA">
      <w:r>
        <w:t xml:space="preserve">Esta </w:t>
      </w:r>
      <w:r w:rsidR="00FB6228">
        <w:t>ponencia</w:t>
      </w:r>
      <w:r>
        <w:t xml:space="preserve"> se divide en cuatro partes. En la primera se presenta la metodología, </w:t>
      </w:r>
      <w:r w:rsidR="00465B98">
        <w:t>la pregunta de investigación y</w:t>
      </w:r>
      <w:r>
        <w:t xml:space="preserve"> los objetivos de la investigación. En la segunda parte se analizan las principales demandas de políticas públicas de movimiento de trabajadoras </w:t>
      </w:r>
      <w:r w:rsidR="00C107F4">
        <w:t>del hogar</w:t>
      </w:r>
      <w:r>
        <w:t xml:space="preserve"> durante el periodo estudiado (2006-2016). En la tercera parte se analizan las políticas promovidas por el </w:t>
      </w:r>
      <w:r w:rsidR="00680C70">
        <w:t>Gobierno</w:t>
      </w:r>
      <w:r>
        <w:t xml:space="preserve"> en materia de derechos de las trabajadoras </w:t>
      </w:r>
      <w:r w:rsidR="00C107F4">
        <w:t>del hogar</w:t>
      </w:r>
      <w:r>
        <w:t xml:space="preserve"> y se evalúa en qué medida el </w:t>
      </w:r>
      <w:r w:rsidR="00680C70">
        <w:t>Gobierno</w:t>
      </w:r>
      <w:r>
        <w:t xml:space="preserve"> satisfizo las demandas del movimiento. Finalmente, la cuarta parte está dedicada a explorar las causas de la satisfacción parcial de las demandas del movimiento por parte del </w:t>
      </w:r>
      <w:r w:rsidR="00680C70">
        <w:t>Gobierno</w:t>
      </w:r>
      <w:r>
        <w:t xml:space="preserve">, centrándose en la institucionalización del movimiento (es decir, sus relaciones con el </w:t>
      </w:r>
      <w:r w:rsidR="00680C70">
        <w:t>Gobierno</w:t>
      </w:r>
      <w:r>
        <w:t>).</w:t>
      </w:r>
    </w:p>
    <w:p w:rsidR="00717B71" w:rsidRDefault="00717B71" w:rsidP="00717B71">
      <w:pPr>
        <w:pStyle w:val="Heading1"/>
      </w:pPr>
      <w:bookmarkStart w:id="3" w:name="_Toc485765661"/>
      <w:r>
        <w:lastRenderedPageBreak/>
        <w:t>Parte 1: Metodo</w:t>
      </w:r>
      <w:r w:rsidR="00465B98">
        <w:t>logía,</w:t>
      </w:r>
      <w:r>
        <w:t xml:space="preserve"> pregunta </w:t>
      </w:r>
      <w:r w:rsidR="00465B98">
        <w:t xml:space="preserve">de investigación </w:t>
      </w:r>
      <w:r>
        <w:t>y objetivos de investigación</w:t>
      </w:r>
      <w:bookmarkEnd w:id="3"/>
    </w:p>
    <w:p w:rsidR="00717B71" w:rsidRDefault="00717B71" w:rsidP="00717B71">
      <w:pPr>
        <w:pStyle w:val="Heading2"/>
      </w:pPr>
      <w:bookmarkStart w:id="4" w:name="_Toc485765662"/>
      <w:r>
        <w:t>1. Metodología</w:t>
      </w:r>
      <w:bookmarkEnd w:id="4"/>
    </w:p>
    <w:p w:rsidR="0088582E" w:rsidRPr="0088582E" w:rsidRDefault="0088582E" w:rsidP="0088582E">
      <w:pPr>
        <w:pStyle w:val="Heading2"/>
      </w:pPr>
      <w:bookmarkStart w:id="5" w:name="_Toc485765663"/>
      <w:r>
        <w:t>1.1. Análisis temático de contenido de documentos</w:t>
      </w:r>
      <w:bookmarkEnd w:id="5"/>
    </w:p>
    <w:p w:rsidR="00275B3F" w:rsidRDefault="00717B71">
      <w:r>
        <w:t>La investigación se basa en dos métodos cualitativos: análisis de contenido de docum</w:t>
      </w:r>
      <w:r w:rsidR="00275B3F">
        <w:t>entos publicados por la Fen</w:t>
      </w:r>
      <w:r w:rsidR="00185D30">
        <w:t>a</w:t>
      </w:r>
      <w:r w:rsidR="00275B3F">
        <w:t>trah</w:t>
      </w:r>
      <w:r>
        <w:t xml:space="preserve">ob y el </w:t>
      </w:r>
      <w:r w:rsidR="00680C70">
        <w:t>Gobierno</w:t>
      </w:r>
      <w:r>
        <w:t xml:space="preserve"> boliviano, y entrevistas </w:t>
      </w:r>
      <w:proofErr w:type="spellStart"/>
      <w:r>
        <w:t>semi</w:t>
      </w:r>
      <w:proofErr w:type="spellEnd"/>
      <w:r>
        <w:t>-estructuradas con funcionarios bolivianos, miembros del MAS y activistas del movimiento de trabajadoras domésticas.</w:t>
      </w:r>
    </w:p>
    <w:p w:rsidR="00275B3F" w:rsidRDefault="00275B3F">
      <w:pPr>
        <w:rPr>
          <w:rFonts w:cstheme="minorHAnsi"/>
          <w:szCs w:val="24"/>
        </w:rPr>
      </w:pPr>
      <w:r>
        <w:t xml:space="preserve">El principal método de la investigación es la variedad de análisis temático de contenido </w:t>
      </w:r>
      <w:r w:rsidR="00337A18">
        <w:t>propuesta por</w:t>
      </w:r>
      <w:r>
        <w:t xml:space="preserve"> Braun y Clarke </w:t>
      </w:r>
      <w:r w:rsidRPr="00CB74CA">
        <w:rPr>
          <w:rFonts w:cstheme="minorHAnsi"/>
          <w:szCs w:val="24"/>
          <w:lang w:val="en-GB"/>
        </w:rPr>
        <w:fldChar w:fldCharType="begin"/>
      </w:r>
      <w:r w:rsidRPr="00275B3F">
        <w:rPr>
          <w:rFonts w:cstheme="minorHAnsi"/>
          <w:szCs w:val="24"/>
        </w:rPr>
        <w:instrText xml:space="preserve"> ADDIN ZOTERO_ITEM CSL_CITATION {"citationID":"26k3cvuojf","properties":{"formattedCitation":"(Braun and Clarke, 2006)","plainCitation":"(Braun and Clarke, 2006)"},"citationItems":[{"id":874,"uris":["http://zotero.org/users/local/A608vxNk/items/X77ZB7IQ"],"uri":["http://zotero.org/users/local/A608vxNk/items/X77ZB7IQ"],"itemData":{"id":874,"type":"article-journal","title":"Using thematic analysis in psychology","container-title":"Qualitative research in psychology","page":"77-101","volume":"3","issue":"2","ISSN":"1478-0887","journalAbbreviation":"Qualitative research in psychology","author":[{"family":"Braun","given":"Virginia"},{"family":"Clarke","given":"Victoria"}],"issued":{"date-parts":[["2006"]]}}}],"schema":"https://github.com/citation-style-language/schema/raw/master/csl-citation.json"} </w:instrText>
      </w:r>
      <w:r w:rsidRPr="00CB74CA">
        <w:rPr>
          <w:rFonts w:cstheme="minorHAnsi"/>
          <w:szCs w:val="24"/>
          <w:lang w:val="en-GB"/>
        </w:rPr>
        <w:fldChar w:fldCharType="separate"/>
      </w:r>
      <w:r w:rsidRPr="00275B3F">
        <w:rPr>
          <w:rFonts w:cstheme="minorHAnsi"/>
          <w:szCs w:val="24"/>
        </w:rPr>
        <w:t>(2006)</w:t>
      </w:r>
      <w:r w:rsidRPr="00CB74CA">
        <w:rPr>
          <w:rFonts w:cstheme="minorHAnsi"/>
          <w:szCs w:val="24"/>
          <w:lang w:val="en-GB"/>
        </w:rPr>
        <w:fldChar w:fldCharType="end"/>
      </w:r>
      <w:r w:rsidR="001E241D">
        <w:rPr>
          <w:rFonts w:cstheme="minorHAnsi"/>
          <w:szCs w:val="24"/>
        </w:rPr>
        <w:t xml:space="preserve">, que </w:t>
      </w:r>
      <w:r>
        <w:rPr>
          <w:rFonts w:cstheme="minorHAnsi"/>
          <w:szCs w:val="24"/>
        </w:rPr>
        <w:t>permite obten</w:t>
      </w:r>
      <w:r w:rsidR="001E241D">
        <w:rPr>
          <w:rFonts w:cstheme="minorHAnsi"/>
          <w:szCs w:val="24"/>
        </w:rPr>
        <w:t xml:space="preserve">er datos fiables en poco tiempo. Esta variedad </w:t>
      </w:r>
      <w:r>
        <w:rPr>
          <w:rFonts w:cstheme="minorHAnsi"/>
          <w:szCs w:val="24"/>
        </w:rPr>
        <w:t>de análisis temático es un método sencillo que cons</w:t>
      </w:r>
      <w:r w:rsidRPr="00275B3F">
        <w:rPr>
          <w:rFonts w:cstheme="minorHAnsi"/>
          <w:szCs w:val="24"/>
        </w:rPr>
        <w:t xml:space="preserve">iste en </w:t>
      </w:r>
      <w:r>
        <w:rPr>
          <w:rFonts w:cstheme="minorHAnsi"/>
          <w:szCs w:val="24"/>
        </w:rPr>
        <w:t xml:space="preserve">identificar </w:t>
      </w:r>
      <w:r w:rsidRPr="00275B3F">
        <w:rPr>
          <w:rFonts w:cstheme="minorHAnsi"/>
          <w:szCs w:val="24"/>
        </w:rPr>
        <w:t>analizar y organizar los datos mediante la identificaci</w:t>
      </w:r>
      <w:r w:rsidR="00340A9C">
        <w:rPr>
          <w:rFonts w:cstheme="minorHAnsi"/>
          <w:szCs w:val="24"/>
        </w:rPr>
        <w:t xml:space="preserve">ón </w:t>
      </w:r>
      <w:r>
        <w:rPr>
          <w:rFonts w:cstheme="minorHAnsi"/>
          <w:szCs w:val="24"/>
        </w:rPr>
        <w:t xml:space="preserve">de temas. </w:t>
      </w:r>
      <w:r w:rsidR="00340A9C">
        <w:rPr>
          <w:rFonts w:cstheme="minorHAnsi"/>
          <w:szCs w:val="24"/>
        </w:rPr>
        <w:t>E</w:t>
      </w:r>
      <w:r>
        <w:rPr>
          <w:rFonts w:cstheme="minorHAnsi"/>
          <w:szCs w:val="24"/>
        </w:rPr>
        <w:t>ste método permite una gran flexibilidad para definir lo que se considera un tema. He decidido centrarme en analizar los temas que están directamente relacionados con mi pregunta de investigación, pese a que los documentos estudi</w:t>
      </w:r>
      <w:r w:rsidR="00340A9C">
        <w:rPr>
          <w:rFonts w:cstheme="minorHAnsi"/>
          <w:szCs w:val="24"/>
        </w:rPr>
        <w:t>ados tratan muchos otros temas.</w:t>
      </w:r>
    </w:p>
    <w:p w:rsidR="00275B3F" w:rsidRDefault="00275B3F">
      <w:pPr>
        <w:rPr>
          <w:rFonts w:cstheme="minorHAnsi"/>
          <w:szCs w:val="24"/>
        </w:rPr>
      </w:pPr>
      <w:r>
        <w:rPr>
          <w:rFonts w:cstheme="minorHAnsi"/>
          <w:szCs w:val="24"/>
        </w:rPr>
        <w:t xml:space="preserve">Los documentos analizados han sido seleccionados mediante un muestreo intencional </w:t>
      </w:r>
      <w:r w:rsidRPr="00630666">
        <w:rPr>
          <w:rFonts w:cstheme="minorHAnsi"/>
          <w:szCs w:val="24"/>
          <w:lang w:val="en-GB"/>
        </w:rPr>
        <w:fldChar w:fldCharType="begin"/>
      </w:r>
      <w:r w:rsidRPr="00275B3F">
        <w:rPr>
          <w:rFonts w:cstheme="minorHAnsi"/>
          <w:szCs w:val="24"/>
        </w:rPr>
        <w:instrText xml:space="preserve"> ADDIN ZOTERO_ITEM CSL_CITATION {"citationID":"12niej7r17","properties":{"formattedCitation":"(Lindekilde, 2014)","plainCitation":"(Lindekilde, 2014)"},"citationItems":[{"id":755,"uris":["http://zotero.org/users/local/A608vxNk/items/IUWWFCAA"],"uri":["http://zotero.org/users/local/A608vxNk/items/IUWWFCAA"],"itemData":{"id":755,"type":"article-journal","title":"Discourse and Frame Analysis: In-Depth Analysis of Qualitative Data in Social Movement Research","container-title":"Methodological Practices in Social Movement Research","page":"195-227","journalAbbreviation":"Methodological Practices in Social Movement Research","author":[{"family":"Lindekilde","given":"Lasse"}],"issued":{"date-parts":[["2014"]]}}}],"schema":"https://github.com/citation-style-language/schema/raw/master/csl-citation.json"} </w:instrText>
      </w:r>
      <w:r w:rsidRPr="00630666">
        <w:rPr>
          <w:rFonts w:cstheme="minorHAnsi"/>
          <w:szCs w:val="24"/>
          <w:lang w:val="en-GB"/>
        </w:rPr>
        <w:fldChar w:fldCharType="separate"/>
      </w:r>
      <w:r w:rsidRPr="00275B3F">
        <w:rPr>
          <w:rFonts w:cstheme="minorHAnsi"/>
          <w:szCs w:val="24"/>
        </w:rPr>
        <w:t>(Lindekilde, 2014)</w:t>
      </w:r>
      <w:r w:rsidRPr="00630666">
        <w:rPr>
          <w:rFonts w:cstheme="minorHAnsi"/>
          <w:szCs w:val="24"/>
          <w:lang w:val="en-GB"/>
        </w:rPr>
        <w:fldChar w:fldCharType="end"/>
      </w:r>
      <w:r w:rsidRPr="00275B3F">
        <w:rPr>
          <w:rFonts w:cstheme="minorHAnsi"/>
          <w:szCs w:val="24"/>
        </w:rPr>
        <w:t>.</w:t>
      </w:r>
      <w:r>
        <w:rPr>
          <w:rFonts w:cstheme="minorHAnsi"/>
          <w:szCs w:val="24"/>
        </w:rPr>
        <w:t xml:space="preserve"> En relación al movimiento de trabajadoras domésticas he seleccionado dos tipos de documentos. El primero son boletines informativos </w:t>
      </w:r>
      <w:r w:rsidRPr="00275B3F">
        <w:rPr>
          <w:rFonts w:cstheme="minorHAnsi"/>
          <w:i/>
          <w:szCs w:val="24"/>
        </w:rPr>
        <w:t>Equidad y Justicia</w:t>
      </w:r>
      <w:r>
        <w:rPr>
          <w:rFonts w:cstheme="minorHAnsi"/>
          <w:szCs w:val="24"/>
        </w:rPr>
        <w:t xml:space="preserve">, que la Federación publica dos o tres veces al mes. He analizado todos los documentos publicados entre 2005 y 2016 -he incluido los de 2005 para poder evaluar hasta qué punto las políticas aprobadas en 2006 respondían a demandas de la Fenatrahob. Además de los boletines informativos, he analizado la propuesta de política pública </w:t>
      </w:r>
      <w:proofErr w:type="spellStart"/>
      <w:r w:rsidRPr="00275B3F">
        <w:rPr>
          <w:rFonts w:cstheme="minorHAnsi"/>
          <w:i/>
          <w:szCs w:val="24"/>
        </w:rPr>
        <w:t>Despatriarcalización</w:t>
      </w:r>
      <w:proofErr w:type="spellEnd"/>
      <w:r w:rsidRPr="00275B3F">
        <w:rPr>
          <w:rFonts w:cstheme="minorHAnsi"/>
          <w:i/>
          <w:szCs w:val="24"/>
        </w:rPr>
        <w:t xml:space="preserve"> y descolonización desde la perspectiva de las trabajadoras asalariadas del hogar</w:t>
      </w:r>
      <w:r>
        <w:rPr>
          <w:rFonts w:cstheme="minorHAnsi"/>
          <w:i/>
          <w:szCs w:val="24"/>
        </w:rPr>
        <w:t xml:space="preserve"> </w:t>
      </w:r>
      <w:r w:rsidRPr="00CB74CA">
        <w:rPr>
          <w:lang w:val="en-GB"/>
        </w:rPr>
        <w:fldChar w:fldCharType="begin"/>
      </w:r>
      <w:r w:rsidR="00BF4A94">
        <w:instrText xml:space="preserve"> ADDIN ZOTERO_ITEM CSL_CITATION {"citationID":"l0q70bb9s","properties":{"formattedCitation":"(Fenatrahob, 2014a)","plainCitation":"(Fenatrahob, 2014a)"},"citationItems":[{"id":828,"uris":["http://zotero.org/users/local/A608vxNk/items/J4ZVIW7N"],"uri":["http://zotero.org/users/local/A608vxNk/items/J4ZVIW7N"],"itemData":{"id":828,"type":"article","title":"Descolonización y despatriarcalización desde la perspectiva de las trabajadoras de las trabajadoras asalariadas del hogar: una propuesta de política pública","publisher":"Fundación Friedrich Ebert","author":[{"family":"Fenatrahob","given":""}],"issued":{"date-parts":[["2014"]]}}}],"schema":"https://github.com/citation-style-language/schema/raw/master/csl-citation.json"} </w:instrText>
      </w:r>
      <w:r w:rsidRPr="00CB74CA">
        <w:rPr>
          <w:lang w:val="en-GB"/>
        </w:rPr>
        <w:fldChar w:fldCharType="separate"/>
      </w:r>
      <w:r w:rsidR="00BF4A94" w:rsidRPr="00BF4A94">
        <w:rPr>
          <w:rFonts w:ascii="Calibri" w:hAnsi="Calibri" w:cs="Calibri"/>
        </w:rPr>
        <w:t>(Fenatrahob, 2014a)</w:t>
      </w:r>
      <w:r w:rsidRPr="00CB74CA">
        <w:rPr>
          <w:lang w:val="en-GB"/>
        </w:rPr>
        <w:fldChar w:fldCharType="end"/>
      </w:r>
      <w:r>
        <w:rPr>
          <w:rFonts w:cstheme="minorHAnsi"/>
          <w:szCs w:val="24"/>
        </w:rPr>
        <w:t xml:space="preserve">, publicada por la Fenatrahob con el apoyo de la Fundación Friedrich Ebert. En el caso del </w:t>
      </w:r>
      <w:r w:rsidR="00680C70">
        <w:rPr>
          <w:rFonts w:cstheme="minorHAnsi"/>
          <w:szCs w:val="24"/>
        </w:rPr>
        <w:t>Gobierno</w:t>
      </w:r>
      <w:r>
        <w:rPr>
          <w:rFonts w:cstheme="minorHAnsi"/>
          <w:szCs w:val="24"/>
        </w:rPr>
        <w:t xml:space="preserve">, he analizado comunicados del Ministerio de Trabajo sobre derechos de las trabajadoras del hogar y las normas y regulaciones aprobadas o promovidas por el </w:t>
      </w:r>
      <w:r w:rsidR="00680C70">
        <w:rPr>
          <w:rFonts w:cstheme="minorHAnsi"/>
          <w:szCs w:val="24"/>
        </w:rPr>
        <w:t>Gobierno</w:t>
      </w:r>
      <w:r>
        <w:rPr>
          <w:rFonts w:cstheme="minorHAnsi"/>
          <w:szCs w:val="24"/>
        </w:rPr>
        <w:t xml:space="preserve"> sobre el m</w:t>
      </w:r>
      <w:r w:rsidR="0088582E">
        <w:rPr>
          <w:rFonts w:cstheme="minorHAnsi"/>
          <w:szCs w:val="24"/>
        </w:rPr>
        <w:t>ismo tema.</w:t>
      </w:r>
    </w:p>
    <w:p w:rsidR="0088582E" w:rsidRDefault="0088582E" w:rsidP="0088582E">
      <w:pPr>
        <w:pStyle w:val="Heading2"/>
      </w:pPr>
      <w:bookmarkStart w:id="6" w:name="_Toc485765664"/>
      <w:r>
        <w:t xml:space="preserve">1.2. Entrevistas </w:t>
      </w:r>
      <w:proofErr w:type="spellStart"/>
      <w:r>
        <w:t>semi</w:t>
      </w:r>
      <w:proofErr w:type="spellEnd"/>
      <w:r>
        <w:t>-estructuradas</w:t>
      </w:r>
      <w:bookmarkEnd w:id="6"/>
    </w:p>
    <w:p w:rsidR="0088582E" w:rsidRPr="0088582E" w:rsidRDefault="0088582E">
      <w:pPr>
        <w:rPr>
          <w:rFonts w:cstheme="minorHAnsi"/>
          <w:szCs w:val="24"/>
        </w:rPr>
      </w:pPr>
      <w:r>
        <w:rPr>
          <w:rFonts w:cstheme="minorHAnsi"/>
          <w:szCs w:val="24"/>
        </w:rPr>
        <w:t xml:space="preserve">La decisión de </w:t>
      </w:r>
      <w:r w:rsidR="00340A9C">
        <w:rPr>
          <w:rFonts w:cstheme="minorHAnsi"/>
          <w:szCs w:val="24"/>
        </w:rPr>
        <w:t>recurrir a las</w:t>
      </w:r>
      <w:r>
        <w:rPr>
          <w:rFonts w:cstheme="minorHAnsi"/>
          <w:szCs w:val="24"/>
        </w:rPr>
        <w:t xml:space="preserve"> entrevistas se basó en dos razones. Primero, es un método más económico para obtener datos detallados sobre movimientos sociales que la observación participante, que implica una inserción duradera en las actividades de un movimiento social </w:t>
      </w:r>
      <w:r w:rsidRPr="003164DE">
        <w:rPr>
          <w:lang w:val="en-GB"/>
        </w:rPr>
        <w:fldChar w:fldCharType="begin"/>
      </w:r>
      <w:r w:rsidRPr="0088582E">
        <w:instrText xml:space="preserve"> ADDIN ZOTERO_ITEM CSL_CITATION {"citationID":"gXizZ67a","properties":{"formattedCitation":"(Blee and Taylor, 2002, p. 93; Rapley, 2004, p. 35)","plainCitation":"(Blee and Taylor, 2002, p. 93; Rapley, 2004, p. 35)"},"citationItems":[{"id":1190,"uris":["http://zotero.org/users/local/A608vxNk/items/83JD7VM8"],"uri":["http://zotero.org/users/local/A608vxNk/items/83JD7VM8"],"itemData":{"id":1190,"type":"article-journal","title":"Semi-structured interviewing in social movement research","container-title":"Methods of social movement research","page":"92-117","volume":"16","journalAbbreviation":"Methods of social movement research","author":[{"family":"Blee","given":"Kathleen M"},{"family":"Taylor","given":"Verta"}],"issued":{"date-parts":[["2002"]]}},"locator":"93"},{"id":1176,"uris":["http://zotero.org/users/local/A608vxNk/items/FTKB3FK4"],"uri":["http://zotero.org/users/local/A608vxNk/items/FTKB3FK4"],"itemData":{"id":1176,"type":"chapter","title":"Interviews","container-title":"Qualitative Research Practice","publisher":"SAGE","publisher-place":"London, UK","event-place":"London, UK","author":[{"family":"Rapley","given":"Tim"}],"editor":[{"family":"Seale","given":"Clive"},{"family":"Gobo","given":"Giampietro"},{"family":"Gubrium","given":"Jaber F."},{"family":"Silverman","given":"David"}],"issued":{"date-parts":[["2004"]]}},"locator":"35"}],"schema":"https://github.com/citation-style-language/schema/raw/master/csl-citation.json"} </w:instrText>
      </w:r>
      <w:r w:rsidRPr="003164DE">
        <w:rPr>
          <w:lang w:val="en-GB"/>
        </w:rPr>
        <w:fldChar w:fldCharType="separate"/>
      </w:r>
      <w:r w:rsidRPr="0088582E">
        <w:rPr>
          <w:rFonts w:ascii="Calibri" w:hAnsi="Calibri" w:cs="Calibri"/>
        </w:rPr>
        <w:t>(Blee and Taylor, 2002, p. 93; Rapley, 2004, p. 35)</w:t>
      </w:r>
      <w:r w:rsidRPr="003164DE">
        <w:rPr>
          <w:lang w:val="en-GB"/>
        </w:rPr>
        <w:fldChar w:fldCharType="end"/>
      </w:r>
      <w:r w:rsidRPr="0088582E">
        <w:t>.</w:t>
      </w:r>
      <w:r>
        <w:t xml:space="preserve"> La segunda razón es que mi investigación se centra en la satisfacción de las demandas del movimiento, no en sus movilizaciones, por lo que la observación participante no habría sido particularmente útil.</w:t>
      </w:r>
      <w:r>
        <w:rPr>
          <w:rFonts w:cstheme="minorHAnsi"/>
          <w:szCs w:val="24"/>
        </w:rPr>
        <w:t xml:space="preserve"> Por otro lado, he elegido hacer entrevistas </w:t>
      </w:r>
      <w:proofErr w:type="spellStart"/>
      <w:r>
        <w:rPr>
          <w:rFonts w:cstheme="minorHAnsi"/>
          <w:szCs w:val="24"/>
        </w:rPr>
        <w:t>semi</w:t>
      </w:r>
      <w:proofErr w:type="spellEnd"/>
      <w:r>
        <w:rPr>
          <w:rFonts w:cstheme="minorHAnsi"/>
          <w:szCs w:val="24"/>
        </w:rPr>
        <w:t xml:space="preserve">-estructuradas porque esta modalidad permite al investigador modificar las preguntas para cada persona entrevistada y facilita el establecimiento de una conversación entre el investigador y la persona entrevistada </w:t>
      </w:r>
      <w:r>
        <w:rPr>
          <w:lang w:val="en-GB"/>
        </w:rPr>
        <w:fldChar w:fldCharType="begin"/>
      </w:r>
      <w:r w:rsidRPr="0088582E">
        <w:instrText xml:space="preserve"> ADDIN ZOTERO_ITEM CSL_CITATION {"citationID":"limFQppu","properties":{"formattedCitation":"(Blee and Taylor, 2002, p. 92; Smith, 1995, p. 11)","plainCitation":"(Blee and Taylor, 2002, p. 92; Smith, 1995, p. 11)"},"citationItems":[{"id":1190,"uris":["http://zotero.org/users/local/A608vxNk/items/83JD7VM8"],"uri":["http://zotero.org/users/local/A608vxNk/items/83JD7VM8"],"itemData":{"id":1190,"type":"article-journal","title":"Semi-structured interviewing in social movement research","container-title":"Methods of social movement research","page":"92-117","volume":"16","journalAbbreviation":"Methods of social movement research","author":[{"family":"Blee","given":"Kathleen M"},{"family":"Taylor","given":"Verta"}],"issued":{"date-parts":[["2002"]]}},"locator":"92"},{"id":1193,"uris":["http://zotero.org/users/local/A608vxNk/items/DCAPM6HS"],"uri":["http://zotero.org/users/local/A608vxNk/items/DCAPM6HS"],"itemData":{"id":1193,"type":"article-journal","title":"Semi-structured interviewing and qualitative analysis","container-title":"Rethinking methods in psychology","page":"8-26","volume":"1","journalAbbreviation":"Rethinking methods in psychology","author":[{"family":"Smith","given":"Jonathan A"}],"issued":{"date-parts":[["1995"]]}},"locator":"11"}],"schema":"https://github.com/citation-style-language/schema/raw/master/csl-citation.json"} </w:instrText>
      </w:r>
      <w:r>
        <w:rPr>
          <w:lang w:val="en-GB"/>
        </w:rPr>
        <w:fldChar w:fldCharType="separate"/>
      </w:r>
      <w:r w:rsidRPr="0088582E">
        <w:rPr>
          <w:rFonts w:ascii="Calibri" w:hAnsi="Calibri" w:cs="Calibri"/>
        </w:rPr>
        <w:t>(Blee and Taylor, 2002, p. 92; Smith, 1995, p. 12)</w:t>
      </w:r>
      <w:r>
        <w:rPr>
          <w:lang w:val="en-GB"/>
        </w:rPr>
        <w:fldChar w:fldCharType="end"/>
      </w:r>
      <w:r w:rsidRPr="0088582E">
        <w:t>.</w:t>
      </w:r>
    </w:p>
    <w:p w:rsidR="00465B98" w:rsidRDefault="0088582E" w:rsidP="00185D30">
      <w:r>
        <w:lastRenderedPageBreak/>
        <w:t xml:space="preserve">La muestra </w:t>
      </w:r>
      <w:r w:rsidR="00A231FC">
        <w:t xml:space="preserve">de personas entrevistadas fue diseñada con el objetivo de incluir a integrantes de la Fenatrahob (el principal actor del movimiento de trabajadoras del hogar), activistas del movimiento no pertenecientes a Fenatrahob, y representantes del MAS, funcionarios o miembros del </w:t>
      </w:r>
      <w:r w:rsidR="00680C70">
        <w:t>Gobierno</w:t>
      </w:r>
      <w:r w:rsidR="00A231FC">
        <w:t xml:space="preserve"> que conociesen las políticas sobre derechos de las trabajadoras del hogar. Finalmente, la muestra estuvo compuesta por cinco personas que cubrí</w:t>
      </w:r>
      <w:r w:rsidR="00185D30">
        <w:t>an todos los perfiles indicados</w:t>
      </w:r>
      <w:r w:rsidR="00340A9C">
        <w:t>. Por otro lado, el análisis de entrevistas realizadas durante un trabajo de campo previo en Bolivia en marzo y abril de 2016 me permitió conocer el contexto socio-político del movimiento de trabajadoras del hogar.</w:t>
      </w:r>
    </w:p>
    <w:p w:rsidR="00185D30" w:rsidRDefault="00185D30" w:rsidP="00185D30"/>
    <w:p w:rsidR="00717B71" w:rsidRDefault="00465B98" w:rsidP="00717B71">
      <w:pPr>
        <w:pStyle w:val="Heading2"/>
      </w:pPr>
      <w:bookmarkStart w:id="7" w:name="_Toc485765665"/>
      <w:r>
        <w:t>2</w:t>
      </w:r>
      <w:r w:rsidR="00717B71">
        <w:t>. Pregunta y objetivos de investigación</w:t>
      </w:r>
      <w:bookmarkEnd w:id="7"/>
    </w:p>
    <w:p w:rsidR="00A231FC" w:rsidRDefault="00465B98" w:rsidP="00465B98">
      <w:r>
        <w:t>La investigación se sitúa en la intersección entre la literatura sobre trabajo doméstico y la literatura sobre movimientos sociales</w:t>
      </w:r>
      <w:r w:rsidR="00340A9C">
        <w:t>.</w:t>
      </w:r>
      <w:r>
        <w:t xml:space="preserve"> Los principales conceptos en torno a los que se articula la investigación son ‘impactos del movimiento social’ e ‘institucionalización del movimiento social’, cuya aplicación</w:t>
      </w:r>
      <w:r w:rsidR="00A231FC">
        <w:t xml:space="preserve"> al caso del movimiento de las trabajadoras del hogar permitió formular la siguiente pregunta de investigación:</w:t>
      </w:r>
    </w:p>
    <w:p w:rsidR="00A231FC" w:rsidRPr="00A231FC" w:rsidRDefault="00A231FC" w:rsidP="00340A9C">
      <w:pPr>
        <w:ind w:left="567" w:right="567"/>
        <w:rPr>
          <w:i/>
        </w:rPr>
      </w:pPr>
      <w:r w:rsidRPr="00A231FC">
        <w:rPr>
          <w:i/>
        </w:rPr>
        <w:t>¿Cuáles fueron los principales impactos del movimiento boliviano de trabajadoras del hogar durante el periodo 2006-2016 y en qué medida la institucionalización del movimiento explica esos impactos?</w:t>
      </w:r>
    </w:p>
    <w:p w:rsidR="00A231FC" w:rsidRDefault="00A231FC" w:rsidP="00A231FC">
      <w:r>
        <w:t>La pregunta de investigación se ha explorado a través de tres objetivos de investigación:</w:t>
      </w:r>
    </w:p>
    <w:p w:rsidR="00A231FC" w:rsidRPr="00E001A5" w:rsidRDefault="00A231FC" w:rsidP="00A231FC">
      <w:pPr>
        <w:pStyle w:val="ListParagraph"/>
        <w:numPr>
          <w:ilvl w:val="0"/>
          <w:numId w:val="2"/>
        </w:numPr>
        <w:rPr>
          <w:i/>
        </w:rPr>
      </w:pPr>
      <w:r w:rsidRPr="00E001A5">
        <w:rPr>
          <w:i/>
        </w:rPr>
        <w:t>Identificar las principales demandas de políticas públicas del movimiento durante el periodo 2006-2016.</w:t>
      </w:r>
    </w:p>
    <w:p w:rsidR="00A231FC" w:rsidRPr="00E001A5" w:rsidRDefault="00A231FC" w:rsidP="00A231FC">
      <w:pPr>
        <w:pStyle w:val="ListParagraph"/>
        <w:numPr>
          <w:ilvl w:val="0"/>
          <w:numId w:val="2"/>
        </w:numPr>
        <w:rPr>
          <w:i/>
        </w:rPr>
      </w:pPr>
      <w:r w:rsidRPr="00E001A5">
        <w:rPr>
          <w:i/>
        </w:rPr>
        <w:t xml:space="preserve">Evaluar en qué medida las demandas del movimiento fueron satisfechas por el </w:t>
      </w:r>
      <w:r w:rsidR="00680C70">
        <w:rPr>
          <w:i/>
        </w:rPr>
        <w:t>Gobierno</w:t>
      </w:r>
      <w:r w:rsidRPr="00E001A5">
        <w:rPr>
          <w:i/>
        </w:rPr>
        <w:t xml:space="preserve"> durante el periodo 2006-2016.</w:t>
      </w:r>
    </w:p>
    <w:p w:rsidR="00A231FC" w:rsidRDefault="00A231FC" w:rsidP="00A231FC">
      <w:pPr>
        <w:pStyle w:val="ListParagraph"/>
        <w:numPr>
          <w:ilvl w:val="0"/>
          <w:numId w:val="2"/>
        </w:numPr>
        <w:rPr>
          <w:i/>
        </w:rPr>
      </w:pPr>
      <w:r w:rsidRPr="00E001A5">
        <w:rPr>
          <w:i/>
        </w:rPr>
        <w:t>Explorar las razones que explican la satisfacción parcial de las demandas del movimiento durante el periodo 2006-2016, centrándose en la institucionalización del movimiento.</w:t>
      </w:r>
    </w:p>
    <w:p w:rsidR="00465B98" w:rsidRDefault="00465B98" w:rsidP="00465B98">
      <w:pPr>
        <w:rPr>
          <w:i/>
        </w:rPr>
      </w:pPr>
    </w:p>
    <w:p w:rsidR="00C107F4" w:rsidRDefault="00C107F4" w:rsidP="00C107F4">
      <w:pPr>
        <w:pStyle w:val="Heading2"/>
      </w:pPr>
    </w:p>
    <w:p w:rsidR="00185D30" w:rsidRDefault="00185D30">
      <w:pPr>
        <w:spacing w:after="160" w:line="259" w:lineRule="auto"/>
        <w:jc w:val="left"/>
        <w:rPr>
          <w:rFonts w:asciiTheme="majorHAnsi" w:eastAsiaTheme="majorEastAsia" w:hAnsiTheme="majorHAnsi" w:cstheme="majorBidi"/>
          <w:color w:val="2E74B5" w:themeColor="accent1" w:themeShade="BF"/>
          <w:sz w:val="32"/>
          <w:szCs w:val="32"/>
        </w:rPr>
      </w:pPr>
      <w:r>
        <w:br w:type="page"/>
      </w:r>
    </w:p>
    <w:p w:rsidR="00C107F4" w:rsidRDefault="00C107F4" w:rsidP="00C107F4">
      <w:pPr>
        <w:pStyle w:val="Heading1"/>
      </w:pPr>
      <w:bookmarkStart w:id="8" w:name="_Toc485765666"/>
      <w:r>
        <w:lastRenderedPageBreak/>
        <w:t>Parte 2. Las demandas de políticas públicas de</w:t>
      </w:r>
      <w:r w:rsidR="00185D30">
        <w:t>l</w:t>
      </w:r>
      <w:r>
        <w:t xml:space="preserve"> movimiento boliviano de trabajadoras del hogar (2006-2016)</w:t>
      </w:r>
      <w:bookmarkEnd w:id="8"/>
    </w:p>
    <w:p w:rsidR="00C107F4" w:rsidRDefault="00C107F4" w:rsidP="00C107F4">
      <w:r>
        <w:t xml:space="preserve">El objetivo de esta segunda parte </w:t>
      </w:r>
      <w:r w:rsidR="00340A9C">
        <w:t xml:space="preserve">de la ponencia </w:t>
      </w:r>
      <w:r>
        <w:t>es identificar y analizar las demandas de políticas públicas que han sido prioritarias para el movimiento boliviano de trabajadoras del hogar durante el periodo 2006-2016</w:t>
      </w:r>
      <w:r w:rsidR="007F68DB">
        <w:t xml:space="preserve"> (Objetivo de Investigación 1)</w:t>
      </w:r>
      <w:r>
        <w:t xml:space="preserve">. El análisis documental y las entrevistas han mostrado que la Fenatrahob promovió dos tipos de demandas: </w:t>
      </w:r>
      <w:r w:rsidRPr="00C107F4">
        <w:rPr>
          <w:i/>
        </w:rPr>
        <w:t xml:space="preserve">demandas </w:t>
      </w:r>
      <w:r w:rsidR="00FB6228">
        <w:rPr>
          <w:i/>
        </w:rPr>
        <w:t>generales</w:t>
      </w:r>
      <w:r>
        <w:t xml:space="preserve"> (la organización se centró en definir la situación y establecer sus prioridades de políticas públicas, sin especificar qué herramientas legales o regulaciones debía usar el </w:t>
      </w:r>
      <w:r w:rsidR="00680C70">
        <w:t>Gobierno</w:t>
      </w:r>
      <w:r w:rsidR="00340A9C">
        <w:t xml:space="preserve"> para satisfacer</w:t>
      </w:r>
      <w:r>
        <w:t xml:space="preserve"> esas demandas) y </w:t>
      </w:r>
      <w:r w:rsidRPr="00C107F4">
        <w:rPr>
          <w:i/>
        </w:rPr>
        <w:t>demandas de políticas específicas</w:t>
      </w:r>
      <w:r>
        <w:t>.</w:t>
      </w:r>
    </w:p>
    <w:p w:rsidR="00C107F4" w:rsidRDefault="00340A9C" w:rsidP="00C107F4">
      <w:r>
        <w:t>El análisis mostró que l</w:t>
      </w:r>
      <w:r w:rsidR="00C107F4">
        <w:t xml:space="preserve">as principales demandas </w:t>
      </w:r>
      <w:r w:rsidR="00FB6228">
        <w:t>generales</w:t>
      </w:r>
      <w:r w:rsidR="00C107F4">
        <w:t xml:space="preserve"> son: 1) un salario justo y tiempo de descanso del trabajo, 2) acceso a la atención sanitaria, 3) acceso a la educación, 4) acceso al sistema de pensiones y 5) no discriminación y derecho a trabajar y vivir sin violencia (trato ambos temas conjuntamente porque suelen aparecer unidos en los documentos de la Fenatrahob). Además, el movimiento formuló tres demandas de políticas específicas: la ratificación por parte de Bolivia del Convenio 189 de la OIT sobre Trabajo Decente para los Trabajadores Domésticos, la obligatoriedad del contrato escrito y la libreta de salarios, y la inclusión de los derechos de las trabajadoras del hogar en la Ley General del Trabajo. </w:t>
      </w:r>
    </w:p>
    <w:p w:rsidR="00C107F4" w:rsidRDefault="00C107F4" w:rsidP="00C107F4"/>
    <w:p w:rsidR="00C107F4" w:rsidRDefault="00C107F4" w:rsidP="00C107F4">
      <w:pPr>
        <w:pStyle w:val="Heading2"/>
      </w:pPr>
      <w:bookmarkStart w:id="9" w:name="_Toc485765667"/>
      <w:r>
        <w:t>1. Un salario justo y tiempo de descanso del trabajo</w:t>
      </w:r>
      <w:bookmarkEnd w:id="9"/>
    </w:p>
    <w:p w:rsidR="00BF4A94" w:rsidRDefault="00BF4A94" w:rsidP="00BF4A94">
      <w:r>
        <w:t xml:space="preserve">El derecho a un salario justo y suficiente tiempo de descanso diario, semanal y anual ha sido subrayado en varios boletines </w:t>
      </w:r>
      <w:r w:rsidRPr="00340A9C">
        <w:rPr>
          <w:i/>
        </w:rPr>
        <w:t>Equidad y Justicia</w:t>
      </w:r>
      <w:r>
        <w:t xml:space="preserve"> como uno de los principales elementos de la Ley 2450/2003 y una demanda clave para la Fenatrahob </w:t>
      </w:r>
      <w:r>
        <w:rPr>
          <w:lang w:val="en-GB"/>
        </w:rPr>
        <w:fldChar w:fldCharType="begin"/>
      </w:r>
      <w:r w:rsidR="001A5A87">
        <w:instrText xml:space="preserve"> ADDIN ZOTERO_ITEM CSL_CITATION {"citationID":"iYK7Clz9","properties":{"formattedCitation":"(Fenatrahob, 2015, 2011a, 2010a, 2009a, 2009b)","plainCitation":"(Fenatrahob, 2015, 2011a, 2010a, 2009a, 2009b)"},"citationItems":[{"id":862,"uris":["http://zotero.org/users/local/A608vxNk/items/JNDWZ87I"],"uri":["http://zotero.org/users/local/A608vxNk/items/JNDWZ87I"],"itemData":{"id":862,"type":"article","title":"Boletín \"Equidad y Justicia\" marzo 2015","author":[{"family":"Fenatrahob","given":""}],"issued":{"date-parts":[["2015"]]}}},{"id":875,"uris":["http://zotero.org/users/local/A608vxNk/items/XN2V2HJU"],"uri":["http://zotero.org/users/local/A608vxNk/items/XN2V2HJU"],"itemData":{"id":875,"type":"article","title":"Boletín \"Equidad y Justicia\" septiembre 2011","author":[{"family":"Fenatrahob","given":""}],"issued":{"date-parts":[["2011"]]}}},{"id":858,"uris":["http://zotero.org/users/local/A608vxNk/items/2XRF7TS8"],"uri":["http://zotero.org/users/local/A608vxNk/items/2XRF7TS8"],"itemData":{"id":858,"type":"article","title":"Boletín \"Equidad y Justicia\" marzo 2010","author":[{"family":"Fenatrahob","given":""}],"issued":{"date-parts":[["2010"]]}}},{"id":857,"uris":["http://zotero.org/users/local/A608vxNk/items/A56QQEDE"],"uri":["http://zotero.org/users/local/A608vxNk/items/A56QQEDE"],"itemData":{"id":857,"type":"article","title":"Boletín \"Equidad y Justicia\" marzo 2009","author":[{"family":"Fenatrahob","given":""}],"issued":{"date-parts":[["2009"]]}}},{"id":1241,"uris":["http://zotero.org/users/local/A608vxNk/items/VCF3ZUNF"],"uri":["http://zotero.org/users/local/A608vxNk/items/VCF3ZUNF"],"itemData":{"id":1241,"type":"article","title":"Boletín \"Equidad y Justicia\" diciembre 2009","author":[{"family":"Fenatrahob","given":""}],"issued":{"date-parts":[["2009"]]}}}],"schema":"https://github.com/citation-style-language/schema/raw/master/csl-citation.json"} </w:instrText>
      </w:r>
      <w:r>
        <w:rPr>
          <w:lang w:val="en-GB"/>
        </w:rPr>
        <w:fldChar w:fldCharType="separate"/>
      </w:r>
      <w:r w:rsidR="001A5A87" w:rsidRPr="001A5A87">
        <w:rPr>
          <w:rFonts w:ascii="Calibri" w:hAnsi="Calibri" w:cs="Calibri"/>
        </w:rPr>
        <w:t>(Fenatrahob, 2015, 2011a, 2010a, 2009a, 2009b)</w:t>
      </w:r>
      <w:r>
        <w:rPr>
          <w:lang w:val="en-GB"/>
        </w:rPr>
        <w:fldChar w:fldCharType="end"/>
      </w:r>
      <w:r w:rsidRPr="00BF4A94">
        <w:t>.</w:t>
      </w:r>
      <w:r>
        <w:t xml:space="preserve"> Algunas de las formas más frecuentes de violación de estos derechos denunciadas por la Fenatrahob son </w:t>
      </w:r>
      <w:r w:rsidR="00340A9C">
        <w:t xml:space="preserve">las </w:t>
      </w:r>
      <w:r>
        <w:t xml:space="preserve">jornadas laborales de 12 a 14 horas (en lugar de las 8 legalmente establecidas), la violación del descanso el domingo, los retrasos en los pagos de salarios, las retribuciones por debajo del salario mínimo, el impago de la paga extra de Navidad y la reducción de la duración de las vacaciones anuales </w:t>
      </w:r>
      <w:r>
        <w:fldChar w:fldCharType="begin"/>
      </w:r>
      <w:r>
        <w:instrText xml:space="preserve"> ADDIN ZOTERO_ITEM CSL_CITATION {"citationID":"9cWFHIpY","properties":{"formattedCitation":"(Fenatrahob, 2015, 2014a, 2008a, 2005a, 2005b)","plainCitation":"(Fenatrahob, 2015, 2014a, 2008a, 2005a, 2005b)"},"citationItems":[{"id":862,"uris":["http://zotero.org/users/local/A608vxNk/items/JNDWZ87I"],"uri":["http://zotero.org/users/local/A608vxNk/items/JNDWZ87I"],"itemData":{"id":862,"type":"article","title":"Boletín \"Equidad y Justicia\" marzo 2015","author":[{"family":"Fenatrahob","given":""}],"issued":{"date-parts":[["2015"]]}}},{"id":828,"uris":["http://zotero.org/users/local/A608vxNk/items/J4ZVIW7N"],"uri":["http://zotero.org/users/local/A608vxNk/items/J4ZVIW7N"],"itemData":{"id":828,"type":"article","title":"Descolonización y despatriarcalización desde la perspectiva de las trabajadoras de las trabajadoras asalariadas del hogar: una propuesta de política pública","publisher":"Fundación Friedrich Ebert","author":[{"family":"Fenatrahob","given":""}],"issued":{"date-parts":[["2014"]]}}},{"id":1151,"uris":["http://zotero.org/users/local/A608vxNk/items/993PMG7S"],"uri":["http://zotero.org/users/local/A608vxNk/items/993PMG7S"],"itemData":{"id":1151,"type":"article","title":"Boletín \"Equidad y Justicia\" mayo 2008","author":[{"family":"Fenatrahob","given":""}],"issued":{"date-parts":[["2008"]]}}},{"id":851,"uris":["http://zotero.org/users/local/A608vxNk/items/HGC2VEMK"],"uri":["http://zotero.org/users/local/A608vxNk/items/HGC2VEMK"],"itemData":{"id":851,"type":"article","title":"Boletín \"Equidad y Justicia\" marzo 2005","author":[{"family":"Fenatrahob","given":""}],"issued":{"date-parts":[["2005"]]}}},{"id":1240,"uris":["http://zotero.org/users/local/A608vxNk/items/IGCQWZFB"],"uri":["http://zotero.org/users/local/A608vxNk/items/IGCQWZFB"],"itemData":{"id":1240,"type":"article","title":"Boletín \"Equidad y Justicia\" diciembre 2005","author":[{"family":"Fenatrahob","given":""}],"issued":{"date-parts":[["2005"]]}}}],"schema":"https://github.com/citation-style-language/schema/raw/master/csl-citation.json"} </w:instrText>
      </w:r>
      <w:r>
        <w:fldChar w:fldCharType="separate"/>
      </w:r>
      <w:r w:rsidRPr="00BF4A94">
        <w:rPr>
          <w:rFonts w:ascii="Calibri" w:hAnsi="Calibri" w:cs="Calibri"/>
        </w:rPr>
        <w:t>(Fenatrahob, 2015, 2014a, 2008a, 2005a, 2005b)</w:t>
      </w:r>
      <w:r>
        <w:fldChar w:fldCharType="end"/>
      </w:r>
      <w:r>
        <w:t>.</w:t>
      </w:r>
      <w:r w:rsidRPr="00BF4A94">
        <w:t xml:space="preserve"> </w:t>
      </w:r>
      <w:r>
        <w:t xml:space="preserve">Aunque los empleadores son los responsables inmediatos del respeto de los límites legales de tiempo de trabajo y del salario mínimo legal, </w:t>
      </w:r>
      <w:r w:rsidR="00340A9C">
        <w:t xml:space="preserve">la </w:t>
      </w:r>
      <w:r>
        <w:t xml:space="preserve">Fenatrahob le ha pedido al </w:t>
      </w:r>
      <w:r w:rsidR="00680C70">
        <w:t>Gobierno</w:t>
      </w:r>
      <w:r>
        <w:t xml:space="preserve"> que implemente políticas que garanticen el cumplimiento de estos derechos, en particular “la regulación administrativa necesaria para permitir a la inspección de trabajo supervisar las condiciones de trabajo de las trabajadoras del hogar” y la publicación de una guía que permita a las trabajadoras conocer sus derechos </w:t>
      </w:r>
      <w:r>
        <w:fldChar w:fldCharType="begin"/>
      </w:r>
      <w:r>
        <w:instrText xml:space="preserve"> ADDIN ZOTERO_ITEM CSL_CITATION {"citationID":"1j2pgmeihg","properties":{"formattedCitation":"(Fenatrahob, 2014a)","plainCitation":"(Fenatrahob, 2014a)"},"citationItems":[{"id":828,"uris":["http://zotero.org/users/local/A608vxNk/items/J4ZVIW7N"],"uri":["http://zotero.org/users/local/A608vxNk/items/J4ZVIW7N"],"itemData":{"id":828,"type":"article","title":"Descolonización y despatriarcalización desde la perspectiva de las trabajadoras de las trabajadoras asalariadas del hogar: una propuesta de política pública","publisher":"Fundación Friedrich Ebert","author":[{"family":"Fenatrahob","given":""}],"issued":{"date-parts":[["2014"]]}}}],"schema":"https://github.com/citation-style-language/schema/raw/master/csl-citation.json"} </w:instrText>
      </w:r>
      <w:r>
        <w:fldChar w:fldCharType="separate"/>
      </w:r>
      <w:r w:rsidRPr="00BF4A94">
        <w:rPr>
          <w:rFonts w:ascii="Calibri" w:hAnsi="Calibri" w:cs="Calibri"/>
        </w:rPr>
        <w:t>(Fenatrahob, 2014a)</w:t>
      </w:r>
      <w:r>
        <w:fldChar w:fldCharType="end"/>
      </w:r>
      <w:r>
        <w:t>.</w:t>
      </w:r>
    </w:p>
    <w:p w:rsidR="00BF4A94" w:rsidRPr="00BF4A94" w:rsidRDefault="00BF4A94" w:rsidP="00BF4A94"/>
    <w:p w:rsidR="00C107F4" w:rsidRDefault="00C107F4" w:rsidP="00C107F4">
      <w:pPr>
        <w:pStyle w:val="Heading2"/>
      </w:pPr>
      <w:bookmarkStart w:id="10" w:name="_Toc485765668"/>
      <w:r>
        <w:lastRenderedPageBreak/>
        <w:t>2. Acceso a la atención sanitaria</w:t>
      </w:r>
      <w:bookmarkEnd w:id="10"/>
    </w:p>
    <w:p w:rsidR="00BF4A94" w:rsidRDefault="00BF4A94" w:rsidP="00BF4A94">
      <w:r>
        <w:t xml:space="preserve">El derecho de las trabajadoras del hogar a la asistencia sanitaria en el sistema público fue reconocido por primera vez en el artículo 9 de la Ley 2450/2003, que establece el deber del </w:t>
      </w:r>
      <w:r w:rsidR="00680C70">
        <w:t>Gobierno</w:t>
      </w:r>
      <w:r>
        <w:t xml:space="preserve"> de aprobar un Decreto Supremo que implemente esta previsión. </w:t>
      </w:r>
      <w:r w:rsidR="00B078FE">
        <w:t xml:space="preserve">En 2007 se redactó un borrador de Decreto Supremo que no llegó a ser aprobado, en 2008 y en 2009 la Fenatrahob se dirigió directamente a Evo Morales para exigir la aprobación del decreto y ese mismo año el Instituto Nacional de la Seguridad Social publicó un informe favorable a la inclusión de las trabajadoras del hogar en el sistema sanitario público. Sin embargo, el decreto todavía no ha sido aprobado, por lo que </w:t>
      </w:r>
      <w:r>
        <w:t xml:space="preserve">en 2014 solo el 5 por ciento de las trabajadoras del hogar bolivianas tenían acceso a un seguro de salud, según datos proporcionados por Prima </w:t>
      </w:r>
      <w:proofErr w:type="spellStart"/>
      <w:r>
        <w:t>Ocsa</w:t>
      </w:r>
      <w:proofErr w:type="spellEnd"/>
      <w:r>
        <w:t xml:space="preserve">, que entonces era Secretaria Ejecutiva de la Fenatrahob </w:t>
      </w:r>
      <w:r>
        <w:rPr>
          <w:lang w:val="en-GB"/>
        </w:rPr>
        <w:fldChar w:fldCharType="begin"/>
      </w:r>
      <w:r w:rsidRPr="00BF4A94">
        <w:instrText xml:space="preserve"> ADDIN ZOTERO_ITEM CSL_CITATION {"citationID":"2296r00541","properties":{"formattedCitation":"(Zapana S., 2014)","plainCitation":"(Zapana S., 2014)"},"citationItems":[{"id":847,"uris":["http://zotero.org/users/local/A608vxNk/items/TGV98HAS"],"uri":["http://zotero.org/users/local/A608vxNk/items/TGV98HAS"],"itemData":{"id":847,"type":"webpage","title":"60% de domésticas realiza labor múltiple que no es reconocida","container-title":"Página Siete","abstract":"Desde abril, las trabajadoras del hogar deben regular su contratación con un documento. Recibirán una  libreta en la que llevarán registro del pago de sus salarios.","URL":"http://www.paginasiete.bo/sociedad/2014/3/29/domesticas-realiza-labor-multiple-reconocida-17455.html","author":[{"family":"Zapana S.","given":"Verónica"}],"issued":{"date-parts":[["2014"]]},"accessed":{"date-parts":[["2016",10,6]]}}}],"schema":"https://github.com/citation-style-language/schema/raw/master/csl-citation.json"} </w:instrText>
      </w:r>
      <w:r>
        <w:rPr>
          <w:lang w:val="en-GB"/>
        </w:rPr>
        <w:fldChar w:fldCharType="separate"/>
      </w:r>
      <w:r w:rsidRPr="00BF4A94">
        <w:rPr>
          <w:rFonts w:ascii="Calibri" w:hAnsi="Calibri" w:cs="Calibri"/>
        </w:rPr>
        <w:t>(Zapana S., 2014)</w:t>
      </w:r>
      <w:r>
        <w:rPr>
          <w:lang w:val="en-GB"/>
        </w:rPr>
        <w:fldChar w:fldCharType="end"/>
      </w:r>
      <w:r w:rsidRPr="00BF4A94">
        <w:t>.</w:t>
      </w:r>
      <w:r>
        <w:t xml:space="preserve"> La demanda de que se apruebe la regulación necesaria para aplicar el artículo 9 de la Ley 2450/2003 es la demanda que aparece el mayor número de veces en los boletines Equidad y Justicia publicados entre 2005 y 2016, además del documento </w:t>
      </w:r>
      <w:r w:rsidRPr="00BF4A94">
        <w:rPr>
          <w:i/>
        </w:rPr>
        <w:t xml:space="preserve">Descolonización y </w:t>
      </w:r>
      <w:proofErr w:type="spellStart"/>
      <w:r w:rsidRPr="00BF4A94">
        <w:rPr>
          <w:i/>
        </w:rPr>
        <w:t>despatriarcalización</w:t>
      </w:r>
      <w:proofErr w:type="spellEnd"/>
      <w:r w:rsidRPr="00BF4A94">
        <w:rPr>
          <w:i/>
        </w:rPr>
        <w:t xml:space="preserve"> desde la perspectiva de las trabajadoras asalariadas del hogar</w:t>
      </w:r>
      <w:r>
        <w:t xml:space="preserve"> </w:t>
      </w:r>
      <w:r>
        <w:fldChar w:fldCharType="begin"/>
      </w:r>
      <w:r>
        <w:instrText xml:space="preserve"> ADDIN ZOTERO_ITEM CSL_CITATION {"citationID":"5k1iqlr1p","properties":{"formattedCitation":"(Fenatrahob, 2016, 2015, 2014a, 2014b, 2010a, 2010b, 2009a, 2008a, 2008b, 2007)","plainCitation":"(Fenatrahob, 2016, 2015, 2014a, 2014b, 2010a, 2010b, 2009a, 2008a, 2008b, 2007)"},"citationItems":[{"id":1218,"uris":["http://zotero.org/users/local/A608vxNk/items/CD9F6FGS"],"uri":["http://zotero.org/users/local/A608vxNk/items/CD9F6FGS"],"itemData":{"id":1218,"type":"article","title":"Boletín \"Equidad y Justicia\" marzo 2016","author":[{"family":"Fenatrahob","given":""}],"issued":{"date-parts":[["2016"]]}}},{"id":862,"uris":["http://zotero.org/users/local/A608vxNk/items/JNDWZ87I"],"uri":["http://zotero.org/users/local/A608vxNk/items/JNDWZ87I"],"itemData":{"id":862,"type":"article","title":"Boletín \"Equidad y Justicia\" marzo 2015","author":[{"family":"Fenatrahob","given":""}],"issued":{"date-parts":[["2015"]]}}},{"id":1228,"uris":["http://zotero.org/users/local/A608vxNk/items/7FIQX8GE"],"uri":["http://zotero.org/users/local/A608vxNk/items/7FIQX8GE"],"itemData":{"id":1228,"type":"article","title":"Boletín \"Equidad y Justicia\" marzo 2014","author":[{"family":"Fenatrahob","given":""}],"issued":{"date-parts":[["2014"]]}}},{"id":828,"uris":["http://zotero.org/users/local/A608vxNk/items/J4ZVIW7N"],"uri":["http://zotero.org/users/local/A608vxNk/items/J4ZVIW7N"],"itemData":{"id":828,"type":"article","title":"Descolonización y despatriarcalización desde la perspectiva de las trabajadoras de las trabajadoras asalariadas del hogar: una propuesta de política pública","publisher":"Fundación Friedrich Ebert","author":[{"family":"Fenatrahob","given":""}],"issued":{"date-parts":[["2014"]]}}},{"id":858,"uris":["http://zotero.org/users/local/A608vxNk/items/2XRF7TS8"],"uri":["http://zotero.org/users/local/A608vxNk/items/2XRF7TS8"],"itemData":{"id":858,"type":"article","title":"Boletín \"Equidad y Justicia\" marzo 2010","author":[{"family":"Fenatrahob","given":""}],"issued":{"date-parts":[["2010"]]}}},{"id":859,"uris":["http://zotero.org/users/local/A608vxNk/items/6PISGQS7"],"uri":["http://zotero.org/users/local/A608vxNk/items/6PISGQS7"],"itemData":{"id":859,"type":"article","title":"Boletín \"Equidad y Justicia\" julio 2010","author":[{"family":"Fenatrahob","given":""}],"issued":{"date-parts":[["2010"]]}}},{"id":857,"uris":["http://zotero.org/users/local/A608vxNk/items/A56QQEDE"],"uri":["http://zotero.org/users/local/A608vxNk/items/A56QQEDE"],"itemData":{"id":857,"type":"article","title":"Boletín \"Equidad y Justicia\" marzo 2009","author":[{"family":"Fenatrahob","given":""}],"issued":{"date-parts":[["2009"]]}}},{"id":1151,"uris":["http://zotero.org/users/local/A608vxNk/items/993PMG7S"],"uri":["http://zotero.org/users/local/A608vxNk/items/993PMG7S"],"itemData":{"id":1151,"type":"article","title":"Boletín \"Equidad y Justicia\" mayo 2008","author":[{"family":"Fenatrahob","given":""}],"issued":{"date-parts":[["2008"]]}}},{"id":856,"uris":["http://zotero.org/users/local/A608vxNk/items/MZHM6H9Z"],"uri":["http://zotero.org/users/local/A608vxNk/items/MZHM6H9Z"],"itemData":{"id":856,"type":"article","title":"Boletín \"Equidad y Justicia\" octubre 2008","author":[{"family":"Fenatrahob","given":""}],"issued":{"date-parts":[["2008"]]}}},{"id":855,"uris":["http://zotero.org/users/local/A608vxNk/items/XMCSNVPF"],"uri":["http://zotero.org/users/local/A608vxNk/items/XMCSNVPF"],"itemData":{"id":855,"type":"article","title":"Boletín \"Equidad y Justicia\" diciembre 2007","author":[{"family":"Fenatrahob","given":""}],"issued":{"date-parts":[["2007"]]}}}],"schema":"https://github.com/citation-style-language/schema/raw/master/csl-citation.json"} </w:instrText>
      </w:r>
      <w:r>
        <w:fldChar w:fldCharType="separate"/>
      </w:r>
      <w:r w:rsidRPr="00BF4A94">
        <w:rPr>
          <w:rFonts w:ascii="Calibri" w:hAnsi="Calibri" w:cs="Calibri"/>
        </w:rPr>
        <w:t>(Fenatrahob, 2016, 2015, 2014a, 2014b, 2010a, 2010b, 2009a, 2008a, 2008b, 2007)</w:t>
      </w:r>
      <w:r>
        <w:fldChar w:fldCharType="end"/>
      </w:r>
      <w:r>
        <w:t>.</w:t>
      </w:r>
    </w:p>
    <w:p w:rsidR="00B078FE" w:rsidRPr="00BF4A94" w:rsidRDefault="00B078FE" w:rsidP="00BF4A94">
      <w:r>
        <w:t>En abril de 2016, la Secretaria Ejecutiva del sindicato de trabajadoras del hogar de La Paz “Max Paredes” (</w:t>
      </w:r>
      <w:r w:rsidR="00340A9C">
        <w:t>perteneciente</w:t>
      </w:r>
      <w:r>
        <w:t xml:space="preserve"> a la Fenatrahob), Eliana </w:t>
      </w:r>
      <w:proofErr w:type="spellStart"/>
      <w:r>
        <w:t>Mariaca</w:t>
      </w:r>
      <w:proofErr w:type="spellEnd"/>
      <w:r>
        <w:t xml:space="preserve">, me dijo que </w:t>
      </w:r>
      <w:r w:rsidR="00340A9C">
        <w:t>el cumplimiento d</w:t>
      </w:r>
      <w:r>
        <w:t xml:space="preserve">el derecho de las trabajadoras del hogar a la atención sanitaria era su prioridad como líder sindical. La atención dedicada por los boletines </w:t>
      </w:r>
      <w:r w:rsidRPr="00340A9C">
        <w:rPr>
          <w:i/>
        </w:rPr>
        <w:t>Equidad y Justicia</w:t>
      </w:r>
      <w:r>
        <w:t xml:space="preserve"> de los últimos años a este tema, la manifestación que la Fenatrahob organizó en La Paz el 30 de marzo de 2016 por la aprobación del decreto y la afirmación de </w:t>
      </w:r>
      <w:proofErr w:type="spellStart"/>
      <w:r>
        <w:t>Mariaca</w:t>
      </w:r>
      <w:proofErr w:type="spellEnd"/>
      <w:r>
        <w:t xml:space="preserve"> sugieren que la efectividad del derecho a la atención sanitaria se ha convertido en una de las principales demandas del movimiento durante los últimos años.</w:t>
      </w:r>
    </w:p>
    <w:p w:rsidR="00C107F4" w:rsidRDefault="00C107F4" w:rsidP="00C107F4">
      <w:pPr>
        <w:pStyle w:val="Heading2"/>
      </w:pPr>
    </w:p>
    <w:p w:rsidR="00C107F4" w:rsidRDefault="00C107F4" w:rsidP="00C107F4">
      <w:pPr>
        <w:pStyle w:val="Heading2"/>
      </w:pPr>
      <w:bookmarkStart w:id="11" w:name="_Toc485765669"/>
      <w:r>
        <w:t>3. Acceso a la educación</w:t>
      </w:r>
      <w:bookmarkEnd w:id="11"/>
    </w:p>
    <w:p w:rsidR="00C107F4" w:rsidRPr="001A5A87" w:rsidRDefault="001A5A87" w:rsidP="001A5A87">
      <w:r>
        <w:t xml:space="preserve">Un mejor acceso al sistema educativo público para las trabajadoras del hogar es una de las demandas más repetidas en los boletines </w:t>
      </w:r>
      <w:r w:rsidRPr="001A5A87">
        <w:rPr>
          <w:i/>
        </w:rPr>
        <w:t>Equidad y Justicia</w:t>
      </w:r>
      <w:r>
        <w:t xml:space="preserve"> y la propuesta de política pública </w:t>
      </w:r>
      <w:r w:rsidRPr="001A5A87">
        <w:rPr>
          <w:i/>
        </w:rPr>
        <w:t xml:space="preserve">Descolonización y </w:t>
      </w:r>
      <w:proofErr w:type="spellStart"/>
      <w:r w:rsidRPr="001A5A87">
        <w:rPr>
          <w:i/>
        </w:rPr>
        <w:t>despatriarcalización</w:t>
      </w:r>
      <w:proofErr w:type="spellEnd"/>
      <w:r>
        <w:t xml:space="preserve">, que señalan el derecho a la educación como uno de los elementos más importantes de la Ley 2450/2003 </w:t>
      </w:r>
      <w:r>
        <w:rPr>
          <w:lang w:val="en-GB"/>
        </w:rPr>
        <w:fldChar w:fldCharType="begin"/>
      </w:r>
      <w:r w:rsidR="00685609">
        <w:instrText xml:space="preserve"> ADDIN ZOTERO_ITEM CSL_CITATION {"citationID":"U64zdYeV","properties":{"formattedCitation":"(Fenatrahob, 2014a, 2011b, 2010a, 2009a, 2006a, 2006a)","plainCitation":"(Fenatrahob, 2014a, 2011b, 2010a, 2009a, 2006a, 2006a)"},"citationItems":[{"id":828,"uris":["http://zotero.org/users/local/A608vxNk/items/J4ZVIW7N"],"uri":["http://zotero.org/users/local/A608vxNk/items/J4ZVIW7N"],"itemData":{"id":828,"type":"article","title":"Descolonización y despatriarcalización desde la perspectiva de las trabajadoras de las trabajadoras asalariadas del hogar: una propuesta de política pública","publisher":"Fundación Friedrich Ebert","author":[{"family":"Fenatrahob","given":""}],"issued":{"date-parts":[["2014"]]}}},{"id":1154,"uris":["http://zotero.org/users/local/A608vxNk/items/S9STA6HZ"],"uri":["http://zotero.org/users/local/A608vxNk/items/S9STA6HZ"],"itemData":{"id":1154,"type":"article","title":"Boletín \"Equidad y Justicia\" marzo 2011","author":[{"family":"Fenatrahob","given":""}],"issued":{"date-parts":[["2011"]]}}},{"id":858,"uris":["http://zotero.org/users/local/A608vxNk/items/2XRF7TS8"],"uri":["http://zotero.org/users/local/A608vxNk/items/2XRF7TS8"],"itemData":{"id":858,"type":"article","title":"Boletín \"Equidad y Justicia\" marzo 2010","author":[{"family":"Fenatrahob","given":""}],"issued":{"date-parts":[["2010"]]}}},{"id":857,"uris":["http://zotero.org/users/local/A608vxNk/items/A56QQEDE"],"uri":["http://zotero.org/users/local/A608vxNk/items/A56QQEDE"],"itemData":{"id":857,"type":"article","title":"Boletín \"Equidad y Justicia\" marzo 2009","author":[{"family":"Fenatrahob","given":""}],"issued":{"date-parts":[["2009"]]}}},{"id":852,"uris":["http://zotero.org/users/local/A608vxNk/items/HEDPZNNB"],"uri":["http://zotero.org/users/local/A608vxNk/items/HEDPZNNB"],"itemData":{"id":852,"type":"article","title":"Boletín \"Equidad y Justicia\" marzo 2006","author":[{"family":"Fenatrahob","given":""}],"issued":{"date-parts":[["2006"]]}}},{"id":852,"uris":["http://zotero.org/users/local/A608vxNk/items/HEDPZNNB"],"uri":["http://zotero.org/users/local/A608vxNk/items/HEDPZNNB"],"itemData":{"id":852,"type":"article","title":"Boletín \"Equidad y Justicia\" marzo 2006","author":[{"family":"Fenatrahob","given":""}],"issued":{"date-parts":[["2006"]]}}}],"schema":"https://github.com/citation-style-language/schema/raw/master/csl-citation.json"} </w:instrText>
      </w:r>
      <w:r>
        <w:rPr>
          <w:lang w:val="en-GB"/>
        </w:rPr>
        <w:fldChar w:fldCharType="separate"/>
      </w:r>
      <w:r w:rsidR="00685609" w:rsidRPr="00685609">
        <w:rPr>
          <w:rFonts w:ascii="Calibri" w:hAnsi="Calibri" w:cs="Calibri"/>
          <w:sz w:val="26"/>
        </w:rPr>
        <w:t>(Fenatrahob, 2014a, 2011b, 2010a, 2009a, 2006a, 2006a)</w:t>
      </w:r>
      <w:r>
        <w:rPr>
          <w:lang w:val="en-GB"/>
        </w:rPr>
        <w:fldChar w:fldCharType="end"/>
      </w:r>
      <w:r w:rsidRPr="001A5A87">
        <w:t xml:space="preserve">. </w:t>
      </w:r>
      <w:r>
        <w:t>La Federación ha destacado en sus publicaciones que la mayoría de las niñas en áreas rurales (colectivo del que provienen muchas trabajadoras del hogar) no completan la educación primaria y hay tres veces más mujeres analfabetas que h</w:t>
      </w:r>
      <w:r w:rsidR="006520D0">
        <w:t>ombres analfabeto</w:t>
      </w:r>
      <w:r>
        <w:t>s en Bolivia. En el caso de las trabajadoras del hogar, solo el 40 por ciento terminan la educación secundaria y solo el 2 por ciento accede a la universidad</w:t>
      </w:r>
      <w:r w:rsidR="00340A9C">
        <w:t>, según datos de la Federación</w:t>
      </w:r>
      <w:r>
        <w:t xml:space="preserve"> </w:t>
      </w:r>
      <w:r>
        <w:rPr>
          <w:lang w:val="en-GB"/>
        </w:rPr>
        <w:fldChar w:fldCharType="begin"/>
      </w:r>
      <w:r w:rsidRPr="001A5A87">
        <w:instrText xml:space="preserve"> ADDIN ZOTERO_ITEM CSL_CITATION {"citationID":"9bvu4ef6u","properties":{"formattedCitation":"(Fenatrahob, 2011a)","plainCitation":"(Fenatrahob, 2011a)"},"citationItems":[{"id":875,"uris":["http://zotero.org/users/local/A608vxNk/items/XN2V2HJU"],"uri":["http://zotero.org/users/local/A608vxNk/items/XN2V2HJU"],"itemData":{"id":875,"type":"article","title":"Boletín \"Equidad y Justicia\" septiembre 2011","author":[{"family":"Fenatrahob","given":""}],"issued":{"date-parts":[["2011"]]}}}],"schema":"https://github.com/citation-style-language/schema/raw/master/csl-citation.json"} </w:instrText>
      </w:r>
      <w:r>
        <w:rPr>
          <w:lang w:val="en-GB"/>
        </w:rPr>
        <w:fldChar w:fldCharType="separate"/>
      </w:r>
      <w:r w:rsidRPr="001A5A87">
        <w:rPr>
          <w:rFonts w:ascii="Calibri" w:hAnsi="Calibri" w:cs="Calibri"/>
        </w:rPr>
        <w:t>(Fenatrahob, 2011a)</w:t>
      </w:r>
      <w:r>
        <w:rPr>
          <w:lang w:val="en-GB"/>
        </w:rPr>
        <w:fldChar w:fldCharType="end"/>
      </w:r>
      <w:r w:rsidRPr="001A5A87">
        <w:t>.</w:t>
      </w:r>
      <w:r>
        <w:t xml:space="preserve"> En el documento </w:t>
      </w:r>
      <w:r w:rsidRPr="006520D0">
        <w:rPr>
          <w:i/>
        </w:rPr>
        <w:t xml:space="preserve">Descolonización y </w:t>
      </w:r>
      <w:proofErr w:type="spellStart"/>
      <w:r w:rsidRPr="006520D0">
        <w:rPr>
          <w:i/>
        </w:rPr>
        <w:t>despatriarcalización</w:t>
      </w:r>
      <w:proofErr w:type="spellEnd"/>
      <w:r>
        <w:t xml:space="preserve">, la Fenatrahob reclama al Ministerio de Educación que tome las medidas necesarias para que las trabajadoras del </w:t>
      </w:r>
      <w:r>
        <w:lastRenderedPageBreak/>
        <w:t>h</w:t>
      </w:r>
      <w:r w:rsidR="006520D0">
        <w:t>ogar -especialmente las menores-</w:t>
      </w:r>
      <w:r>
        <w:t xml:space="preserve"> puedan acceder al sistema educativo</w:t>
      </w:r>
      <w:r w:rsidR="006520D0">
        <w:t xml:space="preserve">, la creación de cursos de alfabetización para las que no puedan acceder a la escuela, cursos de especialización profesional y becas </w:t>
      </w:r>
      <w:r w:rsidR="006520D0">
        <w:fldChar w:fldCharType="begin"/>
      </w:r>
      <w:r w:rsidR="006520D0">
        <w:instrText xml:space="preserve"> ADDIN ZOTERO_ITEM CSL_CITATION {"citationID":"p629tut3f","properties":{"formattedCitation":"(Fenatrahob, 2014a)","plainCitation":"(Fenatrahob, 2014a)"},"citationItems":[{"id":828,"uris":["http://zotero.org/users/local/A608vxNk/items/J4ZVIW7N"],"uri":["http://zotero.org/users/local/A608vxNk/items/J4ZVIW7N"],"itemData":{"id":828,"type":"article","title":"Descolonización y despatriarcalización desde la perspectiva de las trabajadoras de las trabajadoras asalariadas del hogar: una propuesta de política pública","publisher":"Fundación Friedrich Ebert","author":[{"family":"Fenatrahob","given":""}],"issued":{"date-parts":[["2014"]]}}}],"schema":"https://github.com/citation-style-language/schema/raw/master/csl-citation.json"} </w:instrText>
      </w:r>
      <w:r w:rsidR="006520D0">
        <w:fldChar w:fldCharType="separate"/>
      </w:r>
      <w:r w:rsidR="006520D0" w:rsidRPr="006520D0">
        <w:rPr>
          <w:rFonts w:ascii="Calibri" w:hAnsi="Calibri" w:cs="Calibri"/>
        </w:rPr>
        <w:t>(Fenatrahob, 2014a)</w:t>
      </w:r>
      <w:r w:rsidR="006520D0">
        <w:fldChar w:fldCharType="end"/>
      </w:r>
      <w:r w:rsidR="00340A9C">
        <w:t>.</w:t>
      </w:r>
    </w:p>
    <w:p w:rsidR="001A5A87" w:rsidRPr="001A5A87" w:rsidRDefault="001A5A87" w:rsidP="001A5A87"/>
    <w:p w:rsidR="00C107F4" w:rsidRDefault="00C107F4" w:rsidP="00C107F4">
      <w:pPr>
        <w:pStyle w:val="Heading2"/>
      </w:pPr>
      <w:bookmarkStart w:id="12" w:name="_Toc485765670"/>
      <w:r>
        <w:t>4. Acceso al sistema de pensiones</w:t>
      </w:r>
      <w:bookmarkEnd w:id="12"/>
    </w:p>
    <w:p w:rsidR="006520D0" w:rsidRDefault="006520D0" w:rsidP="006520D0">
      <w:r>
        <w:t>La ley 2450/2003 reconoció el derecho de las trabajadoras del hogar a percibir una pensión de jubilación, pero la implementación del derecho estaba condicionada a la aprobación de un Decreto regulatorio</w:t>
      </w:r>
      <w:r>
        <w:rPr>
          <w:rStyle w:val="FootnoteReference"/>
        </w:rPr>
        <w:footnoteReference w:id="1"/>
      </w:r>
      <w:r>
        <w:t xml:space="preserve">. La demanda de cobertura del sistema de pensiones para las trabajadoras del hogar apareció por primera vez en un boletín de la Fenatrahob en 2009 </w:t>
      </w:r>
      <w:r>
        <w:rPr>
          <w:lang w:val="en-GB"/>
        </w:rPr>
        <w:fldChar w:fldCharType="begin"/>
      </w:r>
      <w:r w:rsidRPr="006520D0">
        <w:instrText xml:space="preserve"> ADDIN ZOTERO_ITEM CSL_CITATION {"citationID":"a935lpo2q","properties":{"formattedCitation":"(Fenatrahob, 2009b)","plainCitation":"(Fenatrahob, 2009b)"},"citationItems":[{"id":1241,"uris":["http://zotero.org/users/local/A608vxNk/items/VCF3ZUNF"],"uri":["http://zotero.org/users/local/A608vxNk/items/VCF3ZUNF"],"itemData":{"id":1241,"type":"article","title":"Boletín \"Equidad y Justicia\" diciembre 2009","author":[{"family":"Fenatrahob","given":""}],"issued":{"date-parts":[["2009"]]}}}],"schema":"https://github.com/citation-style-language/schema/raw/master/csl-citation.json"} </w:instrText>
      </w:r>
      <w:r>
        <w:rPr>
          <w:lang w:val="en-GB"/>
        </w:rPr>
        <w:fldChar w:fldCharType="separate"/>
      </w:r>
      <w:r w:rsidRPr="006520D0">
        <w:rPr>
          <w:rFonts w:ascii="Calibri" w:hAnsi="Calibri" w:cs="Calibri"/>
        </w:rPr>
        <w:t>(Fenatrahob, 2009b)</w:t>
      </w:r>
      <w:r>
        <w:rPr>
          <w:lang w:val="en-GB"/>
        </w:rPr>
        <w:fldChar w:fldCharType="end"/>
      </w:r>
      <w:r w:rsidRPr="006520D0">
        <w:t xml:space="preserve">. </w:t>
      </w:r>
      <w:r>
        <w:t xml:space="preserve">Un año después, el Parlamento boliviano aprobó la Ley 65/2010 de Pensiones. Ese mismo año, el centro de investigación CENAC publicó en un informe que el 90 por ciento de las trabajadoras del hogar no tenían acceso al sistema de pensiones </w:t>
      </w:r>
      <w:r>
        <w:rPr>
          <w:lang w:val="en-GB"/>
        </w:rPr>
        <w:fldChar w:fldCharType="begin"/>
      </w:r>
      <w:r w:rsidRPr="006520D0">
        <w:instrText xml:space="preserve"> ADDIN ZOTERO_ITEM CSL_CITATION {"citationID":"12jk9fu0nh","properties":{"formattedCitation":"(CENAC-Bolivia, 2010)","plainCitation":"(CENAC-Bolivia, 2010)"},"citationItems":[{"id":1298,"uris":["http://zotero.org/users/local/A608vxNk/items/PHJ4MCQ2"],"uri":["http://zotero.org/users/local/A608vxNk/items/PHJ4MCQ2"],"itemData":{"id":1298,"type":"report","title":"Realidades de la economía informal: la cuentapropista y la trabajadora del hogar. Estudio de caso: Bolivia","collection-title":"Estudios de caso sobre protección social","publisher":"Global Network Latin America","URL":"http://www.solidar.all2all.org/IMG/pdf/c3_2010_estudio_de_caso_cenac_-_bolivia.pdf","author":[{"family":"CENAC-Bolivia","given":""}],"issued":{"date-parts":[["2010"]]},"accessed":{"date-parts":[["2017",6,2]]}}}],"schema":"https://github.com/citation-style-language/schema/raw/master/csl-citation.json"} </w:instrText>
      </w:r>
      <w:r>
        <w:rPr>
          <w:lang w:val="en-GB"/>
        </w:rPr>
        <w:fldChar w:fldCharType="separate"/>
      </w:r>
      <w:r w:rsidRPr="006520D0">
        <w:rPr>
          <w:rFonts w:ascii="Calibri" w:hAnsi="Calibri" w:cs="Calibri"/>
        </w:rPr>
        <w:t>(CENAC-Bolivia, 2010)</w:t>
      </w:r>
      <w:r>
        <w:rPr>
          <w:lang w:val="en-GB"/>
        </w:rPr>
        <w:fldChar w:fldCharType="end"/>
      </w:r>
      <w:r w:rsidRPr="006520D0">
        <w:t>.</w:t>
      </w:r>
      <w:r>
        <w:t xml:space="preserve"> Como el Ministerio de Economía recordó en un comunicado, las trabajadoras del hogar estaban incluidas en la nueva ley, que se aplica a todos los trabajadores </w:t>
      </w:r>
      <w:r>
        <w:rPr>
          <w:lang w:val="en-GB"/>
        </w:rPr>
        <w:fldChar w:fldCharType="begin"/>
      </w:r>
      <w:r w:rsidRPr="006520D0">
        <w:instrText xml:space="preserve"> ADDIN ZOTERO_ITEM CSL_CITATION {"citationID":"m709jmhej","properties":{"formattedCitation":"{\\rtf (Ministerio de Econom\\uc0\\u237{}a y Finanzas P\\uc0\\u250{}blicas de Bolivia, 2011)}","plainCitation":"(Ministerio de Economía y Finanzas Públicas de Bolivia, 2011)"},"citationItems":[{"id":831,"uris":["http://zotero.org/users/local/A608vxNk/items/KB8R5Q47"],"uri":["http://zotero.org/users/local/A608vxNk/items/KB8R5Q47"],"itemData":{"id":831,"type":"webpage","title":"La nueva Ley de Pensiones beneficia también a la Trabajadoras del Hogar","URL":"http://www.economiayfinanzas.gob.bo/index.php?opcion=com_prensa&amp;ver=prensa&amp;id=1773&amp;categoria=5&amp;seccion=306","author":[{"family":"Ministerio de Economía y Finanzas Públicas de Bolivia","given":""}],"issued":{"date-parts":[["2011"]]},"accessed":{"date-parts":[["2016",10,6]]}}}],"schema":"https://github.com/citation-style-language/schema/raw/master/csl-citation.json"} </w:instrText>
      </w:r>
      <w:r>
        <w:rPr>
          <w:lang w:val="en-GB"/>
        </w:rPr>
        <w:fldChar w:fldCharType="separate"/>
      </w:r>
      <w:r w:rsidRPr="006520D0">
        <w:rPr>
          <w:rFonts w:ascii="Calibri" w:hAnsi="Calibri" w:cs="Calibri"/>
          <w:szCs w:val="24"/>
        </w:rPr>
        <w:t>(Ministerio de Economía y Finanzas Públicas de Bolivia, 2011)</w:t>
      </w:r>
      <w:r>
        <w:rPr>
          <w:lang w:val="en-GB"/>
        </w:rPr>
        <w:fldChar w:fldCharType="end"/>
      </w:r>
      <w:r w:rsidRPr="006520D0">
        <w:t>.</w:t>
      </w:r>
    </w:p>
    <w:p w:rsidR="00C107F4" w:rsidRPr="006520D0" w:rsidRDefault="006520D0" w:rsidP="006520D0">
      <w:r>
        <w:t xml:space="preserve">Sin embargo, la Ley 65/2010 y sus decretos regulatorios no consiguieron garantizar el acceso de las trabajadoras del hogar al sistema de pensiones y desde entonces esta demanda ha ocupado un lugar creciente en la agenda del movimiento: representantes de la Fenatrahob expresaron esta demanda en un documental producido por la OIT </w:t>
      </w:r>
      <w:r>
        <w:rPr>
          <w:lang w:val="en-GB"/>
        </w:rPr>
        <w:fldChar w:fldCharType="begin"/>
      </w:r>
      <w:r w:rsidR="003443EF">
        <w:instrText xml:space="preserve"> ADDIN ZOTERO_ITEM CSL_CITATION {"citationID":"1htm1kpl1u","properties":{"formattedCitation":"(ILO, 2013)","plainCitation":"(ILO, 2013)"},"citationItems":[{"id":1296,"uris":["http://zotero.org/users/local/A608vxNk/items/7BB8FFU7"],"uri":["http://zotero.org/users/local/A608vxNk/items/7BB8FFU7"],"itemData":{"id":1296,"type":"motion_picture","title":"Bolivia ratifica el Convenio 189 de la OIT sobre Trabajo Decente para los Trabajadores Domésticos","source":"YouTube","dimensions":"770 seconds","abstract":"Este documental relata el proceso de ratificación del Convenio 189 en Bolivia, encabezada por la Federación Nacional de Trabajadoras Asalariadas del Hogar de Bolivia y por su ente matriz la Central Obrera Boliviana, quienes realizaron una activa movilización en todo el país para promover la ratificación y promover el trabajo decente en el sector.  Incluye tambien entrevistas a las autoridades del Ministerio de Trabajo, Empleo y Previsión Social y al personal de la OIT, quienes señalan la importancia de este instrumento internacional para dignificar el trabajo asalariado del hogar.\n\nBolivia es el quinto Estado miembro de la OIT y el segundo Estado miembro de América Latina en haber ratificado este Convenio. El martes 20 de noviembre de 2012, en un acto público, la ley de ratificación del Convenio 189 fue promulgada  por el Presidente Evo Morales; y el 15 de abril de 2013, el Gobierno del Estado Plurinacional de Bolivia depositó ante la Oficina Internacional del Trabajo este instrumento de ratificación.\n\nPara más informaciones sobre la OIT y su labor sobre el trabajo doméstico, vea: http://www.ilo.org/global/topics/dome...","URL":"https://www.youtube.com/watch?time_continue=605&amp;v=k_HLNpJvuck","author":[{"literal":"ILO"}],"issued":{"date-parts":[["2013",4,23]]},"accessed":{"date-parts":[["2017",6,1]]}}}],"schema":"https://github.com/citation-style-language/schema/raw/master/csl-citation.json"} </w:instrText>
      </w:r>
      <w:r>
        <w:rPr>
          <w:lang w:val="en-GB"/>
        </w:rPr>
        <w:fldChar w:fldCharType="separate"/>
      </w:r>
      <w:r w:rsidR="003443EF" w:rsidRPr="003443EF">
        <w:rPr>
          <w:rFonts w:ascii="Calibri" w:hAnsi="Calibri" w:cs="Calibri"/>
        </w:rPr>
        <w:t>(ILO, 2013)</w:t>
      </w:r>
      <w:r>
        <w:rPr>
          <w:lang w:val="en-GB"/>
        </w:rPr>
        <w:fldChar w:fldCharType="end"/>
      </w:r>
      <w:r w:rsidR="003443EF" w:rsidRPr="003443EF">
        <w:t xml:space="preserve"> </w:t>
      </w:r>
      <w:r w:rsidR="003443EF">
        <w:t xml:space="preserve">y </w:t>
      </w:r>
      <w:r>
        <w:t xml:space="preserve">apareció de nuevo en un boletín </w:t>
      </w:r>
      <w:r>
        <w:rPr>
          <w:lang w:val="en-GB"/>
        </w:rPr>
        <w:fldChar w:fldCharType="begin"/>
      </w:r>
      <w:r w:rsidR="003443EF">
        <w:instrText xml:space="preserve"> ADDIN ZOTERO_ITEM CSL_CITATION {"citationID":"r4fgfdmi0","properties":{"formattedCitation":"(Fenatrahob, 2014c)","plainCitation":"(Fenatrahob, 2014c)"},"citationItems":[{"id":1238,"uris":["http://zotero.org/users/local/A608vxNk/items/TN52CCAS"],"uri":["http://zotero.org/users/local/A608vxNk/items/TN52CCAS"],"itemData":{"id":1238,"type":"article","title":"Boletín \"Equidad y Justicia\" octubre 2014","author":[{"family":"Fenatrahob","given":""}],"issued":{"date-parts":[["2014"]]}}}],"schema":"https://github.com/citation-style-language/schema/raw/master/csl-citation.json"} </w:instrText>
      </w:r>
      <w:r>
        <w:rPr>
          <w:lang w:val="en-GB"/>
        </w:rPr>
        <w:fldChar w:fldCharType="separate"/>
      </w:r>
      <w:r w:rsidR="003443EF" w:rsidRPr="003443EF">
        <w:rPr>
          <w:rFonts w:ascii="Calibri" w:hAnsi="Calibri" w:cs="Calibri"/>
        </w:rPr>
        <w:t>(Fenatrahob, 2014c)</w:t>
      </w:r>
      <w:r>
        <w:rPr>
          <w:lang w:val="en-GB"/>
        </w:rPr>
        <w:fldChar w:fldCharType="end"/>
      </w:r>
      <w:r>
        <w:t xml:space="preserve"> y el documento </w:t>
      </w:r>
      <w:r w:rsidRPr="006520D0">
        <w:rPr>
          <w:i/>
        </w:rPr>
        <w:t xml:space="preserve">Descolonización y </w:t>
      </w:r>
      <w:proofErr w:type="spellStart"/>
      <w:r w:rsidRPr="006520D0">
        <w:rPr>
          <w:i/>
        </w:rPr>
        <w:t>despatriarcalización</w:t>
      </w:r>
      <w:proofErr w:type="spellEnd"/>
      <w:r>
        <w:rPr>
          <w:i/>
        </w:rPr>
        <w:t xml:space="preserve"> </w:t>
      </w:r>
      <w:r>
        <w:rPr>
          <w:lang w:val="en-GB"/>
        </w:rPr>
        <w:fldChar w:fldCharType="begin"/>
      </w:r>
      <w:r w:rsidRPr="006520D0">
        <w:instrText xml:space="preserve"> ADDIN ZOTERO_ITEM CSL_CITATION {"citationID":"3j18akmgc","properties":{"formattedCitation":"(Fenatrahob, 2014a)","plainCitation":"(Fenatrahob, 2014a)"},"citationItems":[{"id":828,"uris":["http://zotero.org/users/local/A608vxNk/items/J4ZVIW7N"],"uri":["http://zotero.org/users/local/A608vxNk/items/J4ZVIW7N"],"itemData":{"id":828,"type":"article","title":"Descolonización y despatriarcalización desde la perspectiva de las trabajadoras de las trabajadoras asalariadas del hogar: una propuesta de política pública","publisher":"Fundación Friedrich Ebert","author":[{"family":"Fenatrahob","given":""}],"issued":{"date-parts":[["2014"]]}}}],"schema":"https://github.com/citation-style-language/schema/raw/master/csl-citation.json"} </w:instrText>
      </w:r>
      <w:r>
        <w:rPr>
          <w:lang w:val="en-GB"/>
        </w:rPr>
        <w:fldChar w:fldCharType="separate"/>
      </w:r>
      <w:r w:rsidRPr="006520D0">
        <w:rPr>
          <w:rFonts w:ascii="Calibri" w:hAnsi="Calibri" w:cs="Calibri"/>
        </w:rPr>
        <w:t>(Fenatrahob, 2014a)</w:t>
      </w:r>
      <w:r>
        <w:rPr>
          <w:lang w:val="en-GB"/>
        </w:rPr>
        <w:fldChar w:fldCharType="end"/>
      </w:r>
      <w:r w:rsidR="003443EF" w:rsidRPr="003443EF">
        <w:t xml:space="preserve">. </w:t>
      </w:r>
      <w:r w:rsidR="003443EF">
        <w:t xml:space="preserve">Finalmente, en </w:t>
      </w:r>
      <w:r>
        <w:t xml:space="preserve">2016 </w:t>
      </w:r>
      <w:r w:rsidR="00275A28">
        <w:t>la Fenatrahob</w:t>
      </w:r>
      <w:r>
        <w:t xml:space="preserve"> celebró en La Paz un Encuentro Internacional sobre Seguridad Social de organizaciones latinoamericanas de trabajadoras del hogar </w:t>
      </w:r>
      <w:r>
        <w:rPr>
          <w:lang w:val="en-GB"/>
        </w:rPr>
        <w:fldChar w:fldCharType="begin"/>
      </w:r>
      <w:r w:rsidRPr="006520D0">
        <w:instrText xml:space="preserve"> ADDIN ZOTERO_ITEM CSL_CITATION {"citationID":"t6tq15f3s","properties":{"formattedCitation":"(Fenatrahob, 2016)","plainCitation":"(Fenatrahob, 2016)"},"citationItems":[{"id":1218,"uris":["http://zotero.org/users/local/A608vxNk/items/CD9F6FGS"],"uri":["http://zotero.org/users/local/A608vxNk/items/CD9F6FGS"],"itemData":{"id":1218,"type":"article","title":"Boletín \"Equidad y Justicia\" marzo 2016","author":[{"family":"Fenatrahob","given":""}],"issued":{"date-parts":[["2016"]]}}}],"schema":"https://github.com/citation-style-language/schema/raw/master/csl-citation.json"} </w:instrText>
      </w:r>
      <w:r>
        <w:rPr>
          <w:lang w:val="en-GB"/>
        </w:rPr>
        <w:fldChar w:fldCharType="separate"/>
      </w:r>
      <w:r w:rsidRPr="006520D0">
        <w:rPr>
          <w:rFonts w:ascii="Calibri" w:hAnsi="Calibri" w:cs="Calibri"/>
        </w:rPr>
        <w:t>(Fenatrahob, 2016)</w:t>
      </w:r>
      <w:r>
        <w:rPr>
          <w:lang w:val="en-GB"/>
        </w:rPr>
        <w:fldChar w:fldCharType="end"/>
      </w:r>
      <w:r>
        <w:t>.</w:t>
      </w:r>
    </w:p>
    <w:p w:rsidR="006520D0" w:rsidRDefault="006520D0" w:rsidP="006520D0"/>
    <w:p w:rsidR="00C107F4" w:rsidRDefault="00C107F4" w:rsidP="00C107F4">
      <w:pPr>
        <w:pStyle w:val="Heading2"/>
      </w:pPr>
      <w:bookmarkStart w:id="13" w:name="_Toc485765671"/>
      <w:r>
        <w:t>5. No discriminación y derecho a trabajar y vivir sin violencia</w:t>
      </w:r>
      <w:bookmarkEnd w:id="13"/>
    </w:p>
    <w:p w:rsidR="003443EF" w:rsidRDefault="003443EF" w:rsidP="003443EF">
      <w:r>
        <w:t xml:space="preserve">Según la representante de Naciones Unidas en Bolivia, 9 de cada 10 mujeres bolivianas sufren algún tipo de violencia física, psicológica y sexual </w:t>
      </w:r>
      <w:r>
        <w:fldChar w:fldCharType="begin"/>
      </w:r>
      <w:r>
        <w:instrText xml:space="preserve"> ADDIN ZOTERO_ITEM CSL_CITATION {"citationID":"2o6g9js464","properties":{"formattedCitation":"{\\rtf (Fenatrahob, 2011b; Opini\\uc0\\u243{}n.com, 2012)}","plainCitation":"(Fenatrahob, 2011b; Opinión.com, 2012)"},"citationItems":[{"id":1154,"uris":["http://zotero.org/users/local/A608vxNk/items/S9STA6HZ"],"uri":["http://zotero.org/users/local/A608vxNk/items/S9STA6HZ"],"itemData":{"id":1154,"type":"article","title":"Boletín \"Equidad y Justicia\" marzo 2011","author":[{"family":"Fenatrahob","given":""}],"issued":{"date-parts":[["2011"]]}}},{"id":1251,"uris":["http://zotero.org/users/local/A608vxNk/items/53UXA7VT"],"uri":["http://zotero.org/users/local/A608vxNk/items/53UXA7VT"],"itemData":{"id":1251,"type":"article-newspaper","title":"Asesinan a una boliviana cada tres días y 9 de cada 10 sufren violencia","container-title":"Opinión.com","publisher-place":"Cochabamba, Bolivia","event-place":"Cochabamba, Bolivia","URL":"http://www.opinion.com.bo/opinion/articulos/2012/0308/noticias.php?id=47096","author":[{"family":"Opinión.com","given":""}],"issued":{"date-parts":[["2012"]]},"accessed":{"date-parts":[["2017",5,9]]}}}],"schema":"https://github.com/citation-style-language/schema/raw/master/csl-citation.json"} </w:instrText>
      </w:r>
      <w:r>
        <w:fldChar w:fldCharType="separate"/>
      </w:r>
      <w:r w:rsidRPr="003443EF">
        <w:rPr>
          <w:rFonts w:ascii="Calibri" w:hAnsi="Calibri" w:cs="Calibri"/>
          <w:szCs w:val="24"/>
        </w:rPr>
        <w:t>(Fenatrahob, 2011b; Opinión.com, 2012)</w:t>
      </w:r>
      <w:r>
        <w:fldChar w:fldCharType="end"/>
      </w:r>
      <w:r>
        <w:t xml:space="preserve">. La violencia afecta con particular intensidad a las trabajadoras del hogar, según autoras como Gill </w:t>
      </w:r>
      <w:r>
        <w:fldChar w:fldCharType="begin"/>
      </w:r>
      <w:r>
        <w:instrText xml:space="preserve"> ADDIN ZOTERO_ITEM CSL_CITATION {"citationID":"2663act6dg","properties":{"formattedCitation":"(Gill, 1997)","plainCitation":"(Gill, 1997)"},"citationItems":[{"id":1084,"uris":["http://zotero.org/users/local/A608vxNk/items/IE2SKIUM"],"uri":["http://zotero.org/users/local/A608vxNk/items/IE2SKIUM"],"itemData":{"id":1084,"type":"article-journal","title":"Creating citizens, making men: The military and masculinity in Bolivia","container-title":"Cultural Anthropology","page":"527-550","volume":"12","issue":"4","ISSN":"1548-1360","journalAbbreviation":"Cultural Anthropology","author":[{"family":"Gill","given":"Lesley"}],"issued":{"date-parts":[["1997"]]}}}],"schema":"https://github.com/citation-style-language/schema/raw/master/csl-citation.json"} </w:instrText>
      </w:r>
      <w:r>
        <w:fldChar w:fldCharType="separate"/>
      </w:r>
      <w:r>
        <w:rPr>
          <w:rFonts w:ascii="Calibri" w:hAnsi="Calibri" w:cs="Calibri"/>
        </w:rPr>
        <w:t>(</w:t>
      </w:r>
      <w:r w:rsidRPr="003443EF">
        <w:rPr>
          <w:rFonts w:ascii="Calibri" w:hAnsi="Calibri" w:cs="Calibri"/>
        </w:rPr>
        <w:t>1997)</w:t>
      </w:r>
      <w:r>
        <w:fldChar w:fldCharType="end"/>
      </w:r>
      <w:r>
        <w:t xml:space="preserve"> y Rivera </w:t>
      </w:r>
      <w:proofErr w:type="spellStart"/>
      <w:r>
        <w:t>Cusicanqui</w:t>
      </w:r>
      <w:proofErr w:type="spellEnd"/>
      <w:r>
        <w:t xml:space="preserve"> </w:t>
      </w:r>
      <w:r>
        <w:fldChar w:fldCharType="begin"/>
      </w:r>
      <w:r>
        <w:instrText xml:space="preserve"> ADDIN ZOTERO_ITEM CSL_CITATION {"citationID":"nf3q59peu","properties":{"formattedCitation":"(Rivera Cusicanqui, 2007)","plainCitation":"(Rivera Cusicanqui, 2007)"},"citationItems":[{"id":1066,"uris":["http://zotero.org/users/local/A608vxNk/items/D7RJVEDG"],"uri":["http://zotero.org/users/local/A608vxNk/items/D7RJVEDG"],"itemData":{"id":1066,"type":"paper-conference","title":"Violencia e interculturalidad: paradojas de la etnicidad en la Bolivia de hoy","event":"Taller Violencia e Interculturalidad","URL":"https://redinterculturalidad.files.wordpress.com/2014/01/violencia-e-interculturalidad-silvia-rivera-cusicanqui.pdf","author":[{"family":"Rivera Cusicanqui","given":"Silvia"}],"issued":{"date-parts":[["2007"]]},"accessed":{"date-parts":[["2017",2,20]]}}}],"schema":"https://github.com/citation-style-language/schema/raw/master/csl-citation.json"} </w:instrText>
      </w:r>
      <w:r>
        <w:fldChar w:fldCharType="separate"/>
      </w:r>
      <w:r>
        <w:rPr>
          <w:rFonts w:ascii="Calibri" w:hAnsi="Calibri" w:cs="Calibri"/>
        </w:rPr>
        <w:t>(</w:t>
      </w:r>
      <w:r w:rsidRPr="003443EF">
        <w:rPr>
          <w:rFonts w:ascii="Calibri" w:hAnsi="Calibri" w:cs="Calibri"/>
        </w:rPr>
        <w:t>2007)</w:t>
      </w:r>
      <w:r>
        <w:fldChar w:fldCharType="end"/>
      </w:r>
      <w:r>
        <w:t xml:space="preserve">, que han explicado </w:t>
      </w:r>
      <w:r w:rsidR="00275A28">
        <w:t>que</w:t>
      </w:r>
      <w:r>
        <w:t xml:space="preserve"> esta violencia</w:t>
      </w:r>
      <w:r w:rsidR="00275A28">
        <w:t xml:space="preserve"> está directamente relacionada con la discriminación étnica y de género sufrida por las trabajadoras del hogar y</w:t>
      </w:r>
      <w:r>
        <w:t xml:space="preserve"> es legitimada </w:t>
      </w:r>
      <w:r w:rsidR="00275A28">
        <w:t>por</w:t>
      </w:r>
      <w:r>
        <w:t xml:space="preserve"> las reminiscencias coloniales de</w:t>
      </w:r>
      <w:r w:rsidR="00275A28">
        <w:t>l trabajo del hogar en Bolivia</w:t>
      </w:r>
      <w:r>
        <w:t xml:space="preserve">. En este sentido, la Fenatrahob afirma que la violencia contra estas trabajadoras “está naturalizada, es parte de los criterios patriarcales y coloniales que dicen que no tenemos otro objetivo en nuestras vidas que servir y  cuidar a otros […] en el caso de las trabajadoras del hogar, [la violencia] tiene una carga </w:t>
      </w:r>
      <w:r>
        <w:lastRenderedPageBreak/>
        <w:t xml:space="preserve">adicional de racismo y discriminación” </w:t>
      </w:r>
      <w:r>
        <w:fldChar w:fldCharType="begin"/>
      </w:r>
      <w:r>
        <w:instrText xml:space="preserve"> ADDIN ZOTERO_ITEM CSL_CITATION {"citationID":"f5resdnep","properties":{"formattedCitation":"(Fenatrahob, 2014a)","plainCitation":"(Fenatrahob, 2014a)"},"citationItems":[{"id":828,"uris":["http://zotero.org/users/local/A608vxNk/items/J4ZVIW7N"],"uri":["http://zotero.org/users/local/A608vxNk/items/J4ZVIW7N"],"itemData":{"id":828,"type":"article","title":"Descolonización y despatriarcalización desde la perspectiva de las trabajadoras de las trabajadoras asalariadas del hogar: una propuesta de política pública","publisher":"Fundación Friedrich Ebert","author":[{"family":"Fenatrahob","given":""}],"issued":{"date-parts":[["2014"]]}}}],"schema":"https://github.com/citation-style-language/schema/raw/master/csl-citation.json"} </w:instrText>
      </w:r>
      <w:r>
        <w:fldChar w:fldCharType="separate"/>
      </w:r>
      <w:r w:rsidRPr="003443EF">
        <w:rPr>
          <w:rFonts w:ascii="Calibri" w:hAnsi="Calibri" w:cs="Calibri"/>
        </w:rPr>
        <w:t>(Fenatrahob, 2014a)</w:t>
      </w:r>
      <w:r>
        <w:fldChar w:fldCharType="end"/>
      </w:r>
      <w:r w:rsidR="00CD49FD">
        <w:t xml:space="preserve">. La Federación trata conjuntamente la violencia con el tema más amplio de la discriminación en su propuesta de política pública. Tanto la Fenatrahob como Rivera </w:t>
      </w:r>
      <w:proofErr w:type="spellStart"/>
      <w:r w:rsidR="00CD49FD">
        <w:t>Cusicanqui</w:t>
      </w:r>
      <w:proofErr w:type="spellEnd"/>
      <w:r w:rsidR="00CD49FD">
        <w:t xml:space="preserve"> han denunciado que el Estado no dedique la misma atención a la violencia contra las trabajadoras del hogar que a otros tipos de violencia en el ámbito domé</w:t>
      </w:r>
      <w:r w:rsidR="003F6248">
        <w:t xml:space="preserve">stico </w:t>
      </w:r>
      <w:r w:rsidR="00CD49FD">
        <w:t>(</w:t>
      </w:r>
      <w:r w:rsidR="00CD49FD">
        <w:fldChar w:fldCharType="begin"/>
      </w:r>
      <w:r w:rsidR="00CD49FD">
        <w:instrText xml:space="preserve"> ADDIN ZOTERO_ITEM CSL_CITATION {"citationID":"uImegPnm","properties":{"formattedCitation":"(Fenatrahob, 2014a; Rivera Cusicanqui, 2007)","plainCitation":"(Fenatrahob, 2014a; Rivera Cusicanqui, 2007)"},"citationItems":[{"id":828,"uris":["http://zotero.org/users/local/A608vxNk/items/J4ZVIW7N"],"uri":["http://zotero.org/users/local/A608vxNk/items/J4ZVIW7N"],"itemData":{"id":828,"type":"article","title":"Descolonización y despatriarcalización desde la perspectiva de las trabajadoras de las trabajadoras asalariadas del hogar: una propuesta de política pública","publisher":"Fundación Friedrich Ebert","author":[{"family":"Fenatrahob","given":""}],"issued":{"date-parts":[["2014"]]}}},{"id":1066,"uris":["http://zotero.org/users/local/A608vxNk/items/D7RJVEDG"],"uri":["http://zotero.org/users/local/A608vxNk/items/D7RJVEDG"],"itemData":{"id":1066,"type":"paper-conference","title":"Violencia e interculturalidad: paradojas de la etnicidad en la Bolivia de hoy","event":"Taller Violencia e Interculturalidad","URL":"https://redinterculturalidad.files.wordpress.com/2014/01/violencia-e-interculturalidad-silvia-rivera-cusicanqui.pdf","author":[{"family":"Rivera Cusicanqui","given":"Silvia"}],"issued":{"date-parts":[["2007"]]},"accessed":{"date-parts":[["2017",2,20]]}}}],"schema":"https://github.com/citation-style-language/schema/raw/master/csl-citation.json"} </w:instrText>
      </w:r>
      <w:r w:rsidR="00CD49FD">
        <w:fldChar w:fldCharType="separate"/>
      </w:r>
      <w:r w:rsidR="00CD49FD" w:rsidRPr="00CD49FD">
        <w:rPr>
          <w:rFonts w:ascii="Calibri" w:hAnsi="Calibri" w:cs="Calibri"/>
        </w:rPr>
        <w:t xml:space="preserve">Fenatrahob, 2014a; Rivera </w:t>
      </w:r>
      <w:proofErr w:type="spellStart"/>
      <w:r w:rsidR="00CD49FD" w:rsidRPr="00CD49FD">
        <w:rPr>
          <w:rFonts w:ascii="Calibri" w:hAnsi="Calibri" w:cs="Calibri"/>
        </w:rPr>
        <w:t>Cusicanqui</w:t>
      </w:r>
      <w:proofErr w:type="spellEnd"/>
      <w:r w:rsidR="00CD49FD" w:rsidRPr="00CD49FD">
        <w:rPr>
          <w:rFonts w:ascii="Calibri" w:hAnsi="Calibri" w:cs="Calibri"/>
        </w:rPr>
        <w:t>, 2007)</w:t>
      </w:r>
      <w:r w:rsidR="00CD49FD">
        <w:fldChar w:fldCharType="end"/>
      </w:r>
      <w:r w:rsidR="00CD49FD">
        <w:t>.</w:t>
      </w:r>
    </w:p>
    <w:p w:rsidR="00CD49FD" w:rsidRDefault="00CD49FD" w:rsidP="00CD49FD">
      <w:pPr>
        <w:rPr>
          <w:bCs/>
        </w:rPr>
      </w:pPr>
      <w:r>
        <w:t xml:space="preserve">La Fenatrahob reclama dos tipos de medidas en este ámbito: la mejora de la respuesta de las autoridades a las denuncias de agresiones y “masivas campañas de comunicación con […] criterios transformativos sobre la </w:t>
      </w:r>
      <w:r w:rsidRPr="00275A28">
        <w:t xml:space="preserve">cultura de la discriminación, orientados a empleadores, trabajadoras y autoridades” </w:t>
      </w:r>
      <w:r w:rsidRPr="00275A28">
        <w:fldChar w:fldCharType="begin"/>
      </w:r>
      <w:r w:rsidRPr="00275A28">
        <w:instrText xml:space="preserve"> ADDIN ZOTERO_ITEM CSL_CITATION {"citationID":"v29scnle3","properties":{"formattedCitation":"(Fenatrahob, 2014a)","plainCitation":"(Fenatrahob, 2014a)"},"citationItems":[{"id":828,"uris":["http://zotero.org/users/local/A608vxNk/items/J4ZVIW7N"],"uri":["http://zotero.org/users/local/A608vxNk/items/J4ZVIW7N"],"itemData":{"id":828,"type":"article","title":"Descolonización y despatriarcalización desde la perspectiva de las trabajadoras de las trabajadoras asalariadas del hogar: una propuesta de política pública","publisher":"Fundación Friedrich Ebert","author":[{"family":"Fenatrahob","given":""}],"issued":{"date-parts":[["2014"]]}}}],"schema":"https://github.com/citation-style-language/schema/raw/master/csl-citation.json"} </w:instrText>
      </w:r>
      <w:r w:rsidRPr="00275A28">
        <w:fldChar w:fldCharType="separate"/>
      </w:r>
      <w:r w:rsidRPr="00275A28">
        <w:t>(Fenatrahob, 2014a)</w:t>
      </w:r>
      <w:r w:rsidRPr="00275A28">
        <w:fldChar w:fldCharType="end"/>
      </w:r>
      <w:r w:rsidRPr="00275A28">
        <w:t>. Finalmente, la Federación reclama políticas específicas para proteger a las trabajadoras</w:t>
      </w:r>
      <w:r>
        <w:t xml:space="preserve"> del hogar menores de edad -el 72 por ciento sufren abusos físicos o psicológicos, según un estudio la Universidad Mayor de San Andrés </w:t>
      </w:r>
      <w:r>
        <w:rPr>
          <w:bCs/>
          <w:lang w:val="en-GB"/>
        </w:rPr>
        <w:fldChar w:fldCharType="begin"/>
      </w:r>
      <w:r w:rsidRPr="00CD49FD">
        <w:rPr>
          <w:bCs/>
        </w:rPr>
        <w:instrText xml:space="preserve"> ADDIN ZOTERO_ITEM CSL_CITATION {"citationID":"rJM6LNi4","properties":{"formattedCitation":"{\\rtf (Instituto de Investigaci\\uc0\\u243{}n e Interacci\\uc0\\u243{}n Educativa-UMSA, 2014, p. 53)}","plainCitation":"(Instituto de Investigación e Interacción Educativa-UMSA, 2014, p. 53)"},"citationItems":[{"id":1087,"uris":["http://zotero.org/users/local/A608vxNk/items/MPKT2G63"],"uri":["http://zotero.org/users/local/A608vxNk/items/MPKT2G63"],"itemData":{"id":1087,"type":"report","title":"Estudio sobre trabajo doméstico de niños, niñas y adolescentes ne hogares de terceros en Bolivia","publisher-place":"La Paz, Bolivia","event-place":"La Paz, Bolivia","URL":"https://www.unicef.org/bolivia/Trabajo_domestico_NNA_en_hogares_terceros.pdf","author":[{"family":"Instituto de Investigación e Interacción Educativa-UMSA","given":""}],"issued":{"date-parts":[["2014"]]},"accessed":{"date-parts":[["2017",2,21]]}},"locator":"53"}],"schema":"https://github.com/citation-style-language/schema/raw/master/csl-citation.json"} </w:instrText>
      </w:r>
      <w:r>
        <w:rPr>
          <w:bCs/>
          <w:lang w:val="en-GB"/>
        </w:rPr>
        <w:fldChar w:fldCharType="separate"/>
      </w:r>
      <w:r w:rsidRPr="00CD49FD">
        <w:rPr>
          <w:rFonts w:ascii="Calibri" w:hAnsi="Calibri" w:cs="Calibri"/>
          <w:szCs w:val="24"/>
        </w:rPr>
        <w:t>(Instituto de Investigación e Interacción Educativa-UMSA, 2014, p. 53)</w:t>
      </w:r>
      <w:r>
        <w:rPr>
          <w:bCs/>
          <w:lang w:val="en-GB"/>
        </w:rPr>
        <w:fldChar w:fldCharType="end"/>
      </w:r>
      <w:r>
        <w:rPr>
          <w:bCs/>
        </w:rPr>
        <w:t>.</w:t>
      </w:r>
    </w:p>
    <w:p w:rsidR="00CD49FD" w:rsidRDefault="00CD49FD" w:rsidP="00CD49FD">
      <w:pPr>
        <w:rPr>
          <w:bCs/>
        </w:rPr>
      </w:pPr>
    </w:p>
    <w:p w:rsidR="00C107F4" w:rsidRDefault="00C107F4" w:rsidP="00CD49FD">
      <w:pPr>
        <w:pStyle w:val="Heading2"/>
      </w:pPr>
      <w:bookmarkStart w:id="14" w:name="_Toc485765672"/>
      <w:r>
        <w:t>6. La ratificación del Convenio 189 de la OIT</w:t>
      </w:r>
      <w:bookmarkEnd w:id="14"/>
    </w:p>
    <w:p w:rsidR="00275A28" w:rsidRDefault="00CD49FD" w:rsidP="00CD49FD">
      <w:pPr>
        <w:rPr>
          <w:rFonts w:ascii="Calibri" w:hAnsi="Calibri" w:cs="Calibri"/>
        </w:rPr>
      </w:pPr>
      <w:r>
        <w:rPr>
          <w:bCs/>
        </w:rPr>
        <w:t xml:space="preserve">La elaboración y aprobación de una Convención Internacional sobre los derechos de las trabajadoras y trabajadores del hogar fue una prioridad de múltiples organizaciones de </w:t>
      </w:r>
      <w:r w:rsidR="00275A28">
        <w:rPr>
          <w:bCs/>
        </w:rPr>
        <w:t>este sector laboral</w:t>
      </w:r>
      <w:r>
        <w:rPr>
          <w:bCs/>
        </w:rPr>
        <w:t xml:space="preserve"> durante la primera década del siglo XXI </w:t>
      </w:r>
      <w:r w:rsidRPr="00CD49FD">
        <w:rPr>
          <w:rFonts w:ascii="Calibri" w:hAnsi="Calibri" w:cs="Calibri"/>
        </w:rPr>
        <w:t>(</w:t>
      </w:r>
      <w:proofErr w:type="spellStart"/>
      <w:r w:rsidRPr="00CD49FD">
        <w:rPr>
          <w:rFonts w:ascii="Calibri" w:hAnsi="Calibri" w:cs="Calibri"/>
        </w:rPr>
        <w:t>Mather</w:t>
      </w:r>
      <w:proofErr w:type="spellEnd"/>
      <w:r w:rsidRPr="00CD49FD">
        <w:rPr>
          <w:rFonts w:ascii="Calibri" w:hAnsi="Calibri" w:cs="Calibri"/>
        </w:rPr>
        <w:t>, 2013</w:t>
      </w:r>
      <w:r>
        <w:rPr>
          <w:rFonts w:ascii="Calibri" w:hAnsi="Calibri" w:cs="Calibri"/>
        </w:rPr>
        <w:t xml:space="preserve">). </w:t>
      </w:r>
      <w:r w:rsidR="00275A28">
        <w:rPr>
          <w:rFonts w:ascii="Calibri" w:hAnsi="Calibri" w:cs="Calibri"/>
        </w:rPr>
        <w:t>Una de ellas fue la Fe</w:t>
      </w:r>
      <w:r w:rsidR="00BA5917">
        <w:rPr>
          <w:rFonts w:ascii="Calibri" w:hAnsi="Calibri" w:cs="Calibri"/>
        </w:rPr>
        <w:t>n</w:t>
      </w:r>
      <w:r w:rsidR="00275A28">
        <w:rPr>
          <w:rFonts w:ascii="Calibri" w:hAnsi="Calibri" w:cs="Calibri"/>
        </w:rPr>
        <w:t>a</w:t>
      </w:r>
      <w:r w:rsidR="00BA5917">
        <w:rPr>
          <w:rFonts w:ascii="Calibri" w:hAnsi="Calibri" w:cs="Calibri"/>
        </w:rPr>
        <w:t xml:space="preserve">trahob, que participó en las negociaciones en la sede de la </w:t>
      </w:r>
      <w:r w:rsidR="00275A28">
        <w:rPr>
          <w:rFonts w:ascii="Calibri" w:hAnsi="Calibri" w:cs="Calibri"/>
        </w:rPr>
        <w:t>OIT</w:t>
      </w:r>
      <w:r w:rsidR="00BA5917">
        <w:rPr>
          <w:rFonts w:ascii="Calibri" w:hAnsi="Calibri" w:cs="Calibri"/>
        </w:rPr>
        <w:t xml:space="preserve"> que conduj</w:t>
      </w:r>
      <w:r w:rsidR="00275A28">
        <w:rPr>
          <w:rFonts w:ascii="Calibri" w:hAnsi="Calibri" w:cs="Calibri"/>
        </w:rPr>
        <w:t>eron a la aprobación en 2011 d</w:t>
      </w:r>
      <w:r w:rsidR="00F804F7">
        <w:rPr>
          <w:rFonts w:ascii="Calibri" w:hAnsi="Calibri" w:cs="Calibri"/>
        </w:rPr>
        <w:t>el Convenio</w:t>
      </w:r>
      <w:r w:rsidR="00BA5917">
        <w:rPr>
          <w:rFonts w:ascii="Calibri" w:hAnsi="Calibri" w:cs="Calibri"/>
        </w:rPr>
        <w:t xml:space="preserve"> 189 de la OIT sobre Trabajo Decente para los Trabajadores Domésticos </w:t>
      </w:r>
      <w:r w:rsidR="00BA5917">
        <w:rPr>
          <w:lang w:val="en-GB"/>
        </w:rPr>
        <w:fldChar w:fldCharType="begin"/>
      </w:r>
      <w:r w:rsidR="00BA5917">
        <w:instrText xml:space="preserve"> ADDIN ZOTERO_ITEM CSL_CITATION {"citationID":"vF270M61","properties":{"formattedCitation":"(Fenatrahob, 2011c, 2010b)","plainCitation":"(Fenatrahob, 2011c, 2010b)"},"citationItems":[{"id":861,"uris":["http://zotero.org/users/local/A608vxNk/items/7XCVXSAQ"],"uri":["http://zotero.org/users/local/A608vxNk/items/7XCVXSAQ"],"itemData":{"id":861,"type":"article","title":"Boletín \"Equidad y Justicia\" mayo 2011","author":[{"family":"Fenatrahob","given":""}],"issued":{"date-parts":[["2011"]]}}},{"id":859,"uris":["http://zotero.org/users/local/A608vxNk/items/6PISGQS7"],"uri":["http://zotero.org/users/local/A608vxNk/items/6PISGQS7"],"itemData":{"id":859,"type":"article","title":"Boletín \"Equidad y Justicia\" julio 2010","author":[{"family":"Fenatrahob","given":""}],"issued":{"date-parts":[["2010"]]}}}],"schema":"https://github.com/citation-style-language/schema/raw/master/csl-citation.json"} </w:instrText>
      </w:r>
      <w:r w:rsidR="00BA5917">
        <w:rPr>
          <w:lang w:val="en-GB"/>
        </w:rPr>
        <w:fldChar w:fldCharType="separate"/>
      </w:r>
      <w:r w:rsidR="00BA5917" w:rsidRPr="00BA5917">
        <w:rPr>
          <w:rFonts w:ascii="Calibri" w:hAnsi="Calibri" w:cs="Calibri"/>
        </w:rPr>
        <w:t>(Fenatrahob, 2011c, 2010b)</w:t>
      </w:r>
      <w:r w:rsidR="00BA5917">
        <w:rPr>
          <w:lang w:val="en-GB"/>
        </w:rPr>
        <w:fldChar w:fldCharType="end"/>
      </w:r>
      <w:r w:rsidR="00BA5917">
        <w:rPr>
          <w:rFonts w:ascii="Calibri" w:hAnsi="Calibri" w:cs="Calibri"/>
        </w:rPr>
        <w:t xml:space="preserve">. </w:t>
      </w:r>
      <w:r w:rsidR="00275A28">
        <w:rPr>
          <w:rFonts w:ascii="Calibri" w:hAnsi="Calibri" w:cs="Calibri"/>
        </w:rPr>
        <w:t xml:space="preserve">En la entrevista que mantuve en La Paz con Prima </w:t>
      </w:r>
      <w:proofErr w:type="spellStart"/>
      <w:r w:rsidR="00275A28">
        <w:rPr>
          <w:rFonts w:ascii="Calibri" w:hAnsi="Calibri" w:cs="Calibri"/>
        </w:rPr>
        <w:t>Ocsa</w:t>
      </w:r>
      <w:proofErr w:type="spellEnd"/>
      <w:r w:rsidR="00275A28">
        <w:rPr>
          <w:rFonts w:ascii="Calibri" w:hAnsi="Calibri" w:cs="Calibri"/>
        </w:rPr>
        <w:t xml:space="preserve">, ex Secretaria Ejecutiva de la Fenatrahob y actual Secretaria de Relaciones de la Federación, </w:t>
      </w:r>
      <w:proofErr w:type="spellStart"/>
      <w:r w:rsidR="00275A28">
        <w:rPr>
          <w:rFonts w:ascii="Calibri" w:hAnsi="Calibri" w:cs="Calibri"/>
        </w:rPr>
        <w:t>Ocsa</w:t>
      </w:r>
      <w:proofErr w:type="spellEnd"/>
      <w:r w:rsidR="00275A28">
        <w:rPr>
          <w:rFonts w:ascii="Calibri" w:hAnsi="Calibri" w:cs="Calibri"/>
        </w:rPr>
        <w:t xml:space="preserve"> señaló que l</w:t>
      </w:r>
      <w:r w:rsidR="00BA5917">
        <w:rPr>
          <w:rFonts w:ascii="Calibri" w:hAnsi="Calibri" w:cs="Calibri"/>
        </w:rPr>
        <w:t xml:space="preserve">a participación de </w:t>
      </w:r>
      <w:r w:rsidR="00275A28">
        <w:rPr>
          <w:rFonts w:ascii="Calibri" w:hAnsi="Calibri" w:cs="Calibri"/>
        </w:rPr>
        <w:t xml:space="preserve">la </w:t>
      </w:r>
      <w:r w:rsidR="00BA5917">
        <w:rPr>
          <w:rFonts w:ascii="Calibri" w:hAnsi="Calibri" w:cs="Calibri"/>
        </w:rPr>
        <w:t xml:space="preserve">Fenatrahob en estas negociaciones </w:t>
      </w:r>
      <w:r w:rsidR="00275A28">
        <w:rPr>
          <w:rFonts w:ascii="Calibri" w:hAnsi="Calibri" w:cs="Calibri"/>
        </w:rPr>
        <w:t xml:space="preserve">fue </w:t>
      </w:r>
      <w:r w:rsidR="00BA5917">
        <w:rPr>
          <w:rFonts w:ascii="Calibri" w:hAnsi="Calibri" w:cs="Calibri"/>
        </w:rPr>
        <w:t>uno de los principales éxitos de la Federación en los últimos años</w:t>
      </w:r>
      <w:r w:rsidR="00BA5917">
        <w:rPr>
          <w:rStyle w:val="FootnoteReference"/>
          <w:rFonts w:ascii="Calibri" w:hAnsi="Calibri" w:cs="Calibri"/>
        </w:rPr>
        <w:footnoteReference w:id="2"/>
      </w:r>
      <w:r w:rsidR="00275A28">
        <w:rPr>
          <w:rFonts w:ascii="Calibri" w:hAnsi="Calibri" w:cs="Calibri"/>
        </w:rPr>
        <w:t>.</w:t>
      </w:r>
    </w:p>
    <w:p w:rsidR="00CD49FD" w:rsidRPr="00BA5917" w:rsidRDefault="00F804F7" w:rsidP="00CD49FD">
      <w:pPr>
        <w:rPr>
          <w:bCs/>
        </w:rPr>
      </w:pPr>
      <w:r>
        <w:rPr>
          <w:rFonts w:ascii="Calibri" w:hAnsi="Calibri" w:cs="Calibri"/>
        </w:rPr>
        <w:t>Tras la aprobación del Convenio</w:t>
      </w:r>
      <w:r w:rsidR="00BA5917">
        <w:rPr>
          <w:rFonts w:ascii="Calibri" w:hAnsi="Calibri" w:cs="Calibri"/>
        </w:rPr>
        <w:t xml:space="preserve">, la Fenatrahob se fijó dos objetivos: difundir los contenidos de la norma en la sociedad boliviana y conseguir que el </w:t>
      </w:r>
      <w:r w:rsidR="00680C70">
        <w:rPr>
          <w:rFonts w:ascii="Calibri" w:hAnsi="Calibri" w:cs="Calibri"/>
        </w:rPr>
        <w:t>Gobierno</w:t>
      </w:r>
      <w:r w:rsidR="00BA5917">
        <w:rPr>
          <w:rFonts w:ascii="Calibri" w:hAnsi="Calibri" w:cs="Calibri"/>
        </w:rPr>
        <w:t xml:space="preserve"> ratificase </w:t>
      </w:r>
      <w:r>
        <w:rPr>
          <w:rFonts w:ascii="Calibri" w:hAnsi="Calibri" w:cs="Calibri"/>
        </w:rPr>
        <w:t>el Convenio</w:t>
      </w:r>
      <w:r w:rsidR="00BA5917">
        <w:rPr>
          <w:rFonts w:ascii="Calibri" w:hAnsi="Calibri" w:cs="Calibri"/>
        </w:rPr>
        <w:t xml:space="preserve">. La ratificación era importante por razones simbólicas (reforzar la legitimidad de las demandas de las trabajadoras del hogar) pero también jurídicas: </w:t>
      </w:r>
      <w:r>
        <w:rPr>
          <w:rFonts w:ascii="Calibri" w:hAnsi="Calibri" w:cs="Calibri"/>
        </w:rPr>
        <w:t>el Convenio solo sería obligatorio</w:t>
      </w:r>
      <w:r w:rsidR="00BA5917">
        <w:rPr>
          <w:rFonts w:ascii="Calibri" w:hAnsi="Calibri" w:cs="Calibri"/>
        </w:rPr>
        <w:t xml:space="preserve"> en Bolivia tras su ratificación por el presidente Evo Morales, que finalmente se produjo el 20 de noviembre de 2012 (</w:t>
      </w:r>
      <w:r w:rsidR="00BA5917" w:rsidRPr="00BA5917">
        <w:rPr>
          <w:rFonts w:ascii="Calibri" w:hAnsi="Calibri" w:cs="Calibri"/>
        </w:rPr>
        <w:t>Fenatrahob, 2013a)</w:t>
      </w:r>
      <w:r w:rsidR="00BA5917">
        <w:rPr>
          <w:rFonts w:ascii="Calibri" w:hAnsi="Calibri" w:cs="Calibri"/>
        </w:rPr>
        <w:t xml:space="preserve">. </w:t>
      </w:r>
    </w:p>
    <w:p w:rsidR="00C107F4" w:rsidRDefault="00C107F4" w:rsidP="00C107F4">
      <w:pPr>
        <w:pStyle w:val="Heading2"/>
      </w:pPr>
    </w:p>
    <w:p w:rsidR="00C107F4" w:rsidRDefault="00C107F4" w:rsidP="00C107F4">
      <w:pPr>
        <w:pStyle w:val="Heading2"/>
      </w:pPr>
      <w:bookmarkStart w:id="15" w:name="_Toc485765673"/>
      <w:r>
        <w:t>7. La obligatoriedad del contrato escrito y la libreta de salarios</w:t>
      </w:r>
      <w:bookmarkEnd w:id="15"/>
    </w:p>
    <w:p w:rsidR="00275A28" w:rsidRDefault="00605563" w:rsidP="00605563">
      <w:r>
        <w:t xml:space="preserve">El artículo 2 de la Ley 2450/2003 establece que los contratos de las trabajadoras del hogar que duren más de un año deben tener obligatoriamente forma escrita, mientras </w:t>
      </w:r>
      <w:r>
        <w:lastRenderedPageBreak/>
        <w:t xml:space="preserve">que los de una duración más corta pueden ser orales. En 2014, una nueva demanda apareció en los boletines </w:t>
      </w:r>
      <w:r w:rsidRPr="00605563">
        <w:rPr>
          <w:i/>
        </w:rPr>
        <w:t>Equidad y Justicia</w:t>
      </w:r>
      <w:r>
        <w:t xml:space="preserve">: la obligatoriedad de la forma escrita para todos los contratos y la creación de una libreta de salarios para todas las trabajadoras del hogar, en la que figuren los sueldos percibidos </w:t>
      </w:r>
      <w:r>
        <w:rPr>
          <w:lang w:val="en-GB"/>
        </w:rPr>
        <w:fldChar w:fldCharType="begin"/>
      </w:r>
      <w:r w:rsidR="00893910">
        <w:instrText xml:space="preserve"> ADDIN ZOTERO_ITEM CSL_CITATION {"citationID":"6un38cio4","properties":{"formattedCitation":"(Fenatrahob, 2014d)","plainCitation":"(Fenatrahob, 2014d)"},"citationItems":[{"id":1216,"uris":["http://zotero.org/users/local/A608vxNk/items/2FD7Z988"],"uri":["http://zotero.org/users/local/A608vxNk/items/2FD7Z988"],"itemData":{"id":1216,"type":"article","title":"Boletín \"Equidad y Justicia\" marzo 2014","author":[{"family":"Fenatrahob","given":""}],"issued":{"date-parts":[["2014"]]}}}],"schema":"https://github.com/citation-style-language/schema/raw/master/csl-citation.json"} </w:instrText>
      </w:r>
      <w:r>
        <w:rPr>
          <w:lang w:val="en-GB"/>
        </w:rPr>
        <w:fldChar w:fldCharType="separate"/>
      </w:r>
      <w:r w:rsidR="00893910" w:rsidRPr="00893910">
        <w:rPr>
          <w:rFonts w:ascii="Calibri" w:hAnsi="Calibri" w:cs="Calibri"/>
        </w:rPr>
        <w:t>(Fenatrahob, 2014d)</w:t>
      </w:r>
      <w:r>
        <w:rPr>
          <w:lang w:val="en-GB"/>
        </w:rPr>
        <w:fldChar w:fldCharType="end"/>
      </w:r>
      <w:r w:rsidR="00275A28">
        <w:t>.</w:t>
      </w:r>
    </w:p>
    <w:p w:rsidR="00275A28" w:rsidRDefault="00275A28" w:rsidP="00605563">
      <w:r>
        <w:t xml:space="preserve">En la entrevista que mantuve con ella, </w:t>
      </w:r>
      <w:r w:rsidR="00605563">
        <w:t xml:space="preserve">Prima </w:t>
      </w:r>
      <w:proofErr w:type="spellStart"/>
      <w:r w:rsidR="00605563">
        <w:t>Ocsa</w:t>
      </w:r>
      <w:proofErr w:type="spellEnd"/>
      <w:r w:rsidR="00605563">
        <w:t xml:space="preserve"> </w:t>
      </w:r>
      <w:r>
        <w:t>subrayó</w:t>
      </w:r>
      <w:r w:rsidR="00605563">
        <w:t xml:space="preserve"> los siguientes efectos positivos del contrato</w:t>
      </w:r>
      <w:r>
        <w:t xml:space="preserve"> escrito y la libreta salarial</w:t>
      </w:r>
      <w:r>
        <w:rPr>
          <w:rStyle w:val="FootnoteReference"/>
        </w:rPr>
        <w:footnoteReference w:id="3"/>
      </w:r>
      <w:r>
        <w:t>:</w:t>
      </w:r>
    </w:p>
    <w:p w:rsidR="00275A28" w:rsidRPr="00275A28" w:rsidRDefault="00275A28" w:rsidP="00275A28">
      <w:pPr>
        <w:ind w:left="567" w:right="567"/>
        <w:rPr>
          <w:i/>
        </w:rPr>
      </w:pPr>
      <w:r w:rsidRPr="00275A28">
        <w:rPr>
          <w:i/>
        </w:rPr>
        <w:t>“Q</w:t>
      </w:r>
      <w:r w:rsidR="00605563" w:rsidRPr="00275A28">
        <w:rPr>
          <w:i/>
        </w:rPr>
        <w:t>ue se visibilice el salario que va a recibir, las horas de trabajo, identificar quién es nuestro empleador, saber para cuántas personas vamos a trabajar, y si también en ese trabajo vamos a recibir alimentación”.</w:t>
      </w:r>
    </w:p>
    <w:p w:rsidR="00605563" w:rsidRDefault="00D02D7A" w:rsidP="00605563">
      <w:r>
        <w:t xml:space="preserve">En marzo de 2014, la Fenatrahob reclamó la “inmediata implementación” de ambos documentos, después de señalar que las dirigentes de la Federación estaban negociando en ese momento con el Ministerio de Trabajo en ese sentido, siguiendo el acuerdo tripartito que alcanzaron en noviembre de 2013 la Fenatrahob, el </w:t>
      </w:r>
      <w:r w:rsidR="00680C70">
        <w:t>Gobierno</w:t>
      </w:r>
      <w:r>
        <w:t xml:space="preserve"> y la Liga de Amas de Casa (organización de empleadoras) </w:t>
      </w:r>
      <w:r>
        <w:rPr>
          <w:lang w:val="en-GB"/>
        </w:rPr>
        <w:fldChar w:fldCharType="begin"/>
      </w:r>
      <w:r w:rsidR="00893910">
        <w:instrText xml:space="preserve"> ADDIN ZOTERO_ITEM CSL_CITATION {"citationID":"7gb7PuUo","properties":{"formattedCitation":"(Fenatrahob, 2014d)","plainCitation":"(Fenatrahob, 2014d)"},"citationItems":[{"id":1216,"uris":["http://zotero.org/users/local/A608vxNk/items/2FD7Z988"],"uri":["http://zotero.org/users/local/A608vxNk/items/2FD7Z988"],"itemData":{"id":1216,"type":"article","title":"Boletín \"Equidad y Justicia\" marzo 2014","author":[{"family":"Fenatrahob","given":""}],"issued":{"date-parts":[["2014"]]}}}],"schema":"https://github.com/citation-style-language/schema/raw/master/csl-citation.json"} </w:instrText>
      </w:r>
      <w:r>
        <w:rPr>
          <w:lang w:val="en-GB"/>
        </w:rPr>
        <w:fldChar w:fldCharType="separate"/>
      </w:r>
      <w:r w:rsidR="00893910" w:rsidRPr="00893910">
        <w:rPr>
          <w:rFonts w:ascii="Calibri" w:hAnsi="Calibri" w:cs="Calibri"/>
        </w:rPr>
        <w:t>(Fenatrahob, 2014d)</w:t>
      </w:r>
      <w:r>
        <w:rPr>
          <w:lang w:val="en-GB"/>
        </w:rPr>
        <w:fldChar w:fldCharType="end"/>
      </w:r>
      <w:r w:rsidRPr="00D02D7A">
        <w:t>.</w:t>
      </w:r>
      <w:r w:rsidR="002B55EC">
        <w:t xml:space="preserve"> El acuerdo fue que en enero de 2014 el contrato escrito y la libreta de salarios serían obligatorias</w:t>
      </w:r>
      <w:r w:rsidR="00275A28">
        <w:t>,</w:t>
      </w:r>
      <w:r w:rsidR="002B55EC">
        <w:t xml:space="preserve"> pero en marzo de ese año el </w:t>
      </w:r>
      <w:r w:rsidR="00680C70">
        <w:t>Gobierno</w:t>
      </w:r>
      <w:r w:rsidR="002B55EC">
        <w:t xml:space="preserve"> todavía no había aprobado la regulación necesaria. Como se explicará en la Parte 3</w:t>
      </w:r>
      <w:r w:rsidR="00275A28">
        <w:t xml:space="preserve"> de la ponencia</w:t>
      </w:r>
      <w:r w:rsidR="002B55EC">
        <w:t xml:space="preserve">, el Ministerio de Trabajo aprobó una Resolución Ministerial sobre este tema en abril de 2014 pero su implementación ha sido muy limitada. </w:t>
      </w:r>
      <w:r w:rsidR="00605563">
        <w:t xml:space="preserve">Según Prima </w:t>
      </w:r>
      <w:proofErr w:type="spellStart"/>
      <w:r w:rsidR="00605563">
        <w:t>Ocsa</w:t>
      </w:r>
      <w:proofErr w:type="spellEnd"/>
      <w:r w:rsidR="00605563">
        <w:t>, en 2016 -dos años después de la aprobación de la Resolución Ministerial- solo el 5 por ciento de las trabajadoras del hogar bolivianas tenían un contrato escrito</w:t>
      </w:r>
      <w:r w:rsidR="00605563">
        <w:rPr>
          <w:rStyle w:val="FootnoteReference"/>
        </w:rPr>
        <w:footnoteReference w:id="4"/>
      </w:r>
      <w:r w:rsidR="00185D30">
        <w:t>.</w:t>
      </w:r>
    </w:p>
    <w:p w:rsidR="00185D30" w:rsidRPr="00605563" w:rsidRDefault="00185D30" w:rsidP="00605563"/>
    <w:p w:rsidR="00C107F4" w:rsidRDefault="00C107F4" w:rsidP="00C107F4">
      <w:pPr>
        <w:pStyle w:val="Heading2"/>
      </w:pPr>
      <w:bookmarkStart w:id="16" w:name="_Toc485765674"/>
      <w:r>
        <w:t>8. La inclusión de los derechos de las trabajadoras del hogar en la Ley General del Trabajo.</w:t>
      </w:r>
      <w:bookmarkEnd w:id="16"/>
    </w:p>
    <w:p w:rsidR="00275A28" w:rsidRDefault="00893910" w:rsidP="00893910">
      <w:pPr>
        <w:rPr>
          <w:szCs w:val="24"/>
        </w:rPr>
      </w:pPr>
      <w:r>
        <w:t xml:space="preserve">La aprobación de una ley específica que protegiese los derechos de las trabajadoras del </w:t>
      </w:r>
      <w:r w:rsidR="00275A28">
        <w:t>hogar fue la prioridad de la Fe</w:t>
      </w:r>
      <w:r>
        <w:t>n</w:t>
      </w:r>
      <w:r w:rsidR="00275A28">
        <w:t>a</w:t>
      </w:r>
      <w:r>
        <w:t>trahob desde su creación en 1993 hasta la aprobación de la Ley 2450 en 2003</w:t>
      </w:r>
      <w:r w:rsidR="00275A28">
        <w:t xml:space="preserve"> </w:t>
      </w:r>
      <w:r>
        <w:rPr>
          <w:szCs w:val="24"/>
          <w:lang w:val="en-GB"/>
        </w:rPr>
        <w:fldChar w:fldCharType="begin"/>
      </w:r>
      <w:r w:rsidRPr="00893910">
        <w:rPr>
          <w:szCs w:val="24"/>
        </w:rPr>
        <w:instrText xml:space="preserve"> ADDIN ZOTERO_ITEM CSL_CITATION {"citationID":"adp6rd64r","properties":{"formattedCitation":"{\\rtf (Cabezas Fern\\uc0\\u225{}ndez, 2012; Peredo Beltr\\uc0\\u225{}n, 2015)}","plainCitation":"(Cabezas Fernández, 2012; Peredo Beltrán, 2015)"},"citationItems":[{"id":91,"uris":["http://zotero.org/users/local/A608vxNk/items/9UEEM9ND"],"uri":["http://zotero.org/users/local/A608vxNk/items/9UEEM9ND"],"itemData":{"id":91,"type":"article-journal","title":"\"19 años de lucha por la ley, 11 en el parlamento\": las reivindicaciones de las trabajadoras asalariadas del hogar en Bolivia durante la etapa neoliberal","container-title":"Íconos: Revista de Ciencias Sociales","page":"85–100","issue":"44","source":"Google Scholar","shortTitle":" 19 años de lucha por la ley, 11 en el parlamento","author":[{"family":"Cabezas Fernández","given":"Marta"}],"issued":{"date-parts":[["2012"]]}}},{"id":1120,"uris":["http://zotero.org/users/local/A608vxNk/items/GIXN98P8"],"uri":["http://zotero.org/users/local/A608vxNk/items/GIXN98P8"],"itemData":{"id":1120,"type":"report","title":"Trabajadoras asalariadas del hogar en Bolivia: aprendizajes de una larga lucha","collection-title":"Cuaderno de trabajo Nº 21","publisher":"Red de Mujeres Transformando la Economía REMTE","publisher-place":"La Paz, Bolivia","event-place":"La Paz, Bolivia","URL":"http://www.remte-bolivia.org/attachments/article/139/21.pdf","author":[{"family":"Peredo Beltrán","given":"Elizabeth"}],"issued":{"date-parts":[["2015"]]},"accessed":{"date-parts":[["2017",9,3]]}}}],"schema":"https://github.com/citation-style-language/schema/raw/master/csl-citation.json"} </w:instrText>
      </w:r>
      <w:r>
        <w:rPr>
          <w:szCs w:val="24"/>
          <w:lang w:val="en-GB"/>
        </w:rPr>
        <w:fldChar w:fldCharType="separate"/>
      </w:r>
      <w:r w:rsidRPr="00893910">
        <w:rPr>
          <w:rFonts w:ascii="Calibri" w:hAnsi="Calibri" w:cs="Calibri"/>
          <w:szCs w:val="24"/>
        </w:rPr>
        <w:t>(Cabezas Fernández, 2012; Peredo Beltrán, 2015)</w:t>
      </w:r>
      <w:r>
        <w:rPr>
          <w:szCs w:val="24"/>
          <w:lang w:val="en-GB"/>
        </w:rPr>
        <w:fldChar w:fldCharType="end"/>
      </w:r>
      <w:r w:rsidRPr="00893910">
        <w:rPr>
          <w:szCs w:val="24"/>
        </w:rPr>
        <w:t xml:space="preserve">. </w:t>
      </w:r>
      <w:r>
        <w:rPr>
          <w:szCs w:val="24"/>
        </w:rPr>
        <w:t xml:space="preserve">A partir de 2010, la Federación formuló una nueva demanda de reforma legal: la inclusión de los derechos de las trabajadoras del hogar </w:t>
      </w:r>
      <w:r w:rsidR="00275A28">
        <w:rPr>
          <w:szCs w:val="24"/>
        </w:rPr>
        <w:t xml:space="preserve">en </w:t>
      </w:r>
      <w:r>
        <w:rPr>
          <w:szCs w:val="24"/>
        </w:rPr>
        <w:t xml:space="preserve">la Ley General del Trabajo (LGT), que establece el marco jurídico general de las relaciones laborales en Bolivia </w:t>
      </w:r>
      <w:r>
        <w:rPr>
          <w:szCs w:val="24"/>
          <w:lang w:val="en-GB"/>
        </w:rPr>
        <w:fldChar w:fldCharType="begin"/>
      </w:r>
      <w:r w:rsidRPr="00893910">
        <w:rPr>
          <w:szCs w:val="24"/>
        </w:rPr>
        <w:instrText xml:space="preserve"> ADDIN ZOTERO_ITEM CSL_CITATION {"citationID":"p7j92g9fj","properties":{"formattedCitation":"(Wanderley, 2014)","plainCitation":"(Wanderley, 2014)"},"citationItems":[{"id":844,"uris":["http://zotero.org/users/local/A608vxNk/items/42G2HP5B"],"uri":["http://zotero.org/users/local/A608vxNk/items/42G2HP5B"],"itemData":{"id":844,"type":"book","title":"El estado de situación del trabajo asalariado del hogar en Bolivia","publisher":"CIDES-UMSA","publisher-place":"La Paz, Bolivia","event-place":"La Paz, Bolivia","author":[{"family":"Wanderley","given":"Fernanda"}],"issued":{"date-parts":[["2014"]]}}}],"schema":"https://github.com/citation-style-language/schema/raw/master/csl-citation.json"} </w:instrText>
      </w:r>
      <w:r>
        <w:rPr>
          <w:szCs w:val="24"/>
          <w:lang w:val="en-GB"/>
        </w:rPr>
        <w:fldChar w:fldCharType="separate"/>
      </w:r>
      <w:r w:rsidRPr="00893910">
        <w:rPr>
          <w:rFonts w:cs="Calibri"/>
        </w:rPr>
        <w:t>(Wanderley, 2014)</w:t>
      </w:r>
      <w:r>
        <w:rPr>
          <w:szCs w:val="24"/>
          <w:lang w:val="en-GB"/>
        </w:rPr>
        <w:fldChar w:fldCharType="end"/>
      </w:r>
      <w:r w:rsidRPr="00893910">
        <w:rPr>
          <w:szCs w:val="24"/>
        </w:rPr>
        <w:t xml:space="preserve">. </w:t>
      </w:r>
      <w:r>
        <w:rPr>
          <w:szCs w:val="24"/>
        </w:rPr>
        <w:t>Esta demanda aparece por primera vez en el</w:t>
      </w:r>
      <w:r w:rsidRPr="00893910">
        <w:rPr>
          <w:szCs w:val="24"/>
        </w:rPr>
        <w:t xml:space="preserve"> </w:t>
      </w:r>
      <w:r>
        <w:rPr>
          <w:szCs w:val="24"/>
        </w:rPr>
        <w:t xml:space="preserve">boletín </w:t>
      </w:r>
      <w:r w:rsidRPr="00893910">
        <w:rPr>
          <w:i/>
          <w:szCs w:val="24"/>
        </w:rPr>
        <w:t>Equidad y Justicia</w:t>
      </w:r>
      <w:r>
        <w:rPr>
          <w:szCs w:val="24"/>
        </w:rPr>
        <w:t xml:space="preserve"> de julio de 2010 </w:t>
      </w:r>
      <w:r>
        <w:rPr>
          <w:szCs w:val="24"/>
        </w:rPr>
        <w:fldChar w:fldCharType="begin"/>
      </w:r>
      <w:r>
        <w:rPr>
          <w:szCs w:val="24"/>
        </w:rPr>
        <w:instrText xml:space="preserve"> ADDIN ZOTERO_ITEM CSL_CITATION {"citationID":"14l1nnp6ld","properties":{"formattedCitation":"(Fenatrahob, 2010b, p. 20)","plainCitation":"(Fenatrahob, 2010b, p. 20)"},"citationItems":[{"id":859,"uris":["http://zotero.org/users/local/A608vxNk/items/6PISGQS7"],"uri":["http://zotero.org/users/local/A608vxNk/items/6PISGQS7"],"itemData":{"id":859,"type":"article","title":"Boletín \"Equidad y Justicia\" julio 2010","author":[{"family":"Fenatrahob","given":""}],"issued":{"date-parts":[["2010"]]}},"locator":"20"}],"schema":"https://github.com/citation-style-language/schema/raw/master/csl-citation.json"} </w:instrText>
      </w:r>
      <w:r>
        <w:rPr>
          <w:szCs w:val="24"/>
        </w:rPr>
        <w:fldChar w:fldCharType="separate"/>
      </w:r>
      <w:r>
        <w:rPr>
          <w:rFonts w:ascii="Calibri" w:hAnsi="Calibri" w:cs="Calibri"/>
        </w:rPr>
        <w:t>(Fenatrahob, 2010b</w:t>
      </w:r>
      <w:r w:rsidRPr="00893910">
        <w:rPr>
          <w:rFonts w:ascii="Calibri" w:hAnsi="Calibri" w:cs="Calibri"/>
        </w:rPr>
        <w:t>)</w:t>
      </w:r>
      <w:r>
        <w:rPr>
          <w:szCs w:val="24"/>
        </w:rPr>
        <w:fldChar w:fldCharType="end"/>
      </w:r>
      <w:r>
        <w:rPr>
          <w:szCs w:val="24"/>
        </w:rPr>
        <w:t xml:space="preserve">. Boletines posteriores </w:t>
      </w:r>
      <w:r>
        <w:rPr>
          <w:szCs w:val="24"/>
          <w:lang w:val="en-GB"/>
        </w:rPr>
        <w:fldChar w:fldCharType="begin"/>
      </w:r>
      <w:r w:rsidR="00C06ED9">
        <w:rPr>
          <w:szCs w:val="24"/>
        </w:rPr>
        <w:instrText xml:space="preserve"> ADDIN ZOTERO_ITEM CSL_CITATION {"citationID":"ieofq8pcb","properties":{"formattedCitation":"(Fenatrahob, 2011b, 2010c)","plainCitation":"(Fenatrahob, 2011b, 2010c)"},"citationItems":[{"id":1154,"uris":["http://zotero.org/users/local/A608vxNk/items/S9STA6HZ"],"uri":["http://zotero.org/users/local/A608vxNk/items/S9STA6HZ"],"itemData":{"id":1154,"type":"article","title":"Boletín \"Equidad y Justicia\" marzo 2011","author":[{"family":"Fenatrahob","given":""}],"issued":{"date-parts":[["2011"]]}}},{"id":860,"uris":["http://zotero.org/users/local/A608vxNk/items/KEA48RK6"],"uri":["http://zotero.org/users/local/A608vxNk/items/KEA48RK6"],"itemData":{"id":860,"type":"article","title":"Boletín \"Equidad y Justicia\" diciembre 2010","author":[{"family":"Fenatrahob","given":""}],"issued":{"date-parts":[["2010"]]}}}],"schema":"https://github.com/citation-style-language/schema/raw/master/csl-citation.json"} </w:instrText>
      </w:r>
      <w:r>
        <w:rPr>
          <w:szCs w:val="24"/>
          <w:lang w:val="en-GB"/>
        </w:rPr>
        <w:fldChar w:fldCharType="separate"/>
      </w:r>
      <w:r w:rsidR="00C06ED9" w:rsidRPr="00C06ED9">
        <w:rPr>
          <w:rFonts w:ascii="Calibri" w:hAnsi="Calibri" w:cs="Calibri"/>
        </w:rPr>
        <w:t>(Fenatrahob, 2011b, 2010c)</w:t>
      </w:r>
      <w:r>
        <w:rPr>
          <w:szCs w:val="24"/>
          <w:lang w:val="en-GB"/>
        </w:rPr>
        <w:fldChar w:fldCharType="end"/>
      </w:r>
      <w:r w:rsidRPr="00893910">
        <w:rPr>
          <w:szCs w:val="24"/>
        </w:rPr>
        <w:t xml:space="preserve"> </w:t>
      </w:r>
      <w:r>
        <w:rPr>
          <w:szCs w:val="24"/>
        </w:rPr>
        <w:t xml:space="preserve">informaron de que la Fenatrahob había conseguido introducir los derechos de las trabajadoras del hogar en el borrador de nueva LGT (desde 2009 hay debates sobre una reforma general de la Ley, no solo en </w:t>
      </w:r>
      <w:r w:rsidR="00275A28">
        <w:rPr>
          <w:szCs w:val="24"/>
        </w:rPr>
        <w:t>relación al trabajo del hogar).</w:t>
      </w:r>
    </w:p>
    <w:p w:rsidR="00893910" w:rsidRDefault="00275A28" w:rsidP="00893910">
      <w:pPr>
        <w:rPr>
          <w:szCs w:val="24"/>
        </w:rPr>
      </w:pPr>
      <w:r>
        <w:rPr>
          <w:szCs w:val="24"/>
        </w:rPr>
        <w:lastRenderedPageBreak/>
        <w:t xml:space="preserve">En la entrevista que mantuve con el </w:t>
      </w:r>
      <w:r w:rsidR="00893910">
        <w:rPr>
          <w:szCs w:val="24"/>
        </w:rPr>
        <w:t>ex senador del MAS Adolfo Mendoza,</w:t>
      </w:r>
      <w:r>
        <w:rPr>
          <w:szCs w:val="24"/>
        </w:rPr>
        <w:t xml:space="preserve"> afirmó que</w:t>
      </w:r>
      <w:r w:rsidR="00893910">
        <w:rPr>
          <w:szCs w:val="24"/>
        </w:rPr>
        <w:t xml:space="preserve"> el </w:t>
      </w:r>
      <w:r w:rsidR="00680C70">
        <w:rPr>
          <w:szCs w:val="24"/>
        </w:rPr>
        <w:t>Gobierno</w:t>
      </w:r>
      <w:r w:rsidR="00893910">
        <w:rPr>
          <w:szCs w:val="24"/>
        </w:rPr>
        <w:t xml:space="preserve"> incluyó </w:t>
      </w:r>
      <w:r>
        <w:rPr>
          <w:szCs w:val="24"/>
        </w:rPr>
        <w:t xml:space="preserve">en el borrador de LGT </w:t>
      </w:r>
      <w:r w:rsidR="00893910">
        <w:rPr>
          <w:szCs w:val="24"/>
        </w:rPr>
        <w:t>tanto las demandas del movimiento de trabajadoras del hogar como contenidos derivados del Convenio 189 de la OIT, que tiene rango constitucional en el sistema jurídico boliviano</w:t>
      </w:r>
      <w:r w:rsidR="00893910">
        <w:rPr>
          <w:rStyle w:val="FootnoteReference"/>
          <w:szCs w:val="24"/>
        </w:rPr>
        <w:footnoteReference w:id="5"/>
      </w:r>
      <w:r w:rsidR="00893910">
        <w:rPr>
          <w:szCs w:val="24"/>
        </w:rPr>
        <w:t>.</w:t>
      </w:r>
      <w:r w:rsidR="00FE40DC">
        <w:rPr>
          <w:szCs w:val="24"/>
        </w:rPr>
        <w:t xml:space="preserve"> La postura de </w:t>
      </w:r>
      <w:proofErr w:type="spellStart"/>
      <w:r w:rsidR="00FE40DC">
        <w:rPr>
          <w:szCs w:val="24"/>
        </w:rPr>
        <w:t>Ocsa</w:t>
      </w:r>
      <w:proofErr w:type="spellEnd"/>
      <w:r w:rsidR="00FE40DC">
        <w:rPr>
          <w:szCs w:val="24"/>
        </w:rPr>
        <w:t xml:space="preserve"> es más prudente: la Secretaria de Relaciones de la Fenatrahob considera que no está claro todavía en qué medida se van a satisfacer las demandas de la Fenatrahob de incluir los derechos de las trabajadoras del hogar en la nueva LGT, ya que todavía no ha sido aprobada</w:t>
      </w:r>
      <w:r w:rsidR="00FE40DC">
        <w:rPr>
          <w:rStyle w:val="FootnoteReference"/>
          <w:szCs w:val="24"/>
        </w:rPr>
        <w:footnoteReference w:id="6"/>
      </w:r>
      <w:r w:rsidR="00FE40DC">
        <w:rPr>
          <w:szCs w:val="24"/>
        </w:rPr>
        <w:t>.</w:t>
      </w:r>
    </w:p>
    <w:p w:rsidR="00FE40DC" w:rsidRDefault="00FE40DC" w:rsidP="00893910"/>
    <w:p w:rsidR="00185D30" w:rsidRDefault="00185D30">
      <w:pPr>
        <w:spacing w:after="160" w:line="259" w:lineRule="auto"/>
        <w:jc w:val="left"/>
        <w:rPr>
          <w:rFonts w:asciiTheme="majorHAnsi" w:eastAsiaTheme="majorEastAsia" w:hAnsiTheme="majorHAnsi" w:cstheme="majorBidi"/>
          <w:color w:val="2E74B5" w:themeColor="accent1" w:themeShade="BF"/>
          <w:sz w:val="32"/>
          <w:szCs w:val="32"/>
        </w:rPr>
      </w:pPr>
      <w:r>
        <w:br w:type="page"/>
      </w:r>
    </w:p>
    <w:p w:rsidR="00C107F4" w:rsidRDefault="00C107F4" w:rsidP="00C107F4">
      <w:pPr>
        <w:pStyle w:val="Heading1"/>
      </w:pPr>
      <w:bookmarkStart w:id="17" w:name="_Toc485765675"/>
      <w:r>
        <w:lastRenderedPageBreak/>
        <w:t xml:space="preserve">Parte 3. Las políticas promovidas por el </w:t>
      </w:r>
      <w:r w:rsidR="00680C70">
        <w:t>Gobierno</w:t>
      </w:r>
      <w:r>
        <w:t xml:space="preserve"> boliviano en materia de derechos de las trabajadoras del hogar (2006-2016)</w:t>
      </w:r>
      <w:bookmarkEnd w:id="17"/>
    </w:p>
    <w:p w:rsidR="00C107F4" w:rsidRDefault="00EF1DD3" w:rsidP="00EF1DD3">
      <w:r>
        <w:t xml:space="preserve">El </w:t>
      </w:r>
      <w:r w:rsidR="00680C70">
        <w:t>Gobierno</w:t>
      </w:r>
      <w:r>
        <w:t xml:space="preserve"> de Evo Morales y el MAS promovió o aprobó entre 2006 y 2016 varias reformas legales o regulaciones con el objetivo de mejorar las condiciones laborales y de vida de las trabajadoras del hogar y proteger sus derechos. Las políticas estudiadas en esta parte de la </w:t>
      </w:r>
      <w:r w:rsidR="00FB6228">
        <w:t>ponencia</w:t>
      </w:r>
      <w:r>
        <w:t xml:space="preserve"> son</w:t>
      </w:r>
      <w:r w:rsidR="003B2554">
        <w:t xml:space="preserve"> consideradas como</w:t>
      </w:r>
      <w:r>
        <w:t xml:space="preserve"> impactos de la acción del movimiento de trabajadoras del hogar, que se dividen en dos grupos: </w:t>
      </w:r>
      <w:r w:rsidRPr="003B2554">
        <w:rPr>
          <w:i/>
        </w:rPr>
        <w:t>impactos sensibilizadores</w:t>
      </w:r>
      <w:r>
        <w:t xml:space="preserve"> e </w:t>
      </w:r>
      <w:r w:rsidRPr="003B2554">
        <w:rPr>
          <w:i/>
        </w:rPr>
        <w:t>impactos sustantivos</w:t>
      </w:r>
      <w:r>
        <w:t xml:space="preserve">. Esta clasificación binaria está inspirado en el trabajo de </w:t>
      </w:r>
      <w:proofErr w:type="spellStart"/>
      <w:r>
        <w:t>Kitschelt</w:t>
      </w:r>
      <w:proofErr w:type="spellEnd"/>
      <w:r>
        <w:t xml:space="preserve"> </w:t>
      </w:r>
      <w:r w:rsidRPr="00BC3326">
        <w:rPr>
          <w:lang w:val="en-US"/>
        </w:rPr>
        <w:fldChar w:fldCharType="begin"/>
      </w:r>
      <w:r w:rsidRPr="00EF1DD3">
        <w:instrText xml:space="preserve"> ADDIN ZOTERO_ITEM CSL_CITATION {"citationID":"aqgDOy2q","properties":{"formattedCitation":"(Kitschelt, 1986)","plainCitation":"(Kitschelt, 1986)"},"citationItems":[{"id":317,"uris":["http://zotero.org/users/local/A608vxNk/items/I8USVI44"],"uri":["http://zotero.org/users/local/A608vxNk/items/I8USVI44"],"itemData":{"id":317,"type":"article-journal","title":"Political opportunity structures and political protest: Anti-nuclear movements in four democracies","container-title":"British journal of political science","page":"57–85","volume":"16","issue":"01","source":"Google Scholar","shortTitle":"Political opportunity structures and political protest","author":[{"family":"Kitschelt","given":"Herbert P."}],"issued":{"date-parts":[["1986"]]}}}],"schema":"https://github.com/citation-style-language/schema/raw/master/csl-citation.json"} </w:instrText>
      </w:r>
      <w:r w:rsidRPr="00BC3326">
        <w:rPr>
          <w:lang w:val="en-US"/>
        </w:rPr>
        <w:fldChar w:fldCharType="separate"/>
      </w:r>
      <w:r w:rsidRPr="00EF1DD3">
        <w:rPr>
          <w:rFonts w:ascii="Calibri" w:hAnsi="Calibri" w:cs="Calibri"/>
        </w:rPr>
        <w:t>(1986)</w:t>
      </w:r>
      <w:r w:rsidRPr="00BC3326">
        <w:rPr>
          <w:lang w:val="en-US"/>
        </w:rPr>
        <w:fldChar w:fldCharType="end"/>
      </w:r>
      <w:r w:rsidRPr="00EF1DD3">
        <w:t xml:space="preserve"> </w:t>
      </w:r>
      <w:r>
        <w:t xml:space="preserve">y </w:t>
      </w:r>
      <w:proofErr w:type="spellStart"/>
      <w:r>
        <w:t>Kriesi</w:t>
      </w:r>
      <w:proofErr w:type="spellEnd"/>
      <w:r>
        <w:t xml:space="preserve"> et al. </w:t>
      </w:r>
      <w:r w:rsidRPr="00BC3326">
        <w:rPr>
          <w:lang w:val="en-US"/>
        </w:rPr>
        <w:fldChar w:fldCharType="begin"/>
      </w:r>
      <w:r w:rsidRPr="000009F0">
        <w:instrText xml:space="preserve"> ADDIN ZOTERO_ITEM CSL_CITATION {"citationID":"Y9vA3dZ0","properties":{"formattedCitation":"(Kriesi et al., 1995)","plainCitation":"(Kriesi et al., 1995)"},"citationItems":[{"id":409,"uris":["http://zotero.org/users/local/A608vxNk/items/6TM22NDX"],"uri":["http://zotero.org/users/local/A608vxNk/items/6TM22NDX"],"itemData":{"id":409,"type":"book","title":"New Social Movements In Western Europe: A Comparative Analysis","publisher":"Routledge","number-of-pages":"455","source":"Google Books","abstract":"First published in 1996. Routledge is an imprint of Taylor &amp; Francis, an informa company.","ISBN":"978-1-136-99659-7","shortTitle":"New Social Movements In Western Europe","language":"en","author":[{"family":"Kriesi","given":"Hanspeter"},{"family":"Koopmans","given":"Ruud"},{"family":"Duyvendak","given":"Jan Willem"},{"family":"Giugni","given":"Marco G."}],"issued":{"date-parts":[["1995"]]}}}],"schema":"https://github.com/citation-style-language/schema/raw/master/csl-citation.json"} </w:instrText>
      </w:r>
      <w:r w:rsidRPr="00BC3326">
        <w:rPr>
          <w:lang w:val="en-US"/>
        </w:rPr>
        <w:fldChar w:fldCharType="separate"/>
      </w:r>
      <w:r w:rsidRPr="00EF1DD3">
        <w:rPr>
          <w:rFonts w:ascii="Calibri" w:hAnsi="Calibri" w:cs="Calibri"/>
        </w:rPr>
        <w:t>(1995)</w:t>
      </w:r>
      <w:r w:rsidRPr="00BC3326">
        <w:rPr>
          <w:lang w:val="en-US"/>
        </w:rPr>
        <w:fldChar w:fldCharType="end"/>
      </w:r>
      <w:r w:rsidRPr="00EF1DD3">
        <w:t xml:space="preserve"> </w:t>
      </w:r>
      <w:r>
        <w:t xml:space="preserve">sobre las tipologías de los impactos de los movimientos sociales. En la tipología propuesta en mi investigación, se consideran </w:t>
      </w:r>
      <w:r w:rsidRPr="003B2554">
        <w:rPr>
          <w:i/>
        </w:rPr>
        <w:t>impactos sensibilizadores</w:t>
      </w:r>
      <w:r w:rsidR="00BB535D">
        <w:t xml:space="preserve"> </w:t>
      </w:r>
      <w:r>
        <w:t>las políticas cuyo principal objetivo es mejorar la imagen social de l</w:t>
      </w:r>
      <w:r w:rsidR="003B2554">
        <w:t xml:space="preserve">as trabajadoras de hogar. Por lo tanto, son políticas con un carácter predominantemente simbólico. Por el contrario, los </w:t>
      </w:r>
      <w:r w:rsidR="003B2554" w:rsidRPr="003B2554">
        <w:rPr>
          <w:i/>
        </w:rPr>
        <w:t>impactos sustantivos</w:t>
      </w:r>
      <w:r w:rsidR="003B2554">
        <w:t xml:space="preserve"> son políticas cuyo principal objetivo es satisfacer las demandas materiales del movimiento social de trabajadoras del hogar, especialmente en relación a sus derechos sociales. Los rasgos simbólicos y materiales se entremezclan en todas las políticas</w:t>
      </w:r>
      <w:r w:rsidR="00BB535D">
        <w:t xml:space="preserve"> públicas</w:t>
      </w:r>
      <w:r w:rsidR="003B2554">
        <w:t>, pero el análisis ha demostrado que en cada política predomina una de las dos dimensiones</w:t>
      </w:r>
      <w:r w:rsidR="00BB535D">
        <w:t>, lo que justifica la clasificación adoptada</w:t>
      </w:r>
      <w:r w:rsidR="003B2554">
        <w:t>.</w:t>
      </w:r>
    </w:p>
    <w:p w:rsidR="003B2554" w:rsidRDefault="003B2554" w:rsidP="00EF1DD3">
      <w:r>
        <w:t xml:space="preserve">Esta parte de la </w:t>
      </w:r>
      <w:r w:rsidR="00FB6228">
        <w:t>ponencia</w:t>
      </w:r>
      <w:r>
        <w:t xml:space="preserve"> se divide en siete secciones. En las seis </w:t>
      </w:r>
      <w:r w:rsidR="007F68DB">
        <w:t>primeras</w:t>
      </w:r>
      <w:r>
        <w:t xml:space="preserve"> se </w:t>
      </w:r>
      <w:r w:rsidR="007F68DB">
        <w:t>identifican y explican</w:t>
      </w:r>
      <w:r>
        <w:t xml:space="preserve"> las principales políticas impulsadas o aprobadas por el </w:t>
      </w:r>
      <w:r w:rsidR="00680C70">
        <w:t>Gobierno</w:t>
      </w:r>
      <w:r>
        <w:t xml:space="preserve"> boliviano, mientras que en la Sección 7 se evalúa en qué medida las políticas identificadas satisficieron las demandas expresadas por la Fenatrahob</w:t>
      </w:r>
      <w:r w:rsidR="007F68DB">
        <w:t xml:space="preserve"> (Objetivo de Investigación 2)</w:t>
      </w:r>
      <w:r>
        <w:t>.</w:t>
      </w:r>
    </w:p>
    <w:p w:rsidR="00185D30" w:rsidRDefault="00185D30" w:rsidP="00EF1DD3"/>
    <w:p w:rsidR="003B2554" w:rsidRDefault="00924E77" w:rsidP="00924E77">
      <w:pPr>
        <w:pStyle w:val="Heading2"/>
      </w:pPr>
      <w:bookmarkStart w:id="18" w:name="_Toc485765676"/>
      <w:r>
        <w:t xml:space="preserve">1. </w:t>
      </w:r>
      <w:r w:rsidR="003B2554">
        <w:t>La Constitución de 2009</w:t>
      </w:r>
      <w:bookmarkEnd w:id="18"/>
    </w:p>
    <w:p w:rsidR="00924E77" w:rsidRDefault="00924E77" w:rsidP="00924E77">
      <w:r>
        <w:t>La nueva Constitución Política del Estado fue aprobada en 2009 por la Asamblea Constituyente, en la que el MAS era mayoritario. Dos artículos de la nueva norma fundamental son particularmente importantes para las trabajadoras del hogar: el artículo 14, que establece el principio de no discriminación, y el artículo 338, que reconoce la importancia económica del trabajo del hogar.</w:t>
      </w:r>
    </w:p>
    <w:p w:rsidR="00BB535D" w:rsidRDefault="00924E77" w:rsidP="00924E77">
      <w:r>
        <w:t>El artículo 14 no se refiere solo a las trabajadoras del hogar y no se puede considerar como un impacto de su movimiento social, pero se ha incluido en el análisis por su especial relevancia para estas trabajadoras, ya que prohíbe explícitamente las formas de discriminación que este colectivo sufre de forma más frecuente: la discriminación basada en el sexo, color de piel, cultura, idioma, condición social económic</w:t>
      </w:r>
      <w:r w:rsidR="00BB535D">
        <w:t>a, profesión y educación.</w:t>
      </w:r>
    </w:p>
    <w:p w:rsidR="00924E77" w:rsidRDefault="00924E77" w:rsidP="00924E77">
      <w:r>
        <w:t>Por otro lado, el artículo 338 de la Constitución establece lo siguiente:</w:t>
      </w:r>
    </w:p>
    <w:p w:rsidR="00924E77" w:rsidRPr="00924E77" w:rsidRDefault="00924E77" w:rsidP="00924E77">
      <w:pPr>
        <w:ind w:left="567" w:right="567"/>
        <w:rPr>
          <w:i/>
        </w:rPr>
      </w:pPr>
      <w:r w:rsidRPr="00924E77">
        <w:rPr>
          <w:i/>
        </w:rPr>
        <w:t>“El Estado reconoce el valor económico del trabajo del hogar como una fuente de riqueza y deberá cuantificarse en las cuentas públicas”.</w:t>
      </w:r>
    </w:p>
    <w:p w:rsidR="00924E77" w:rsidRDefault="00924E77" w:rsidP="00924E77">
      <w:r>
        <w:lastRenderedPageBreak/>
        <w:t xml:space="preserve">Prima </w:t>
      </w:r>
      <w:proofErr w:type="spellStart"/>
      <w:r>
        <w:t>Ocsa</w:t>
      </w:r>
      <w:proofErr w:type="spellEnd"/>
      <w:r>
        <w:t xml:space="preserve"> afirmó en la entrevista que mantuve con ella que la inclusión de esta previsión en la Carta Magna fue una consecuencia de la participación de representantes de la Fenatrahob en el debate constitucional</w:t>
      </w:r>
      <w:r>
        <w:rPr>
          <w:rStyle w:val="FootnoteReference"/>
        </w:rPr>
        <w:footnoteReference w:id="7"/>
      </w:r>
      <w:r>
        <w:t xml:space="preserve">. Además, la Federación reclamó la implementación del artículo 338 “lo antes posible” en su boletín de agosto de 2009 </w:t>
      </w:r>
      <w:r>
        <w:rPr>
          <w:lang w:val="en-GB"/>
        </w:rPr>
        <w:fldChar w:fldCharType="begin"/>
      </w:r>
      <w:r w:rsidRPr="00924E77">
        <w:instrText xml:space="preserve"> ADDIN ZOTERO_ITEM CSL_CITATION {"citationID":"3qrk71nb","properties":{"formattedCitation":"(Fenatrahob, 2009c)","plainCitation":"(Fenatrahob, 2009c)"},"citationItems":[{"id":1153,"uris":["http://zotero.org/users/local/A608vxNk/items/B4FN9J4E"],"uri":["http://zotero.org/users/local/A608vxNk/items/B4FN9J4E"],"itemData":{"id":1153,"type":"article","title":"Boletín \"Equidad y Justicia\" agosto 2009","author":[{"family":"Fenatrahob","given":""}],"issued":{"date-parts":[["2009"]]}}}],"schema":"https://github.com/citation-style-language/schema/raw/master/csl-citation.json"} </w:instrText>
      </w:r>
      <w:r>
        <w:rPr>
          <w:lang w:val="en-GB"/>
        </w:rPr>
        <w:fldChar w:fldCharType="separate"/>
      </w:r>
      <w:r w:rsidRPr="00924E77">
        <w:rPr>
          <w:rFonts w:ascii="Calibri" w:hAnsi="Calibri" w:cs="Calibri"/>
        </w:rPr>
        <w:t>(Fenatrahob, 2009c)</w:t>
      </w:r>
      <w:r>
        <w:rPr>
          <w:lang w:val="en-GB"/>
        </w:rPr>
        <w:fldChar w:fldCharType="end"/>
      </w:r>
      <w:r w:rsidR="00BB535D">
        <w:t>, lo que confirma que este reconocimiento era una demanda del movimiento.</w:t>
      </w:r>
      <w:r>
        <w:t xml:space="preserve"> Como ha señalado Peredo Beltrán </w:t>
      </w:r>
      <w:r>
        <w:rPr>
          <w:szCs w:val="24"/>
          <w:lang w:val="en-GB"/>
        </w:rPr>
        <w:fldChar w:fldCharType="begin"/>
      </w:r>
      <w:r w:rsidRPr="00924E77">
        <w:rPr>
          <w:szCs w:val="24"/>
        </w:rPr>
        <w:instrText xml:space="preserve"> ADDIN ZOTERO_ITEM CSL_CITATION {"citationID":"fe1pe2k96","properties":{"formattedCitation":"{\\rtf (Peredo Beltr\\uc0\\u225{}n, 2015, p. 15)}","plainCitation":"(Peredo Beltrán, 2015, p. 15)"},"citationItems":[{"id":1120,"uris":["http://zotero.org/users/local/A608vxNk/items/GIXN98P8"],"uri":["http://zotero.org/users/local/A608vxNk/items/GIXN98P8"],"itemData":{"id":1120,"type":"report","title":"Trabajadoras asalariadas del hogar en Bolivia: aprendizajes de una larga lucha","collection-title":"Cuaderno de trabajo Nº 21","publisher":"Red de Mujeres Transformando la Economía REMTE","publisher-place":"La Paz, Bolivia","event-place":"La Paz, Bolivia","URL":"http://www.remte-bolivia.org/attachments/article/139/21.pdf","author":[{"family":"Peredo Beltrán","given":"Elizabeth"}],"issued":{"date-parts":[["2015"]]},"accessed":{"date-parts":[["2017",9,3]]}},"locator":"15"}],"schema":"https://github.com/citation-style-language/schema/raw/master/csl-citation.json"} </w:instrText>
      </w:r>
      <w:r>
        <w:rPr>
          <w:szCs w:val="24"/>
          <w:lang w:val="en-GB"/>
        </w:rPr>
        <w:fldChar w:fldCharType="separate"/>
      </w:r>
      <w:r w:rsidRPr="00924E77">
        <w:rPr>
          <w:rFonts w:ascii="Calibri" w:hAnsi="Calibri" w:cs="Calibri"/>
          <w:szCs w:val="24"/>
        </w:rPr>
        <w:t>(2015, p. 15)</w:t>
      </w:r>
      <w:r>
        <w:rPr>
          <w:szCs w:val="24"/>
          <w:lang w:val="en-GB"/>
        </w:rPr>
        <w:fldChar w:fldCharType="end"/>
      </w:r>
      <w:r>
        <w:t xml:space="preserve">, </w:t>
      </w:r>
      <w:r w:rsidR="00BB535D">
        <w:t>el artículo 338</w:t>
      </w:r>
      <w:r>
        <w:t xml:space="preserve"> contradice el argumento de que el trabajo del hogar no es productivo, que se esgrime para negarle a las trabajadoras del hogar los mismos derechos que al resto de la fuerza laboral. El reconocimiento constitucional del valor económico del trabajo de hogar constituye un impacto simbólico de movimiento de trabajadoras del hogar, aunque no se </w:t>
      </w:r>
      <w:r w:rsidR="00BB535D">
        <w:t>ha cumplido el mandato constitucional de cuantificación en las cuentas públicas</w:t>
      </w:r>
      <w:r>
        <w:rPr>
          <w:rStyle w:val="FootnoteReference"/>
        </w:rPr>
        <w:footnoteReference w:id="8"/>
      </w:r>
      <w:r>
        <w:t>.</w:t>
      </w:r>
    </w:p>
    <w:p w:rsidR="00185D30" w:rsidRPr="00924E77" w:rsidRDefault="00185D30" w:rsidP="00924E77"/>
    <w:p w:rsidR="003B2554" w:rsidRDefault="00924E77" w:rsidP="00924E77">
      <w:pPr>
        <w:pStyle w:val="Heading2"/>
      </w:pPr>
      <w:bookmarkStart w:id="19" w:name="_Toc485765677"/>
      <w:r>
        <w:t xml:space="preserve">2. </w:t>
      </w:r>
      <w:r w:rsidR="003B2554">
        <w:t>El reconocimiento del Día Nacional de las Trabajadoras del Hogar</w:t>
      </w:r>
      <w:bookmarkEnd w:id="19"/>
    </w:p>
    <w:p w:rsidR="00924E77" w:rsidRDefault="00924E77" w:rsidP="00924E77">
      <w:r>
        <w:t xml:space="preserve">El 30 de marzo de 1988, organizaciones de trabajadoras del hogar de once países de América Latina </w:t>
      </w:r>
      <w:r w:rsidR="00BB535D">
        <w:t>fundaron</w:t>
      </w:r>
      <w:r>
        <w:t xml:space="preserve"> la Confederación Latinoamericana y Caribeña de Trabajadoras del Hogar (CONLACTRAHO). Desde entonces, el 30 de marzo es un día de movilización y reafirmación de su identidad para las trabajadoras del hogar bolivianas. El día fue oficialmente reconocido en Bolivia por el Decreto Supremo 28655/2006, promulgado por el presidente Evo Morales el 26 de marzo de 2006.</w:t>
      </w:r>
      <w:r w:rsidR="00FA42FC">
        <w:t xml:space="preserve"> El Decreto reconoce explícitamente que se trata de una respuesta a la demanda de las trabajadoras del hogar y establece que el 30 de marzo este sector tiene derecho a un día de descanso retribuido.</w:t>
      </w:r>
    </w:p>
    <w:p w:rsidR="00FA42FC" w:rsidRDefault="003F6248" w:rsidP="00924E77">
      <w:r>
        <w:t>En los años siguientes, l</w:t>
      </w:r>
      <w:r w:rsidR="00FA42FC">
        <w:t>a Fenatrahob demandó que una ley confirmase el reconocimiento oficial del Día de la Trabajadora del Hogar</w:t>
      </w:r>
      <w:r w:rsidR="00FA42FC">
        <w:rPr>
          <w:rStyle w:val="FootnoteReference"/>
        </w:rPr>
        <w:footnoteReference w:id="9"/>
      </w:r>
      <w:r w:rsidR="00FA42FC">
        <w:t>. El 25 de octubre de 2011 el Parlamento aprobó la Ley 181/2011, que confirmó lo establecido por el Decreto Supremo 28655/2006. El reconocimiento oficial del Día Nacional fue un impacto simbólico del movimiento, y</w:t>
      </w:r>
      <w:r w:rsidR="00BB535D">
        <w:t>a</w:t>
      </w:r>
      <w:r w:rsidR="00FA42FC">
        <w:t xml:space="preserve"> que constituyó un importante signo de reconocimiento público de la importancia del trabajo del hogar para la sociedad boliviana. Sin embargo, ambas normas también contienen un ligero elemento substantivo, ya que establecen un día extra de vacaciones para el sector.</w:t>
      </w:r>
    </w:p>
    <w:p w:rsidR="00FA42FC" w:rsidRPr="00924E77" w:rsidRDefault="00FA42FC" w:rsidP="00924E77"/>
    <w:p w:rsidR="003B2554" w:rsidRDefault="00FA42FC" w:rsidP="00924E77">
      <w:pPr>
        <w:pStyle w:val="Heading2"/>
      </w:pPr>
      <w:bookmarkStart w:id="20" w:name="_Toc485765678"/>
      <w:r>
        <w:t xml:space="preserve">3. </w:t>
      </w:r>
      <w:r w:rsidR="003B2554">
        <w:t>La ratificación del Convenio 189 de la OIT</w:t>
      </w:r>
      <w:bookmarkEnd w:id="20"/>
    </w:p>
    <w:p w:rsidR="00FA42FC" w:rsidRDefault="00AE79D2" w:rsidP="00FA42FC">
      <w:r>
        <w:t xml:space="preserve">El 20 de noviembre de 2012, el presidente Evo Morales sancionó la Ley 309/2012, a través de la cual el Estado boliviano ratificaba el Convenio 189 de la OIT. Este Convenio es el primer Tratado Internacional que reconoce explícitamente una serie de derechos básicos a los trabajadores y trabajadoras del hogar de todos los Estados que lo </w:t>
      </w:r>
      <w:r>
        <w:lastRenderedPageBreak/>
        <w:t xml:space="preserve">ratifiquen, </w:t>
      </w:r>
      <w:r w:rsidR="007B7436">
        <w:t xml:space="preserve">como la libertad de asociación y </w:t>
      </w:r>
      <w:r>
        <w:t>el der</w:t>
      </w:r>
      <w:r w:rsidR="007B7436">
        <w:t>echo a la negociación colectiva</w:t>
      </w:r>
      <w:r w:rsidR="00C06ED9">
        <w:t xml:space="preserve">. De forma general, </w:t>
      </w:r>
      <w:r w:rsidR="00F804F7">
        <w:t>el Convenio</w:t>
      </w:r>
      <w:r w:rsidR="00C06ED9">
        <w:t xml:space="preserve"> establece el deber de los Estados Partes de establecer medidas que tiendan hacia la igualdad jurídica entre los trabajadores domésticos y el resto de trabajadores, aunque no impone la igualdad total.</w:t>
      </w:r>
    </w:p>
    <w:p w:rsidR="007B7436" w:rsidRDefault="00F804F7" w:rsidP="00FA42FC">
      <w:r>
        <w:t xml:space="preserve">La ratificación del Convenio </w:t>
      </w:r>
      <w:r w:rsidR="00C06ED9">
        <w:t>por Bolivia fue definida por la Fenatrahob como “un importante apoyo a nuestras demandas”</w:t>
      </w:r>
      <w:r w:rsidR="00C06ED9" w:rsidRPr="00C06ED9">
        <w:t xml:space="preserve"> </w:t>
      </w:r>
      <w:r w:rsidR="00C06ED9">
        <w:rPr>
          <w:lang w:val="en-GB"/>
        </w:rPr>
        <w:fldChar w:fldCharType="begin"/>
      </w:r>
      <w:r w:rsidR="00C24BF1">
        <w:instrText xml:space="preserve"> ADDIN ZOTERO_ITEM CSL_CITATION {"citationID":"Pc7vUiVS","properties":{"formattedCitation":"(Fenatrahob, 2013)","plainCitation":"(Fenatrahob, 2013)"},"citationItems":[{"id":1226,"uris":["http://zotero.org/users/local/A608vxNk/items/J4JIXQZQ"],"uri":["http://zotero.org/users/local/A608vxNk/items/J4JIXQZQ"],"itemData":{"id":1226,"type":"article","title":"Boletín \"Equidad y Justicia\" marzo 2013","author":[{"family":"Fenatrahob","given":""}],"issued":{"date-parts":[["2013"]]}}}],"schema":"https://github.com/citation-style-language/schema/raw/master/csl-citation.json"} </w:instrText>
      </w:r>
      <w:r w:rsidR="00C06ED9">
        <w:rPr>
          <w:lang w:val="en-GB"/>
        </w:rPr>
        <w:fldChar w:fldCharType="separate"/>
      </w:r>
      <w:r w:rsidR="00C24BF1" w:rsidRPr="00C24BF1">
        <w:rPr>
          <w:rFonts w:ascii="Calibri" w:hAnsi="Calibri" w:cs="Calibri"/>
        </w:rPr>
        <w:t>(Fenatrahob, 2013)</w:t>
      </w:r>
      <w:r w:rsidR="00C06ED9">
        <w:rPr>
          <w:lang w:val="en-GB"/>
        </w:rPr>
        <w:fldChar w:fldCharType="end"/>
      </w:r>
      <w:r w:rsidR="007B7436">
        <w:t xml:space="preserve"> y varia</w:t>
      </w:r>
      <w:r w:rsidR="00C06ED9" w:rsidRPr="00C06ED9">
        <w:t xml:space="preserve">s </w:t>
      </w:r>
      <w:r w:rsidR="00C06ED9">
        <w:t>autoras y organizaciones</w:t>
      </w:r>
      <w:r w:rsidR="00C06ED9" w:rsidRPr="00C06ED9">
        <w:t xml:space="preserve"> han señalado que el activismo del movimiento boliviano de trabajadoras del hogar fue un factor clave en la ratificaci</w:t>
      </w:r>
      <w:r>
        <w:t>ón del Convenio</w:t>
      </w:r>
      <w:r w:rsidR="00C06ED9">
        <w:t xml:space="preserve"> </w:t>
      </w:r>
      <w:r w:rsidR="00C06ED9">
        <w:fldChar w:fldCharType="begin"/>
      </w:r>
      <w:r w:rsidR="00C06ED9">
        <w:instrText xml:space="preserve"> ADDIN ZOTERO_ITEM CSL_CITATION {"citationID":"18veruh3pq","properties":{"formattedCitation":"{\\rtf (Baptista Canedo, 2011; Cap\\uc0\\u237{}tulo Boliviano de Derechos Humanos, 2012; ILO, 2013; Peredo Beltr\\uc0\\u225{}n, 2015)}","plainCitation":"(Baptista Canedo, 2011; Capítulo Boliviano de Derechos Humanos, 2012; ILO, 2013; Peredo Beltrán, 2015)"},"citationItems":[{"id":817,"uris":["http://zotero.org/users/local/A608vxNk/items/ZV2CRP54"],"uri":["http://zotero.org/users/local/A608vxNk/items/ZV2CRP54"],"itemData":{"id":817,"type":"article","title":"Trabajo asalariado del hogar. Análisis Comparativo del Convenio de la OIT y el Marco Normativo Nacional","publisher":"Friedrich Ebert Stiftung/Plataforma por el Trabajo Digno","abstract":"Online communications network for domestic workers","URL":"http://idwfed.org/es/recursos/trabajo-asalariado-del-hogar-analisis-comparativo-del-convenio-de-la-oit-y-el-marco-normativo-nacional","language":"es","author":[{"family":"Baptista Canedo","given":"Rosario"}],"issued":{"date-parts":[["2011"]]},"accessed":{"date-parts":[["2016",10,6]]}}},{"id":1294,"uris":["http://zotero.org/users/local/A608vxNk/items/C9QGZKKZ"],"uri":["http://zotero.org/users/local/A608vxNk/items/C9QGZKKZ"],"itemData":{"id":1294,"type":"webpage","title":"Cámara de Diputados aprueba ley que ratifica Convenio 189 de la OIT de las trabajadoras delhogar","container-title":"CAPÍTULO BOLIVIANO DE DERECHOS HUMANOS, DEMOCRACIA Y DESARROLLO","abstract":"La Federación Nacional de Trabajadoras Asalariadas del Hogar de Bolivia (FENATRAHOB) y el Comité Impulsor para la aplicación de la Ley 2450 y la ratificación del Convenio 189 de la OIT, lograron que la Cámara de Diputados de la Asamblea Legislativa Plurinacional apruebe la Ley de Ratificación del Co[...]","URL":"http://www.derechoshumanosbolivia.org/noticia/NO20120827104518/","author":[{"family":"Capítulo Boliviano de Derechos Humanos","given":""}],"issued":{"date-parts":[["2012"]]},"accessed":{"date-parts":[["2017",6,1]]}}},{"id":1296,"uris":["http://zotero.org/users/local/A608vxNk/items/7BB8FFU7"],"uri":["http://zotero.org/users/local/A608vxNk/items/7BB8FFU7"],"itemData":{"id":1296,"type":"motion_picture","title":"Bolivia ratifica el Convenio 189 de la OIT sobre Trabajo Decente para los Trabajadores Domésticos","source":"YouTube","dimensions":"770 seconds","abstract":"Este documental relata el proceso de ratificación del Convenio 189 en Bolivia, encabezada por la Federación Nacional de Trabajadoras Asalariadas del Hogar de Bolivia y por su ente matriz la Central Obrera Boliviana, quienes realizaron una activa movilización en todo el país para promover la ratificación y promover el trabajo decente en el sector.  Incluye tambien entrevistas a las autoridades del Ministerio de Trabajo, Empleo y Previsión Social y al personal de la OIT, quienes señalan la importancia de este instrumento internacional para dignificar el trabajo asalariado del hogar.\n\nBolivia es el quinto Estado miembro de la OIT y el segundo Estado miembro de América Latina en haber ratificado este Convenio. El martes 20 de noviembre de 2012, en un acto público, la ley de ratificación del Convenio 189 fue promulgada  por el Presidente Evo Morales; y el 15 de abril de 2013, el Gobierno del Estado Plurinacional de Bolivia depositó ante la Oficina Internacional del Trabajo este instrumento de ratificación.\n\nPara más informaciones sobre la OIT y su labor sobre el trabajo doméstico, vea: http://www.ilo.org/global/topics/dome...","URL":"https://www.youtube.com/watch?time_continue=605&amp;v=k_HLNpJvuck","author":[{"literal":"ILO"}],"issued":{"date-parts":[["2013",4,23]]},"accessed":{"date-parts":[["2017",6,1]]}}},{"id":1120,"uris":["http://zotero.org/users/local/A608vxNk/items/GIXN98P8"],"uri":["http://zotero.org/users/local/A608vxNk/items/GIXN98P8"],"itemData":{"id":1120,"type":"report","title":"Trabajadoras asalariadas del hogar en Bolivia: aprendizajes de una larga lucha","collection-title":"Cuaderno de trabajo Nº 21","publisher":"Red de Mujeres Transformando la Economía REMTE","publisher-place":"La Paz, Bolivia","event-place":"La Paz, Bolivia","URL":"http://www.remte-bolivia.org/attachments/article/139/21.pdf","author":[{"family":"Peredo Beltrán","given":"Elizabeth"}],"issued":{"date-parts":[["2015"]]},"accessed":{"date-parts":[["2017",9,3]]}}}],"schema":"https://github.com/citation-style-language/schema/raw/master/csl-citation.json"} </w:instrText>
      </w:r>
      <w:r w:rsidR="00C06ED9">
        <w:fldChar w:fldCharType="separate"/>
      </w:r>
      <w:r w:rsidR="00C06ED9" w:rsidRPr="00C06ED9">
        <w:rPr>
          <w:rFonts w:ascii="Calibri" w:hAnsi="Calibri" w:cs="Calibri"/>
          <w:szCs w:val="24"/>
        </w:rPr>
        <w:t>(Baptista Canedo, 2011; Capítulo Boliviano de Derechos Humanos, 2012; ILO, 2013; Peredo Beltrán, 2015)</w:t>
      </w:r>
      <w:r w:rsidR="00C06ED9">
        <w:fldChar w:fldCharType="end"/>
      </w:r>
      <w:r w:rsidR="00C06ED9">
        <w:t xml:space="preserve"> Además, representantes de la Fenatrahob fueron invitadas por el </w:t>
      </w:r>
      <w:r w:rsidR="00680C70">
        <w:t>Gobierno</w:t>
      </w:r>
      <w:r w:rsidR="00C06ED9">
        <w:t xml:space="preserve"> a la</w:t>
      </w:r>
      <w:r>
        <w:t xml:space="preserve"> ceremonia de ratificación del Convenio</w:t>
      </w:r>
      <w:r w:rsidR="007B7436">
        <w:t>.</w:t>
      </w:r>
    </w:p>
    <w:p w:rsidR="00C06ED9" w:rsidRDefault="00C06ED9" w:rsidP="00FA42FC">
      <w:r>
        <w:t xml:space="preserve">La ratificación puede considerarse al mismo tiempo como un impacto sustantivo y simbólico del movimiento. </w:t>
      </w:r>
      <w:r w:rsidR="00F804F7">
        <w:t>El Convenio</w:t>
      </w:r>
      <w:r>
        <w:t xml:space="preserve"> no creó ningún nuevo derecho para las trabajadoras del hogar bolivianas, ya que la Ley 2450/2003 es más garantista, pero el </w:t>
      </w:r>
      <w:r w:rsidR="007B7436">
        <w:t>Convenio</w:t>
      </w:r>
      <w:r>
        <w:t xml:space="preserve"> reforzó la legitimidad de las demandas del movimiento, favoreció la aprobación de la Resolución Ministerial 218/2014 sobre el contrato escrito y la libreta salarial para las trabajadoras del hogar, y reforzó la posición de la Fenatrahob en negociaciones como la referida a la inclusión de los derechos de las trabajadoras del hogar en la futura Ley General del Trabajo.</w:t>
      </w:r>
    </w:p>
    <w:p w:rsidR="00185D30" w:rsidRPr="00C06ED9" w:rsidRDefault="00185D30" w:rsidP="00FA42FC"/>
    <w:p w:rsidR="003B2554" w:rsidRDefault="00C06ED9" w:rsidP="00924E77">
      <w:pPr>
        <w:pStyle w:val="Heading2"/>
      </w:pPr>
      <w:bookmarkStart w:id="21" w:name="_Toc485765679"/>
      <w:r>
        <w:t xml:space="preserve">4. </w:t>
      </w:r>
      <w:r w:rsidR="003B2554">
        <w:t>La Resolución Ministerial 218/14 sobre el contrato escrito y la libreta salarial</w:t>
      </w:r>
      <w:bookmarkEnd w:id="21"/>
    </w:p>
    <w:p w:rsidR="00FF4B70" w:rsidRPr="00FF4B70" w:rsidRDefault="00C06ED9" w:rsidP="00FF4B70">
      <w:pPr>
        <w:rPr>
          <w:rFonts w:cstheme="minorHAnsi"/>
          <w:szCs w:val="24"/>
        </w:rPr>
      </w:pPr>
      <w:r>
        <w:t xml:space="preserve">Como se </w:t>
      </w:r>
      <w:r w:rsidR="00FF4B70">
        <w:t xml:space="preserve">explicó en la segunda parte de la </w:t>
      </w:r>
      <w:r w:rsidR="00FB6228">
        <w:t>ponencia</w:t>
      </w:r>
      <w:r w:rsidR="00FF4B70">
        <w:t xml:space="preserve">, el Ministerio de Trabajo aprobó la </w:t>
      </w:r>
      <w:r w:rsidR="00FF4B70" w:rsidRPr="00FF4B70">
        <w:rPr>
          <w:szCs w:val="24"/>
        </w:rPr>
        <w:t xml:space="preserve">Resolución 218/2014 en abril de 2014, después de una negociación tripartita entre la Fenatrahob, la </w:t>
      </w:r>
      <w:r w:rsidR="00FF4B70" w:rsidRPr="00185D30">
        <w:rPr>
          <w:rFonts w:cstheme="minorHAnsi"/>
          <w:szCs w:val="24"/>
        </w:rPr>
        <w:t xml:space="preserve">Liga de Amas de Casa y el </w:t>
      </w:r>
      <w:r w:rsidR="00680C70" w:rsidRPr="00185D30">
        <w:rPr>
          <w:rFonts w:cstheme="minorHAnsi"/>
          <w:szCs w:val="24"/>
        </w:rPr>
        <w:t>Gobierno</w:t>
      </w:r>
      <w:r w:rsidR="00FF4B70" w:rsidRPr="00185D30">
        <w:rPr>
          <w:rFonts w:cstheme="minorHAnsi"/>
          <w:szCs w:val="24"/>
        </w:rPr>
        <w:t xml:space="preserve">. La Resolución fue presentada en un acto en el que participaron el Ministro de Trabajo, Daniel </w:t>
      </w:r>
      <w:proofErr w:type="spellStart"/>
      <w:r w:rsidR="00FF4B70" w:rsidRPr="00185D30">
        <w:rPr>
          <w:rFonts w:cstheme="minorHAnsi"/>
          <w:szCs w:val="24"/>
        </w:rPr>
        <w:t>Santalla</w:t>
      </w:r>
      <w:proofErr w:type="spellEnd"/>
      <w:r w:rsidR="00FF4B70" w:rsidRPr="00185D30">
        <w:rPr>
          <w:rFonts w:cstheme="minorHAnsi"/>
          <w:szCs w:val="24"/>
        </w:rPr>
        <w:t>, y representantes de al Fenatrahob. El texto de la norm</w:t>
      </w:r>
      <w:r w:rsidR="00F804F7" w:rsidRPr="00185D30">
        <w:rPr>
          <w:rFonts w:cstheme="minorHAnsi"/>
          <w:szCs w:val="24"/>
        </w:rPr>
        <w:t>a se refiere al artículo 7 del</w:t>
      </w:r>
      <w:r w:rsidR="00FF4B70" w:rsidRPr="00185D30">
        <w:rPr>
          <w:rFonts w:cstheme="minorHAnsi"/>
          <w:szCs w:val="24"/>
        </w:rPr>
        <w:t xml:space="preserve"> </w:t>
      </w:r>
      <w:r w:rsidR="00F804F7" w:rsidRPr="00185D30">
        <w:rPr>
          <w:rFonts w:cstheme="minorHAnsi"/>
          <w:szCs w:val="24"/>
        </w:rPr>
        <w:t>Convenio</w:t>
      </w:r>
      <w:r w:rsidR="00FF4B70" w:rsidRPr="00185D30">
        <w:rPr>
          <w:rFonts w:cstheme="minorHAnsi"/>
          <w:szCs w:val="24"/>
        </w:rPr>
        <w:t xml:space="preserve"> 189 de la OIT, que establece </w:t>
      </w:r>
      <w:r w:rsidR="00FF4B70" w:rsidRPr="00326AC7">
        <w:rPr>
          <w:rFonts w:cstheme="minorHAnsi"/>
          <w:szCs w:val="24"/>
        </w:rPr>
        <w:t>que “</w:t>
      </w:r>
      <w:r w:rsidR="00FF4B70" w:rsidRPr="00326AC7">
        <w:rPr>
          <w:rFonts w:cstheme="minorHAnsi"/>
          <w:iCs/>
          <w:szCs w:val="24"/>
        </w:rPr>
        <w:t>todo país miembro deberá adoptar medidas para asegurar que los trabajadores domésticos sean informados sobre sus condicion</w:t>
      </w:r>
      <w:r w:rsidR="003F6248">
        <w:rPr>
          <w:rFonts w:cstheme="minorHAnsi"/>
          <w:iCs/>
          <w:szCs w:val="24"/>
        </w:rPr>
        <w:t>es de empleo de forma adecuada, […] cuando sea posible</w:t>
      </w:r>
      <w:r w:rsidR="00FF4B70" w:rsidRPr="00326AC7">
        <w:rPr>
          <w:rFonts w:cstheme="minorHAnsi"/>
          <w:iCs/>
          <w:szCs w:val="24"/>
        </w:rPr>
        <w:t xml:space="preserve"> mediante contratos escritos”.</w:t>
      </w:r>
      <w:r w:rsidR="00FF4B70" w:rsidRPr="00185D30">
        <w:rPr>
          <w:rFonts w:cstheme="minorHAnsi"/>
          <w:szCs w:val="24"/>
        </w:rPr>
        <w:t xml:space="preserve"> La Resolución fue recibida por la Fenatrahob como un logro importante (Prima </w:t>
      </w:r>
      <w:proofErr w:type="spellStart"/>
      <w:r w:rsidR="00FF4B70" w:rsidRPr="00185D30">
        <w:rPr>
          <w:rFonts w:cstheme="minorHAnsi"/>
          <w:szCs w:val="24"/>
        </w:rPr>
        <w:t>Ocsa</w:t>
      </w:r>
      <w:proofErr w:type="spellEnd"/>
      <w:r w:rsidR="00FF4B70" w:rsidRPr="00185D30">
        <w:rPr>
          <w:rFonts w:cstheme="minorHAnsi"/>
          <w:szCs w:val="24"/>
        </w:rPr>
        <w:t xml:space="preserve"> definió su aprobación como “un éxito”</w:t>
      </w:r>
      <w:r w:rsidR="00326AC7" w:rsidRPr="00185D30">
        <w:rPr>
          <w:rStyle w:val="FootnoteReference"/>
          <w:rFonts w:cstheme="minorHAnsi"/>
          <w:szCs w:val="24"/>
        </w:rPr>
        <w:footnoteReference w:id="10"/>
      </w:r>
      <w:r w:rsidR="00FF4B70" w:rsidRPr="00185D30">
        <w:rPr>
          <w:rFonts w:cstheme="minorHAnsi"/>
          <w:szCs w:val="24"/>
        </w:rPr>
        <w:t xml:space="preserve">) pero su implementación ha sido deficiente: el propio </w:t>
      </w:r>
      <w:r w:rsidR="009D008E" w:rsidRPr="00FF4B70">
        <w:rPr>
          <w:rFonts w:cstheme="minorHAnsi"/>
          <w:szCs w:val="24"/>
        </w:rPr>
        <w:t>Ministerio</w:t>
      </w:r>
      <w:r w:rsidR="00FF4B70" w:rsidRPr="00FF4B70">
        <w:rPr>
          <w:rFonts w:cstheme="minorHAnsi"/>
          <w:szCs w:val="24"/>
        </w:rPr>
        <w:t xml:space="preserve"> de Trabajo reconoció durante los dos primeros años de vigencia de la norma solo se registraron 50 contratos </w:t>
      </w:r>
      <w:r w:rsidR="00FF4B70" w:rsidRPr="00FF4B70">
        <w:rPr>
          <w:rFonts w:cstheme="minorHAnsi"/>
          <w:szCs w:val="24"/>
          <w:lang w:val="en-GB"/>
        </w:rPr>
        <w:fldChar w:fldCharType="begin"/>
      </w:r>
      <w:r w:rsidR="00FF4B70" w:rsidRPr="00FF4B70">
        <w:rPr>
          <w:rFonts w:cstheme="minorHAnsi"/>
          <w:szCs w:val="24"/>
        </w:rPr>
        <w:instrText xml:space="preserve"> ADDIN ZOTERO_ITEM CSL_CITATION {"citationID":"152mgncc2g","properties":{"formattedCitation":"(Zapana S., 2016)","plainCitation":"(Zapana S., 2016)"},"citationItems":[{"id":1273,"uris":["http://zotero.org/users/local/A608vxNk/items/3AHM272Q"],"uri":["http://zotero.org/users/local/A608vxNk/items/3AHM272Q"],"itemData":{"id":1273,"type":"article-newspaper","title":"Por ley edil, asalariada del hogar pagará Bs 5 en los centros salud","abstract":"Tras 13 años de la aprobación de Ley 2450, que establece el seguro de salud\npara las trabajadoras del hogar del país, aún no hay reglamento para su aplicación.","URL":"http://www.paginasiete.bo/sociedad/2016/3/30/edil-asalariada-hogar-pagara-centros-salud-91498.html","author":[{"family":"Zapana S.","given":"Verónica"}],"issued":{"date-parts":[["2016"]]},"accessed":{"date-parts":[["2017",5,29]]}}}],"schema":"https://github.com/citation-style-language/schema/raw/master/csl-citation.json"} </w:instrText>
      </w:r>
      <w:r w:rsidR="00FF4B70" w:rsidRPr="00FF4B70">
        <w:rPr>
          <w:rFonts w:cstheme="minorHAnsi"/>
          <w:szCs w:val="24"/>
          <w:lang w:val="en-GB"/>
        </w:rPr>
        <w:fldChar w:fldCharType="separate"/>
      </w:r>
      <w:r w:rsidR="00FF4B70" w:rsidRPr="00FF4B70">
        <w:rPr>
          <w:rFonts w:cstheme="minorHAnsi"/>
          <w:szCs w:val="24"/>
        </w:rPr>
        <w:t>(Zapana S., 2016)</w:t>
      </w:r>
      <w:r w:rsidR="00FF4B70" w:rsidRPr="00FF4B70">
        <w:rPr>
          <w:rFonts w:cstheme="minorHAnsi"/>
          <w:szCs w:val="24"/>
          <w:lang w:val="en-GB"/>
        </w:rPr>
        <w:fldChar w:fldCharType="end"/>
      </w:r>
      <w:r w:rsidR="00FF4B70" w:rsidRPr="00FF4B70">
        <w:rPr>
          <w:rFonts w:cstheme="minorHAnsi"/>
          <w:szCs w:val="24"/>
        </w:rPr>
        <w:t>.</w:t>
      </w:r>
    </w:p>
    <w:p w:rsidR="00FF4B70" w:rsidRPr="00FF4B70" w:rsidRDefault="009D008E" w:rsidP="00FF4B70">
      <w:pPr>
        <w:rPr>
          <w:rFonts w:cstheme="minorHAnsi"/>
        </w:rPr>
      </w:pPr>
      <w:r>
        <w:rPr>
          <w:rFonts w:cstheme="minorHAnsi"/>
        </w:rPr>
        <w:t>A pesar de su limitada implementación, l</w:t>
      </w:r>
      <w:r w:rsidR="00FF4B70" w:rsidRPr="00FF4B70">
        <w:rPr>
          <w:rFonts w:cstheme="minorHAnsi"/>
        </w:rPr>
        <w:t xml:space="preserve">a </w:t>
      </w:r>
      <w:r>
        <w:rPr>
          <w:rFonts w:cstheme="minorHAnsi"/>
        </w:rPr>
        <w:t xml:space="preserve">Resolución 218/2014 es el ejemplo más claro de impacto sustantivo del movimiento de trabajadoras del hogar y constituye la mejora más tangible de la situación jurídica de las trabajadoras del hogar desde la llegada de Evo Morales al </w:t>
      </w:r>
      <w:r w:rsidR="00680C70">
        <w:rPr>
          <w:rFonts w:cstheme="minorHAnsi"/>
        </w:rPr>
        <w:t>Gobierno</w:t>
      </w:r>
      <w:r>
        <w:rPr>
          <w:rFonts w:cstheme="minorHAnsi"/>
        </w:rPr>
        <w:t xml:space="preserve"> en 2006.</w:t>
      </w:r>
    </w:p>
    <w:p w:rsidR="00FF4B70" w:rsidRPr="00FF4B70" w:rsidRDefault="00FF4B70" w:rsidP="00FF4B70">
      <w:pPr>
        <w:autoSpaceDE w:val="0"/>
        <w:autoSpaceDN w:val="0"/>
        <w:adjustRightInd w:val="0"/>
        <w:spacing w:after="0" w:line="240" w:lineRule="auto"/>
        <w:jc w:val="left"/>
      </w:pPr>
    </w:p>
    <w:p w:rsidR="003B2554" w:rsidRDefault="009D008E" w:rsidP="00924E77">
      <w:pPr>
        <w:pStyle w:val="Heading2"/>
      </w:pPr>
      <w:bookmarkStart w:id="22" w:name="_Toc485765680"/>
      <w:r>
        <w:t xml:space="preserve">5. </w:t>
      </w:r>
      <w:r w:rsidR="003B2554">
        <w:t>La inclusión de los derechos de las trabajadoras del hogar en la nueva Ley General del Trabajo</w:t>
      </w:r>
      <w:bookmarkEnd w:id="22"/>
    </w:p>
    <w:p w:rsidR="009D008E" w:rsidRDefault="009D008E" w:rsidP="009D008E">
      <w:r>
        <w:t>La reforma de la Ley General del Trabajo (LGT) está en la agenda política boliviana desde 2009, aunque en 2017 las discusiones seguían “congeladas”, en palabras de Adolfo Mendoza</w:t>
      </w:r>
      <w:r>
        <w:rPr>
          <w:rStyle w:val="FootnoteReference"/>
        </w:rPr>
        <w:footnoteReference w:id="11"/>
      </w:r>
      <w:r>
        <w:t xml:space="preserve">. Como se explicó en la Parte 2 de la </w:t>
      </w:r>
      <w:r w:rsidR="00FB6228">
        <w:t>ponencia</w:t>
      </w:r>
      <w:r>
        <w:t xml:space="preserve">, el </w:t>
      </w:r>
      <w:r w:rsidR="00680C70">
        <w:t>Gobierno</w:t>
      </w:r>
      <w:r>
        <w:t xml:space="preserve"> boliviano se ha comprometido a integrar los derechos de las trabajadoras del hogar en la futura ley, pero hasta que esta sea aprobada no se podrá saber cómo de completa es esta incorporación de derechos. Si el </w:t>
      </w:r>
      <w:r w:rsidR="00680C70">
        <w:t>Gobierno</w:t>
      </w:r>
      <w:r>
        <w:t xml:space="preserve"> cumple su promesa y el Parlamento valida la decisión, </w:t>
      </w:r>
      <w:r w:rsidR="00326AC7">
        <w:t>esta reforma legal constituirá</w:t>
      </w:r>
      <w:r>
        <w:t xml:space="preserve"> un impacto sustantivo de la acción del movimiento de trabajadoras del hogar, ya que mejorará la situación legal de este colectivo.</w:t>
      </w:r>
    </w:p>
    <w:p w:rsidR="00185D30" w:rsidRPr="009D008E" w:rsidRDefault="00185D30" w:rsidP="009D008E"/>
    <w:p w:rsidR="003B2554" w:rsidRDefault="009D008E" w:rsidP="00924E77">
      <w:pPr>
        <w:pStyle w:val="Heading2"/>
      </w:pPr>
      <w:bookmarkStart w:id="23" w:name="_Toc485765681"/>
      <w:r>
        <w:t xml:space="preserve">6. </w:t>
      </w:r>
      <w:r w:rsidR="003B2554">
        <w:t>La creación de un programa de educación secundaria para trabajadoras del hogar</w:t>
      </w:r>
      <w:bookmarkEnd w:id="23"/>
    </w:p>
    <w:p w:rsidR="009D008E" w:rsidRDefault="009D008E" w:rsidP="009D008E">
      <w:r>
        <w:t xml:space="preserve">En mayo de 2014, la Fenatrahob informó </w:t>
      </w:r>
      <w:r w:rsidR="00326AC7">
        <w:t xml:space="preserve">de que </w:t>
      </w:r>
      <w:r>
        <w:t xml:space="preserve">el </w:t>
      </w:r>
      <w:r w:rsidR="00680C70">
        <w:t>Gobierno</w:t>
      </w:r>
      <w:r>
        <w:t xml:space="preserve"> </w:t>
      </w:r>
      <w:r w:rsidR="00326AC7">
        <w:t>había creado</w:t>
      </w:r>
      <w:r>
        <w:t xml:space="preserve"> un programa específico de educación secundaria para trabajadoras del hogar, con el objetivo de permitirles asistir a clases a tiempo parcial </w:t>
      </w:r>
      <w:r>
        <w:fldChar w:fldCharType="begin"/>
      </w:r>
      <w:r w:rsidR="00FB6228">
        <w:instrText xml:space="preserve"> ADDIN ZOTERO_ITEM CSL_CITATION {"citationID":"212di7js7v","properties":{"formattedCitation":"(Fenatrahob, 2014e)","plainCitation":"(Fenatrahob, 2014e)"},"citationItems":[{"id":1229,"uris":["http://zotero.org/users/local/A608vxNk/items/TES64DRQ"],"uri":["http://zotero.org/users/local/A608vxNk/items/TES64DRQ"],"itemData":{"id":1229,"type":"article","title":"Boletín \"Equidad y Justicia\" mayo 2014","author":[{"family":"Fenatrahob","given":""}],"issued":{"date-parts":[["2014"]]}}}],"schema":"https://github.com/citation-style-language/schema/raw/master/csl-citation.json"} </w:instrText>
      </w:r>
      <w:r>
        <w:fldChar w:fldCharType="separate"/>
      </w:r>
      <w:r w:rsidR="00FB6228" w:rsidRPr="00FB6228">
        <w:rPr>
          <w:rFonts w:ascii="Calibri" w:hAnsi="Calibri" w:cs="Calibri"/>
        </w:rPr>
        <w:t>(Fenatrahob, 2014e)</w:t>
      </w:r>
      <w:r>
        <w:fldChar w:fldCharType="end"/>
      </w:r>
      <w:r w:rsidRPr="009D008E">
        <w:t>.</w:t>
      </w:r>
      <w:r w:rsidR="00326AC7">
        <w:t xml:space="preserve"> </w:t>
      </w:r>
      <w:r>
        <w:t xml:space="preserve">La Fenatrahob </w:t>
      </w:r>
      <w:r w:rsidR="00326AC7">
        <w:t xml:space="preserve">presentó </w:t>
      </w:r>
      <w:r>
        <w:t xml:space="preserve">el programa como el producto de su colaboración con el </w:t>
      </w:r>
      <w:r w:rsidR="00680C70">
        <w:t>Gobierno</w:t>
      </w:r>
      <w:r>
        <w:t xml:space="preserve"> </w:t>
      </w:r>
      <w:r>
        <w:rPr>
          <w:lang w:val="en-GB"/>
        </w:rPr>
        <w:fldChar w:fldCharType="begin"/>
      </w:r>
      <w:r w:rsidR="00FB6228">
        <w:instrText xml:space="preserve"> ADDIN ZOTERO_ITEM CSL_CITATION {"citationID":"1vcrceqd22","properties":{"formattedCitation":"(Fenatrahob, 2014e)","plainCitation":"(Fenatrahob, 2014e)"},"citationItems":[{"id":1229,"uris":["http://zotero.org/users/local/A608vxNk/items/TES64DRQ"],"uri":["http://zotero.org/users/local/A608vxNk/items/TES64DRQ"],"itemData":{"id":1229,"type":"article","title":"Boletín \"Equidad y Justicia\" mayo 2014","author":[{"family":"Fenatrahob","given":""}],"issued":{"date-parts":[["2014"]]}}}],"schema":"https://github.com/citation-style-language/schema/raw/master/csl-citation.json"} </w:instrText>
      </w:r>
      <w:r>
        <w:rPr>
          <w:lang w:val="en-GB"/>
        </w:rPr>
        <w:fldChar w:fldCharType="separate"/>
      </w:r>
      <w:r w:rsidR="00FB6228" w:rsidRPr="00FB6228">
        <w:rPr>
          <w:rFonts w:ascii="Calibri" w:hAnsi="Calibri" w:cs="Calibri"/>
        </w:rPr>
        <w:t>(Fenatrahob, 2014e)</w:t>
      </w:r>
      <w:r>
        <w:rPr>
          <w:lang w:val="en-GB"/>
        </w:rPr>
        <w:fldChar w:fldCharType="end"/>
      </w:r>
      <w:r w:rsidRPr="009D008E">
        <w:t xml:space="preserve"> </w:t>
      </w:r>
      <w:r>
        <w:t>y un comunicado oficial del Ministerio de Educación afirmó que el programa había sido creado “para atender la demanda de la Fenatrahob”</w:t>
      </w:r>
      <w:r w:rsidRPr="009D008E">
        <w:t xml:space="preserve"> </w:t>
      </w:r>
      <w:r>
        <w:rPr>
          <w:lang w:val="en-GB"/>
        </w:rPr>
        <w:fldChar w:fldCharType="begin"/>
      </w:r>
      <w:r w:rsidRPr="009D008E">
        <w:instrText xml:space="preserve"> ADDIN ZOTERO_ITEM CSL_CITATION {"citationID":"183e3oa2dp","properties":{"formattedCitation":"{\\rtf (Ministerio de Educaci\\uc0\\u243{}n, 2016)}","plainCitation":"(Ministerio de Educación, 2016)"},"citationItems":[{"id":1279,"uris":["http://zotero.org/users/local/A608vxNk/items/VTQQ8Q77"],"uri":["http://zotero.org/users/local/A608vxNk/items/VTQQ8Q77"],"itemData":{"id":1279,"type":"webpage","title":"14 trabajadoras asalariadas del hogar logran titularse como Bachilleres","URL":"http://www.minedu.gob.bo/index.php/documentos-del-viceministerio-de-educacion-regular/189-circulares-regular/1000-circular-bachiller-destacado","author":[{"family":"Ministerio de Educación","given":""}],"issued":{"date-parts":[["2016"]]},"accessed":{"date-parts":[["2017",5,30]]}}}],"schema":"https://github.com/citation-style-language/schema/raw/master/csl-citation.json"} </w:instrText>
      </w:r>
      <w:r>
        <w:rPr>
          <w:lang w:val="en-GB"/>
        </w:rPr>
        <w:fldChar w:fldCharType="separate"/>
      </w:r>
      <w:r w:rsidRPr="009D008E">
        <w:rPr>
          <w:rFonts w:ascii="Calibri" w:hAnsi="Calibri" w:cs="Calibri"/>
          <w:szCs w:val="24"/>
        </w:rPr>
        <w:t>(Ministerio de Educación, 2016)</w:t>
      </w:r>
      <w:r>
        <w:rPr>
          <w:lang w:val="en-GB"/>
        </w:rPr>
        <w:fldChar w:fldCharType="end"/>
      </w:r>
      <w:r>
        <w:t>. Por lo tanto, esta política puede considerarse como un impacto sustantivo del movimiento.</w:t>
      </w:r>
    </w:p>
    <w:p w:rsidR="009D008E" w:rsidRPr="009D008E" w:rsidRDefault="009D008E" w:rsidP="009D008E"/>
    <w:p w:rsidR="003B2554" w:rsidRDefault="009D008E" w:rsidP="00924E77">
      <w:pPr>
        <w:pStyle w:val="Heading2"/>
      </w:pPr>
      <w:bookmarkStart w:id="24" w:name="_Toc485765682"/>
      <w:r>
        <w:t xml:space="preserve">7. </w:t>
      </w:r>
      <w:r w:rsidR="003B2554">
        <w:t>Evaluación del grado de satisfacción de las demandas del movimiento</w:t>
      </w:r>
      <w:bookmarkEnd w:id="24"/>
    </w:p>
    <w:p w:rsidR="00FB6228" w:rsidRDefault="00FB6228" w:rsidP="00FB6228">
      <w:r>
        <w:t>En la segunda parte de la ponencia</w:t>
      </w:r>
      <w:r w:rsidR="00326AC7">
        <w:t>,</w:t>
      </w:r>
      <w:r>
        <w:t xml:space="preserve"> el análisis de los boletines </w:t>
      </w:r>
      <w:r w:rsidRPr="00FB6228">
        <w:rPr>
          <w:i/>
        </w:rPr>
        <w:t>Equidad y Justicia</w:t>
      </w:r>
      <w:r>
        <w:t xml:space="preserve"> y de la propuesta de política pública </w:t>
      </w:r>
      <w:r w:rsidRPr="00FB6228">
        <w:rPr>
          <w:i/>
        </w:rPr>
        <w:t xml:space="preserve">Descolonización y </w:t>
      </w:r>
      <w:proofErr w:type="spellStart"/>
      <w:r w:rsidRPr="00FB6228">
        <w:rPr>
          <w:i/>
        </w:rPr>
        <w:t>despatriarcalización</w:t>
      </w:r>
      <w:proofErr w:type="spellEnd"/>
      <w:r>
        <w:t xml:space="preserve"> </w:t>
      </w:r>
      <w:r>
        <w:fldChar w:fldCharType="begin"/>
      </w:r>
      <w:r>
        <w:instrText xml:space="preserve"> ADDIN ZOTERO_ITEM CSL_CITATION {"citationID":"1p7pa3vhcr","properties":{"formattedCitation":"(Fenatrahob, 2014a)","plainCitation":"(Fenatrahob, 2014a)"},"citationItems":[{"id":828,"uris":["http://zotero.org/users/local/A608vxNk/items/J4ZVIW7N"],"uri":["http://zotero.org/users/local/A608vxNk/items/J4ZVIW7N"],"itemData":{"id":828,"type":"article","title":"Descolonización y despatriarcalización desde la perspectiva de las trabajadoras de las trabajadoras asalariadas del hogar: una propuesta de política pública","publisher":"Fundación Friedrich Ebert","author":[{"family":"Fenatrahob","given":""}],"issued":{"date-parts":[["2014"]]}}}],"schema":"https://github.com/citation-style-language/schema/raw/master/csl-citation.json"} </w:instrText>
      </w:r>
      <w:r>
        <w:fldChar w:fldCharType="separate"/>
      </w:r>
      <w:r w:rsidRPr="00FB6228">
        <w:rPr>
          <w:rFonts w:ascii="Calibri" w:hAnsi="Calibri" w:cs="Calibri"/>
        </w:rPr>
        <w:t>(Fenatrahob, 2014a)</w:t>
      </w:r>
      <w:r>
        <w:fldChar w:fldCharType="end"/>
      </w:r>
      <w:r>
        <w:t xml:space="preserve"> </w:t>
      </w:r>
      <w:r w:rsidR="00326AC7">
        <w:t>permitió</w:t>
      </w:r>
      <w:r>
        <w:t xml:space="preserve"> identificar las principales demandas de políticas públicas del movimiento durante el periodo 2006-2016</w:t>
      </w:r>
      <w:r w:rsidR="00326AC7">
        <w:t xml:space="preserve"> (Objetivo de Investigación 1). En la Parte 3 </w:t>
      </w:r>
      <w:r>
        <w:t xml:space="preserve">he analizado las principales políticas del </w:t>
      </w:r>
      <w:r w:rsidR="00680C70">
        <w:t>Gobierno</w:t>
      </w:r>
      <w:r>
        <w:t xml:space="preserve"> sobre los derechos de las</w:t>
      </w:r>
      <w:r w:rsidR="00F804F7">
        <w:t xml:space="preserve"> trabajadoras del hogar, lo que permite </w:t>
      </w:r>
      <w:r>
        <w:t xml:space="preserve">evaluar </w:t>
      </w:r>
      <w:r w:rsidR="00326AC7">
        <w:t xml:space="preserve">en los siguientes párrafos </w:t>
      </w:r>
      <w:r>
        <w:t xml:space="preserve">en qué medida el </w:t>
      </w:r>
      <w:r w:rsidR="00680C70">
        <w:t>Gobierno</w:t>
      </w:r>
      <w:r>
        <w:t xml:space="preserve"> de Evo Morales y el MAS </w:t>
      </w:r>
      <w:r w:rsidR="00F804F7">
        <w:t>ha</w:t>
      </w:r>
      <w:r w:rsidR="00EE3F57">
        <w:t>n</w:t>
      </w:r>
      <w:r w:rsidR="00F804F7">
        <w:t xml:space="preserve"> satisfecho</w:t>
      </w:r>
      <w:r>
        <w:t xml:space="preserve"> las demandas expresadas por el movimiento de trabajadoras del hogar</w:t>
      </w:r>
      <w:r w:rsidR="00326AC7">
        <w:t xml:space="preserve"> (Objetivo de Investigación 2</w:t>
      </w:r>
      <w:r w:rsidR="007F68DB">
        <w:t>)</w:t>
      </w:r>
      <w:r>
        <w:t>.</w:t>
      </w:r>
    </w:p>
    <w:p w:rsidR="00FB6228" w:rsidRDefault="002B047F" w:rsidP="00FB6228">
      <w:r>
        <w:t>La primera conclusión del análisis es que el</w:t>
      </w:r>
      <w:r w:rsidR="00F804F7">
        <w:t xml:space="preserve"> </w:t>
      </w:r>
      <w:r w:rsidR="00680C70">
        <w:t>Gobierno</w:t>
      </w:r>
      <w:r w:rsidR="00F804F7">
        <w:t xml:space="preserve"> ha satisfecho dos demandas de normas específicas expresadas por la Fenatrahob (la ratificación del Convenio 189 de la OIT y la aprobación de la Resolución Ministerial sobre el contrato escrito y la libreta </w:t>
      </w:r>
      <w:r w:rsidR="00F804F7">
        <w:lastRenderedPageBreak/>
        <w:t>salarial) y parece tener la intención de satisfacer la tercera, que es la inclusión de los derechos de las trabajadoras del hogar en la futura Ley General del Trabajo.</w:t>
      </w:r>
      <w:r>
        <w:t xml:space="preserve"> </w:t>
      </w:r>
    </w:p>
    <w:p w:rsidR="00326AC7" w:rsidRDefault="002B047F" w:rsidP="00326AC7">
      <w:r>
        <w:t xml:space="preserve">En segundo lugar, el </w:t>
      </w:r>
      <w:r w:rsidR="00680C70">
        <w:t>Gobierno</w:t>
      </w:r>
      <w:r>
        <w:t xml:space="preserve"> ha promovido políticas destinadas a mejorar la imagen social</w:t>
      </w:r>
      <w:r w:rsidR="003F6248">
        <w:t xml:space="preserve"> de las trabajadoras del hogar. </w:t>
      </w:r>
      <w:r w:rsidR="00326AC7">
        <w:t>Estos impactos sensibilizadores del movimiento han sido el reconocimiento oficial del Día Nacional de las Trabajadoras del Hogar, la especificación de una larga lista de formas de discriminación en el artículo 14 de la Constitución, el reconocimiento constitucional del valor económico del trabajo del hogar, la ratificación del Convenio 189 de la OIT y (si finalmente tiene lugar) la introducción de los derechos de las trabajadoras del hogar en la futura Ley General del Trabajo.</w:t>
      </w:r>
    </w:p>
    <w:p w:rsidR="002B047F" w:rsidRPr="00FB6228" w:rsidRDefault="002B047F" w:rsidP="00FB6228">
      <w:r>
        <w:t xml:space="preserve">La tercera conclusión es que el </w:t>
      </w:r>
      <w:r w:rsidR="00680C70">
        <w:t>Gobierno</w:t>
      </w:r>
      <w:r>
        <w:t xml:space="preserve"> de Evo Morales ha satisfecho un número muy reducido de las demandas sustantivas del movimiento. Las únicas políticas importantes del </w:t>
      </w:r>
      <w:r w:rsidR="00680C70">
        <w:t>Gobierno</w:t>
      </w:r>
      <w:r>
        <w:t xml:space="preserve"> que pueden considerarse impactos sustantivos </w:t>
      </w:r>
      <w:r w:rsidR="00326AC7">
        <w:t xml:space="preserve">del movimiento </w:t>
      </w:r>
      <w:r>
        <w:t>son la Resolución Ministerial 218/2014 y la creación de un programa para promover el acceso de las trabajadoras del hogar a la educación secundaria. Además, el análisis documental y las entrevistas con activistas y responsables del MAS muestran que el nivel medio de implementación de la legislación sobre los derechos de las trabajadoras del hogar es extremadamente bajo.</w:t>
      </w:r>
    </w:p>
    <w:p w:rsidR="00185D30" w:rsidRDefault="00185D30">
      <w:pPr>
        <w:spacing w:after="160" w:line="259" w:lineRule="auto"/>
        <w:jc w:val="left"/>
        <w:rPr>
          <w:rFonts w:asciiTheme="majorHAnsi" w:eastAsiaTheme="majorEastAsia" w:hAnsiTheme="majorHAnsi" w:cstheme="majorBidi"/>
          <w:color w:val="2E74B5" w:themeColor="accent1" w:themeShade="BF"/>
          <w:sz w:val="32"/>
          <w:szCs w:val="32"/>
        </w:rPr>
      </w:pPr>
      <w:r>
        <w:br w:type="page"/>
      </w:r>
    </w:p>
    <w:p w:rsidR="00C107F4" w:rsidRDefault="00C107F4" w:rsidP="00C107F4">
      <w:pPr>
        <w:pStyle w:val="Heading1"/>
      </w:pPr>
      <w:bookmarkStart w:id="25" w:name="_Toc485765683"/>
      <w:r>
        <w:lastRenderedPageBreak/>
        <w:t>Parte 4. La institucionalización del movimiento de trabajadoras del hogar como factor explicativo de su impacto en las políticas públicas</w:t>
      </w:r>
      <w:bookmarkEnd w:id="25"/>
      <w:r>
        <w:t xml:space="preserve"> </w:t>
      </w:r>
    </w:p>
    <w:p w:rsidR="00EE3F57" w:rsidRDefault="00EE3F57" w:rsidP="00465B98">
      <w:r w:rsidRPr="00EE3F57">
        <w:t xml:space="preserve">Las Partes 2 y 3 de la ponencia se han dedicado a analizar las principales demandas de políticas públicas del movimiento de trabajadoras del hogar en el periodo 2006-2016 y en qué medida han sido satisfechas por el </w:t>
      </w:r>
      <w:r w:rsidR="00680C70">
        <w:t>Gobierno</w:t>
      </w:r>
      <w:r w:rsidRPr="00EE3F57">
        <w:t xml:space="preserve"> de Evo Morales y el MAS. En esta última parte se exploran las razones que explican los impactos del movimiento, centrándose en el concepto de ‘institucionalización del movimiento’ (relaciones entre el movimiento y el </w:t>
      </w:r>
      <w:r w:rsidR="00680C70">
        <w:t>Gobierno</w:t>
      </w:r>
      <w:r w:rsidR="000F2015">
        <w:t>)</w:t>
      </w:r>
      <w:r w:rsidRPr="00EE3F57">
        <w:t>. En la primera sección se estudia la institucionalización del movimiento y en la segunda se analiza la influencia de la institucionalización en los impactos del movimiento.</w:t>
      </w:r>
    </w:p>
    <w:p w:rsidR="00EE3F57" w:rsidRPr="00EE3F57" w:rsidRDefault="00EE3F57" w:rsidP="00465B98"/>
    <w:p w:rsidR="00C107F4" w:rsidRDefault="009951A8" w:rsidP="00EE3F57">
      <w:pPr>
        <w:pStyle w:val="Heading2"/>
      </w:pPr>
      <w:bookmarkStart w:id="26" w:name="_Toc485765684"/>
      <w:r>
        <w:t>1</w:t>
      </w:r>
      <w:r w:rsidR="00EE3F57">
        <w:t>. La institucionalización del movimiento boliviano de trabajadoras del hogar</w:t>
      </w:r>
      <w:bookmarkEnd w:id="26"/>
    </w:p>
    <w:p w:rsidR="00EE3F57" w:rsidRDefault="00EE3F57" w:rsidP="00EE3F57">
      <w:r>
        <w:t xml:space="preserve">Autores como Peredo Beltrán </w:t>
      </w:r>
      <w:r>
        <w:rPr>
          <w:lang w:val="en-GB"/>
        </w:rPr>
        <w:fldChar w:fldCharType="begin"/>
      </w:r>
      <w:r w:rsidRPr="00EE3F57">
        <w:instrText xml:space="preserve"> ADDIN ZOTERO_ITEM CSL_CITATION {"citationID":"28e4i7ldid","properties":{"formattedCitation":"{\\rtf (Peredo Beltr\\uc0\\u225{}n, 2015)}","plainCitation":"(Peredo Beltrán, 2015)"},"citationItems":[{"id":1120,"uris":["http://zotero.org/users/local/A608vxNk/items/GIXN98P8"],"uri":["http://zotero.org/users/local/A608vxNk/items/GIXN98P8"],"itemData":{"id":1120,"type":"report","title":"Trabajadoras asalariadas del hogar en Bolivia: aprendizajes de una larga lucha","collection-title":"Cuaderno de trabajo Nº 21","publisher":"Red de Mujeres Transformando la Economía REMTE","publisher-place":"La Paz, Bolivia","event-place":"La Paz, Bolivia","URL":"http://www.remte-bolivia.org/attachments/article/139/21.pdf","author":[{"family":"Peredo Beltrán","given":"Elizabeth"}],"issued":{"date-parts":[["2015"]]},"accessed":{"date-parts":[["2017",9,3]]}}}],"schema":"https://github.com/citation-style-language/schema/raw/master/csl-citation.json"} </w:instrText>
      </w:r>
      <w:r>
        <w:rPr>
          <w:lang w:val="en-GB"/>
        </w:rPr>
        <w:fldChar w:fldCharType="separate"/>
      </w:r>
      <w:r w:rsidRPr="00EE3F57">
        <w:rPr>
          <w:rFonts w:ascii="Calibri" w:hAnsi="Calibri" w:cs="Calibri"/>
          <w:szCs w:val="24"/>
        </w:rPr>
        <w:t>(2015)</w:t>
      </w:r>
      <w:r>
        <w:rPr>
          <w:lang w:val="en-GB"/>
        </w:rPr>
        <w:fldChar w:fldCharType="end"/>
      </w:r>
      <w:r>
        <w:t xml:space="preserve">, Cabezas Fernández </w:t>
      </w:r>
      <w:r>
        <w:rPr>
          <w:lang w:val="en-GB"/>
        </w:rPr>
        <w:fldChar w:fldCharType="begin"/>
      </w:r>
      <w:r w:rsidRPr="00EE3F57">
        <w:instrText xml:space="preserve"> ADDIN ZOTERO_ITEM CSL_CITATION {"citationID":"1o6ak1lvmd","properties":{"formattedCitation":"{\\rtf (Cabezas Fern\\uc0\\u225{}ndez, 2012)}","plainCitation":"(Cabezas Fernández, 2012)"},"citationItems":[{"id":91,"uris":["http://zotero.org/users/local/A608vxNk/items/9UEEM9ND"],"uri":["http://zotero.org/users/local/A608vxNk/items/9UEEM9ND"],"itemData":{"id":91,"type":"article-journal","title":"\"19 años de lucha por la ley, 11 en el parlamento\": las reivindicaciones de las trabajadoras asalariadas del hogar en Bolivia durante la etapa neoliberal","container-title":"Íconos: Revista de Ciencias Sociales","page":"85–100","issue":"44","source":"Google Scholar","shortTitle":" 19 años de lucha por la ley, 11 en el parlamento","author":[{"family":"Cabezas Fernández","given":"Marta"}],"issued":{"date-parts":[["2012"]]}}}],"schema":"https://github.com/citation-style-language/schema/raw/master/csl-citation.json"} </w:instrText>
      </w:r>
      <w:r>
        <w:rPr>
          <w:lang w:val="en-GB"/>
        </w:rPr>
        <w:fldChar w:fldCharType="separate"/>
      </w:r>
      <w:r w:rsidRPr="00EE3F57">
        <w:rPr>
          <w:rFonts w:ascii="Calibri" w:hAnsi="Calibri" w:cs="Calibri"/>
          <w:szCs w:val="24"/>
        </w:rPr>
        <w:t>(2012)</w:t>
      </w:r>
      <w:r>
        <w:rPr>
          <w:lang w:val="en-GB"/>
        </w:rPr>
        <w:fldChar w:fldCharType="end"/>
      </w:r>
      <w:r>
        <w:t xml:space="preserve"> y </w:t>
      </w:r>
      <w:proofErr w:type="spellStart"/>
      <w:r>
        <w:t>Blofield</w:t>
      </w:r>
      <w:proofErr w:type="spellEnd"/>
      <w:r>
        <w:t xml:space="preserve"> </w:t>
      </w:r>
      <w:r>
        <w:rPr>
          <w:lang w:val="en-GB"/>
        </w:rPr>
        <w:fldChar w:fldCharType="begin"/>
      </w:r>
      <w:r w:rsidRPr="00EE3F57">
        <w:instrText xml:space="preserve"> ADDIN ZOTERO_ITEM CSL_CITATION {"citationID":"24mr1imft0","properties":{"formattedCitation":"(Blofield, 2013, 2009)","plainCitation":"(Blofield, 2013, 2009)","dontUpdate":true},"citationItems":[{"id":716,"uris":["http://zotero.org/users/local/A608vxNk/items/RNUSE7Q5"],"uri":["http://zotero.org/users/local/A608vxNk/items/RNUSE7Q5"],"itemData":{"id":716,"type":"book","title":"Care, Work and Class: Domestic Workers' Struggle for Equal Rights in Latin America","publisher":"The Pennsylvania State University Press","author":[{"family":"Blofield","given":"Merike"}],"issued":{"date-parts":[["2013"]]}}},{"id":1019,"uris":["http://zotero.org/users/local/A608vxNk/items/D72IA72A"],"uri":["http://zotero.org/users/local/A608vxNk/items/D72IA72A"],"itemData":{"id":1019,"type":"article-journal","title":"Feudal enclaves and political reforms: Domestic workers in Latin America","container-title":"Latin American Research Review","page":"158-190","volume":"44","issue":"1","ISSN":"1542-4278","journalAbbreviation":"Latin American Research Review","author":[{"family":"Blofield","given":"Merike"}],"issued":{"date-parts":[["2009"]]}}}],"schema":"https://github.com/citation-style-language/schema/raw/master/csl-citation.json"} </w:instrText>
      </w:r>
      <w:r>
        <w:rPr>
          <w:lang w:val="en-GB"/>
        </w:rPr>
        <w:fldChar w:fldCharType="separate"/>
      </w:r>
      <w:r w:rsidRPr="00EE3F57">
        <w:rPr>
          <w:rFonts w:ascii="Calibri" w:hAnsi="Calibri" w:cs="Calibri"/>
        </w:rPr>
        <w:t>(2013, 2009)</w:t>
      </w:r>
      <w:r>
        <w:rPr>
          <w:lang w:val="en-GB"/>
        </w:rPr>
        <w:fldChar w:fldCharType="end"/>
      </w:r>
      <w:r w:rsidRPr="00EE3F57">
        <w:t xml:space="preserve"> </w:t>
      </w:r>
      <w:r>
        <w:t xml:space="preserve">se han referido a las relaciones entre el movimiento de trabajadoras del hogar y el </w:t>
      </w:r>
      <w:r w:rsidR="00680C70">
        <w:t>Gobierno</w:t>
      </w:r>
      <w:r>
        <w:t xml:space="preserve"> del MAS pero ninguna investigación se centra de forma específica en el grado y formas de institucionalización del movimiento. Esta sección pretende contribuir a </w:t>
      </w:r>
      <w:r w:rsidR="00C24BF1">
        <w:t xml:space="preserve">esta literatura a través del análisis de los boletines Equidad y Justicia, el documento </w:t>
      </w:r>
      <w:r w:rsidR="00C24BF1" w:rsidRPr="00C24BF1">
        <w:rPr>
          <w:i/>
        </w:rPr>
        <w:t xml:space="preserve">Descolonización y </w:t>
      </w:r>
      <w:proofErr w:type="spellStart"/>
      <w:r w:rsidR="00C24BF1" w:rsidRPr="00C24BF1">
        <w:rPr>
          <w:i/>
        </w:rPr>
        <w:t>despatriarcalización</w:t>
      </w:r>
      <w:proofErr w:type="spellEnd"/>
      <w:r w:rsidR="00C24BF1">
        <w:t xml:space="preserve"> </w:t>
      </w:r>
      <w:r w:rsidR="00C24BF1">
        <w:fldChar w:fldCharType="begin"/>
      </w:r>
      <w:r w:rsidR="00C24BF1">
        <w:instrText xml:space="preserve"> ADDIN ZOTERO_ITEM CSL_CITATION {"citationID":"1v4v26nnsp","properties":{"formattedCitation":"(Fenatrahob, 2014a)","plainCitation":"(Fenatrahob, 2014a)"},"citationItems":[{"id":828,"uris":["http://zotero.org/users/local/A608vxNk/items/J4ZVIW7N"],"uri":["http://zotero.org/users/local/A608vxNk/items/J4ZVIW7N"],"itemData":{"id":828,"type":"article","title":"Descolonización y despatriarcalización desde la perspectiva de las trabajadoras de las trabajadoras asalariadas del hogar: una propuesta de política pública","publisher":"Fundación Friedrich Ebert","author":[{"family":"Fenatrahob","given":""}],"issued":{"date-parts":[["2014"]]}}}],"schema":"https://github.com/citation-style-language/schema/raw/master/csl-citation.json"} </w:instrText>
      </w:r>
      <w:r w:rsidR="00C24BF1">
        <w:fldChar w:fldCharType="separate"/>
      </w:r>
      <w:r w:rsidR="00C24BF1" w:rsidRPr="00C24BF1">
        <w:rPr>
          <w:rFonts w:ascii="Calibri" w:hAnsi="Calibri" w:cs="Calibri"/>
        </w:rPr>
        <w:t>(Fenatrahob, 2014a)</w:t>
      </w:r>
      <w:r w:rsidR="00C24BF1">
        <w:fldChar w:fldCharType="end"/>
      </w:r>
      <w:r w:rsidR="00C24BF1">
        <w:t xml:space="preserve">, las entrevistas realizadas a actores clave del movimiento y el </w:t>
      </w:r>
      <w:r w:rsidR="00680C70">
        <w:t>Gobierno</w:t>
      </w:r>
      <w:r w:rsidR="00C24BF1">
        <w:t xml:space="preserve">, y fuentes secundarias. </w:t>
      </w:r>
    </w:p>
    <w:p w:rsidR="00685609" w:rsidRDefault="009951A8" w:rsidP="00685609">
      <w:pPr>
        <w:pStyle w:val="Heading3"/>
        <w:rPr>
          <w:rFonts w:cstheme="minorHAnsi"/>
        </w:rPr>
      </w:pPr>
      <w:bookmarkStart w:id="27" w:name="_Toc485765685"/>
      <w:r>
        <w:t>1</w:t>
      </w:r>
      <w:r w:rsidR="00185D30">
        <w:t>.1. ¿”</w:t>
      </w:r>
      <w:r w:rsidR="00685609">
        <w:t>Parte de la base social del nuevo Estado”…?</w:t>
      </w:r>
      <w:bookmarkEnd w:id="27"/>
    </w:p>
    <w:p w:rsidR="00FE4D3D" w:rsidRDefault="00C24BF1" w:rsidP="00EE3F57">
      <w:pPr>
        <w:rPr>
          <w:rFonts w:cstheme="minorHAnsi"/>
        </w:rPr>
      </w:pPr>
      <w:r>
        <w:rPr>
          <w:rFonts w:cstheme="minorHAnsi"/>
        </w:rPr>
        <w:t xml:space="preserve">Cuando le </w:t>
      </w:r>
      <w:r w:rsidR="00FE4D3D">
        <w:rPr>
          <w:rFonts w:cstheme="minorHAnsi"/>
        </w:rPr>
        <w:t>pregunté</w:t>
      </w:r>
      <w:r>
        <w:rPr>
          <w:rFonts w:cstheme="minorHAnsi"/>
        </w:rPr>
        <w:t xml:space="preserve"> al ex senador del MAS Adolfo Mendoza sobre la relación general entre el movimiento de trabajadoras del hogar y el </w:t>
      </w:r>
      <w:r w:rsidR="00680C70">
        <w:rPr>
          <w:rFonts w:cstheme="minorHAnsi"/>
        </w:rPr>
        <w:t>Gobierno</w:t>
      </w:r>
      <w:r>
        <w:rPr>
          <w:rFonts w:cstheme="minorHAnsi"/>
        </w:rPr>
        <w:t xml:space="preserve"> del MAS, me </w:t>
      </w:r>
      <w:r w:rsidR="00FE4D3D">
        <w:rPr>
          <w:rFonts w:cstheme="minorHAnsi"/>
        </w:rPr>
        <w:t xml:space="preserve">respondió en los siguientes </w:t>
      </w:r>
      <w:r w:rsidR="00FE4D3D" w:rsidRPr="00FE4D3D">
        <w:rPr>
          <w:rFonts w:cstheme="minorHAnsi"/>
        </w:rPr>
        <w:t>términos</w:t>
      </w:r>
      <w:r w:rsidR="00FE4D3D" w:rsidRPr="00FE4D3D">
        <w:rPr>
          <w:rStyle w:val="FootnoteReference"/>
          <w:rFonts w:cstheme="minorHAnsi"/>
        </w:rPr>
        <w:footnoteReference w:id="12"/>
      </w:r>
      <w:r w:rsidR="00FE4D3D" w:rsidRPr="00FE4D3D">
        <w:rPr>
          <w:rFonts w:cstheme="minorHAnsi"/>
        </w:rPr>
        <w:t>:</w:t>
      </w:r>
    </w:p>
    <w:p w:rsidR="00FE4D3D" w:rsidRPr="00FE4D3D" w:rsidRDefault="00FE4D3D" w:rsidP="00FE4D3D">
      <w:pPr>
        <w:ind w:left="567" w:right="567"/>
        <w:rPr>
          <w:rFonts w:cstheme="minorHAnsi"/>
          <w:i/>
        </w:rPr>
      </w:pPr>
      <w:r w:rsidRPr="00FE4D3D">
        <w:rPr>
          <w:rFonts w:cstheme="minorHAnsi"/>
          <w:i/>
        </w:rPr>
        <w:t xml:space="preserve">“Las trabajadoras del hogar </w:t>
      </w:r>
      <w:r w:rsidR="00C24BF1" w:rsidRPr="00FE4D3D">
        <w:rPr>
          <w:rFonts w:cstheme="minorHAnsi"/>
          <w:i/>
        </w:rPr>
        <w:t xml:space="preserve">son parte de la base social </w:t>
      </w:r>
      <w:r w:rsidRPr="00FE4D3D">
        <w:rPr>
          <w:rFonts w:cstheme="minorHAnsi"/>
          <w:i/>
        </w:rPr>
        <w:t>para la construcción del nuevo E</w:t>
      </w:r>
      <w:r w:rsidR="00C24BF1" w:rsidRPr="00FE4D3D">
        <w:rPr>
          <w:rFonts w:cstheme="minorHAnsi"/>
          <w:i/>
        </w:rPr>
        <w:t>stado”</w:t>
      </w:r>
      <w:r>
        <w:rPr>
          <w:rFonts w:cstheme="minorHAnsi"/>
          <w:i/>
        </w:rPr>
        <w:t>.</w:t>
      </w:r>
    </w:p>
    <w:p w:rsidR="00C24BF1" w:rsidRDefault="00FE4D3D" w:rsidP="00EE3F57">
      <w:pPr>
        <w:rPr>
          <w:rFonts w:cstheme="minorHAnsi"/>
        </w:rPr>
      </w:pPr>
      <w:r>
        <w:rPr>
          <w:rFonts w:cstheme="minorHAnsi"/>
        </w:rPr>
        <w:t>Esta frase sugiere una gran cercanía entre el movimiento de trabajadoras del hogar y el Gobierno del MAS, una visión</w:t>
      </w:r>
      <w:r w:rsidR="00C24BF1">
        <w:rPr>
          <w:rFonts w:cstheme="minorHAnsi"/>
        </w:rPr>
        <w:t xml:space="preserve"> que se ve corroborada por varios elementos. En 2003, la Fenatrahob se unió al Pacto de Unidad</w:t>
      </w:r>
      <w:r w:rsidR="00C24BF1">
        <w:rPr>
          <w:rStyle w:val="FootnoteReference"/>
          <w:rFonts w:cstheme="minorHAnsi"/>
        </w:rPr>
        <w:footnoteReference w:id="13"/>
      </w:r>
      <w:r w:rsidR="00C24BF1">
        <w:rPr>
          <w:rFonts w:cstheme="minorHAnsi"/>
        </w:rPr>
        <w:t>, la alianza establecida entre los principales movimien</w:t>
      </w:r>
      <w:r>
        <w:rPr>
          <w:rFonts w:cstheme="minorHAnsi"/>
        </w:rPr>
        <w:t xml:space="preserve">tos sociales del país y el MAS </w:t>
      </w:r>
      <w:r w:rsidR="00C24BF1">
        <w:rPr>
          <w:rFonts w:cstheme="minorHAnsi"/>
        </w:rPr>
        <w:t>durante el ciclo de movilizaciones anti-neoliberales que precedió a la primera victoria electoral nacional del MAS en 2005. Después, la organización de las trabajadoras del hogar bolivianas formó parte de la Coordinadora Nacional por el Cambio, una coalición de movimientos sociales creada para promover una nueva Constitución</w:t>
      </w:r>
      <w:r w:rsidR="00C24BF1">
        <w:rPr>
          <w:rStyle w:val="FootnoteReference"/>
          <w:rFonts w:cstheme="minorHAnsi"/>
        </w:rPr>
        <w:footnoteReference w:id="14"/>
      </w:r>
      <w:r w:rsidR="00C24BF1">
        <w:rPr>
          <w:rFonts w:cstheme="minorHAnsi"/>
        </w:rPr>
        <w:t>. Var</w:t>
      </w:r>
      <w:r w:rsidR="00685609">
        <w:rPr>
          <w:rFonts w:cstheme="minorHAnsi"/>
        </w:rPr>
        <w:t xml:space="preserve">ios boletines </w:t>
      </w:r>
      <w:r w:rsidR="00685609" w:rsidRPr="00685609">
        <w:rPr>
          <w:rFonts w:cstheme="minorHAnsi"/>
          <w:i/>
        </w:rPr>
        <w:t>Equidad y Justicia</w:t>
      </w:r>
      <w:r w:rsidR="00685609">
        <w:rPr>
          <w:rFonts w:cstheme="minorHAnsi"/>
        </w:rPr>
        <w:t xml:space="preserve"> muestran la atención dedicada por la Fenatrahob al debate constitucional que se produjo entre </w:t>
      </w:r>
      <w:r w:rsidR="00685609">
        <w:rPr>
          <w:rFonts w:cstheme="minorHAnsi"/>
        </w:rPr>
        <w:lastRenderedPageBreak/>
        <w:t xml:space="preserve">2006 y 2009 </w:t>
      </w:r>
      <w:r w:rsidR="00685609">
        <w:rPr>
          <w:rFonts w:cstheme="minorHAnsi"/>
        </w:rPr>
        <w:fldChar w:fldCharType="begin"/>
      </w:r>
      <w:r w:rsidR="00685609">
        <w:rPr>
          <w:rFonts w:cstheme="minorHAnsi"/>
        </w:rPr>
        <w:instrText xml:space="preserve"> ADDIN ZOTERO_ITEM CSL_CITATION {"citationID":"wheIhp6M","properties":{"formattedCitation":"(Fenatrahob, 2006a, 2006b, 2005a)","plainCitation":"(Fenatrahob, 2006a, 2006b, 2005a)"},"citationItems":[{"id":852,"uris":["http://zotero.org/users/local/A608vxNk/items/HEDPZNNB"],"uri":["http://zotero.org/users/local/A608vxNk/items/HEDPZNNB"],"itemData":{"id":852,"type":"article","title":"Boletín \"Equidad y Justicia\" marzo 2006","author":[{"family":"Fenatrahob","given":""}],"issued":{"date-parts":[["2006"]]}}},{"id":853,"uris":["http://zotero.org/users/local/A608vxNk/items/38E4MCHN"],"uri":["http://zotero.org/users/local/A608vxNk/items/38E4MCHN"],"itemData":{"id":853,"type":"article","title":"Boletín \"Equidad y Justicia\" septiembre 2006","author":[{"family":"Fenatrahob","given":""}],"issued":{"date-parts":[["2006"]]}}},{"id":851,"uris":["http://zotero.org/users/local/A608vxNk/items/HGC2VEMK"],"uri":["http://zotero.org/users/local/A608vxNk/items/HGC2VEMK"],"itemData":{"id":851,"type":"article","title":"Boletín \"Equidad y Justicia\" marzo 2005","author":[{"family":"Fenatrahob","given":""}],"issued":{"date-parts":[["2005"]]}}}],"schema":"https://github.com/citation-style-language/schema/raw/master/csl-citation.json"} </w:instrText>
      </w:r>
      <w:r w:rsidR="00685609">
        <w:rPr>
          <w:rFonts w:cstheme="minorHAnsi"/>
        </w:rPr>
        <w:fldChar w:fldCharType="separate"/>
      </w:r>
      <w:r w:rsidR="00685609" w:rsidRPr="00685609">
        <w:rPr>
          <w:rFonts w:ascii="Calibri" w:hAnsi="Calibri" w:cs="Calibri"/>
        </w:rPr>
        <w:t>(Fenatrahob, 2006a, 2006b, 2005a)</w:t>
      </w:r>
      <w:r w:rsidR="00685609">
        <w:rPr>
          <w:rFonts w:cstheme="minorHAnsi"/>
        </w:rPr>
        <w:fldChar w:fldCharType="end"/>
      </w:r>
      <w:r w:rsidR="00685609">
        <w:rPr>
          <w:rFonts w:cstheme="minorHAnsi"/>
        </w:rPr>
        <w:t xml:space="preserve">. La participación de las trabajadoras del hogar en dicho debate ha sido confirmada por Adolfo Mendoza y Prima </w:t>
      </w:r>
      <w:proofErr w:type="spellStart"/>
      <w:r w:rsidR="00685609">
        <w:rPr>
          <w:rFonts w:cstheme="minorHAnsi"/>
        </w:rPr>
        <w:t>Ocsa</w:t>
      </w:r>
      <w:proofErr w:type="spellEnd"/>
      <w:r w:rsidR="00685609">
        <w:rPr>
          <w:rStyle w:val="FootnoteReference"/>
          <w:rFonts w:cstheme="minorHAnsi"/>
        </w:rPr>
        <w:footnoteReference w:id="15"/>
      </w:r>
      <w:r w:rsidR="00685609">
        <w:rPr>
          <w:rFonts w:cstheme="minorHAnsi"/>
        </w:rPr>
        <w:t>.</w:t>
      </w:r>
    </w:p>
    <w:p w:rsidR="00685609" w:rsidRDefault="00685609" w:rsidP="00EE3F57">
      <w:pPr>
        <w:rPr>
          <w:rFonts w:cstheme="minorHAnsi"/>
        </w:rPr>
      </w:pPr>
      <w:r>
        <w:rPr>
          <w:rFonts w:cstheme="minorHAnsi"/>
        </w:rPr>
        <w:t xml:space="preserve">Por otro lado, en 2006 Casimira Rodríguez, ex Secretaria Ejecutiva de la Fenatrahob, fue nombrada Ministra de Justicia por el presidente Evo Morales, un gesto que incrementó la autoestima de las trabajadoras del hogar bolivianas y creó un ambiente favorable para las demandas del movimiento, según el boletín </w:t>
      </w:r>
      <w:r w:rsidRPr="00685609">
        <w:rPr>
          <w:rFonts w:cstheme="minorHAnsi"/>
          <w:i/>
        </w:rPr>
        <w:t>Equidad y Justicia</w:t>
      </w:r>
      <w:r>
        <w:rPr>
          <w:rFonts w:cstheme="minorHAnsi"/>
        </w:rPr>
        <w:t xml:space="preserve"> de diciembre de 2007 </w:t>
      </w:r>
      <w:r>
        <w:rPr>
          <w:rFonts w:cstheme="minorHAnsi"/>
        </w:rPr>
        <w:fldChar w:fldCharType="begin"/>
      </w:r>
      <w:r>
        <w:rPr>
          <w:rFonts w:cstheme="minorHAnsi"/>
        </w:rPr>
        <w:instrText xml:space="preserve"> ADDIN ZOTERO_ITEM CSL_CITATION {"citationID":"2mfodejnsa","properties":{"formattedCitation":"(Fenatrahob, 2007)","plainCitation":"(Fenatrahob, 2007)"},"citationItems":[{"id":855,"uris":["http://zotero.org/users/local/A608vxNk/items/XMCSNVPF"],"uri":["http://zotero.org/users/local/A608vxNk/items/XMCSNVPF"],"itemData":{"id":855,"type":"article","title":"Boletín \"Equidad y Justicia\" diciembre 2007","author":[{"family":"Fenatrahob","given":""}],"issued":{"date-parts":[["2007"]]}}}],"schema":"https://github.com/citation-style-language/schema/raw/master/csl-citation.json"} </w:instrText>
      </w:r>
      <w:r>
        <w:rPr>
          <w:rFonts w:cstheme="minorHAnsi"/>
        </w:rPr>
        <w:fldChar w:fldCharType="separate"/>
      </w:r>
      <w:r w:rsidRPr="00685609">
        <w:rPr>
          <w:rFonts w:ascii="Calibri" w:hAnsi="Calibri" w:cs="Calibri"/>
        </w:rPr>
        <w:t>(Fenatrahob, 2007)</w:t>
      </w:r>
      <w:r>
        <w:rPr>
          <w:rFonts w:cstheme="minorHAnsi"/>
        </w:rPr>
        <w:fldChar w:fldCharType="end"/>
      </w:r>
      <w:r>
        <w:rPr>
          <w:rFonts w:cstheme="minorHAnsi"/>
        </w:rPr>
        <w:t xml:space="preserve">. </w:t>
      </w:r>
    </w:p>
    <w:p w:rsidR="00685609" w:rsidRDefault="00FE4D3D" w:rsidP="00EE3F57">
      <w:pPr>
        <w:rPr>
          <w:szCs w:val="24"/>
        </w:rPr>
      </w:pPr>
      <w:r>
        <w:rPr>
          <w:rFonts w:cstheme="minorHAnsi"/>
        </w:rPr>
        <w:t>Además, entre 2010 y 2014</w:t>
      </w:r>
      <w:r w:rsidR="00685609">
        <w:rPr>
          <w:rFonts w:cstheme="minorHAnsi"/>
        </w:rPr>
        <w:t xml:space="preserve"> varios boletines </w:t>
      </w:r>
      <w:r>
        <w:rPr>
          <w:rFonts w:cstheme="minorHAnsi"/>
        </w:rPr>
        <w:t>de la</w:t>
      </w:r>
      <w:r w:rsidR="00685609">
        <w:rPr>
          <w:rFonts w:cstheme="minorHAnsi"/>
        </w:rPr>
        <w:t xml:space="preserve"> Fenatrahob se refirieron a la participación de la Federación en negociaciones con el </w:t>
      </w:r>
      <w:r w:rsidR="00680C70">
        <w:rPr>
          <w:rFonts w:cstheme="minorHAnsi"/>
        </w:rPr>
        <w:t>Gobierno</w:t>
      </w:r>
      <w:r w:rsidR="00685609">
        <w:rPr>
          <w:rFonts w:cstheme="minorHAnsi"/>
        </w:rPr>
        <w:t xml:space="preserve"> para mejorar la situación legal de las trabajadoras del hogar </w:t>
      </w:r>
      <w:r w:rsidR="00685609">
        <w:rPr>
          <w:szCs w:val="24"/>
          <w:lang w:val="en-GB"/>
        </w:rPr>
        <w:fldChar w:fldCharType="begin"/>
      </w:r>
      <w:r w:rsidR="00685609">
        <w:rPr>
          <w:szCs w:val="24"/>
        </w:rPr>
        <w:instrText xml:space="preserve"> ADDIN ZOTERO_ITEM CSL_CITATION {"citationID":"vC2cRmKu","properties":{"formattedCitation":"(Fenatrahob, 2014c, 2011b, 2010c, 2010c)","plainCitation":"(Fenatrahob, 2014c, 2011b, 2010c, 2010c)"},"citationItems":[{"id":1238,"uris":["http://zotero.org/users/local/A608vxNk/items/TN52CCAS"],"uri":["http://zotero.org/users/local/A608vxNk/items/TN52CCAS"],"itemData":{"id":1238,"type":"article","title":"Boletín \"Equidad y Justicia\" octubre 2014","author":[{"family":"Fenatrahob","given":""}],"issued":{"date-parts":[["2014"]]}}},{"id":1154,"uris":["http://zotero.org/users/local/A608vxNk/items/S9STA6HZ"],"uri":["http://zotero.org/users/local/A608vxNk/items/S9STA6HZ"],"itemData":{"id":1154,"type":"article","title":"Boletín \"Equidad y Justicia\" marzo 2011","author":[{"family":"Fenatrahob","given":""}],"issued":{"date-parts":[["2011"]]}}},{"id":860,"uris":["http://zotero.org/users/local/A608vxNk/items/KEA48RK6"],"uri":["http://zotero.org/users/local/A608vxNk/items/KEA48RK6"],"itemData":{"id":860,"type":"article","title":"Boletín \"Equidad y Justicia\" diciembre 2010","author":[{"family":"Fenatrahob","given":""}],"issued":{"date-parts":[["2010"]]}}},{"id":860,"uris":["http://zotero.org/users/local/A608vxNk/items/KEA48RK6"],"uri":["http://zotero.org/users/local/A608vxNk/items/KEA48RK6"],"itemData":{"id":860,"type":"article","title":"Boletín \"Equidad y Justicia\" diciembre 2010","author":[{"family":"Fenatrahob","given":""}],"issued":{"date-parts":[["2010"]]}}}],"schema":"https://github.com/citation-style-language/schema/raw/master/csl-citation.json"} </w:instrText>
      </w:r>
      <w:r w:rsidR="00685609">
        <w:rPr>
          <w:szCs w:val="24"/>
          <w:lang w:val="en-GB"/>
        </w:rPr>
        <w:fldChar w:fldCharType="separate"/>
      </w:r>
      <w:r w:rsidR="00685609" w:rsidRPr="00685609">
        <w:rPr>
          <w:rFonts w:ascii="Calibri" w:hAnsi="Calibri" w:cs="Calibri"/>
        </w:rPr>
        <w:t>(Fenatrahob, 2014c, 2011b, 2010c, 2010c)</w:t>
      </w:r>
      <w:r w:rsidR="00685609">
        <w:rPr>
          <w:szCs w:val="24"/>
          <w:lang w:val="en-GB"/>
        </w:rPr>
        <w:fldChar w:fldCharType="end"/>
      </w:r>
      <w:r w:rsidR="00685609" w:rsidRPr="00685609">
        <w:rPr>
          <w:szCs w:val="24"/>
        </w:rPr>
        <w:t>.</w:t>
      </w:r>
      <w:r w:rsidR="00685609">
        <w:rPr>
          <w:szCs w:val="24"/>
        </w:rPr>
        <w:t xml:space="preserve"> La colaboración entre la Federación y el </w:t>
      </w:r>
      <w:r w:rsidR="00680C70">
        <w:rPr>
          <w:szCs w:val="24"/>
        </w:rPr>
        <w:t>Gobierno</w:t>
      </w:r>
      <w:r w:rsidR="00685609">
        <w:rPr>
          <w:szCs w:val="24"/>
        </w:rPr>
        <w:t xml:space="preserve"> también fue subrayada por el Ministerio de Trabajo en varios comunicados publicados en su página web </w:t>
      </w:r>
      <w:r w:rsidR="00685609">
        <w:rPr>
          <w:szCs w:val="24"/>
        </w:rPr>
        <w:fldChar w:fldCharType="begin"/>
      </w:r>
      <w:r w:rsidR="00685609">
        <w:rPr>
          <w:szCs w:val="24"/>
        </w:rPr>
        <w:instrText xml:space="preserve"> ADDIN ZOTERO_ITEM CSL_CITATION {"citationID":"2nelnr8i26","properties":{"formattedCitation":"(Ministerio de Trabajo de Bolivia, 2015, 2014, 2013)","plainCitation":"(Ministerio de Trabajo de Bolivia, 2015, 2014, 2013)"},"citationItems":[{"id":838,"uris":["http://zotero.org/users/local/A608vxNk/items/PQ7U7P49"],"uri":["http://zotero.org/users/local/A608vxNk/items/PQ7U7P49"],"itemData":{"id":838,"type":"article","title":"Ministerio de Trabajo creó libreta salarial y contrato laboral","URL":"http://www.mintrabajo.gob.bo/PrincipalPublicaciones.asp?target=711","author":[{"family":"Ministerio de Trabajo de Bolivia","given":""}],"issued":{"date-parts":[["2015"]]}}},{"id":837,"uris":["http://zotero.org/users/local/A608vxNk/items/8UDIUNG4"],"uri":["http://zotero.org/users/local/A608vxNk/items/8UDIUNG4"],"itemData":{"id":837,"type":"article","title":"Ministerio de Trabajo participó en la feria de socialización de la Federación Nacional de Trabajadoras del Hogar Fenatrahob","URL":"http://www.mintrabajo.gob.bo/PrincipalPublicaciones.asp?target=621","author":[{"family":"Ministerio de Trabajo de Bolivia","given":""}],"issued":{"date-parts":[["2014"]]}}},{"id":835,"uris":["http://zotero.org/users/local/A608vxNk/items/NDXQZDKD"],"uri":["http://zotero.org/users/local/A608vxNk/items/NDXQZDKD"],"itemData":{"id":835,"type":"article","title":"Ministerio de Trabajo condecora 20 años de fundación de la Fenatrahob","URL":"http://www.mintrabajo.gob.bo/PrincipalPublicaciones.asp?target=390","author":[{"family":"Ministerio de Trabajo de Bolivia","given":""}],"issued":{"date-parts":[["2013"]]},"accessed":{"date-parts":[["2016",10,6]]}}}],"schema":"https://github.com/citation-style-language/schema/raw/master/csl-citation.json"} </w:instrText>
      </w:r>
      <w:r w:rsidR="00685609">
        <w:rPr>
          <w:szCs w:val="24"/>
        </w:rPr>
        <w:fldChar w:fldCharType="separate"/>
      </w:r>
      <w:r w:rsidR="00685609" w:rsidRPr="00685609">
        <w:rPr>
          <w:rFonts w:ascii="Calibri" w:hAnsi="Calibri" w:cs="Calibri"/>
        </w:rPr>
        <w:t>(Ministerio de Trabajo de Bolivia, 2015, 2014, 2013)</w:t>
      </w:r>
      <w:r w:rsidR="00685609">
        <w:rPr>
          <w:szCs w:val="24"/>
        </w:rPr>
        <w:fldChar w:fldCharType="end"/>
      </w:r>
      <w:r w:rsidR="00685609">
        <w:rPr>
          <w:szCs w:val="24"/>
        </w:rPr>
        <w:t>.</w:t>
      </w:r>
    </w:p>
    <w:p w:rsidR="00685609" w:rsidRDefault="00685609" w:rsidP="00EE3F57">
      <w:r>
        <w:rPr>
          <w:szCs w:val="24"/>
        </w:rPr>
        <w:t xml:space="preserve">Finalmente, </w:t>
      </w:r>
      <w:r w:rsidR="007C1749">
        <w:rPr>
          <w:szCs w:val="24"/>
        </w:rPr>
        <w:t>Adolfo Mendoza detalló en la entrevista que mantuve con él que varias activistas de la Fenatrahob ostentan cargos públicos en administraciones departamentales y locales -cuando me dijo esto, Mendoza precisó que “</w:t>
      </w:r>
      <w:r w:rsidR="007C1749">
        <w:t>no es cuoteo sino apertura para participar de niveles de decisión”</w:t>
      </w:r>
      <w:r w:rsidR="00FE4D3D">
        <w:rPr>
          <w:rStyle w:val="FootnoteReference"/>
        </w:rPr>
        <w:footnoteReference w:id="16"/>
      </w:r>
      <w:r w:rsidR="007C1749">
        <w:t>.</w:t>
      </w:r>
    </w:p>
    <w:p w:rsidR="007C1749" w:rsidRPr="00685609" w:rsidRDefault="007C1749" w:rsidP="00EE3F57">
      <w:pPr>
        <w:rPr>
          <w:rFonts w:cstheme="minorHAnsi"/>
        </w:rPr>
      </w:pPr>
      <w:r>
        <w:t xml:space="preserve">Según este primer análisis, la relación entre la Fenatrahob y el </w:t>
      </w:r>
      <w:r w:rsidR="00680C70">
        <w:t>Gobierno</w:t>
      </w:r>
      <w:r>
        <w:t xml:space="preserve"> podría corresponder a la noción de </w:t>
      </w:r>
      <w:proofErr w:type="spellStart"/>
      <w:r>
        <w:t>Hangan</w:t>
      </w:r>
      <w:proofErr w:type="spellEnd"/>
      <w:r>
        <w:t xml:space="preserve"> </w:t>
      </w:r>
      <w:r>
        <w:fldChar w:fldCharType="begin"/>
      </w:r>
      <w:r>
        <w:instrText xml:space="preserve"> ADDIN ZOTERO_ITEM CSL_CITATION {"citationID":"1gun8a7hit","properties":{"formattedCitation":"(Hangan, 1998)","plainCitation":"(Hangan, 1998)"},"citationItems":[{"id":373,"uris":["http://zotero.org/users/local/A608vxNk/items/ZT9M2XDP"],"uri":["http://zotero.org/users/local/A608vxNk/items/ZT9M2XDP"],"itemData":{"id":373,"type":"chapter","title":"Social Movements. Incorporation, Disengagement, and Opportunities –A Long View","container-title":"From Contention to Democracy","publisher":"Rowman and Littlefield Publishers","publisher-place":"Lanham-Boulder-New York-Oxford (USA)","page":"3-30","event-place":"Lanham-Boulder-New York-Oxford (USA)","author":[{"family":"Hangan","given":"Michael"}],"editor":[{"family":"Giugni","given":"Marco G."},{"family":"McAdam","given":"Doug"},{"family":"Tilly","given":"Charles"}],"issued":{"date-parts":[["1998"]]}}}],"schema":"https://github.com/citation-style-language/schema/raw/master/csl-citation.json"} </w:instrText>
      </w:r>
      <w:r>
        <w:fldChar w:fldCharType="separate"/>
      </w:r>
      <w:r w:rsidRPr="007C1749">
        <w:rPr>
          <w:rFonts w:ascii="Calibri" w:hAnsi="Calibri" w:cs="Calibri"/>
        </w:rPr>
        <w:t>(1998)</w:t>
      </w:r>
      <w:r>
        <w:fldChar w:fldCharType="end"/>
      </w:r>
      <w:r>
        <w:rPr>
          <w:rFonts w:ascii="Calibri" w:hAnsi="Calibri" w:cs="Calibri"/>
        </w:rPr>
        <w:t xml:space="preserve"> </w:t>
      </w:r>
      <w:r>
        <w:t xml:space="preserve">de “articulación” (el movimiento social está organizado alrededor del programa del partido </w:t>
      </w:r>
      <w:r w:rsidR="00FE4D3D">
        <w:t xml:space="preserve">y </w:t>
      </w:r>
      <w:r>
        <w:t>contribuye a sus fines movilizando a las masas) o “</w:t>
      </w:r>
      <w:proofErr w:type="spellStart"/>
      <w:r w:rsidRPr="007C1749">
        <w:rPr>
          <w:i/>
        </w:rPr>
        <w:t>permeación</w:t>
      </w:r>
      <w:proofErr w:type="spellEnd"/>
      <w:r w:rsidR="00FE4D3D">
        <w:t>” (el movimiento social es leal</w:t>
      </w:r>
      <w:r>
        <w:t xml:space="preserve"> al partido y ejerce su influencia de forma rutinaria en las estructuras del partido). Sin embargo, otros elementos del análisis invita</w:t>
      </w:r>
      <w:r w:rsidR="00FE4D3D">
        <w:t>n a matizar esta primera imagen, como se analizará en los siguientes párrafos.</w:t>
      </w:r>
    </w:p>
    <w:p w:rsidR="00685609" w:rsidRDefault="009951A8" w:rsidP="00685609">
      <w:pPr>
        <w:pStyle w:val="Heading3"/>
      </w:pPr>
      <w:bookmarkStart w:id="28" w:name="_Toc485765686"/>
      <w:r>
        <w:t>1</w:t>
      </w:r>
      <w:r w:rsidR="00685609">
        <w:t>.2. ¿… o la sombra del proceso de cambio?</w:t>
      </w:r>
      <w:bookmarkEnd w:id="28"/>
    </w:p>
    <w:p w:rsidR="00FE4D3D" w:rsidRDefault="007C1749" w:rsidP="007C1749">
      <w:r>
        <w:t xml:space="preserve">En la entrevista que mantuve con ella, la activista e investigadora Elizabeth Peredo definió a las trabajadoras del hogar </w:t>
      </w:r>
      <w:r w:rsidR="00FE4D3D">
        <w:t>en los siguientes términos</w:t>
      </w:r>
      <w:r w:rsidR="00FE4D3D">
        <w:rPr>
          <w:rStyle w:val="FootnoteReference"/>
        </w:rPr>
        <w:footnoteReference w:id="17"/>
      </w:r>
      <w:r w:rsidR="00FE4D3D">
        <w:t>:</w:t>
      </w:r>
    </w:p>
    <w:p w:rsidR="00FE4D3D" w:rsidRPr="00FE4D3D" w:rsidRDefault="00FE4D3D" w:rsidP="00FE4D3D">
      <w:pPr>
        <w:ind w:left="567" w:right="567"/>
        <w:rPr>
          <w:i/>
        </w:rPr>
      </w:pPr>
      <w:r w:rsidRPr="00FE4D3D">
        <w:rPr>
          <w:i/>
        </w:rPr>
        <w:t xml:space="preserve">“Son </w:t>
      </w:r>
      <w:r w:rsidR="007C1749" w:rsidRPr="00FE4D3D">
        <w:rPr>
          <w:i/>
        </w:rPr>
        <w:t>la sombra del proceso [de cambio] boliviano, ellas reflejan las imágenes, las tensiones, las debilidades y las contradicciones”</w:t>
      </w:r>
      <w:r w:rsidRPr="00FE4D3D">
        <w:rPr>
          <w:i/>
        </w:rPr>
        <w:t>.</w:t>
      </w:r>
    </w:p>
    <w:p w:rsidR="007C1749" w:rsidRDefault="00FE4D3D" w:rsidP="007C1749">
      <w:r>
        <w:t>La afirmación de Peredo sugiere unas relaciones menos constructivas entre el movimiento y el Gobierno que lo afirmado por Mendoza. En primer lugar Peredo considera que</w:t>
      </w:r>
      <w:r w:rsidR="007C1749">
        <w:t xml:space="preserve"> las trabajadoras del hogar ocuparon un lugar muy limitado en el debate sobre la nueva Constitución, debido a la fuerte polarización social y étnica tras la llegada del MAS al </w:t>
      </w:r>
      <w:r w:rsidR="00680C70">
        <w:t>Gobierno</w:t>
      </w:r>
      <w:r w:rsidR="007C1749">
        <w:t xml:space="preserve"> (el país estaba “al borde de la guerra civil”, en palabras de Peredo, </w:t>
      </w:r>
      <w:r w:rsidR="007C1749">
        <w:lastRenderedPageBreak/>
        <w:t>debido a la resistencia ofrecida por las oligarquías tradicionales al nuevo orden político salido de las urnas)</w:t>
      </w:r>
      <w:r w:rsidR="007C1749">
        <w:rPr>
          <w:rStyle w:val="FootnoteReference"/>
        </w:rPr>
        <w:footnoteReference w:id="18"/>
      </w:r>
      <w:r w:rsidR="007C1749">
        <w:t>.</w:t>
      </w:r>
    </w:p>
    <w:p w:rsidR="007C1749" w:rsidRDefault="007C1749" w:rsidP="007C1749">
      <w:r>
        <w:t xml:space="preserve">Los resultados del nombramiento de Casimira Rodríguez como </w:t>
      </w:r>
      <w:r w:rsidR="00BA3B3C">
        <w:t xml:space="preserve">Ministra de Justicia también fueron decepcionantes: pese a la importancia simbólica de nombrar a una mujer indígena en un cargo tan importante, el único cambio legislativo importante para las trabajadoras del hogar durante el año que ocupó el Ministerio fue el reconocimiento oficial del Día Nacional </w:t>
      </w:r>
      <w:r w:rsidR="00E30DB1">
        <w:t xml:space="preserve">de las Trabajadoras del Hogar. No está claro hasta qué punto la escasez de resultados tangibles del paso de Rodríguez por el Ministerio </w:t>
      </w:r>
      <w:r w:rsidR="00FE4D3D">
        <w:t>se debió</w:t>
      </w:r>
      <w:r w:rsidR="00E30DB1">
        <w:t xml:space="preserve"> a la falta de voluntad del resto del </w:t>
      </w:r>
      <w:r w:rsidR="00680C70">
        <w:t>Gobierno</w:t>
      </w:r>
      <w:r w:rsidR="00FE4D3D">
        <w:t xml:space="preserve"> o</w:t>
      </w:r>
      <w:r w:rsidR="00E30DB1">
        <w:t xml:space="preserve"> las limitaciones estructurales de la acción política de una mujer con un nivel bajo de educación formal en una estructura patriarcal y conservadora como el Ministerio de Justicia -esta </w:t>
      </w:r>
      <w:r w:rsidR="00FE4D3D">
        <w:t xml:space="preserve">última </w:t>
      </w:r>
      <w:r w:rsidR="00E30DB1">
        <w:t xml:space="preserve">es la explicación </w:t>
      </w:r>
      <w:r w:rsidR="00FE4D3D">
        <w:t xml:space="preserve">que me transmitió </w:t>
      </w:r>
      <w:r w:rsidR="00E30DB1">
        <w:t>Teresa Morales, ex Ministra de Desarrollo Productivo y ex asesora de la Asamblea Constituyente a la que entrevisté en La Paz</w:t>
      </w:r>
      <w:r w:rsidR="00E30DB1">
        <w:rPr>
          <w:rStyle w:val="FootnoteReference"/>
        </w:rPr>
        <w:footnoteReference w:id="19"/>
      </w:r>
      <w:r w:rsidR="00E30DB1">
        <w:t>.</w:t>
      </w:r>
      <w:r w:rsidR="00BA3B3C">
        <w:t xml:space="preserve"> </w:t>
      </w:r>
    </w:p>
    <w:p w:rsidR="00E30DB1" w:rsidRDefault="00E30DB1" w:rsidP="007C1749">
      <w:r>
        <w:t xml:space="preserve">La ratificación del Convenio 189 de la OIT también produjo tensiones entre el movimiento de trabajadoras del hogar y el </w:t>
      </w:r>
      <w:r w:rsidR="00680C70">
        <w:t>Gobierno</w:t>
      </w:r>
      <w:r>
        <w:t xml:space="preserve">: la Fenatrahob y sus organizaciones aliadas querían que Bolivia fuese el primer Estado del mundo en ratificar el Convenio para mostrar su compromiso con los derechos de las trabajadoras del hogar. Sin embargo, según el relato de Elizabeth Peredo, al movimiento le costó mucho convencer a los funcionarios del Ministerio de Trabajo de la necesidad de ratificar el Tratado, lo que retrasó la ratificación a 2012, un año después de la adopción del Convenio en Ginebra. Según Peredo, en esa época las demandas de las trabajadoras del hogar ya habían sido relegadas “a un quinto plano”, perdiendo la relativa centralidad que habían tenido en la agenda política durante los primeros años del MAS en el </w:t>
      </w:r>
      <w:r w:rsidR="00680C70">
        <w:t>Gobierno</w:t>
      </w:r>
      <w:r>
        <w:t xml:space="preserve"> y volviendo a una posición similar a la que ocupaban en el periodo previo a 2006</w:t>
      </w:r>
      <w:r>
        <w:rPr>
          <w:rStyle w:val="FootnoteReference"/>
        </w:rPr>
        <w:footnoteReference w:id="20"/>
      </w:r>
      <w:r>
        <w:t>.</w:t>
      </w:r>
    </w:p>
    <w:p w:rsidR="00FE6E0A" w:rsidRDefault="00FE6E0A" w:rsidP="007C1749">
      <w:pPr>
        <w:rPr>
          <w:rFonts w:ascii="Calibri" w:hAnsi="Calibri" w:cs="Calibri"/>
        </w:rPr>
      </w:pPr>
      <w:r>
        <w:t xml:space="preserve">En su libro </w:t>
      </w:r>
      <w:r w:rsidRPr="003F6248">
        <w:rPr>
          <w:rFonts w:ascii="Calibri" w:hAnsi="Calibri" w:cs="Calibri"/>
          <w:i/>
        </w:rPr>
        <w:t>Trabajadoras as</w:t>
      </w:r>
      <w:r w:rsidR="003F6248" w:rsidRPr="003F6248">
        <w:rPr>
          <w:rFonts w:ascii="Calibri" w:hAnsi="Calibri" w:cs="Calibri"/>
          <w:i/>
        </w:rPr>
        <w:t>alariadas del hogar en Bolivia</w:t>
      </w:r>
      <w:r w:rsidR="003F6248" w:rsidRPr="003F6248">
        <w:rPr>
          <w:rFonts w:ascii="Calibri" w:hAnsi="Calibri" w:cs="Calibri"/>
        </w:rPr>
        <w:t xml:space="preserve">, </w:t>
      </w:r>
      <w:r>
        <w:rPr>
          <w:rFonts w:ascii="Calibri" w:hAnsi="Calibri" w:cs="Calibri"/>
        </w:rPr>
        <w:t xml:space="preserve">Peredo Beltrán afirma que el movimiento no fue cooptado por el MAS, ya que mantuvo su propia agenda </w:t>
      </w:r>
      <w:r>
        <w:rPr>
          <w:rFonts w:ascii="Calibri" w:hAnsi="Calibri" w:cs="Calibri"/>
        </w:rPr>
        <w:fldChar w:fldCharType="begin"/>
      </w:r>
      <w:r>
        <w:rPr>
          <w:rFonts w:ascii="Calibri" w:hAnsi="Calibri" w:cs="Calibri"/>
        </w:rPr>
        <w:instrText xml:space="preserve"> ADDIN ZOTERO_ITEM CSL_CITATION {"citationID":"su1m6p546","properties":{"formattedCitation":"{\\rtf (Peredo Beltr\\uc0\\u225{}n, 2015, pp. 26\\uc0\\u8211{}27)}","plainCitation":"(Peredo Beltrán, 2015, pp. 26–27)"},"citationItems":[{"id":1120,"uris":["http://zotero.org/users/local/A608vxNk/items/GIXN98P8"],"uri":["http://zotero.org/users/local/A608vxNk/items/GIXN98P8"],"itemData":{"id":1120,"type":"report","title":"Trabajadoras asalariadas del hogar en Bolivia: aprendizajes de una larga lucha","collection-title":"Cuaderno de trabajo Nº 21","publisher":"Red de Mujeres Transformando la Economía REMTE","publisher-place":"La Paz, Bolivia","event-place":"La Paz, Bolivia","URL":"http://www.remte-bolivia.org/attachments/article/139/21.pdf","author":[{"family":"Peredo Beltrán","given":"Elizabeth"}],"issued":{"date-parts":[["2015"]]},"accessed":{"date-parts":[["2017",9,3]]}},"locator":"26-27"}],"schema":"https://github.com/citation-style-language/schema/raw/master/csl-citation.json"} </w:instrText>
      </w:r>
      <w:r>
        <w:rPr>
          <w:rFonts w:ascii="Calibri" w:hAnsi="Calibri" w:cs="Calibri"/>
        </w:rPr>
        <w:fldChar w:fldCharType="separate"/>
      </w:r>
      <w:r w:rsidRPr="00FE6E0A">
        <w:rPr>
          <w:rFonts w:ascii="Calibri" w:hAnsi="Calibri" w:cs="Calibri"/>
          <w:szCs w:val="24"/>
        </w:rPr>
        <w:t>(Peredo Beltrán, 2015, pp. 26–27)</w:t>
      </w:r>
      <w:r>
        <w:rPr>
          <w:rFonts w:ascii="Calibri" w:hAnsi="Calibri" w:cs="Calibri"/>
        </w:rPr>
        <w:fldChar w:fldCharType="end"/>
      </w:r>
      <w:r>
        <w:rPr>
          <w:rFonts w:ascii="Calibri" w:hAnsi="Calibri" w:cs="Calibri"/>
        </w:rPr>
        <w:t xml:space="preserve">, una visión que se ve confirmada por el análisis de los documentos producidos por la Fenatrahob. Por ejemplo, el Plan Estratégico 2009-2018 de la Federación y las conclusiones de su Congreso de 2008 no incluyeron ninguna referencia al proceso constituyente </w:t>
      </w:r>
      <w:r>
        <w:rPr>
          <w:rFonts w:ascii="Calibri" w:hAnsi="Calibri" w:cs="Calibri"/>
        </w:rPr>
        <w:fldChar w:fldCharType="begin"/>
      </w:r>
      <w:r>
        <w:rPr>
          <w:rFonts w:ascii="Calibri" w:hAnsi="Calibri" w:cs="Calibri"/>
        </w:rPr>
        <w:instrText xml:space="preserve"> ADDIN ZOTERO_ITEM CSL_CITATION {"citationID":"7p7tden5j","properties":{"formattedCitation":"(Fenatrahob, 2008a)","plainCitation":"(Fenatrahob, 2008a)"},"citationItems":[{"id":1151,"uris":["http://zotero.org/users/local/A608vxNk/items/993PMG7S"],"uri":["http://zotero.org/users/local/A608vxNk/items/993PMG7S"],"itemData":{"id":1151,"type":"article","title":"Boletín \"Equidad y Justicia\" mayo 2008","author":[{"family":"Fenatrahob","given":""}],"issued":{"date-parts":[["2008"]]}}}],"schema":"https://github.com/citation-style-language/schema/raw/master/csl-citation.json"} </w:instrText>
      </w:r>
      <w:r>
        <w:rPr>
          <w:rFonts w:ascii="Calibri" w:hAnsi="Calibri" w:cs="Calibri"/>
        </w:rPr>
        <w:fldChar w:fldCharType="separate"/>
      </w:r>
      <w:r w:rsidRPr="00FE6E0A">
        <w:rPr>
          <w:rFonts w:ascii="Calibri" w:hAnsi="Calibri" w:cs="Calibri"/>
        </w:rPr>
        <w:t>(Fenatrahob, 2008a)</w:t>
      </w:r>
      <w:r>
        <w:rPr>
          <w:rFonts w:ascii="Calibri" w:hAnsi="Calibri" w:cs="Calibri"/>
        </w:rPr>
        <w:fldChar w:fldCharType="end"/>
      </w:r>
      <w:r>
        <w:rPr>
          <w:rFonts w:ascii="Calibri" w:hAnsi="Calibri" w:cs="Calibri"/>
        </w:rPr>
        <w:t xml:space="preserve">, lo que sugiere que la Fenatrahob no perdió su propia agenda en favor de la agenda del </w:t>
      </w:r>
      <w:r w:rsidR="003F6248">
        <w:rPr>
          <w:rFonts w:ascii="Calibri" w:hAnsi="Calibri" w:cs="Calibri"/>
        </w:rPr>
        <w:t>MAS</w:t>
      </w:r>
      <w:r>
        <w:rPr>
          <w:rFonts w:ascii="Calibri" w:hAnsi="Calibri" w:cs="Calibri"/>
        </w:rPr>
        <w:t xml:space="preserve">. Por otro lado, la Fenatrahob señala en su documento </w:t>
      </w:r>
      <w:r w:rsidRPr="00FE6E0A">
        <w:rPr>
          <w:rFonts w:ascii="Calibri" w:hAnsi="Calibri" w:cs="Calibri"/>
          <w:i/>
        </w:rPr>
        <w:t xml:space="preserve">Descolonización y </w:t>
      </w:r>
      <w:proofErr w:type="spellStart"/>
      <w:r w:rsidRPr="00FE6E0A">
        <w:rPr>
          <w:rFonts w:ascii="Calibri" w:hAnsi="Calibri" w:cs="Calibri"/>
          <w:i/>
        </w:rPr>
        <w:t>despatriarcalización</w:t>
      </w:r>
      <w:proofErr w:type="spellEnd"/>
      <w:r w:rsidRPr="00FE6E0A">
        <w:rPr>
          <w:rFonts w:ascii="Calibri" w:hAnsi="Calibri" w:cs="Calibri"/>
          <w:i/>
        </w:rPr>
        <w:t xml:space="preserve"> </w:t>
      </w:r>
      <w:r>
        <w:rPr>
          <w:rFonts w:ascii="Calibri" w:hAnsi="Calibri" w:cs="Calibri"/>
        </w:rPr>
        <w:fldChar w:fldCharType="begin"/>
      </w:r>
      <w:r>
        <w:rPr>
          <w:rFonts w:ascii="Calibri" w:hAnsi="Calibri" w:cs="Calibri"/>
        </w:rPr>
        <w:instrText xml:space="preserve"> ADDIN ZOTERO_ITEM CSL_CITATION {"citationID":"2a54d9rai8","properties":{"formattedCitation":"(Fenatrahob, 2014a)","plainCitation":"(Fenatrahob, 2014a)"},"citationItems":[{"id":828,"uris":["http://zotero.org/users/local/A608vxNk/items/J4ZVIW7N"],"uri":["http://zotero.org/users/local/A608vxNk/items/J4ZVIW7N"],"itemData":{"id":828,"type":"article","title":"Descolonización y despatriarcalización desde la perspectiva de las trabajadoras de las trabajadoras asalariadas del hogar: una propuesta de política pública","publisher":"Fundación Friedrich Ebert","author":[{"family":"Fenatrahob","given":""}],"issued":{"date-parts":[["2014"]]}}}],"schema":"https://github.com/citation-style-language/schema/raw/master/csl-citation.json"} </w:instrText>
      </w:r>
      <w:r>
        <w:rPr>
          <w:rFonts w:ascii="Calibri" w:hAnsi="Calibri" w:cs="Calibri"/>
        </w:rPr>
        <w:fldChar w:fldCharType="separate"/>
      </w:r>
      <w:r w:rsidRPr="00FE6E0A">
        <w:rPr>
          <w:rFonts w:ascii="Calibri" w:hAnsi="Calibri" w:cs="Calibri"/>
        </w:rPr>
        <w:t>(Fenatrahob, 2014a)</w:t>
      </w:r>
      <w:r>
        <w:rPr>
          <w:rFonts w:ascii="Calibri" w:hAnsi="Calibri" w:cs="Calibri"/>
        </w:rPr>
        <w:fldChar w:fldCharType="end"/>
      </w:r>
      <w:r>
        <w:rPr>
          <w:rFonts w:ascii="Calibri" w:hAnsi="Calibri" w:cs="Calibri"/>
        </w:rPr>
        <w:t xml:space="preserve"> la “obligación y responsabilidad del Estado de adoptar una política pública” para garantizar los derechos de las trabajadoras del hogar y varios boletines </w:t>
      </w:r>
      <w:r w:rsidRPr="003F6248">
        <w:rPr>
          <w:rFonts w:ascii="Calibri" w:hAnsi="Calibri" w:cs="Calibri"/>
          <w:i/>
        </w:rPr>
        <w:t>Equidad y Justicia</w:t>
      </w:r>
      <w:r>
        <w:rPr>
          <w:rFonts w:ascii="Calibri" w:hAnsi="Calibri" w:cs="Calibri"/>
        </w:rPr>
        <w:t xml:space="preserve"> denuncian el incumplimiento de promesas por parte del </w:t>
      </w:r>
      <w:r w:rsidR="00680C70">
        <w:rPr>
          <w:rFonts w:ascii="Calibri" w:hAnsi="Calibri" w:cs="Calibri"/>
        </w:rPr>
        <w:t>Gobierno</w:t>
      </w:r>
      <w:r>
        <w:rPr>
          <w:rFonts w:ascii="Calibri" w:hAnsi="Calibri" w:cs="Calibri"/>
        </w:rPr>
        <w:t xml:space="preserve"> en temas como la cobertura sanitaria o el acceso al sistema de pensiones </w:t>
      </w:r>
      <w:r>
        <w:rPr>
          <w:szCs w:val="24"/>
          <w:lang w:val="en-GB"/>
        </w:rPr>
        <w:fldChar w:fldCharType="begin"/>
      </w:r>
      <w:r w:rsidR="009951A8">
        <w:rPr>
          <w:szCs w:val="24"/>
        </w:rPr>
        <w:instrText xml:space="preserve"> ADDIN ZOTERO_ITEM CSL_CITATION {"citationID":"1b7i42cvln","properties":{"formattedCitation":"(Fenatrahob, 2014d, 2009a, 2008b)","plainCitation":"(Fenatrahob, 2014d, 2009a, 2008b)"},"citationItems":[{"id":1216,"uris":["http://zotero.org/users/local/A608vxNk/items/2FD7Z988"],"uri":["http://zotero.org/users/local/A608vxNk/items/2FD7Z988"],"itemData":{"id":1216,"type":"article","title":"Boletín \"Equidad y Justicia\" marzo 2014","author":[{"family":"Fenatrahob","given":""}],"issued":{"date-parts":[["2014"]]}}},{"id":857,"uris":["http://zotero.org/users/local/A608vxNk/items/A56QQEDE"],"uri":["http://zotero.org/users/local/A608vxNk/items/A56QQEDE"],"itemData":{"id":857,"type":"article","title":"Boletín \"Equidad y Justicia\" marzo 2009","author":[{"family":"Fenatrahob","given":""}],"issued":{"date-parts":[["2009"]]}}},{"id":856,"uris":["http://zotero.org/users/local/A608vxNk/items/MZHM6H9Z"],"uri":["http://zotero.org/users/local/A608vxNk/items/MZHM6H9Z"],"itemData":{"id":856,"type":"article","title":"Boletín \"Equidad y Justicia\" octubre 2008","author":[{"family":"Fenatrahob","given":""}],"issued":{"date-parts":[["2008"]]}}}],"schema":"https://github.com/citation-style-language/schema/raw/master/csl-citation.json"} </w:instrText>
      </w:r>
      <w:r>
        <w:rPr>
          <w:szCs w:val="24"/>
          <w:lang w:val="en-GB"/>
        </w:rPr>
        <w:fldChar w:fldCharType="separate"/>
      </w:r>
      <w:r w:rsidR="009951A8" w:rsidRPr="009951A8">
        <w:rPr>
          <w:rFonts w:ascii="Calibri" w:hAnsi="Calibri" w:cs="Calibri"/>
        </w:rPr>
        <w:t xml:space="preserve">(Fenatrahob, </w:t>
      </w:r>
      <w:r w:rsidR="009951A8" w:rsidRPr="009951A8">
        <w:rPr>
          <w:rFonts w:ascii="Calibri" w:hAnsi="Calibri" w:cs="Calibri"/>
        </w:rPr>
        <w:lastRenderedPageBreak/>
        <w:t>2014d, 2009a, 2008b)</w:t>
      </w:r>
      <w:r>
        <w:rPr>
          <w:szCs w:val="24"/>
          <w:lang w:val="en-GB"/>
        </w:rPr>
        <w:fldChar w:fldCharType="end"/>
      </w:r>
      <w:r w:rsidRPr="00FE6E0A">
        <w:rPr>
          <w:szCs w:val="24"/>
        </w:rPr>
        <w:t xml:space="preserve"> </w:t>
      </w:r>
      <w:r>
        <w:rPr>
          <w:rFonts w:ascii="Calibri" w:hAnsi="Calibri" w:cs="Calibri"/>
        </w:rPr>
        <w:t xml:space="preserve">-lo que no haría un movimiento social cooptado. La Federación también mostró su autonomía respecto al </w:t>
      </w:r>
      <w:r w:rsidR="00680C70">
        <w:rPr>
          <w:rFonts w:ascii="Calibri" w:hAnsi="Calibri" w:cs="Calibri"/>
        </w:rPr>
        <w:t>Gobierno</w:t>
      </w:r>
      <w:r>
        <w:rPr>
          <w:rFonts w:ascii="Calibri" w:hAnsi="Calibri" w:cs="Calibri"/>
        </w:rPr>
        <w:t xml:space="preserve"> y al MAS cuando su Secretaria Ejecutiva, Gregoria Gabriel, se mostró contraria a que Evo Morales se presentase de nuevo a la presidencia del país después de haber perdido el referéndum que convocó para modificar la Constitución </w:t>
      </w:r>
      <w:r w:rsidR="00FE4D3D">
        <w:rPr>
          <w:rFonts w:ascii="Calibri" w:hAnsi="Calibri" w:cs="Calibri"/>
        </w:rPr>
        <w:t>con el fin de poder</w:t>
      </w:r>
      <w:r>
        <w:rPr>
          <w:rFonts w:ascii="Calibri" w:hAnsi="Calibri" w:cs="Calibri"/>
        </w:rPr>
        <w:t xml:space="preserve"> </w:t>
      </w:r>
      <w:r w:rsidR="00FE4D3D">
        <w:rPr>
          <w:rFonts w:ascii="Calibri" w:hAnsi="Calibri" w:cs="Calibri"/>
        </w:rPr>
        <w:t>ser candidato</w:t>
      </w:r>
      <w:r>
        <w:rPr>
          <w:rFonts w:ascii="Calibri" w:hAnsi="Calibri" w:cs="Calibri"/>
        </w:rPr>
        <w:t xml:space="preserve"> de nuevo</w:t>
      </w:r>
      <w:r>
        <w:rPr>
          <w:rStyle w:val="FootnoteReference"/>
          <w:rFonts w:ascii="Calibri" w:hAnsi="Calibri" w:cs="Calibri"/>
        </w:rPr>
        <w:footnoteReference w:id="21"/>
      </w:r>
      <w:r>
        <w:rPr>
          <w:rFonts w:ascii="Calibri" w:hAnsi="Calibri" w:cs="Calibri"/>
        </w:rPr>
        <w:t>.</w:t>
      </w:r>
    </w:p>
    <w:p w:rsidR="00FE6E0A" w:rsidRDefault="00FE4D3D" w:rsidP="007C1749">
      <w:pPr>
        <w:rPr>
          <w:rFonts w:ascii="Calibri" w:hAnsi="Calibri" w:cs="Calibri"/>
        </w:rPr>
      </w:pPr>
      <w:r>
        <w:rPr>
          <w:rFonts w:ascii="Calibri" w:hAnsi="Calibri" w:cs="Calibri"/>
        </w:rPr>
        <w:t>En conclusión</w:t>
      </w:r>
      <w:r w:rsidR="009951A8">
        <w:rPr>
          <w:rFonts w:ascii="Calibri" w:hAnsi="Calibri" w:cs="Calibri"/>
        </w:rPr>
        <w:t xml:space="preserve">, un análisis más profundo de los documentos producidos por la Fenatrahob y las entrevistas muestra la necesidad de matizar la imagen de una relación estrecha y poco conflictiva entre el movimiento y el </w:t>
      </w:r>
      <w:r w:rsidR="00680C70">
        <w:rPr>
          <w:rFonts w:ascii="Calibri" w:hAnsi="Calibri" w:cs="Calibri"/>
        </w:rPr>
        <w:t>Gobierno</w:t>
      </w:r>
      <w:r w:rsidR="009951A8">
        <w:rPr>
          <w:rFonts w:ascii="Calibri" w:hAnsi="Calibri" w:cs="Calibri"/>
        </w:rPr>
        <w:t xml:space="preserve">. Por el contrario, la relación entre ambos actores se corresponde con el concepto de “alianza” propuesto por </w:t>
      </w:r>
      <w:proofErr w:type="spellStart"/>
      <w:r w:rsidR="009951A8">
        <w:rPr>
          <w:rFonts w:ascii="Calibri" w:hAnsi="Calibri" w:cs="Calibri"/>
        </w:rPr>
        <w:t>Hangan</w:t>
      </w:r>
      <w:proofErr w:type="spellEnd"/>
      <w:r w:rsidR="009951A8">
        <w:rPr>
          <w:rFonts w:ascii="Calibri" w:hAnsi="Calibri" w:cs="Calibri"/>
        </w:rPr>
        <w:t xml:space="preserve"> </w:t>
      </w:r>
      <w:r w:rsidR="009951A8">
        <w:rPr>
          <w:rFonts w:ascii="Calibri" w:hAnsi="Calibri" w:cs="Calibri"/>
        </w:rPr>
        <w:fldChar w:fldCharType="begin"/>
      </w:r>
      <w:r w:rsidR="009951A8">
        <w:rPr>
          <w:rFonts w:ascii="Calibri" w:hAnsi="Calibri" w:cs="Calibri"/>
        </w:rPr>
        <w:instrText xml:space="preserve"> ADDIN ZOTERO_ITEM CSL_CITATION {"citationID":"c739pdq88","properties":{"formattedCitation":"(Hangan, 1998)","plainCitation":"(Hangan, 1998)"},"citationItems":[{"id":373,"uris":["http://zotero.org/users/local/A608vxNk/items/ZT9M2XDP"],"uri":["http://zotero.org/users/local/A608vxNk/items/ZT9M2XDP"],"itemData":{"id":373,"type":"chapter","title":"Social Movements. Incorporation, Disengagement, and Opportunities –A Long View","container-title":"From Contention to Democracy","publisher":"Rowman and Littlefield Publishers","publisher-place":"Lanham-Boulder-New York-Oxford (USA)","page":"3-30","event-place":"Lanham-Boulder-New York-Oxford (USA)","author":[{"family":"Hangan","given":"Michael"}],"editor":[{"family":"Giugni","given":"Marco G."},{"family":"McAdam","given":"Doug"},{"family":"Tilly","given":"Charles"}],"issued":{"date-parts":[["1998"]]}}}],"schema":"https://github.com/citation-style-language/schema/raw/master/csl-citation.json"} </w:instrText>
      </w:r>
      <w:r w:rsidR="009951A8">
        <w:rPr>
          <w:rFonts w:ascii="Calibri" w:hAnsi="Calibri" w:cs="Calibri"/>
        </w:rPr>
        <w:fldChar w:fldCharType="separate"/>
      </w:r>
      <w:r w:rsidR="009951A8" w:rsidRPr="009951A8">
        <w:rPr>
          <w:rFonts w:ascii="Calibri" w:hAnsi="Calibri" w:cs="Calibri"/>
        </w:rPr>
        <w:t>(1998)</w:t>
      </w:r>
      <w:r w:rsidR="009951A8">
        <w:rPr>
          <w:rFonts w:ascii="Calibri" w:hAnsi="Calibri" w:cs="Calibri"/>
        </w:rPr>
        <w:fldChar w:fldCharType="end"/>
      </w:r>
      <w:r w:rsidR="009951A8">
        <w:rPr>
          <w:rFonts w:ascii="Calibri" w:hAnsi="Calibri" w:cs="Calibri"/>
        </w:rPr>
        <w:t xml:space="preserve">: el movimiento colabora con el </w:t>
      </w:r>
      <w:r w:rsidR="00680C70">
        <w:rPr>
          <w:rFonts w:ascii="Calibri" w:hAnsi="Calibri" w:cs="Calibri"/>
        </w:rPr>
        <w:t>Gobierno</w:t>
      </w:r>
      <w:r w:rsidR="009951A8">
        <w:rPr>
          <w:rFonts w:ascii="Calibri" w:hAnsi="Calibri" w:cs="Calibri"/>
        </w:rPr>
        <w:t xml:space="preserve"> en ciertos temas (los relacionados con sus demandas) pero mantiene una agenda </w:t>
      </w:r>
      <w:r>
        <w:rPr>
          <w:rFonts w:ascii="Calibri" w:hAnsi="Calibri" w:cs="Calibri"/>
        </w:rPr>
        <w:t xml:space="preserve">política </w:t>
      </w:r>
      <w:r w:rsidR="009951A8">
        <w:rPr>
          <w:rFonts w:ascii="Calibri" w:hAnsi="Calibri" w:cs="Calibri"/>
        </w:rPr>
        <w:t>autónoma.</w:t>
      </w:r>
    </w:p>
    <w:p w:rsidR="009951A8" w:rsidRDefault="009951A8" w:rsidP="007C1749">
      <w:pPr>
        <w:rPr>
          <w:rFonts w:ascii="Calibri" w:hAnsi="Calibri" w:cs="Calibri"/>
        </w:rPr>
      </w:pPr>
    </w:p>
    <w:p w:rsidR="009951A8" w:rsidRDefault="009951A8" w:rsidP="009951A8">
      <w:pPr>
        <w:pStyle w:val="Heading2"/>
      </w:pPr>
      <w:bookmarkStart w:id="30" w:name="_Toc485765687"/>
      <w:r>
        <w:t>2. La influencia de la institucionalización del movimiento en los impactos del movimiento sobre las políticas públicas</w:t>
      </w:r>
      <w:bookmarkEnd w:id="30"/>
    </w:p>
    <w:p w:rsidR="009951A8" w:rsidRDefault="00666DE9" w:rsidP="007C1749">
      <w:pPr>
        <w:rPr>
          <w:rFonts w:ascii="Calibri" w:hAnsi="Calibri" w:cs="Calibri"/>
        </w:rPr>
      </w:pPr>
      <w:r>
        <w:rPr>
          <w:rFonts w:ascii="Calibri" w:hAnsi="Calibri" w:cs="Calibri"/>
        </w:rPr>
        <w:t xml:space="preserve">Una vez que se ha determinado que la relación entre el movimiento de trabajadoras del hogar y el </w:t>
      </w:r>
      <w:r w:rsidR="00680C70">
        <w:rPr>
          <w:rFonts w:ascii="Calibri" w:hAnsi="Calibri" w:cs="Calibri"/>
        </w:rPr>
        <w:t>Gobierno</w:t>
      </w:r>
      <w:r>
        <w:rPr>
          <w:rFonts w:ascii="Calibri" w:hAnsi="Calibri" w:cs="Calibri"/>
        </w:rPr>
        <w:t xml:space="preserve"> de Evo Mora</w:t>
      </w:r>
      <w:r w:rsidR="00FE4D3D">
        <w:rPr>
          <w:rFonts w:ascii="Calibri" w:hAnsi="Calibri" w:cs="Calibri"/>
        </w:rPr>
        <w:t>les y el MAS entre 2006 y 2016 corresponde al</w:t>
      </w:r>
      <w:r>
        <w:rPr>
          <w:rFonts w:ascii="Calibri" w:hAnsi="Calibri" w:cs="Calibri"/>
        </w:rPr>
        <w:t xml:space="preserve"> concepto de “alianza” de </w:t>
      </w:r>
      <w:proofErr w:type="spellStart"/>
      <w:r>
        <w:rPr>
          <w:rFonts w:ascii="Calibri" w:hAnsi="Calibri" w:cs="Calibri"/>
        </w:rPr>
        <w:t>Hangan</w:t>
      </w:r>
      <w:proofErr w:type="spellEnd"/>
      <w:r>
        <w:rPr>
          <w:rFonts w:ascii="Calibri" w:hAnsi="Calibri" w:cs="Calibri"/>
        </w:rPr>
        <w:t xml:space="preserve"> </w:t>
      </w:r>
      <w:r>
        <w:rPr>
          <w:rFonts w:ascii="Calibri" w:hAnsi="Calibri" w:cs="Calibri"/>
        </w:rPr>
        <w:fldChar w:fldCharType="begin"/>
      </w:r>
      <w:r w:rsidR="0047129C">
        <w:rPr>
          <w:rFonts w:ascii="Calibri" w:hAnsi="Calibri" w:cs="Calibri"/>
        </w:rPr>
        <w:instrText xml:space="preserve"> ADDIN ZOTERO_ITEM CSL_CITATION {"citationID":"zqMP89Ax","properties":{"formattedCitation":"(Hangan, 1998)","plainCitation":"(Hangan, 1998)"},"citationItems":[{"id":373,"uris":["http://zotero.org/users/local/A608vxNk/items/ZT9M2XDP"],"uri":["http://zotero.org/users/local/A608vxNk/items/ZT9M2XDP"],"itemData":{"id":373,"type":"chapter","title":"Social Movements. Incorporation, Disengagement, and Opportunities –A Long View","container-title":"From Contention to Democracy","publisher":"Rowman and Littlefield Publishers","publisher-place":"Lanham-Boulder-New York-Oxford (USA)","page":"3-30","event-place":"Lanham-Boulder-New York-Oxford (USA)","author":[{"family":"Hangan","given":"Michael"}],"editor":[{"family":"Giugni","given":"Marco G."},{"family":"McAdam","given":"Doug"},{"family":"Tilly","given":"Charles"}],"issued":{"date-parts":[["1998"]]}}}],"schema":"https://github.com/citation-style-language/schema/raw/master/csl-citation.json"} </w:instrText>
      </w:r>
      <w:r>
        <w:rPr>
          <w:rFonts w:ascii="Calibri" w:hAnsi="Calibri" w:cs="Calibri"/>
        </w:rPr>
        <w:fldChar w:fldCharType="separate"/>
      </w:r>
      <w:r w:rsidRPr="009951A8">
        <w:rPr>
          <w:rFonts w:ascii="Calibri" w:hAnsi="Calibri" w:cs="Calibri"/>
        </w:rPr>
        <w:t>(1998)</w:t>
      </w:r>
      <w:r>
        <w:rPr>
          <w:rFonts w:ascii="Calibri" w:hAnsi="Calibri" w:cs="Calibri"/>
        </w:rPr>
        <w:fldChar w:fldCharType="end"/>
      </w:r>
      <w:r>
        <w:rPr>
          <w:rFonts w:ascii="Calibri" w:hAnsi="Calibri" w:cs="Calibri"/>
        </w:rPr>
        <w:t>, es posible evaluar qué efectos tuvo esa alianza sobre los impactos del movimiento en las políticas públicas durante el periodo estudiado.</w:t>
      </w:r>
    </w:p>
    <w:p w:rsidR="00666DE9" w:rsidRDefault="00666DE9" w:rsidP="007C1749">
      <w:r>
        <w:rPr>
          <w:rFonts w:ascii="Calibri" w:hAnsi="Calibri" w:cs="Calibri"/>
        </w:rPr>
        <w:t xml:space="preserve">La conclusión es dual. En relación a los impactos sensibilizadores, hay un alto grado de coincidencia entre las demandas del movimiento y las políticas del </w:t>
      </w:r>
      <w:r w:rsidR="00680C70">
        <w:rPr>
          <w:rFonts w:ascii="Calibri" w:hAnsi="Calibri" w:cs="Calibri"/>
        </w:rPr>
        <w:t>Gobierno</w:t>
      </w:r>
      <w:r>
        <w:rPr>
          <w:rFonts w:ascii="Calibri" w:hAnsi="Calibri" w:cs="Calibri"/>
        </w:rPr>
        <w:t xml:space="preserve">, lo que se corresponde con el concepto de “doble respuesta” </w:t>
      </w:r>
      <w:r>
        <w:rPr>
          <w:lang w:val="en-GB"/>
        </w:rPr>
        <w:fldChar w:fldCharType="begin"/>
      </w:r>
      <w:r w:rsidRPr="00666DE9">
        <w:instrText xml:space="preserve"> ADDIN ZOTERO_ITEM CSL_CITATION {"citationID":"1o2jn1hjcv","properties":{"formattedCitation":"{\\rtf (\\uc0\\u193{}lvarez, 1990)}","plainCitation":"(Álvarez, 1990)"},"citationItems":[{"id":883,"uris":["http://zotero.org/users/local/A608vxNk/items/D5SUZ9CG"],"uri":["http://zotero.org/users/local/A608vxNk/items/D5SUZ9CG"],"itemData":{"id":883,"type":"book","title":"Engendering democracy in Brazil: Women's movements in transition politics","publisher":"Princeton University Press","ISBN":"0-691-02325-5","author":[{"family":"Álvarez","given":"Sonia E"}],"issued":{"date-parts":[["1990"]]}}}],"schema":"https://github.com/citation-style-language/schema/raw/master/csl-citation.json"} </w:instrText>
      </w:r>
      <w:r>
        <w:rPr>
          <w:lang w:val="en-GB"/>
        </w:rPr>
        <w:fldChar w:fldCharType="separate"/>
      </w:r>
      <w:r w:rsidRPr="00666DE9">
        <w:rPr>
          <w:rFonts w:ascii="Calibri" w:hAnsi="Calibri" w:cs="Calibri"/>
          <w:szCs w:val="24"/>
        </w:rPr>
        <w:t>(Álvarez, 1990)</w:t>
      </w:r>
      <w:r>
        <w:rPr>
          <w:lang w:val="en-GB"/>
        </w:rPr>
        <w:fldChar w:fldCharType="end"/>
      </w:r>
      <w:r>
        <w:rPr>
          <w:rFonts w:ascii="Calibri" w:hAnsi="Calibri" w:cs="Calibri"/>
        </w:rPr>
        <w:t xml:space="preserve">: el Estado acepta la participación del movimiento en el debate sobre las políticas públicas y el contenido de estas políticas se corresponde con las demandas del movimiento. Por el contrario, en el ámbito de los impactos sustantivos, el término que mejor define la relación entre ambos actores es el de “cooptación” </w:t>
      </w:r>
      <w:r>
        <w:rPr>
          <w:lang w:val="en-GB"/>
        </w:rPr>
        <w:fldChar w:fldCharType="begin"/>
      </w:r>
      <w:r w:rsidR="0047129C">
        <w:instrText xml:space="preserve"> ADDIN ZOTERO_ITEM CSL_CITATION {"citationID":"XrrmJ2Ia","properties":{"formattedCitation":"{\\rtf (\\uc0\\u193{}lvarez, 1990)}","plainCitation":"(Álvarez, 1990)"},"citationItems":[{"id":883,"uris":["http://zotero.org/users/local/A608vxNk/items/D5SUZ9CG"],"uri":["http://zotero.org/users/local/A608vxNk/items/D5SUZ9CG"],"itemData":{"id":883,"type":"book","title":"Engendering democracy in Brazil: Women's movements in transition politics","publisher":"Princeton University Press","ISBN":"0-691-02325-5","author":[{"family":"Álvarez","given":"Sonia E"}],"issued":{"date-parts":[["1990"]]}}}],"schema":"https://github.com/citation-style-language/schema/raw/master/csl-citation.json"} </w:instrText>
      </w:r>
      <w:r>
        <w:rPr>
          <w:lang w:val="en-GB"/>
        </w:rPr>
        <w:fldChar w:fldCharType="separate"/>
      </w:r>
      <w:r w:rsidRPr="00666DE9">
        <w:rPr>
          <w:rFonts w:ascii="Calibri" w:hAnsi="Calibri" w:cs="Calibri"/>
          <w:szCs w:val="24"/>
        </w:rPr>
        <w:t>(Álvarez, 1990)</w:t>
      </w:r>
      <w:r>
        <w:rPr>
          <w:lang w:val="en-GB"/>
        </w:rPr>
        <w:fldChar w:fldCharType="end"/>
      </w:r>
      <w:r w:rsidRPr="00666DE9">
        <w:t>: el Estado acepta la participaci</w:t>
      </w:r>
      <w:r>
        <w:t>ón del movimiento en el debate sobre las políticas públicas pero el contenido de estas no coincide con las demandas del movimiento.</w:t>
      </w:r>
    </w:p>
    <w:p w:rsidR="00666DE9" w:rsidRPr="00666DE9" w:rsidRDefault="00666DE9" w:rsidP="007C1749">
      <w:pPr>
        <w:rPr>
          <w:rFonts w:ascii="Calibri" w:hAnsi="Calibri" w:cs="Calibri"/>
        </w:rPr>
      </w:pPr>
      <w:r>
        <w:t xml:space="preserve">La conclusión del análisis de la influencia de la institucionalización en los impactos del movimiento es el siguiente: el movimiento boliviano de trabajadoras del hogar ha disfrutado de un acceso fácil al </w:t>
      </w:r>
      <w:r w:rsidR="00680C70">
        <w:t>Gobierno</w:t>
      </w:r>
      <w:r>
        <w:t xml:space="preserve"> mientras mantenía una agenda autónoma, lo que le ha permitido conseguir importantes impactos sensibilizadores pero no ha permitido la obtención de impactos sustantivos, con dos excepciones: la Resolución Ministerial 218/2014 sobre el contrato escrito y la libreta salarial, y el programa para favorecer el acceso de las trabajadoras del hogar a la educación secundaria.</w:t>
      </w:r>
    </w:p>
    <w:p w:rsidR="009951A8" w:rsidRDefault="009951A8" w:rsidP="007C1749"/>
    <w:p w:rsidR="00666DE9" w:rsidRPr="00FE4D3D" w:rsidRDefault="00185D30" w:rsidP="00FE4D3D">
      <w:pPr>
        <w:pStyle w:val="Heading1"/>
      </w:pPr>
      <w:r>
        <w:br w:type="page"/>
      </w:r>
      <w:bookmarkStart w:id="31" w:name="_Toc485765688"/>
      <w:r w:rsidR="00666DE9">
        <w:lastRenderedPageBreak/>
        <w:t>Conclusión</w:t>
      </w:r>
      <w:bookmarkEnd w:id="31"/>
    </w:p>
    <w:p w:rsidR="002C3927" w:rsidRDefault="002C3927" w:rsidP="007F68DB">
      <w:r>
        <w:t xml:space="preserve">Desde la fundación de los primeros sindicatos de trabajadoras del hogar en los años ochenta, el movimiento de trabajadoras del hogar ha logrado importantes mejoras legislativas para proteger sus derechos y mejorar sus condiciones laborales y de vida. La llegada al poder del partido </w:t>
      </w:r>
      <w:r w:rsidR="003F6248">
        <w:t xml:space="preserve">MAS </w:t>
      </w:r>
      <w:r>
        <w:t xml:space="preserve">y Evo Morales tras su victoria electoral en 2006 despertó grandes expectativas en la </w:t>
      </w:r>
      <w:r w:rsidR="003F6248">
        <w:t>Fenatrahob</w:t>
      </w:r>
      <w:r>
        <w:t>, la principal organización del movimiento. Sin embargo, la acción del gobierno del MAS respecto a los derechos de las trabajadoras del hogar durante sus primeros diez años en el poder (2006-2016) ha sido ambivalente.</w:t>
      </w:r>
    </w:p>
    <w:p w:rsidR="007F68DB" w:rsidRDefault="002C3927" w:rsidP="007F68DB">
      <w:r>
        <w:t>El objetivo de esta investi</w:t>
      </w:r>
      <w:r w:rsidR="001E241D">
        <w:t>gación es arrojar luz sobre este ámbito de la acción gubernamental</w:t>
      </w:r>
      <w:r>
        <w:t>, explorando</w:t>
      </w:r>
      <w:r w:rsidR="00766506">
        <w:t xml:space="preserve"> la siguiente</w:t>
      </w:r>
      <w:r>
        <w:t xml:space="preserve"> pregunta de investigación:</w:t>
      </w:r>
    </w:p>
    <w:p w:rsidR="007F68DB" w:rsidRPr="007F68DB" w:rsidRDefault="007F68DB" w:rsidP="007F68DB">
      <w:pPr>
        <w:ind w:left="567" w:right="567"/>
        <w:rPr>
          <w:rFonts w:cstheme="minorHAnsi"/>
          <w:b/>
          <w:i/>
        </w:rPr>
      </w:pPr>
      <w:r w:rsidRPr="007F68DB">
        <w:rPr>
          <w:rFonts w:cstheme="minorHAnsi"/>
          <w:i/>
        </w:rPr>
        <w:t>¿Cuáles fueron los principales impactos del movimiento boliviano de trabajadoras del hogar en las políticas públicas durante el periodo 2006-2016 y en qué medida la institucionalizaci</w:t>
      </w:r>
      <w:r>
        <w:rPr>
          <w:rFonts w:cstheme="minorHAnsi"/>
          <w:i/>
        </w:rPr>
        <w:t xml:space="preserve">ón del movimiento explica dichos impactos? </w:t>
      </w:r>
    </w:p>
    <w:p w:rsidR="002C3927" w:rsidRDefault="004508AF" w:rsidP="00700644">
      <w:r>
        <w:t xml:space="preserve">El análisis explicado en las Partes 2, 3 y 4 de la ponencia ha permitido obtener </w:t>
      </w:r>
      <w:r w:rsidR="002C3927">
        <w:t>una respuesta a la problemática, que se sintetiza a continuación</w:t>
      </w:r>
      <w:r>
        <w:t>. Los principales impactos del movimiento boliviano de trabajadoras del hogar en las políticas públicas fueron la ratificación del Convenio 189 de la OIT, la inclusión de los derechos de las trabajadoras del hogar en la futura Ley General del Trabajo (si se realiza finalmente), el reconocimiento oficial del Día Nacional de las Trabajadoras del Hogar, la especificación de una amplia lista de formas de discriminación y el reconocimiento del valor económico del trabajo del hogar en la Constitución de 2009, la aprobación de la Resolución Ministerial 218/2014 que establece la obligatoriedad de contrato escrito y la libreta salarial para todas las trabajadoras del hogar</w:t>
      </w:r>
      <w:r w:rsidR="001E241D">
        <w:t>,</w:t>
      </w:r>
      <w:r>
        <w:t xml:space="preserve"> y el programa para promover el acceso de las trabajadoras del hogar a la educación s</w:t>
      </w:r>
      <w:r w:rsidR="002C3927">
        <w:t>ecundaria.</w:t>
      </w:r>
    </w:p>
    <w:p w:rsidR="00700644" w:rsidRPr="00666DE9" w:rsidRDefault="00700644" w:rsidP="00700644">
      <w:pPr>
        <w:rPr>
          <w:rFonts w:ascii="Calibri" w:hAnsi="Calibri" w:cs="Calibri"/>
        </w:rPr>
      </w:pPr>
      <w:r>
        <w:t xml:space="preserve">La alianza establecida entre el movimiento y el </w:t>
      </w:r>
      <w:r w:rsidR="00680C70">
        <w:t>Gobierno</w:t>
      </w:r>
      <w:r>
        <w:t xml:space="preserve"> -que implicó para el movimiento un acceso fácil al </w:t>
      </w:r>
      <w:r w:rsidR="00680C70">
        <w:t>Gobierno</w:t>
      </w:r>
      <w:r>
        <w:t xml:space="preserve"> a la vez que mantení</w:t>
      </w:r>
      <w:r w:rsidR="001E241D">
        <w:t>a una agenda política autónoma-</w:t>
      </w:r>
      <w:r>
        <w:t xml:space="preserve"> le </w:t>
      </w:r>
      <w:r w:rsidR="002C3927">
        <w:t>permitió</w:t>
      </w:r>
      <w:r>
        <w:t xml:space="preserve"> conseguir importantes impactos sensibilizadores pero no </w:t>
      </w:r>
      <w:r w:rsidR="002C3927">
        <w:t>le permitió</w:t>
      </w:r>
      <w:r>
        <w:t xml:space="preserve"> la obtención de impactos sustantivos, con dos excepciones: la Resolución Ministerial 218/2014 sobre el contrato escrito y la libreta salarial, y el programa para favorecer el acceso de las trabajadoras del hogar a la educación secundaria.</w:t>
      </w:r>
    </w:p>
    <w:p w:rsidR="00700644" w:rsidRDefault="00700644" w:rsidP="00700644"/>
    <w:p w:rsidR="00185D30" w:rsidRPr="002C3927" w:rsidRDefault="00185D30">
      <w:pPr>
        <w:spacing w:after="160" w:line="259" w:lineRule="auto"/>
        <w:jc w:val="left"/>
        <w:rPr>
          <w:rFonts w:asciiTheme="majorHAnsi" w:eastAsiaTheme="majorEastAsia" w:hAnsiTheme="majorHAnsi" w:cstheme="majorBidi"/>
          <w:color w:val="2E74B5" w:themeColor="accent1" w:themeShade="BF"/>
          <w:sz w:val="32"/>
          <w:szCs w:val="32"/>
        </w:rPr>
      </w:pPr>
      <w:r w:rsidRPr="002C3927">
        <w:br w:type="page"/>
      </w:r>
    </w:p>
    <w:p w:rsidR="0047129C" w:rsidRPr="0047129C" w:rsidRDefault="0047129C" w:rsidP="0047129C">
      <w:pPr>
        <w:pStyle w:val="Heading1"/>
        <w:rPr>
          <w:lang w:val="en-GB"/>
        </w:rPr>
      </w:pPr>
      <w:bookmarkStart w:id="32" w:name="_Toc485765689"/>
      <w:proofErr w:type="spellStart"/>
      <w:r w:rsidRPr="0047129C">
        <w:rPr>
          <w:lang w:val="en-GB"/>
        </w:rPr>
        <w:lastRenderedPageBreak/>
        <w:t>Bibliografía</w:t>
      </w:r>
      <w:bookmarkEnd w:id="32"/>
      <w:proofErr w:type="spellEnd"/>
    </w:p>
    <w:p w:rsidR="003F6248" w:rsidRPr="003F6248" w:rsidRDefault="003F6248" w:rsidP="003F6248">
      <w:pPr>
        <w:pStyle w:val="Bibliography"/>
        <w:rPr>
          <w:rFonts w:ascii="Calibri" w:hAnsi="Calibri" w:cs="Calibri"/>
        </w:rPr>
      </w:pPr>
      <w:r>
        <w:fldChar w:fldCharType="begin"/>
      </w:r>
      <w:r w:rsidRPr="003F6248">
        <w:rPr>
          <w:lang w:val="en-GB"/>
        </w:rPr>
        <w:instrText xml:space="preserve"> ADDIN ZOTERO_BIBL {"custom":[]} CSL_BIBLIOGRAPHY </w:instrText>
      </w:r>
      <w:r>
        <w:fldChar w:fldCharType="separate"/>
      </w:r>
      <w:proofErr w:type="spellStart"/>
      <w:r w:rsidRPr="003F6248">
        <w:rPr>
          <w:rFonts w:ascii="Calibri" w:hAnsi="Calibri" w:cs="Calibri"/>
          <w:lang w:val="en-GB"/>
        </w:rPr>
        <w:t>Álvarez</w:t>
      </w:r>
      <w:proofErr w:type="spellEnd"/>
      <w:r w:rsidRPr="003F6248">
        <w:rPr>
          <w:rFonts w:ascii="Calibri" w:hAnsi="Calibri" w:cs="Calibri"/>
          <w:lang w:val="en-GB"/>
        </w:rPr>
        <w:t xml:space="preserve">, S.E., 1990. Engendering democracy in Brazil: Women’s movements in transition politics. </w:t>
      </w:r>
      <w:r w:rsidRPr="003F6248">
        <w:rPr>
          <w:rFonts w:ascii="Calibri" w:hAnsi="Calibri" w:cs="Calibri"/>
        </w:rPr>
        <w:t xml:space="preserve">Princeton </w:t>
      </w:r>
      <w:proofErr w:type="spellStart"/>
      <w:r w:rsidRPr="003F6248">
        <w:rPr>
          <w:rFonts w:ascii="Calibri" w:hAnsi="Calibri" w:cs="Calibri"/>
        </w:rPr>
        <w:t>University</w:t>
      </w:r>
      <w:proofErr w:type="spellEnd"/>
      <w:r w:rsidRPr="003F6248">
        <w:rPr>
          <w:rFonts w:ascii="Calibri" w:hAnsi="Calibri" w:cs="Calibri"/>
        </w:rPr>
        <w:t xml:space="preserve"> </w:t>
      </w:r>
      <w:proofErr w:type="spellStart"/>
      <w:r w:rsidRPr="003F6248">
        <w:rPr>
          <w:rFonts w:ascii="Calibri" w:hAnsi="Calibri" w:cs="Calibri"/>
        </w:rPr>
        <w:t>Press</w:t>
      </w:r>
      <w:proofErr w:type="spellEnd"/>
      <w:r w:rsidRPr="003F6248">
        <w:rPr>
          <w:rFonts w:ascii="Calibri" w:hAnsi="Calibri" w:cs="Calibri"/>
        </w:rPr>
        <w:t>.</w:t>
      </w:r>
    </w:p>
    <w:p w:rsidR="003F6248" w:rsidRPr="003F6248" w:rsidRDefault="003F6248" w:rsidP="003F6248">
      <w:pPr>
        <w:pStyle w:val="Bibliography"/>
        <w:rPr>
          <w:rFonts w:ascii="Calibri" w:hAnsi="Calibri" w:cs="Calibri"/>
        </w:rPr>
      </w:pPr>
      <w:r w:rsidRPr="003F6248">
        <w:rPr>
          <w:rFonts w:ascii="Calibri" w:hAnsi="Calibri" w:cs="Calibri"/>
        </w:rPr>
        <w:t xml:space="preserve">Baptista </w:t>
      </w:r>
      <w:proofErr w:type="spellStart"/>
      <w:r w:rsidRPr="003F6248">
        <w:rPr>
          <w:rFonts w:ascii="Calibri" w:hAnsi="Calibri" w:cs="Calibri"/>
        </w:rPr>
        <w:t>Canedo</w:t>
      </w:r>
      <w:proofErr w:type="spellEnd"/>
      <w:r w:rsidRPr="003F6248">
        <w:rPr>
          <w:rFonts w:ascii="Calibri" w:hAnsi="Calibri" w:cs="Calibri"/>
        </w:rPr>
        <w:t>, R., 2011. Trabajo asalariado del hogar. Análisis Comparativo del Convenio de la OIT y el Marco Normativo Nacional.</w:t>
      </w:r>
    </w:p>
    <w:p w:rsidR="003F6248" w:rsidRPr="003F6248" w:rsidRDefault="003F6248" w:rsidP="003F6248">
      <w:pPr>
        <w:pStyle w:val="Bibliography"/>
        <w:rPr>
          <w:rFonts w:ascii="Calibri" w:hAnsi="Calibri" w:cs="Calibri"/>
          <w:lang w:val="en-GB"/>
        </w:rPr>
      </w:pPr>
      <w:proofErr w:type="spellStart"/>
      <w:r w:rsidRPr="003F6248">
        <w:rPr>
          <w:rFonts w:ascii="Calibri" w:hAnsi="Calibri" w:cs="Calibri"/>
          <w:lang w:val="en-GB"/>
        </w:rPr>
        <w:t>Blee</w:t>
      </w:r>
      <w:proofErr w:type="spellEnd"/>
      <w:r w:rsidRPr="003F6248">
        <w:rPr>
          <w:rFonts w:ascii="Calibri" w:hAnsi="Calibri" w:cs="Calibri"/>
          <w:lang w:val="en-GB"/>
        </w:rPr>
        <w:t>, K.M., Taylor, V., 2002. Semi-structured interviewing in social movement research. Methods Soc. Mov. Res. 16, 92–117.</w:t>
      </w:r>
    </w:p>
    <w:p w:rsidR="003F6248" w:rsidRPr="003F6248" w:rsidRDefault="003F6248" w:rsidP="003F6248">
      <w:pPr>
        <w:pStyle w:val="Bibliography"/>
        <w:rPr>
          <w:rFonts w:ascii="Calibri" w:hAnsi="Calibri" w:cs="Calibri"/>
          <w:lang w:val="en-GB"/>
        </w:rPr>
      </w:pPr>
      <w:proofErr w:type="spellStart"/>
      <w:r w:rsidRPr="003F6248">
        <w:rPr>
          <w:rFonts w:ascii="Calibri" w:hAnsi="Calibri" w:cs="Calibri"/>
          <w:lang w:val="en-GB"/>
        </w:rPr>
        <w:t>Blofield</w:t>
      </w:r>
      <w:proofErr w:type="spellEnd"/>
      <w:r w:rsidRPr="003F6248">
        <w:rPr>
          <w:rFonts w:ascii="Calibri" w:hAnsi="Calibri" w:cs="Calibri"/>
          <w:lang w:val="en-GB"/>
        </w:rPr>
        <w:t>, M., 2013. Care, Work and Class: Domestic Workers’ Struggle for Equal Rights in Latin America. The Pennsylvania State University Press.</w:t>
      </w:r>
    </w:p>
    <w:p w:rsidR="003F6248" w:rsidRPr="003F6248" w:rsidRDefault="003F6248" w:rsidP="003F6248">
      <w:pPr>
        <w:pStyle w:val="Bibliography"/>
        <w:rPr>
          <w:rFonts w:ascii="Calibri" w:hAnsi="Calibri" w:cs="Calibri"/>
          <w:lang w:val="en-GB"/>
        </w:rPr>
      </w:pPr>
      <w:proofErr w:type="spellStart"/>
      <w:r w:rsidRPr="003F6248">
        <w:rPr>
          <w:rFonts w:ascii="Calibri" w:hAnsi="Calibri" w:cs="Calibri"/>
          <w:lang w:val="en-GB"/>
        </w:rPr>
        <w:t>Blofield</w:t>
      </w:r>
      <w:proofErr w:type="spellEnd"/>
      <w:r w:rsidRPr="003F6248">
        <w:rPr>
          <w:rFonts w:ascii="Calibri" w:hAnsi="Calibri" w:cs="Calibri"/>
          <w:lang w:val="en-GB"/>
        </w:rPr>
        <w:t>, M., 2009. Feudal enclaves and political reforms: Domestic workers in Latin America. Lat. Am. Res. Rev. 44, 158–190.</w:t>
      </w:r>
    </w:p>
    <w:p w:rsidR="003F6248" w:rsidRPr="003F6248" w:rsidRDefault="003F6248" w:rsidP="003F6248">
      <w:pPr>
        <w:pStyle w:val="Bibliography"/>
        <w:rPr>
          <w:rFonts w:ascii="Calibri" w:hAnsi="Calibri" w:cs="Calibri"/>
        </w:rPr>
      </w:pPr>
      <w:r w:rsidRPr="003F6248">
        <w:rPr>
          <w:rFonts w:ascii="Calibri" w:hAnsi="Calibri" w:cs="Calibri"/>
          <w:lang w:val="en-GB"/>
        </w:rPr>
        <w:t xml:space="preserve">Braun, V., Clarke, V., 2006. Using thematic analysis in psychology. </w:t>
      </w:r>
      <w:proofErr w:type="spellStart"/>
      <w:r w:rsidRPr="003F6248">
        <w:rPr>
          <w:rFonts w:ascii="Calibri" w:hAnsi="Calibri" w:cs="Calibri"/>
        </w:rPr>
        <w:t>Qual</w:t>
      </w:r>
      <w:proofErr w:type="spellEnd"/>
      <w:r w:rsidRPr="003F6248">
        <w:rPr>
          <w:rFonts w:ascii="Calibri" w:hAnsi="Calibri" w:cs="Calibri"/>
        </w:rPr>
        <w:t xml:space="preserve">. Res. </w:t>
      </w:r>
      <w:proofErr w:type="spellStart"/>
      <w:r w:rsidRPr="003F6248">
        <w:rPr>
          <w:rFonts w:ascii="Calibri" w:hAnsi="Calibri" w:cs="Calibri"/>
        </w:rPr>
        <w:t>Psychol</w:t>
      </w:r>
      <w:proofErr w:type="spellEnd"/>
      <w:r w:rsidRPr="003F6248">
        <w:rPr>
          <w:rFonts w:ascii="Calibri" w:hAnsi="Calibri" w:cs="Calibri"/>
        </w:rPr>
        <w:t>. 3, 77–101.</w:t>
      </w:r>
    </w:p>
    <w:p w:rsidR="003F6248" w:rsidRPr="003F6248" w:rsidRDefault="003F6248" w:rsidP="003F6248">
      <w:pPr>
        <w:pStyle w:val="Bibliography"/>
        <w:rPr>
          <w:rFonts w:ascii="Calibri" w:hAnsi="Calibri" w:cs="Calibri"/>
        </w:rPr>
      </w:pPr>
      <w:r w:rsidRPr="003F6248">
        <w:rPr>
          <w:rFonts w:ascii="Calibri" w:hAnsi="Calibri" w:cs="Calibri"/>
        </w:rPr>
        <w:t xml:space="preserve">Cabezas Fernández, M., 2012. “19 años de lucha por la ley, 11 en el parlamento”: las reivindicaciones de las trabajadoras asalariadas del hogar en Bolivia durante la etapa neoliberal. Íconos Rev. </w:t>
      </w:r>
      <w:proofErr w:type="spellStart"/>
      <w:r w:rsidRPr="003F6248">
        <w:rPr>
          <w:rFonts w:ascii="Calibri" w:hAnsi="Calibri" w:cs="Calibri"/>
        </w:rPr>
        <w:t>Cienc</w:t>
      </w:r>
      <w:proofErr w:type="spellEnd"/>
      <w:r w:rsidRPr="003F6248">
        <w:rPr>
          <w:rFonts w:ascii="Calibri" w:hAnsi="Calibri" w:cs="Calibri"/>
        </w:rPr>
        <w:t>. Soc. 85–100.</w:t>
      </w:r>
    </w:p>
    <w:p w:rsidR="003F6248" w:rsidRPr="003F6248" w:rsidRDefault="003F6248" w:rsidP="003F6248">
      <w:pPr>
        <w:pStyle w:val="Bibliography"/>
        <w:rPr>
          <w:rFonts w:ascii="Calibri" w:hAnsi="Calibri" w:cs="Calibri"/>
        </w:rPr>
      </w:pPr>
      <w:r w:rsidRPr="003F6248">
        <w:rPr>
          <w:rFonts w:ascii="Calibri" w:hAnsi="Calibri" w:cs="Calibri"/>
        </w:rPr>
        <w:t xml:space="preserve">Capítulo Boliviano de Derechos Humanos, 2012. Cámara de Diputados aprueba ley que ratifica Convenio 189 de la OIT de las trabajadoras </w:t>
      </w:r>
      <w:proofErr w:type="spellStart"/>
      <w:r w:rsidRPr="003F6248">
        <w:rPr>
          <w:rFonts w:ascii="Calibri" w:hAnsi="Calibri" w:cs="Calibri"/>
        </w:rPr>
        <w:t>delhogar</w:t>
      </w:r>
      <w:proofErr w:type="spellEnd"/>
      <w:r w:rsidRPr="003F6248">
        <w:rPr>
          <w:rFonts w:ascii="Calibri" w:hAnsi="Calibri" w:cs="Calibri"/>
        </w:rPr>
        <w:t xml:space="preserve"> [WWW </w:t>
      </w:r>
      <w:proofErr w:type="spellStart"/>
      <w:r w:rsidRPr="003F6248">
        <w:rPr>
          <w:rFonts w:ascii="Calibri" w:hAnsi="Calibri" w:cs="Calibri"/>
        </w:rPr>
        <w:t>Document</w:t>
      </w:r>
      <w:proofErr w:type="spellEnd"/>
      <w:r w:rsidRPr="003F6248">
        <w:rPr>
          <w:rFonts w:ascii="Calibri" w:hAnsi="Calibri" w:cs="Calibri"/>
        </w:rPr>
        <w:t xml:space="preserve">]. CAPÍTULO </w:t>
      </w:r>
      <w:proofErr w:type="spellStart"/>
      <w:r w:rsidRPr="003F6248">
        <w:rPr>
          <w:rFonts w:ascii="Calibri" w:hAnsi="Calibri" w:cs="Calibri"/>
        </w:rPr>
        <w:t>Boliv</w:t>
      </w:r>
      <w:proofErr w:type="spellEnd"/>
      <w:r w:rsidRPr="003F6248">
        <w:rPr>
          <w:rFonts w:ascii="Calibri" w:hAnsi="Calibri" w:cs="Calibri"/>
        </w:rPr>
        <w:t xml:space="preserve">. DERECHOS </w:t>
      </w:r>
      <w:proofErr w:type="spellStart"/>
      <w:r w:rsidRPr="003F6248">
        <w:rPr>
          <w:rFonts w:ascii="Calibri" w:hAnsi="Calibri" w:cs="Calibri"/>
        </w:rPr>
        <w:t>Hum</w:t>
      </w:r>
      <w:proofErr w:type="spellEnd"/>
      <w:r w:rsidRPr="003F6248">
        <w:rPr>
          <w:rFonts w:ascii="Calibri" w:hAnsi="Calibri" w:cs="Calibri"/>
        </w:rPr>
        <w:t xml:space="preserve">. </w:t>
      </w:r>
      <w:proofErr w:type="spellStart"/>
      <w:r w:rsidRPr="003F6248">
        <w:rPr>
          <w:rFonts w:ascii="Calibri" w:hAnsi="Calibri" w:cs="Calibri"/>
        </w:rPr>
        <w:t>Democr</w:t>
      </w:r>
      <w:proofErr w:type="spellEnd"/>
      <w:r w:rsidRPr="003F6248">
        <w:rPr>
          <w:rFonts w:ascii="Calibri" w:hAnsi="Calibri" w:cs="Calibri"/>
        </w:rPr>
        <w:t xml:space="preserve">. </w:t>
      </w:r>
      <w:proofErr w:type="spellStart"/>
      <w:r w:rsidRPr="003F6248">
        <w:rPr>
          <w:rFonts w:ascii="Calibri" w:hAnsi="Calibri" w:cs="Calibri"/>
        </w:rPr>
        <w:t>Desarro</w:t>
      </w:r>
      <w:proofErr w:type="spellEnd"/>
      <w:r w:rsidRPr="003F6248">
        <w:rPr>
          <w:rFonts w:ascii="Calibri" w:hAnsi="Calibri" w:cs="Calibri"/>
        </w:rPr>
        <w:t>. URL http://www.derechoshumanosbolivia.org/noticia/NO20120827104518/ (</w:t>
      </w:r>
      <w:proofErr w:type="spellStart"/>
      <w:r w:rsidRPr="003F6248">
        <w:rPr>
          <w:rFonts w:ascii="Calibri" w:hAnsi="Calibri" w:cs="Calibri"/>
        </w:rPr>
        <w:t>accessed</w:t>
      </w:r>
      <w:proofErr w:type="spellEnd"/>
      <w:r w:rsidRPr="003F6248">
        <w:rPr>
          <w:rFonts w:ascii="Calibri" w:hAnsi="Calibri" w:cs="Calibri"/>
        </w:rPr>
        <w:t xml:space="preserve"> 6.1.17).</w:t>
      </w:r>
    </w:p>
    <w:p w:rsidR="003F6248" w:rsidRPr="003F6248" w:rsidRDefault="003F6248" w:rsidP="003F6248">
      <w:pPr>
        <w:pStyle w:val="Bibliography"/>
        <w:rPr>
          <w:rFonts w:ascii="Calibri" w:hAnsi="Calibri" w:cs="Calibri"/>
        </w:rPr>
      </w:pPr>
      <w:r w:rsidRPr="003F6248">
        <w:rPr>
          <w:rFonts w:ascii="Calibri" w:hAnsi="Calibri" w:cs="Calibri"/>
        </w:rPr>
        <w:t xml:space="preserve">CENAC-Bolivia, 2010. Realidades de la economía informal: la cuentapropista y la trabajadora del hogar. Estudio de caso: Bolivia, Estudios de caso sobre protección social. Global Network </w:t>
      </w:r>
      <w:proofErr w:type="spellStart"/>
      <w:r w:rsidRPr="003F6248">
        <w:rPr>
          <w:rFonts w:ascii="Calibri" w:hAnsi="Calibri" w:cs="Calibri"/>
        </w:rPr>
        <w:t>Latin</w:t>
      </w:r>
      <w:proofErr w:type="spellEnd"/>
      <w:r w:rsidRPr="003F6248">
        <w:rPr>
          <w:rFonts w:ascii="Calibri" w:hAnsi="Calibri" w:cs="Calibri"/>
        </w:rPr>
        <w:t xml:space="preserve"> </w:t>
      </w:r>
      <w:proofErr w:type="spellStart"/>
      <w:r w:rsidRPr="003F6248">
        <w:rPr>
          <w:rFonts w:ascii="Calibri" w:hAnsi="Calibri" w:cs="Calibri"/>
        </w:rPr>
        <w:t>America</w:t>
      </w:r>
      <w:proofErr w:type="spellEnd"/>
      <w:r w:rsidRPr="003F6248">
        <w:rPr>
          <w:rFonts w:ascii="Calibri" w:hAnsi="Calibri" w:cs="Calibri"/>
        </w:rPr>
        <w:t>.</w:t>
      </w:r>
    </w:p>
    <w:p w:rsidR="003F6248" w:rsidRPr="003F6248" w:rsidRDefault="003F6248" w:rsidP="003F6248">
      <w:pPr>
        <w:pStyle w:val="Bibliography"/>
        <w:rPr>
          <w:rFonts w:ascii="Calibri" w:hAnsi="Calibri" w:cs="Calibri"/>
        </w:rPr>
      </w:pPr>
      <w:r w:rsidRPr="003F6248">
        <w:rPr>
          <w:rFonts w:ascii="Calibri" w:hAnsi="Calibri" w:cs="Calibri"/>
        </w:rPr>
        <w:t>Fenatrahob, 2016. Boletín “Equidad y Justicia” marzo 2016.</w:t>
      </w:r>
    </w:p>
    <w:p w:rsidR="003F6248" w:rsidRPr="003F6248" w:rsidRDefault="003F6248" w:rsidP="003F6248">
      <w:pPr>
        <w:pStyle w:val="Bibliography"/>
        <w:rPr>
          <w:rFonts w:ascii="Calibri" w:hAnsi="Calibri" w:cs="Calibri"/>
        </w:rPr>
      </w:pPr>
      <w:r w:rsidRPr="003F6248">
        <w:rPr>
          <w:rFonts w:ascii="Calibri" w:hAnsi="Calibri" w:cs="Calibri"/>
        </w:rPr>
        <w:t>Fenatrahob, 2015. Boletín “Equidad y Justicia” marzo 2015.</w:t>
      </w:r>
    </w:p>
    <w:p w:rsidR="003F6248" w:rsidRPr="003F6248" w:rsidRDefault="003F6248" w:rsidP="003F6248">
      <w:pPr>
        <w:pStyle w:val="Bibliography"/>
        <w:rPr>
          <w:rFonts w:ascii="Calibri" w:hAnsi="Calibri" w:cs="Calibri"/>
        </w:rPr>
      </w:pPr>
      <w:r w:rsidRPr="003F6248">
        <w:rPr>
          <w:rFonts w:ascii="Calibri" w:hAnsi="Calibri" w:cs="Calibri"/>
        </w:rPr>
        <w:t xml:space="preserve">Fenatrahob, 2014a. Descolonización y </w:t>
      </w:r>
      <w:proofErr w:type="spellStart"/>
      <w:r w:rsidRPr="003F6248">
        <w:rPr>
          <w:rFonts w:ascii="Calibri" w:hAnsi="Calibri" w:cs="Calibri"/>
        </w:rPr>
        <w:t>despatriarcalización</w:t>
      </w:r>
      <w:proofErr w:type="spellEnd"/>
      <w:r w:rsidRPr="003F6248">
        <w:rPr>
          <w:rFonts w:ascii="Calibri" w:hAnsi="Calibri" w:cs="Calibri"/>
        </w:rPr>
        <w:t xml:space="preserve"> desde la perspectiva de las trabajadoras de las trabajadoras asalariadas del hogar: una propuesta de política pública.</w:t>
      </w:r>
    </w:p>
    <w:p w:rsidR="003F6248" w:rsidRPr="003F6248" w:rsidRDefault="003F6248" w:rsidP="003F6248">
      <w:pPr>
        <w:pStyle w:val="Bibliography"/>
        <w:rPr>
          <w:rFonts w:ascii="Calibri" w:hAnsi="Calibri" w:cs="Calibri"/>
        </w:rPr>
      </w:pPr>
      <w:r w:rsidRPr="003F6248">
        <w:rPr>
          <w:rFonts w:ascii="Calibri" w:hAnsi="Calibri" w:cs="Calibri"/>
        </w:rPr>
        <w:t>Fenatrahob, 2014b. Boletín “Equidad y Justicia” marzo 2014.</w:t>
      </w:r>
    </w:p>
    <w:p w:rsidR="003F6248" w:rsidRPr="003F6248" w:rsidRDefault="003F6248" w:rsidP="003F6248">
      <w:pPr>
        <w:pStyle w:val="Bibliography"/>
        <w:rPr>
          <w:rFonts w:ascii="Calibri" w:hAnsi="Calibri" w:cs="Calibri"/>
        </w:rPr>
      </w:pPr>
      <w:r w:rsidRPr="003F6248">
        <w:rPr>
          <w:rFonts w:ascii="Calibri" w:hAnsi="Calibri" w:cs="Calibri"/>
        </w:rPr>
        <w:t>Fenatrahob, 2014c. Boletín “Equidad y Justicia” octubre 2014.</w:t>
      </w:r>
    </w:p>
    <w:p w:rsidR="003F6248" w:rsidRPr="003F6248" w:rsidRDefault="003F6248" w:rsidP="003F6248">
      <w:pPr>
        <w:pStyle w:val="Bibliography"/>
        <w:rPr>
          <w:rFonts w:ascii="Calibri" w:hAnsi="Calibri" w:cs="Calibri"/>
        </w:rPr>
      </w:pPr>
      <w:r w:rsidRPr="003F6248">
        <w:rPr>
          <w:rFonts w:ascii="Calibri" w:hAnsi="Calibri" w:cs="Calibri"/>
        </w:rPr>
        <w:t>Fenatrahob, 2014d. Boletín “Equidad y Justicia” marzo 2014.</w:t>
      </w:r>
    </w:p>
    <w:p w:rsidR="003F6248" w:rsidRPr="003F6248" w:rsidRDefault="003F6248" w:rsidP="003F6248">
      <w:pPr>
        <w:pStyle w:val="Bibliography"/>
        <w:rPr>
          <w:rFonts w:ascii="Calibri" w:hAnsi="Calibri" w:cs="Calibri"/>
        </w:rPr>
      </w:pPr>
      <w:r w:rsidRPr="003F6248">
        <w:rPr>
          <w:rFonts w:ascii="Calibri" w:hAnsi="Calibri" w:cs="Calibri"/>
        </w:rPr>
        <w:t>Fenatrahob, 2014e. Boletín “Equidad y Justicia” mayo 2014.</w:t>
      </w:r>
    </w:p>
    <w:p w:rsidR="003F6248" w:rsidRPr="003F6248" w:rsidRDefault="003F6248" w:rsidP="003F6248">
      <w:pPr>
        <w:pStyle w:val="Bibliography"/>
        <w:rPr>
          <w:rFonts w:ascii="Calibri" w:hAnsi="Calibri" w:cs="Calibri"/>
        </w:rPr>
      </w:pPr>
      <w:r w:rsidRPr="003F6248">
        <w:rPr>
          <w:rFonts w:ascii="Calibri" w:hAnsi="Calibri" w:cs="Calibri"/>
        </w:rPr>
        <w:t>Fenatrahob, 2013. Boletín “Equidad y Justicia” marzo 2013.</w:t>
      </w:r>
    </w:p>
    <w:p w:rsidR="003F6248" w:rsidRPr="003F6248" w:rsidRDefault="003F6248" w:rsidP="003F6248">
      <w:pPr>
        <w:pStyle w:val="Bibliography"/>
        <w:rPr>
          <w:rFonts w:ascii="Calibri" w:hAnsi="Calibri" w:cs="Calibri"/>
        </w:rPr>
      </w:pPr>
      <w:r w:rsidRPr="003F6248">
        <w:rPr>
          <w:rFonts w:ascii="Calibri" w:hAnsi="Calibri" w:cs="Calibri"/>
        </w:rPr>
        <w:t>Fenatrahob, 2011a. Boletín “Equidad y Justicia” septiembre 2011.</w:t>
      </w:r>
    </w:p>
    <w:p w:rsidR="003F6248" w:rsidRPr="003F6248" w:rsidRDefault="003F6248" w:rsidP="003F6248">
      <w:pPr>
        <w:pStyle w:val="Bibliography"/>
        <w:rPr>
          <w:rFonts w:ascii="Calibri" w:hAnsi="Calibri" w:cs="Calibri"/>
        </w:rPr>
      </w:pPr>
      <w:r w:rsidRPr="003F6248">
        <w:rPr>
          <w:rFonts w:ascii="Calibri" w:hAnsi="Calibri" w:cs="Calibri"/>
        </w:rPr>
        <w:t>Fenatrahob, 2011b. Boletín “Equidad y Justicia” marzo 2011.</w:t>
      </w:r>
    </w:p>
    <w:p w:rsidR="003F6248" w:rsidRPr="003F6248" w:rsidRDefault="003F6248" w:rsidP="003F6248">
      <w:pPr>
        <w:pStyle w:val="Bibliography"/>
        <w:rPr>
          <w:rFonts w:ascii="Calibri" w:hAnsi="Calibri" w:cs="Calibri"/>
        </w:rPr>
      </w:pPr>
      <w:r w:rsidRPr="003F6248">
        <w:rPr>
          <w:rFonts w:ascii="Calibri" w:hAnsi="Calibri" w:cs="Calibri"/>
        </w:rPr>
        <w:t>Fenatrahob, 2011c. Boletín “Equidad y Justicia” mayo 2011.</w:t>
      </w:r>
    </w:p>
    <w:p w:rsidR="003F6248" w:rsidRPr="003F6248" w:rsidRDefault="003F6248" w:rsidP="003F6248">
      <w:pPr>
        <w:pStyle w:val="Bibliography"/>
        <w:rPr>
          <w:rFonts w:ascii="Calibri" w:hAnsi="Calibri" w:cs="Calibri"/>
        </w:rPr>
      </w:pPr>
      <w:r w:rsidRPr="003F6248">
        <w:rPr>
          <w:rFonts w:ascii="Calibri" w:hAnsi="Calibri" w:cs="Calibri"/>
        </w:rPr>
        <w:t>Fenatrahob, 2010a. Boletín “Equidad y Justicia” marzo 2010.</w:t>
      </w:r>
    </w:p>
    <w:p w:rsidR="003F6248" w:rsidRPr="003F6248" w:rsidRDefault="003F6248" w:rsidP="003F6248">
      <w:pPr>
        <w:pStyle w:val="Bibliography"/>
        <w:rPr>
          <w:rFonts w:ascii="Calibri" w:hAnsi="Calibri" w:cs="Calibri"/>
        </w:rPr>
      </w:pPr>
      <w:r w:rsidRPr="003F6248">
        <w:rPr>
          <w:rFonts w:ascii="Calibri" w:hAnsi="Calibri" w:cs="Calibri"/>
        </w:rPr>
        <w:t>Fenatrahob, 2010b. Boletín “Equidad y Justicia” julio 2010.</w:t>
      </w:r>
    </w:p>
    <w:p w:rsidR="003F6248" w:rsidRPr="003F6248" w:rsidRDefault="003F6248" w:rsidP="003F6248">
      <w:pPr>
        <w:pStyle w:val="Bibliography"/>
        <w:rPr>
          <w:rFonts w:ascii="Calibri" w:hAnsi="Calibri" w:cs="Calibri"/>
        </w:rPr>
      </w:pPr>
      <w:r w:rsidRPr="003F6248">
        <w:rPr>
          <w:rFonts w:ascii="Calibri" w:hAnsi="Calibri" w:cs="Calibri"/>
        </w:rPr>
        <w:t>Fenatrahob, 2010c. Boletín “Equidad y Justicia” diciembre 2010.</w:t>
      </w:r>
    </w:p>
    <w:p w:rsidR="003F6248" w:rsidRPr="003F6248" w:rsidRDefault="003F6248" w:rsidP="003F6248">
      <w:pPr>
        <w:pStyle w:val="Bibliography"/>
        <w:rPr>
          <w:rFonts w:ascii="Calibri" w:hAnsi="Calibri" w:cs="Calibri"/>
        </w:rPr>
      </w:pPr>
      <w:r w:rsidRPr="003F6248">
        <w:rPr>
          <w:rFonts w:ascii="Calibri" w:hAnsi="Calibri" w:cs="Calibri"/>
        </w:rPr>
        <w:t>Fenatrahob, 2009a. Boletín “Equidad y Justicia” marzo 2009.</w:t>
      </w:r>
    </w:p>
    <w:p w:rsidR="003F6248" w:rsidRPr="003F6248" w:rsidRDefault="003F6248" w:rsidP="003F6248">
      <w:pPr>
        <w:pStyle w:val="Bibliography"/>
        <w:rPr>
          <w:rFonts w:ascii="Calibri" w:hAnsi="Calibri" w:cs="Calibri"/>
        </w:rPr>
      </w:pPr>
      <w:r w:rsidRPr="003F6248">
        <w:rPr>
          <w:rFonts w:ascii="Calibri" w:hAnsi="Calibri" w:cs="Calibri"/>
        </w:rPr>
        <w:t>Fenatrahob, 2009b. Boletín “Equidad y Justicia” diciembre 2009.</w:t>
      </w:r>
    </w:p>
    <w:p w:rsidR="003F6248" w:rsidRPr="003F6248" w:rsidRDefault="003F6248" w:rsidP="003F6248">
      <w:pPr>
        <w:pStyle w:val="Bibliography"/>
        <w:rPr>
          <w:rFonts w:ascii="Calibri" w:hAnsi="Calibri" w:cs="Calibri"/>
        </w:rPr>
      </w:pPr>
      <w:r w:rsidRPr="003F6248">
        <w:rPr>
          <w:rFonts w:ascii="Calibri" w:hAnsi="Calibri" w:cs="Calibri"/>
        </w:rPr>
        <w:t>Fenatrahob, 2009c. Boletín “Equidad y Justicia” agosto 2009.</w:t>
      </w:r>
    </w:p>
    <w:p w:rsidR="003F6248" w:rsidRPr="003F6248" w:rsidRDefault="003F6248" w:rsidP="003F6248">
      <w:pPr>
        <w:pStyle w:val="Bibliography"/>
        <w:rPr>
          <w:rFonts w:ascii="Calibri" w:hAnsi="Calibri" w:cs="Calibri"/>
        </w:rPr>
      </w:pPr>
      <w:r w:rsidRPr="003F6248">
        <w:rPr>
          <w:rFonts w:ascii="Calibri" w:hAnsi="Calibri" w:cs="Calibri"/>
        </w:rPr>
        <w:t>Fenatrahob, 2008a. Boletín “Equidad y Justicia” mayo 2008.</w:t>
      </w:r>
    </w:p>
    <w:p w:rsidR="003F6248" w:rsidRPr="003F6248" w:rsidRDefault="003F6248" w:rsidP="003F6248">
      <w:pPr>
        <w:pStyle w:val="Bibliography"/>
        <w:rPr>
          <w:rFonts w:ascii="Calibri" w:hAnsi="Calibri" w:cs="Calibri"/>
        </w:rPr>
      </w:pPr>
      <w:r w:rsidRPr="003F6248">
        <w:rPr>
          <w:rFonts w:ascii="Calibri" w:hAnsi="Calibri" w:cs="Calibri"/>
        </w:rPr>
        <w:t>Fenatrahob, 2008b. Boletín “Equidad y Justicia” octubre 2008.</w:t>
      </w:r>
    </w:p>
    <w:p w:rsidR="003F6248" w:rsidRPr="003F6248" w:rsidRDefault="003F6248" w:rsidP="003F6248">
      <w:pPr>
        <w:pStyle w:val="Bibliography"/>
        <w:rPr>
          <w:rFonts w:ascii="Calibri" w:hAnsi="Calibri" w:cs="Calibri"/>
        </w:rPr>
      </w:pPr>
      <w:r w:rsidRPr="003F6248">
        <w:rPr>
          <w:rFonts w:ascii="Calibri" w:hAnsi="Calibri" w:cs="Calibri"/>
        </w:rPr>
        <w:t>Fenatrahob, 2007. Boletín “Equidad y Justicia” diciembre 2007.</w:t>
      </w:r>
    </w:p>
    <w:p w:rsidR="003F6248" w:rsidRPr="003F6248" w:rsidRDefault="003F6248" w:rsidP="003F6248">
      <w:pPr>
        <w:pStyle w:val="Bibliography"/>
        <w:rPr>
          <w:rFonts w:ascii="Calibri" w:hAnsi="Calibri" w:cs="Calibri"/>
        </w:rPr>
      </w:pPr>
      <w:r w:rsidRPr="003F6248">
        <w:rPr>
          <w:rFonts w:ascii="Calibri" w:hAnsi="Calibri" w:cs="Calibri"/>
        </w:rPr>
        <w:t>Fenatrahob, 2006a. Boletín “Equidad y Justicia” marzo 2006.</w:t>
      </w:r>
    </w:p>
    <w:p w:rsidR="003F6248" w:rsidRPr="003F6248" w:rsidRDefault="003F6248" w:rsidP="003F6248">
      <w:pPr>
        <w:pStyle w:val="Bibliography"/>
        <w:rPr>
          <w:rFonts w:ascii="Calibri" w:hAnsi="Calibri" w:cs="Calibri"/>
        </w:rPr>
      </w:pPr>
      <w:r w:rsidRPr="003F6248">
        <w:rPr>
          <w:rFonts w:ascii="Calibri" w:hAnsi="Calibri" w:cs="Calibri"/>
        </w:rPr>
        <w:lastRenderedPageBreak/>
        <w:t>Fenatrahob, 2006b. Boletín “Equidad y Justicia” septiembre 2006.</w:t>
      </w:r>
    </w:p>
    <w:p w:rsidR="003F6248" w:rsidRPr="003F6248" w:rsidRDefault="003F6248" w:rsidP="003F6248">
      <w:pPr>
        <w:pStyle w:val="Bibliography"/>
        <w:rPr>
          <w:rFonts w:ascii="Calibri" w:hAnsi="Calibri" w:cs="Calibri"/>
        </w:rPr>
      </w:pPr>
      <w:r w:rsidRPr="003F6248">
        <w:rPr>
          <w:rFonts w:ascii="Calibri" w:hAnsi="Calibri" w:cs="Calibri"/>
        </w:rPr>
        <w:t>Fenatrahob, 2005a. Boletín “Equidad y Justicia” marzo 2005.</w:t>
      </w:r>
    </w:p>
    <w:p w:rsidR="003F6248" w:rsidRPr="003F6248" w:rsidRDefault="003F6248" w:rsidP="003F6248">
      <w:pPr>
        <w:pStyle w:val="Bibliography"/>
        <w:rPr>
          <w:rFonts w:ascii="Calibri" w:hAnsi="Calibri" w:cs="Calibri"/>
        </w:rPr>
      </w:pPr>
      <w:r w:rsidRPr="003F6248">
        <w:rPr>
          <w:rFonts w:ascii="Calibri" w:hAnsi="Calibri" w:cs="Calibri"/>
        </w:rPr>
        <w:t>Fenatrahob, 2005b. Boletín “Equidad y Justicia” diciembre 2005.</w:t>
      </w:r>
    </w:p>
    <w:p w:rsidR="003F6248" w:rsidRPr="003F6248" w:rsidRDefault="003F6248" w:rsidP="003F6248">
      <w:pPr>
        <w:pStyle w:val="Bibliography"/>
        <w:rPr>
          <w:rFonts w:ascii="Calibri" w:hAnsi="Calibri" w:cs="Calibri"/>
          <w:lang w:val="en-GB"/>
        </w:rPr>
      </w:pPr>
      <w:r w:rsidRPr="003F6248">
        <w:rPr>
          <w:rFonts w:ascii="Calibri" w:hAnsi="Calibri" w:cs="Calibri"/>
          <w:lang w:val="en-GB"/>
        </w:rPr>
        <w:t xml:space="preserve">Gill, L., 1997. Creating citizens, making men: The military and masculinity in Bolivia. Cult. </w:t>
      </w:r>
      <w:proofErr w:type="spellStart"/>
      <w:r w:rsidRPr="003F6248">
        <w:rPr>
          <w:rFonts w:ascii="Calibri" w:hAnsi="Calibri" w:cs="Calibri"/>
          <w:lang w:val="en-GB"/>
        </w:rPr>
        <w:t>Anthropol</w:t>
      </w:r>
      <w:proofErr w:type="spellEnd"/>
      <w:r w:rsidRPr="003F6248">
        <w:rPr>
          <w:rFonts w:ascii="Calibri" w:hAnsi="Calibri" w:cs="Calibri"/>
          <w:lang w:val="en-GB"/>
        </w:rPr>
        <w:t>. 12, 527–550.</w:t>
      </w:r>
    </w:p>
    <w:p w:rsidR="003F6248" w:rsidRPr="003F6248" w:rsidRDefault="003F6248" w:rsidP="003F6248">
      <w:pPr>
        <w:pStyle w:val="Bibliography"/>
        <w:rPr>
          <w:rFonts w:ascii="Calibri" w:hAnsi="Calibri" w:cs="Calibri"/>
          <w:lang w:val="en-GB"/>
        </w:rPr>
      </w:pPr>
      <w:proofErr w:type="spellStart"/>
      <w:r w:rsidRPr="003F6248">
        <w:rPr>
          <w:rFonts w:ascii="Calibri" w:hAnsi="Calibri" w:cs="Calibri"/>
          <w:lang w:val="en-GB"/>
        </w:rPr>
        <w:t>Hangan</w:t>
      </w:r>
      <w:proofErr w:type="spellEnd"/>
      <w:r w:rsidRPr="003F6248">
        <w:rPr>
          <w:rFonts w:ascii="Calibri" w:hAnsi="Calibri" w:cs="Calibri"/>
          <w:lang w:val="en-GB"/>
        </w:rPr>
        <w:t xml:space="preserve">, M., 1998. Social Movements. Incorporation, Disengagement, and Opportunities –A Long View, in: </w:t>
      </w:r>
      <w:proofErr w:type="spellStart"/>
      <w:r w:rsidRPr="003F6248">
        <w:rPr>
          <w:rFonts w:ascii="Calibri" w:hAnsi="Calibri" w:cs="Calibri"/>
          <w:lang w:val="en-GB"/>
        </w:rPr>
        <w:t>Giugni</w:t>
      </w:r>
      <w:proofErr w:type="spellEnd"/>
      <w:r w:rsidRPr="003F6248">
        <w:rPr>
          <w:rFonts w:ascii="Calibri" w:hAnsi="Calibri" w:cs="Calibri"/>
          <w:lang w:val="en-GB"/>
        </w:rPr>
        <w:t>, M.G., McAdam, D., Tilly, C. (Eds.), From Contention to Democracy. Rowman and Littlefield Publishers, Lanham-Boulder-New York-Oxford (USA), pp. 3–30.</w:t>
      </w:r>
    </w:p>
    <w:p w:rsidR="003F6248" w:rsidRPr="003F6248" w:rsidRDefault="003F6248" w:rsidP="003F6248">
      <w:pPr>
        <w:pStyle w:val="Bibliography"/>
        <w:rPr>
          <w:rFonts w:ascii="Calibri" w:hAnsi="Calibri" w:cs="Calibri"/>
        </w:rPr>
      </w:pPr>
      <w:r w:rsidRPr="003F6248">
        <w:rPr>
          <w:rFonts w:ascii="Calibri" w:hAnsi="Calibri" w:cs="Calibri"/>
        </w:rPr>
        <w:t>ILO, 2013. Bolivia ratifica el Convenio 189 de la OIT sobre Trabajo Decente para los Trabajadores Domésticos.</w:t>
      </w:r>
    </w:p>
    <w:p w:rsidR="003F6248" w:rsidRPr="003F6248" w:rsidRDefault="003F6248" w:rsidP="003F6248">
      <w:pPr>
        <w:pStyle w:val="Bibliography"/>
        <w:rPr>
          <w:rFonts w:ascii="Calibri" w:hAnsi="Calibri" w:cs="Calibri"/>
          <w:lang w:val="en-GB"/>
        </w:rPr>
      </w:pPr>
      <w:r w:rsidRPr="003F6248">
        <w:rPr>
          <w:rFonts w:ascii="Calibri" w:hAnsi="Calibri" w:cs="Calibri"/>
        </w:rPr>
        <w:t xml:space="preserve">Instituto de Investigación e Interacción Educativa-UMSA, 2014. Estudio sobre trabajo doméstico de niños, niñas y adolescentes </w:t>
      </w:r>
      <w:proofErr w:type="spellStart"/>
      <w:r w:rsidRPr="003F6248">
        <w:rPr>
          <w:rFonts w:ascii="Calibri" w:hAnsi="Calibri" w:cs="Calibri"/>
        </w:rPr>
        <w:t>ne</w:t>
      </w:r>
      <w:proofErr w:type="spellEnd"/>
      <w:r w:rsidRPr="003F6248">
        <w:rPr>
          <w:rFonts w:ascii="Calibri" w:hAnsi="Calibri" w:cs="Calibri"/>
        </w:rPr>
        <w:t xml:space="preserve"> hogares de terceros en Bolivia. </w:t>
      </w:r>
      <w:r w:rsidRPr="003F6248">
        <w:rPr>
          <w:rFonts w:ascii="Calibri" w:hAnsi="Calibri" w:cs="Calibri"/>
          <w:lang w:val="en-GB"/>
        </w:rPr>
        <w:t>La Paz, Bolivia.</w:t>
      </w:r>
    </w:p>
    <w:p w:rsidR="003F6248" w:rsidRPr="003F6248" w:rsidRDefault="003F6248" w:rsidP="003F6248">
      <w:pPr>
        <w:pStyle w:val="Bibliography"/>
        <w:rPr>
          <w:rFonts w:ascii="Calibri" w:hAnsi="Calibri" w:cs="Calibri"/>
          <w:lang w:val="en-GB"/>
        </w:rPr>
      </w:pPr>
      <w:proofErr w:type="spellStart"/>
      <w:r w:rsidRPr="003F6248">
        <w:rPr>
          <w:rFonts w:ascii="Calibri" w:hAnsi="Calibri" w:cs="Calibri"/>
          <w:lang w:val="en-GB"/>
        </w:rPr>
        <w:t>Kitschelt</w:t>
      </w:r>
      <w:proofErr w:type="spellEnd"/>
      <w:r w:rsidRPr="003F6248">
        <w:rPr>
          <w:rFonts w:ascii="Calibri" w:hAnsi="Calibri" w:cs="Calibri"/>
          <w:lang w:val="en-GB"/>
        </w:rPr>
        <w:t>, H.P., 1986. Political opportunity structures and political protest: Anti-nuclear movements in four democracies. Br. J. Polit. Sci. 16, 57–85.</w:t>
      </w:r>
    </w:p>
    <w:p w:rsidR="003F6248" w:rsidRPr="003F6248" w:rsidRDefault="003F6248" w:rsidP="003F6248">
      <w:pPr>
        <w:pStyle w:val="Bibliography"/>
        <w:rPr>
          <w:rFonts w:ascii="Calibri" w:hAnsi="Calibri" w:cs="Calibri"/>
          <w:lang w:val="en-GB"/>
        </w:rPr>
      </w:pPr>
      <w:proofErr w:type="spellStart"/>
      <w:r w:rsidRPr="003F6248">
        <w:rPr>
          <w:rFonts w:ascii="Calibri" w:hAnsi="Calibri" w:cs="Calibri"/>
          <w:lang w:val="en-GB"/>
        </w:rPr>
        <w:t>Kriesi</w:t>
      </w:r>
      <w:proofErr w:type="spellEnd"/>
      <w:r w:rsidRPr="003F6248">
        <w:rPr>
          <w:rFonts w:ascii="Calibri" w:hAnsi="Calibri" w:cs="Calibri"/>
          <w:lang w:val="en-GB"/>
        </w:rPr>
        <w:t xml:space="preserve">, H., Koopmans, R., </w:t>
      </w:r>
      <w:proofErr w:type="spellStart"/>
      <w:r w:rsidRPr="003F6248">
        <w:rPr>
          <w:rFonts w:ascii="Calibri" w:hAnsi="Calibri" w:cs="Calibri"/>
          <w:lang w:val="en-GB"/>
        </w:rPr>
        <w:t>Duyvendak</w:t>
      </w:r>
      <w:proofErr w:type="spellEnd"/>
      <w:r w:rsidRPr="003F6248">
        <w:rPr>
          <w:rFonts w:ascii="Calibri" w:hAnsi="Calibri" w:cs="Calibri"/>
          <w:lang w:val="en-GB"/>
        </w:rPr>
        <w:t xml:space="preserve">, J.W., </w:t>
      </w:r>
      <w:proofErr w:type="spellStart"/>
      <w:r w:rsidRPr="003F6248">
        <w:rPr>
          <w:rFonts w:ascii="Calibri" w:hAnsi="Calibri" w:cs="Calibri"/>
          <w:lang w:val="en-GB"/>
        </w:rPr>
        <w:t>Giugni</w:t>
      </w:r>
      <w:proofErr w:type="spellEnd"/>
      <w:r w:rsidRPr="003F6248">
        <w:rPr>
          <w:rFonts w:ascii="Calibri" w:hAnsi="Calibri" w:cs="Calibri"/>
          <w:lang w:val="en-GB"/>
        </w:rPr>
        <w:t>, M.G., 1995. New Social Movements In Western Europe: A Comparative Analysis. Routledge.</w:t>
      </w:r>
    </w:p>
    <w:p w:rsidR="003F6248" w:rsidRPr="003F6248" w:rsidRDefault="003F6248" w:rsidP="003F6248">
      <w:pPr>
        <w:pStyle w:val="Bibliography"/>
        <w:rPr>
          <w:rFonts w:ascii="Calibri" w:hAnsi="Calibri" w:cs="Calibri"/>
        </w:rPr>
      </w:pPr>
      <w:proofErr w:type="spellStart"/>
      <w:r w:rsidRPr="003F6248">
        <w:rPr>
          <w:rFonts w:ascii="Calibri" w:hAnsi="Calibri" w:cs="Calibri"/>
          <w:lang w:val="en-GB"/>
        </w:rPr>
        <w:t>Lindekilde</w:t>
      </w:r>
      <w:proofErr w:type="spellEnd"/>
      <w:r w:rsidRPr="003F6248">
        <w:rPr>
          <w:rFonts w:ascii="Calibri" w:hAnsi="Calibri" w:cs="Calibri"/>
          <w:lang w:val="en-GB"/>
        </w:rPr>
        <w:t xml:space="preserve">, L., 2014. Discourse and Frame Analysis: In-Depth Analysis of Qualitative Data in Social Movement Research. </w:t>
      </w:r>
      <w:proofErr w:type="spellStart"/>
      <w:r w:rsidRPr="003F6248">
        <w:rPr>
          <w:rFonts w:ascii="Calibri" w:hAnsi="Calibri" w:cs="Calibri"/>
        </w:rPr>
        <w:t>Methodol</w:t>
      </w:r>
      <w:proofErr w:type="spellEnd"/>
      <w:r w:rsidRPr="003F6248">
        <w:rPr>
          <w:rFonts w:ascii="Calibri" w:hAnsi="Calibri" w:cs="Calibri"/>
        </w:rPr>
        <w:t xml:space="preserve">. </w:t>
      </w:r>
      <w:proofErr w:type="spellStart"/>
      <w:r w:rsidRPr="003F6248">
        <w:rPr>
          <w:rFonts w:ascii="Calibri" w:hAnsi="Calibri" w:cs="Calibri"/>
        </w:rPr>
        <w:t>Pract</w:t>
      </w:r>
      <w:proofErr w:type="spellEnd"/>
      <w:r w:rsidRPr="003F6248">
        <w:rPr>
          <w:rFonts w:ascii="Calibri" w:hAnsi="Calibri" w:cs="Calibri"/>
        </w:rPr>
        <w:t xml:space="preserve">. Soc. </w:t>
      </w:r>
      <w:proofErr w:type="spellStart"/>
      <w:r w:rsidRPr="003F6248">
        <w:rPr>
          <w:rFonts w:ascii="Calibri" w:hAnsi="Calibri" w:cs="Calibri"/>
        </w:rPr>
        <w:t>Mov</w:t>
      </w:r>
      <w:proofErr w:type="spellEnd"/>
      <w:r w:rsidRPr="003F6248">
        <w:rPr>
          <w:rFonts w:ascii="Calibri" w:hAnsi="Calibri" w:cs="Calibri"/>
        </w:rPr>
        <w:t>. Res. 195–227.</w:t>
      </w:r>
    </w:p>
    <w:p w:rsidR="003F6248" w:rsidRPr="003F6248" w:rsidRDefault="003F6248" w:rsidP="003F6248">
      <w:pPr>
        <w:pStyle w:val="Bibliography"/>
        <w:rPr>
          <w:rFonts w:ascii="Calibri" w:hAnsi="Calibri" w:cs="Calibri"/>
          <w:lang w:val="en-GB"/>
        </w:rPr>
      </w:pPr>
      <w:r w:rsidRPr="003F6248">
        <w:rPr>
          <w:rFonts w:ascii="Calibri" w:hAnsi="Calibri" w:cs="Calibri"/>
        </w:rPr>
        <w:t xml:space="preserve">Ministerio de Economía y Finanzas Públicas de Bolivia, 2011. La nueva Ley de Pensiones beneficia también a la Trabajadoras del Hogar [WWW </w:t>
      </w:r>
      <w:proofErr w:type="spellStart"/>
      <w:r w:rsidRPr="003F6248">
        <w:rPr>
          <w:rFonts w:ascii="Calibri" w:hAnsi="Calibri" w:cs="Calibri"/>
        </w:rPr>
        <w:t>Document</w:t>
      </w:r>
      <w:proofErr w:type="spellEnd"/>
      <w:r w:rsidRPr="003F6248">
        <w:rPr>
          <w:rFonts w:ascii="Calibri" w:hAnsi="Calibri" w:cs="Calibri"/>
        </w:rPr>
        <w:t xml:space="preserve">]. </w:t>
      </w:r>
      <w:r w:rsidRPr="003F6248">
        <w:rPr>
          <w:rFonts w:ascii="Calibri" w:hAnsi="Calibri" w:cs="Calibri"/>
          <w:lang w:val="en-GB"/>
        </w:rPr>
        <w:t>URL http://www.economiayfinanzas.gob.bo/index.php?opcion=com_prensa&amp;ver=prensa&amp;id=1773&amp;categoria=5&amp;seccion=306 (accessed 10.6.16).</w:t>
      </w:r>
    </w:p>
    <w:p w:rsidR="003F6248" w:rsidRPr="003F6248" w:rsidRDefault="003F6248" w:rsidP="003F6248">
      <w:pPr>
        <w:pStyle w:val="Bibliography"/>
        <w:rPr>
          <w:rFonts w:ascii="Calibri" w:hAnsi="Calibri" w:cs="Calibri"/>
          <w:lang w:val="en-GB"/>
        </w:rPr>
      </w:pPr>
      <w:r w:rsidRPr="003F6248">
        <w:rPr>
          <w:rFonts w:ascii="Calibri" w:hAnsi="Calibri" w:cs="Calibri"/>
        </w:rPr>
        <w:t xml:space="preserve">Ministerio de Educación, 2016. 14 trabajadoras asalariadas del hogar logran titularse como Bachilleres [WWW </w:t>
      </w:r>
      <w:proofErr w:type="spellStart"/>
      <w:r w:rsidRPr="003F6248">
        <w:rPr>
          <w:rFonts w:ascii="Calibri" w:hAnsi="Calibri" w:cs="Calibri"/>
        </w:rPr>
        <w:t>Document</w:t>
      </w:r>
      <w:proofErr w:type="spellEnd"/>
      <w:r w:rsidRPr="003F6248">
        <w:rPr>
          <w:rFonts w:ascii="Calibri" w:hAnsi="Calibri" w:cs="Calibri"/>
        </w:rPr>
        <w:t xml:space="preserve">]. </w:t>
      </w:r>
      <w:r w:rsidRPr="003F6248">
        <w:rPr>
          <w:rFonts w:ascii="Calibri" w:hAnsi="Calibri" w:cs="Calibri"/>
          <w:lang w:val="en-GB"/>
        </w:rPr>
        <w:t>URL http://www.minedu.gob.bo/index.php/documentos-del-viceministerio-de-educacion-regular/189-circulares-regular/1000-circular-bachiller-destacado (accessed 5.30.17).</w:t>
      </w:r>
    </w:p>
    <w:p w:rsidR="003F6248" w:rsidRPr="003F6248" w:rsidRDefault="003F6248" w:rsidP="003F6248">
      <w:pPr>
        <w:pStyle w:val="Bibliography"/>
        <w:rPr>
          <w:rFonts w:ascii="Calibri" w:hAnsi="Calibri" w:cs="Calibri"/>
        </w:rPr>
      </w:pPr>
      <w:r w:rsidRPr="003F6248">
        <w:rPr>
          <w:rFonts w:ascii="Calibri" w:hAnsi="Calibri" w:cs="Calibri"/>
        </w:rPr>
        <w:t>Ministerio de Trabajo de Bolivia, 2015. Ministerio de Trabajo creó libreta salarial y contrato laboral.</w:t>
      </w:r>
    </w:p>
    <w:p w:rsidR="003F6248" w:rsidRPr="003F6248" w:rsidRDefault="003F6248" w:rsidP="003F6248">
      <w:pPr>
        <w:pStyle w:val="Bibliography"/>
        <w:rPr>
          <w:rFonts w:ascii="Calibri" w:hAnsi="Calibri" w:cs="Calibri"/>
        </w:rPr>
      </w:pPr>
      <w:r w:rsidRPr="003F6248">
        <w:rPr>
          <w:rFonts w:ascii="Calibri" w:hAnsi="Calibri" w:cs="Calibri"/>
        </w:rPr>
        <w:t>Ministerio de Trabajo de Bolivia, 2014. Ministerio de Trabajo participó en la feria de socialización de la Federación Nacional de Trabajadoras del Hogar Fenatrahob.</w:t>
      </w:r>
    </w:p>
    <w:p w:rsidR="003F6248" w:rsidRPr="003F6248" w:rsidRDefault="003F6248" w:rsidP="003F6248">
      <w:pPr>
        <w:pStyle w:val="Bibliography"/>
        <w:rPr>
          <w:rFonts w:ascii="Calibri" w:hAnsi="Calibri" w:cs="Calibri"/>
        </w:rPr>
      </w:pPr>
      <w:r w:rsidRPr="003F6248">
        <w:rPr>
          <w:rFonts w:ascii="Calibri" w:hAnsi="Calibri" w:cs="Calibri"/>
        </w:rPr>
        <w:t>Ministerio de Trabajo de Bolivia, 2013. Ministerio de Trabajo condecora 20 años de fundación de la Fenatrahob.</w:t>
      </w:r>
    </w:p>
    <w:p w:rsidR="003F6248" w:rsidRPr="003F6248" w:rsidRDefault="003F6248" w:rsidP="003F6248">
      <w:pPr>
        <w:pStyle w:val="Bibliography"/>
        <w:rPr>
          <w:rFonts w:ascii="Calibri" w:hAnsi="Calibri" w:cs="Calibri"/>
        </w:rPr>
      </w:pPr>
      <w:r w:rsidRPr="003F6248">
        <w:rPr>
          <w:rFonts w:ascii="Calibri" w:hAnsi="Calibri" w:cs="Calibri"/>
        </w:rPr>
        <w:t>Opinión.com, 2012. Asesinan a una boliviana cada tres días y 9 de cada 10 sufren violencia. Opinión.com.</w:t>
      </w:r>
    </w:p>
    <w:p w:rsidR="003F6248" w:rsidRPr="003F6248" w:rsidRDefault="003F6248" w:rsidP="003F6248">
      <w:pPr>
        <w:pStyle w:val="Bibliography"/>
        <w:rPr>
          <w:rFonts w:ascii="Calibri" w:hAnsi="Calibri" w:cs="Calibri"/>
        </w:rPr>
      </w:pPr>
      <w:r w:rsidRPr="003F6248">
        <w:rPr>
          <w:rFonts w:ascii="Calibri" w:hAnsi="Calibri" w:cs="Calibri"/>
        </w:rPr>
        <w:t>Peredo Beltrán, E., 2015. Trabajadoras asalariadas del hogar en Bolivia: aprendizajes de una larga lucha, Cuaderno de trabajo N</w:t>
      </w:r>
      <w:r w:rsidRPr="003F6248">
        <w:rPr>
          <w:rFonts w:ascii="Calibri" w:hAnsi="Calibri" w:cs="Calibri"/>
          <w:vertAlign w:val="superscript"/>
        </w:rPr>
        <w:t>o</w:t>
      </w:r>
      <w:r w:rsidRPr="003F6248">
        <w:rPr>
          <w:rFonts w:ascii="Calibri" w:hAnsi="Calibri" w:cs="Calibri"/>
        </w:rPr>
        <w:t xml:space="preserve"> 21. Red de Mujeres Transformando la Economía REMTE, La Paz, Bolivia.</w:t>
      </w:r>
    </w:p>
    <w:p w:rsidR="003F6248" w:rsidRPr="003F6248" w:rsidRDefault="003F6248" w:rsidP="003F6248">
      <w:pPr>
        <w:pStyle w:val="Bibliography"/>
        <w:rPr>
          <w:rFonts w:ascii="Calibri" w:hAnsi="Calibri" w:cs="Calibri"/>
        </w:rPr>
      </w:pPr>
      <w:proofErr w:type="spellStart"/>
      <w:r w:rsidRPr="003F6248">
        <w:rPr>
          <w:rFonts w:ascii="Calibri" w:hAnsi="Calibri" w:cs="Calibri"/>
          <w:lang w:val="en-GB"/>
        </w:rPr>
        <w:t>Rapley</w:t>
      </w:r>
      <w:proofErr w:type="spellEnd"/>
      <w:r w:rsidRPr="003F6248">
        <w:rPr>
          <w:rFonts w:ascii="Calibri" w:hAnsi="Calibri" w:cs="Calibri"/>
          <w:lang w:val="en-GB"/>
        </w:rPr>
        <w:t xml:space="preserve">, T., 2004. Interviews, in: Seale, C., Gobo, G., </w:t>
      </w:r>
      <w:proofErr w:type="spellStart"/>
      <w:r w:rsidRPr="003F6248">
        <w:rPr>
          <w:rFonts w:ascii="Calibri" w:hAnsi="Calibri" w:cs="Calibri"/>
          <w:lang w:val="en-GB"/>
        </w:rPr>
        <w:t>Gubrium</w:t>
      </w:r>
      <w:proofErr w:type="spellEnd"/>
      <w:r w:rsidRPr="003F6248">
        <w:rPr>
          <w:rFonts w:ascii="Calibri" w:hAnsi="Calibri" w:cs="Calibri"/>
          <w:lang w:val="en-GB"/>
        </w:rPr>
        <w:t xml:space="preserve">, J.F., Silverman, D. (Eds.), Qualitative Research Practice. </w:t>
      </w:r>
      <w:r w:rsidRPr="003F6248">
        <w:rPr>
          <w:rFonts w:ascii="Calibri" w:hAnsi="Calibri" w:cs="Calibri"/>
        </w:rPr>
        <w:t>SAGE, London, UK.</w:t>
      </w:r>
    </w:p>
    <w:p w:rsidR="003F6248" w:rsidRPr="003F6248" w:rsidRDefault="003F6248" w:rsidP="003F6248">
      <w:pPr>
        <w:pStyle w:val="Bibliography"/>
        <w:rPr>
          <w:rFonts w:ascii="Calibri" w:hAnsi="Calibri" w:cs="Calibri"/>
          <w:lang w:val="en-GB"/>
        </w:rPr>
      </w:pPr>
      <w:r w:rsidRPr="003F6248">
        <w:rPr>
          <w:rFonts w:ascii="Calibri" w:hAnsi="Calibri" w:cs="Calibri"/>
        </w:rPr>
        <w:t xml:space="preserve">Rivera </w:t>
      </w:r>
      <w:proofErr w:type="spellStart"/>
      <w:r w:rsidRPr="003F6248">
        <w:rPr>
          <w:rFonts w:ascii="Calibri" w:hAnsi="Calibri" w:cs="Calibri"/>
        </w:rPr>
        <w:t>Cusicanqui</w:t>
      </w:r>
      <w:proofErr w:type="spellEnd"/>
      <w:r w:rsidRPr="003F6248">
        <w:rPr>
          <w:rFonts w:ascii="Calibri" w:hAnsi="Calibri" w:cs="Calibri"/>
        </w:rPr>
        <w:t xml:space="preserve">, S., 2007. Violencia e interculturalidad: paradojas de la etnicidad en la Bolivia de hoy. </w:t>
      </w:r>
      <w:r w:rsidRPr="003F6248">
        <w:rPr>
          <w:rFonts w:ascii="Calibri" w:hAnsi="Calibri" w:cs="Calibri"/>
          <w:lang w:val="en-GB"/>
        </w:rPr>
        <w:t xml:space="preserve">Presented at the Taller </w:t>
      </w:r>
      <w:proofErr w:type="spellStart"/>
      <w:r w:rsidRPr="003F6248">
        <w:rPr>
          <w:rFonts w:ascii="Calibri" w:hAnsi="Calibri" w:cs="Calibri"/>
          <w:lang w:val="en-GB"/>
        </w:rPr>
        <w:t>Violencia</w:t>
      </w:r>
      <w:proofErr w:type="spellEnd"/>
      <w:r w:rsidRPr="003F6248">
        <w:rPr>
          <w:rFonts w:ascii="Calibri" w:hAnsi="Calibri" w:cs="Calibri"/>
          <w:lang w:val="en-GB"/>
        </w:rPr>
        <w:t xml:space="preserve"> e </w:t>
      </w:r>
      <w:proofErr w:type="spellStart"/>
      <w:r w:rsidRPr="003F6248">
        <w:rPr>
          <w:rFonts w:ascii="Calibri" w:hAnsi="Calibri" w:cs="Calibri"/>
          <w:lang w:val="en-GB"/>
        </w:rPr>
        <w:t>Interculturalidad</w:t>
      </w:r>
      <w:proofErr w:type="spellEnd"/>
      <w:r w:rsidRPr="003F6248">
        <w:rPr>
          <w:rFonts w:ascii="Calibri" w:hAnsi="Calibri" w:cs="Calibri"/>
          <w:lang w:val="en-GB"/>
        </w:rPr>
        <w:t>.</w:t>
      </w:r>
    </w:p>
    <w:p w:rsidR="003F6248" w:rsidRPr="003F6248" w:rsidRDefault="003F6248" w:rsidP="003F6248">
      <w:pPr>
        <w:pStyle w:val="Bibliography"/>
        <w:rPr>
          <w:rFonts w:ascii="Calibri" w:hAnsi="Calibri" w:cs="Calibri"/>
        </w:rPr>
      </w:pPr>
      <w:r w:rsidRPr="003F6248">
        <w:rPr>
          <w:rFonts w:ascii="Calibri" w:hAnsi="Calibri" w:cs="Calibri"/>
          <w:lang w:val="en-GB"/>
        </w:rPr>
        <w:t xml:space="preserve">Smith, J.A., 1995. Semi-structured interviewing and qualitative analysis. </w:t>
      </w:r>
      <w:proofErr w:type="spellStart"/>
      <w:r w:rsidRPr="003F6248">
        <w:rPr>
          <w:rFonts w:ascii="Calibri" w:hAnsi="Calibri" w:cs="Calibri"/>
        </w:rPr>
        <w:t>Rethink</w:t>
      </w:r>
      <w:proofErr w:type="spellEnd"/>
      <w:r w:rsidRPr="003F6248">
        <w:rPr>
          <w:rFonts w:ascii="Calibri" w:hAnsi="Calibri" w:cs="Calibri"/>
        </w:rPr>
        <w:t xml:space="preserve">. </w:t>
      </w:r>
      <w:proofErr w:type="spellStart"/>
      <w:r w:rsidRPr="003F6248">
        <w:rPr>
          <w:rFonts w:ascii="Calibri" w:hAnsi="Calibri" w:cs="Calibri"/>
        </w:rPr>
        <w:t>Methods</w:t>
      </w:r>
      <w:proofErr w:type="spellEnd"/>
      <w:r w:rsidRPr="003F6248">
        <w:rPr>
          <w:rFonts w:ascii="Calibri" w:hAnsi="Calibri" w:cs="Calibri"/>
        </w:rPr>
        <w:t xml:space="preserve"> </w:t>
      </w:r>
      <w:proofErr w:type="spellStart"/>
      <w:r w:rsidRPr="003F6248">
        <w:rPr>
          <w:rFonts w:ascii="Calibri" w:hAnsi="Calibri" w:cs="Calibri"/>
        </w:rPr>
        <w:t>Psychol</w:t>
      </w:r>
      <w:proofErr w:type="spellEnd"/>
      <w:r w:rsidRPr="003F6248">
        <w:rPr>
          <w:rFonts w:ascii="Calibri" w:hAnsi="Calibri" w:cs="Calibri"/>
        </w:rPr>
        <w:t>. 1, 8–26.</w:t>
      </w:r>
    </w:p>
    <w:p w:rsidR="003F6248" w:rsidRPr="003F6248" w:rsidRDefault="003F6248" w:rsidP="003F6248">
      <w:pPr>
        <w:pStyle w:val="Bibliography"/>
        <w:rPr>
          <w:rFonts w:ascii="Calibri" w:hAnsi="Calibri" w:cs="Calibri"/>
        </w:rPr>
      </w:pPr>
      <w:proofErr w:type="spellStart"/>
      <w:r w:rsidRPr="003F6248">
        <w:rPr>
          <w:rFonts w:ascii="Calibri" w:hAnsi="Calibri" w:cs="Calibri"/>
        </w:rPr>
        <w:lastRenderedPageBreak/>
        <w:t>Wanderley</w:t>
      </w:r>
      <w:proofErr w:type="spellEnd"/>
      <w:r w:rsidRPr="003F6248">
        <w:rPr>
          <w:rFonts w:ascii="Calibri" w:hAnsi="Calibri" w:cs="Calibri"/>
        </w:rPr>
        <w:t>, F., 2014. El estado de situación del trabajo asalariado del hogar en Bolivia. CIDES-UMSA, La Paz, Bolivia.</w:t>
      </w:r>
    </w:p>
    <w:p w:rsidR="003F6248" w:rsidRPr="003F6248" w:rsidRDefault="003F6248" w:rsidP="003F6248">
      <w:pPr>
        <w:pStyle w:val="Bibliography"/>
        <w:rPr>
          <w:rFonts w:ascii="Calibri" w:hAnsi="Calibri" w:cs="Calibri"/>
        </w:rPr>
      </w:pPr>
      <w:proofErr w:type="spellStart"/>
      <w:r w:rsidRPr="003F6248">
        <w:rPr>
          <w:rFonts w:ascii="Calibri" w:hAnsi="Calibri" w:cs="Calibri"/>
        </w:rPr>
        <w:t>Zapana</w:t>
      </w:r>
      <w:proofErr w:type="spellEnd"/>
      <w:r w:rsidRPr="003F6248">
        <w:rPr>
          <w:rFonts w:ascii="Calibri" w:hAnsi="Calibri" w:cs="Calibri"/>
        </w:rPr>
        <w:t xml:space="preserve"> S., V., 2016. Por ley edil, asalariada del hogar pagará Bs 5 en los centros salud.</w:t>
      </w:r>
    </w:p>
    <w:p w:rsidR="003F6248" w:rsidRPr="003F6248" w:rsidRDefault="003F6248" w:rsidP="003F6248">
      <w:pPr>
        <w:pStyle w:val="Bibliography"/>
        <w:rPr>
          <w:rFonts w:ascii="Calibri" w:hAnsi="Calibri" w:cs="Calibri"/>
        </w:rPr>
      </w:pPr>
      <w:proofErr w:type="spellStart"/>
      <w:r w:rsidRPr="003F6248">
        <w:rPr>
          <w:rFonts w:ascii="Calibri" w:hAnsi="Calibri" w:cs="Calibri"/>
        </w:rPr>
        <w:t>Zapana</w:t>
      </w:r>
      <w:proofErr w:type="spellEnd"/>
      <w:r w:rsidRPr="003F6248">
        <w:rPr>
          <w:rFonts w:ascii="Calibri" w:hAnsi="Calibri" w:cs="Calibri"/>
        </w:rPr>
        <w:t xml:space="preserve"> S., V., 2014. 60% de domésticas realiza labor múltiple que no es reconocida [WWW </w:t>
      </w:r>
      <w:proofErr w:type="spellStart"/>
      <w:r w:rsidRPr="003F6248">
        <w:rPr>
          <w:rFonts w:ascii="Calibri" w:hAnsi="Calibri" w:cs="Calibri"/>
        </w:rPr>
        <w:t>Document</w:t>
      </w:r>
      <w:proofErr w:type="spellEnd"/>
      <w:r w:rsidRPr="003F6248">
        <w:rPr>
          <w:rFonts w:ascii="Calibri" w:hAnsi="Calibri" w:cs="Calibri"/>
        </w:rPr>
        <w:t>]. Página Siete. URL http://www.paginasiete.bo/sociedad/2014/3/29/domesticas-realiza-labor-multiple-reconocida-17455.html (</w:t>
      </w:r>
      <w:proofErr w:type="spellStart"/>
      <w:r w:rsidRPr="003F6248">
        <w:rPr>
          <w:rFonts w:ascii="Calibri" w:hAnsi="Calibri" w:cs="Calibri"/>
        </w:rPr>
        <w:t>accessed</w:t>
      </w:r>
      <w:proofErr w:type="spellEnd"/>
      <w:r w:rsidRPr="003F6248">
        <w:rPr>
          <w:rFonts w:ascii="Calibri" w:hAnsi="Calibri" w:cs="Calibri"/>
        </w:rPr>
        <w:t xml:space="preserve"> 10.6.16).</w:t>
      </w:r>
    </w:p>
    <w:p w:rsidR="007F68DB" w:rsidRPr="007F68DB" w:rsidRDefault="003F6248" w:rsidP="007F68DB">
      <w:r>
        <w:fldChar w:fldCharType="end"/>
      </w:r>
    </w:p>
    <w:sectPr w:rsidR="007F68DB" w:rsidRPr="007F68DB" w:rsidSect="00EF1DD3">
      <w:headerReference w:type="default" r:id="rId8"/>
      <w:footerReference w:type="default" r:id="rId9"/>
      <w:pgSz w:w="11906" w:h="16838"/>
      <w:pgMar w:top="1417" w:right="1701" w:bottom="1417" w:left="1701"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0D53" w:rsidRDefault="00690D53" w:rsidP="006520D0">
      <w:pPr>
        <w:spacing w:after="0" w:line="240" w:lineRule="auto"/>
      </w:pPr>
      <w:r>
        <w:separator/>
      </w:r>
    </w:p>
  </w:endnote>
  <w:endnote w:type="continuationSeparator" w:id="0">
    <w:p w:rsidR="00690D53" w:rsidRDefault="00690D53" w:rsidP="006520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2652849"/>
      <w:docPartObj>
        <w:docPartGallery w:val="Page Numbers (Bottom of Page)"/>
        <w:docPartUnique/>
      </w:docPartObj>
    </w:sdtPr>
    <w:sdtEndPr>
      <w:rPr>
        <w:noProof/>
      </w:rPr>
    </w:sdtEndPr>
    <w:sdtContent>
      <w:p w:rsidR="001E241D" w:rsidRDefault="001E241D">
        <w:pPr>
          <w:pStyle w:val="Footer"/>
          <w:jc w:val="center"/>
        </w:pPr>
        <w:r>
          <w:fldChar w:fldCharType="begin"/>
        </w:r>
        <w:r>
          <w:instrText xml:space="preserve"> PAGE   \* MERGEFORMAT </w:instrText>
        </w:r>
        <w:r>
          <w:fldChar w:fldCharType="separate"/>
        </w:r>
        <w:r w:rsidR="003F6248">
          <w:rPr>
            <w:noProof/>
          </w:rPr>
          <w:t>24</w:t>
        </w:r>
        <w:r>
          <w:rPr>
            <w:noProof/>
          </w:rPr>
          <w:fldChar w:fldCharType="end"/>
        </w:r>
      </w:p>
    </w:sdtContent>
  </w:sdt>
  <w:p w:rsidR="001E241D" w:rsidRDefault="001E24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0D53" w:rsidRDefault="00690D53" w:rsidP="006520D0">
      <w:pPr>
        <w:spacing w:after="0" w:line="240" w:lineRule="auto"/>
      </w:pPr>
      <w:r>
        <w:separator/>
      </w:r>
    </w:p>
  </w:footnote>
  <w:footnote w:type="continuationSeparator" w:id="0">
    <w:p w:rsidR="00690D53" w:rsidRDefault="00690D53" w:rsidP="006520D0">
      <w:pPr>
        <w:spacing w:after="0" w:line="240" w:lineRule="auto"/>
      </w:pPr>
      <w:r>
        <w:continuationSeparator/>
      </w:r>
    </w:p>
  </w:footnote>
  <w:footnote w:id="1">
    <w:p w:rsidR="001E241D" w:rsidRDefault="001E241D">
      <w:pPr>
        <w:pStyle w:val="FootnoteText"/>
      </w:pPr>
      <w:r>
        <w:rPr>
          <w:rStyle w:val="FootnoteReference"/>
        </w:rPr>
        <w:footnoteRef/>
      </w:r>
      <w:r>
        <w:t xml:space="preserve"> Entrevista del autor con Elizabeth Peredo Beltrán, investigadora y activista del movimiento social de trabajadoras del hogar. Entrevista por Skype, 2 de junio de 2017.</w:t>
      </w:r>
    </w:p>
  </w:footnote>
  <w:footnote w:id="2">
    <w:p w:rsidR="001E241D" w:rsidRDefault="001E241D">
      <w:pPr>
        <w:pStyle w:val="FootnoteText"/>
      </w:pPr>
      <w:r>
        <w:rPr>
          <w:rStyle w:val="FootnoteReference"/>
        </w:rPr>
        <w:footnoteRef/>
      </w:r>
      <w:r>
        <w:t xml:space="preserve"> Entrevista del autor con Prima </w:t>
      </w:r>
      <w:proofErr w:type="spellStart"/>
      <w:r>
        <w:t>Ocsa</w:t>
      </w:r>
      <w:proofErr w:type="spellEnd"/>
      <w:r>
        <w:t xml:space="preserve">, </w:t>
      </w:r>
      <w:r>
        <w:rPr>
          <w:rFonts w:ascii="Calibri" w:hAnsi="Calibri" w:cs="Calibri"/>
        </w:rPr>
        <w:t>actual Secretaria de Relaciones y ex Secretaria Ejecutiva de la Fenatrahob, La Paz, 1 de abril de 2016.</w:t>
      </w:r>
    </w:p>
  </w:footnote>
  <w:footnote w:id="3">
    <w:p w:rsidR="001E241D" w:rsidRDefault="001E241D" w:rsidP="00275A28">
      <w:pPr>
        <w:pStyle w:val="FootnoteText"/>
      </w:pPr>
      <w:r>
        <w:rPr>
          <w:rStyle w:val="FootnoteReference"/>
        </w:rPr>
        <w:footnoteRef/>
      </w:r>
      <w:r>
        <w:t xml:space="preserve"> Entrevista del autor con Prima </w:t>
      </w:r>
      <w:proofErr w:type="spellStart"/>
      <w:r>
        <w:t>Ocsa</w:t>
      </w:r>
      <w:proofErr w:type="spellEnd"/>
      <w:r>
        <w:t>.</w:t>
      </w:r>
    </w:p>
  </w:footnote>
  <w:footnote w:id="4">
    <w:p w:rsidR="001E241D" w:rsidRDefault="001E241D">
      <w:pPr>
        <w:pStyle w:val="FootnoteText"/>
      </w:pPr>
      <w:r>
        <w:rPr>
          <w:rStyle w:val="FootnoteReference"/>
        </w:rPr>
        <w:footnoteRef/>
      </w:r>
      <w:r>
        <w:t xml:space="preserve"> </w:t>
      </w:r>
      <w:proofErr w:type="spellStart"/>
      <w:r>
        <w:t>Íbid</w:t>
      </w:r>
      <w:proofErr w:type="spellEnd"/>
      <w:r>
        <w:t>.</w:t>
      </w:r>
    </w:p>
  </w:footnote>
  <w:footnote w:id="5">
    <w:p w:rsidR="001E241D" w:rsidRDefault="001E241D">
      <w:pPr>
        <w:pStyle w:val="FootnoteText"/>
      </w:pPr>
      <w:r>
        <w:rPr>
          <w:rStyle w:val="FootnoteReference"/>
        </w:rPr>
        <w:footnoteRef/>
      </w:r>
      <w:r>
        <w:t xml:space="preserve"> Entrevista del autor con Adolfo Mendoza, ex senador del MAS y ex asesor del Pacto de Unidad que se formó en 2003 entre el MAS y los principales movimientos sociales de Bolivia. Entrevista por Skype, 4 de abril de 2017.</w:t>
      </w:r>
    </w:p>
  </w:footnote>
  <w:footnote w:id="6">
    <w:p w:rsidR="001E241D" w:rsidRDefault="001E241D">
      <w:pPr>
        <w:pStyle w:val="FootnoteText"/>
      </w:pPr>
      <w:r>
        <w:rPr>
          <w:rStyle w:val="FootnoteReference"/>
        </w:rPr>
        <w:footnoteRef/>
      </w:r>
      <w:r>
        <w:t xml:space="preserve"> Entrevista del autor con Prima </w:t>
      </w:r>
      <w:proofErr w:type="spellStart"/>
      <w:r>
        <w:t>Ocsa</w:t>
      </w:r>
      <w:proofErr w:type="spellEnd"/>
      <w:r>
        <w:t>.</w:t>
      </w:r>
    </w:p>
  </w:footnote>
  <w:footnote w:id="7">
    <w:p w:rsidR="001E241D" w:rsidRDefault="001E241D">
      <w:pPr>
        <w:pStyle w:val="FootnoteText"/>
      </w:pPr>
      <w:r>
        <w:rPr>
          <w:rStyle w:val="FootnoteReference"/>
        </w:rPr>
        <w:footnoteRef/>
      </w:r>
      <w:r>
        <w:t xml:space="preserve"> Entrevista del autor con Prima </w:t>
      </w:r>
      <w:proofErr w:type="spellStart"/>
      <w:r>
        <w:t>Ocsa</w:t>
      </w:r>
      <w:proofErr w:type="spellEnd"/>
      <w:r>
        <w:t>.</w:t>
      </w:r>
    </w:p>
  </w:footnote>
  <w:footnote w:id="8">
    <w:p w:rsidR="001E241D" w:rsidRDefault="001E241D">
      <w:pPr>
        <w:pStyle w:val="FootnoteText"/>
      </w:pPr>
      <w:r>
        <w:rPr>
          <w:rStyle w:val="FootnoteReference"/>
        </w:rPr>
        <w:footnoteRef/>
      </w:r>
      <w:r>
        <w:t xml:space="preserve"> Entrevistas del autor con Prima </w:t>
      </w:r>
      <w:proofErr w:type="spellStart"/>
      <w:r>
        <w:t>Ocsa</w:t>
      </w:r>
      <w:proofErr w:type="spellEnd"/>
      <w:r>
        <w:t xml:space="preserve"> y Adolfo Mendoza.</w:t>
      </w:r>
    </w:p>
  </w:footnote>
  <w:footnote w:id="9">
    <w:p w:rsidR="001E241D" w:rsidRDefault="001E241D">
      <w:pPr>
        <w:pStyle w:val="FootnoteText"/>
      </w:pPr>
      <w:r>
        <w:rPr>
          <w:rStyle w:val="FootnoteReference"/>
        </w:rPr>
        <w:footnoteRef/>
      </w:r>
      <w:r>
        <w:t xml:space="preserve"> Entrevista del autor con Prima </w:t>
      </w:r>
      <w:proofErr w:type="spellStart"/>
      <w:r>
        <w:t>Ocsa</w:t>
      </w:r>
      <w:proofErr w:type="spellEnd"/>
      <w:r>
        <w:t>.</w:t>
      </w:r>
    </w:p>
  </w:footnote>
  <w:footnote w:id="10">
    <w:p w:rsidR="001E241D" w:rsidRDefault="001E241D" w:rsidP="00326AC7">
      <w:pPr>
        <w:pStyle w:val="FootnoteText"/>
      </w:pPr>
      <w:r>
        <w:rPr>
          <w:rStyle w:val="FootnoteReference"/>
        </w:rPr>
        <w:footnoteRef/>
      </w:r>
      <w:r>
        <w:t xml:space="preserve"> Entrevista del autor con Prima </w:t>
      </w:r>
      <w:proofErr w:type="spellStart"/>
      <w:r>
        <w:t>Ocsa</w:t>
      </w:r>
      <w:proofErr w:type="spellEnd"/>
      <w:r>
        <w:t>.</w:t>
      </w:r>
    </w:p>
  </w:footnote>
  <w:footnote w:id="11">
    <w:p w:rsidR="001E241D" w:rsidRDefault="001E241D">
      <w:pPr>
        <w:pStyle w:val="FootnoteText"/>
      </w:pPr>
      <w:r>
        <w:rPr>
          <w:rStyle w:val="FootnoteReference"/>
        </w:rPr>
        <w:footnoteRef/>
      </w:r>
      <w:r>
        <w:t xml:space="preserve"> Entrevista del autor con Adolfo Mendoza.</w:t>
      </w:r>
    </w:p>
  </w:footnote>
  <w:footnote w:id="12">
    <w:p w:rsidR="001E241D" w:rsidRDefault="001E241D" w:rsidP="00FE4D3D">
      <w:pPr>
        <w:pStyle w:val="FootnoteText"/>
      </w:pPr>
      <w:r>
        <w:rPr>
          <w:rStyle w:val="FootnoteReference"/>
        </w:rPr>
        <w:footnoteRef/>
      </w:r>
      <w:r>
        <w:t xml:space="preserve"> Entrevista del autor con Adolfo Mendoza.</w:t>
      </w:r>
    </w:p>
  </w:footnote>
  <w:footnote w:id="13">
    <w:p w:rsidR="001E241D" w:rsidRDefault="001E241D">
      <w:pPr>
        <w:pStyle w:val="FootnoteText"/>
      </w:pPr>
      <w:r>
        <w:rPr>
          <w:rStyle w:val="FootnoteReference"/>
        </w:rPr>
        <w:footnoteRef/>
      </w:r>
      <w:r>
        <w:t xml:space="preserve"> </w:t>
      </w:r>
      <w:proofErr w:type="spellStart"/>
      <w:r w:rsidR="003F6248">
        <w:t>Íbid</w:t>
      </w:r>
      <w:proofErr w:type="spellEnd"/>
      <w:r>
        <w:t>.</w:t>
      </w:r>
    </w:p>
  </w:footnote>
  <w:footnote w:id="14">
    <w:p w:rsidR="001E241D" w:rsidRDefault="001E241D" w:rsidP="003F6248">
      <w:pPr>
        <w:pStyle w:val="FootnoteText"/>
      </w:pPr>
      <w:r w:rsidRPr="003F6248">
        <w:rPr>
          <w:rStyle w:val="FootnoteReference"/>
        </w:rPr>
        <w:footnoteRef/>
      </w:r>
      <w:r w:rsidRPr="003F6248">
        <w:t xml:space="preserve"> Entrevist</w:t>
      </w:r>
      <w:r w:rsidR="003F6248" w:rsidRPr="003F6248">
        <w:t>a del autor con Elizabeth Peredo</w:t>
      </w:r>
      <w:r w:rsidRPr="003F6248">
        <w:t>.</w:t>
      </w:r>
    </w:p>
  </w:footnote>
  <w:footnote w:id="15">
    <w:p w:rsidR="001E241D" w:rsidRDefault="001E241D">
      <w:pPr>
        <w:pStyle w:val="FootnoteText"/>
      </w:pPr>
      <w:r>
        <w:rPr>
          <w:rStyle w:val="FootnoteReference"/>
        </w:rPr>
        <w:footnoteRef/>
      </w:r>
      <w:r>
        <w:t xml:space="preserve"> Entrevistas del autor con Adolfo Mendoza y Prima </w:t>
      </w:r>
      <w:proofErr w:type="spellStart"/>
      <w:r>
        <w:t>Ocsa</w:t>
      </w:r>
      <w:proofErr w:type="spellEnd"/>
      <w:r>
        <w:t>.</w:t>
      </w:r>
    </w:p>
  </w:footnote>
  <w:footnote w:id="16">
    <w:p w:rsidR="001E241D" w:rsidRDefault="001E241D">
      <w:pPr>
        <w:pStyle w:val="FootnoteText"/>
      </w:pPr>
      <w:r>
        <w:rPr>
          <w:rStyle w:val="FootnoteReference"/>
        </w:rPr>
        <w:footnoteRef/>
      </w:r>
      <w:r>
        <w:t xml:space="preserve"> Entrevista del autor con Adolfo Mendoza.</w:t>
      </w:r>
    </w:p>
  </w:footnote>
  <w:footnote w:id="17">
    <w:p w:rsidR="001E241D" w:rsidRDefault="001E241D" w:rsidP="00FE4D3D">
      <w:pPr>
        <w:pStyle w:val="FootnoteText"/>
      </w:pPr>
      <w:r>
        <w:rPr>
          <w:rStyle w:val="FootnoteReference"/>
        </w:rPr>
        <w:footnoteRef/>
      </w:r>
      <w:r>
        <w:t xml:space="preserve"> Entrevista del autor con Elizabeth Peredo.</w:t>
      </w:r>
    </w:p>
  </w:footnote>
  <w:footnote w:id="18">
    <w:p w:rsidR="001E241D" w:rsidRDefault="001E241D">
      <w:pPr>
        <w:pStyle w:val="FootnoteText"/>
      </w:pPr>
      <w:r>
        <w:rPr>
          <w:rStyle w:val="FootnoteReference"/>
        </w:rPr>
        <w:footnoteRef/>
      </w:r>
      <w:r>
        <w:t xml:space="preserve"> </w:t>
      </w:r>
      <w:r w:rsidR="003F6248">
        <w:t xml:space="preserve">Entrevista del autor con Elizabeth </w:t>
      </w:r>
      <w:r w:rsidR="003F6248">
        <w:t>Peredo</w:t>
      </w:r>
      <w:bookmarkStart w:id="29" w:name="_GoBack"/>
      <w:bookmarkEnd w:id="29"/>
      <w:r>
        <w:t>.</w:t>
      </w:r>
    </w:p>
  </w:footnote>
  <w:footnote w:id="19">
    <w:p w:rsidR="001E241D" w:rsidRDefault="001E241D">
      <w:pPr>
        <w:pStyle w:val="FootnoteText"/>
      </w:pPr>
      <w:r>
        <w:rPr>
          <w:rStyle w:val="FootnoteReference"/>
        </w:rPr>
        <w:footnoteRef/>
      </w:r>
      <w:r>
        <w:t xml:space="preserve"> Entrevista del autor con Teresa Morales, ex asesora de la Asamblea Constituyente (2008) y ex Ministra de Desarrollo Productivo (2011-2015), La Paz, 6 de abril de 2016.</w:t>
      </w:r>
    </w:p>
  </w:footnote>
  <w:footnote w:id="20">
    <w:p w:rsidR="001E241D" w:rsidRDefault="001E241D">
      <w:pPr>
        <w:pStyle w:val="FootnoteText"/>
      </w:pPr>
      <w:r>
        <w:rPr>
          <w:rStyle w:val="FootnoteReference"/>
        </w:rPr>
        <w:footnoteRef/>
      </w:r>
      <w:r>
        <w:t xml:space="preserve"> Entrevista del autor con Elizabeth Peredo.</w:t>
      </w:r>
    </w:p>
  </w:footnote>
  <w:footnote w:id="21">
    <w:p w:rsidR="001E241D" w:rsidRDefault="001E241D">
      <w:pPr>
        <w:pStyle w:val="FootnoteText"/>
      </w:pPr>
      <w:r>
        <w:rPr>
          <w:rStyle w:val="FootnoteReference"/>
        </w:rPr>
        <w:footnoteRef/>
      </w:r>
      <w:r>
        <w:t xml:space="preserve"> Entrevista del autor con Elizabeth Peredo.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241D" w:rsidRDefault="001E241D" w:rsidP="000009F0">
    <w:pPr>
      <w:pStyle w:val="Header"/>
      <w:jc w:val="center"/>
    </w:pPr>
    <w:r>
      <w:t>Ponencia para el XIII Congreso de la AECPA – Santiago de Compostela 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313C7"/>
    <w:multiLevelType w:val="hybridMultilevel"/>
    <w:tmpl w:val="80F82F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75A1900"/>
    <w:multiLevelType w:val="hybridMultilevel"/>
    <w:tmpl w:val="6220F10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B3505F6"/>
    <w:multiLevelType w:val="hybridMultilevel"/>
    <w:tmpl w:val="C032ED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3E36385"/>
    <w:multiLevelType w:val="hybridMultilevel"/>
    <w:tmpl w:val="D526A7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774464D"/>
    <w:multiLevelType w:val="hybridMultilevel"/>
    <w:tmpl w:val="CAFCAC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7CB1FD8"/>
    <w:multiLevelType w:val="hybridMultilevel"/>
    <w:tmpl w:val="328A3904"/>
    <w:lvl w:ilvl="0" w:tplc="02A8513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FBB"/>
    <w:rsid w:val="000009F0"/>
    <w:rsid w:val="00037FBB"/>
    <w:rsid w:val="000F2015"/>
    <w:rsid w:val="00185D30"/>
    <w:rsid w:val="001A5A87"/>
    <w:rsid w:val="001E241D"/>
    <w:rsid w:val="0020516F"/>
    <w:rsid w:val="00275A28"/>
    <w:rsid w:val="00275B3F"/>
    <w:rsid w:val="002B047F"/>
    <w:rsid w:val="002B55EC"/>
    <w:rsid w:val="002C3927"/>
    <w:rsid w:val="00326AC7"/>
    <w:rsid w:val="00327133"/>
    <w:rsid w:val="00337A18"/>
    <w:rsid w:val="00340A9C"/>
    <w:rsid w:val="003443EF"/>
    <w:rsid w:val="003B2554"/>
    <w:rsid w:val="003D441F"/>
    <w:rsid w:val="003E6911"/>
    <w:rsid w:val="003F082E"/>
    <w:rsid w:val="003F6248"/>
    <w:rsid w:val="004508AF"/>
    <w:rsid w:val="00465B98"/>
    <w:rsid w:val="0047129C"/>
    <w:rsid w:val="004A119C"/>
    <w:rsid w:val="005D19E6"/>
    <w:rsid w:val="00605563"/>
    <w:rsid w:val="006520D0"/>
    <w:rsid w:val="00666DE9"/>
    <w:rsid w:val="00680C70"/>
    <w:rsid w:val="00685609"/>
    <w:rsid w:val="00690D53"/>
    <w:rsid w:val="00700644"/>
    <w:rsid w:val="00717B71"/>
    <w:rsid w:val="00766506"/>
    <w:rsid w:val="007B7436"/>
    <w:rsid w:val="007C1749"/>
    <w:rsid w:val="007F68DB"/>
    <w:rsid w:val="00811BAE"/>
    <w:rsid w:val="0088582E"/>
    <w:rsid w:val="00893910"/>
    <w:rsid w:val="008C3389"/>
    <w:rsid w:val="00924E77"/>
    <w:rsid w:val="009951A8"/>
    <w:rsid w:val="009D008E"/>
    <w:rsid w:val="00A231FC"/>
    <w:rsid w:val="00AE79D2"/>
    <w:rsid w:val="00AF071B"/>
    <w:rsid w:val="00B078FE"/>
    <w:rsid w:val="00B42D34"/>
    <w:rsid w:val="00BA3B3C"/>
    <w:rsid w:val="00BA5917"/>
    <w:rsid w:val="00BB535D"/>
    <w:rsid w:val="00BF4A94"/>
    <w:rsid w:val="00C06ED9"/>
    <w:rsid w:val="00C107F4"/>
    <w:rsid w:val="00C24BF1"/>
    <w:rsid w:val="00C36EEA"/>
    <w:rsid w:val="00CD49FD"/>
    <w:rsid w:val="00D02D7A"/>
    <w:rsid w:val="00E001A5"/>
    <w:rsid w:val="00E30DB1"/>
    <w:rsid w:val="00EE2610"/>
    <w:rsid w:val="00EE3F57"/>
    <w:rsid w:val="00EF1DD3"/>
    <w:rsid w:val="00F32FE3"/>
    <w:rsid w:val="00F4364A"/>
    <w:rsid w:val="00F804F7"/>
    <w:rsid w:val="00FA42FC"/>
    <w:rsid w:val="00FB6228"/>
    <w:rsid w:val="00FE40DC"/>
    <w:rsid w:val="00FE4D3D"/>
    <w:rsid w:val="00FE6E0A"/>
    <w:rsid w:val="00FF4B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E40EC"/>
  <w15:chartTrackingRefBased/>
  <w15:docId w15:val="{4AD35A13-EE79-47E7-92A5-0554A5F15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E6911"/>
    <w:pPr>
      <w:spacing w:after="120" w:line="276" w:lineRule="auto"/>
      <w:jc w:val="both"/>
    </w:pPr>
    <w:rPr>
      <w:sz w:val="24"/>
    </w:rPr>
  </w:style>
  <w:style w:type="paragraph" w:styleId="Heading1">
    <w:name w:val="heading 1"/>
    <w:basedOn w:val="Normal"/>
    <w:next w:val="Normal"/>
    <w:link w:val="Heading1Char"/>
    <w:uiPriority w:val="9"/>
    <w:qFormat/>
    <w:rsid w:val="00717B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E6911"/>
    <w:pPr>
      <w:keepNext/>
      <w:keepLines/>
      <w:spacing w:before="40" w:after="8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85609"/>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E6911"/>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17B71"/>
    <w:pPr>
      <w:ind w:left="720"/>
      <w:contextualSpacing/>
    </w:pPr>
  </w:style>
  <w:style w:type="character" w:customStyle="1" w:styleId="Heading1Char">
    <w:name w:val="Heading 1 Char"/>
    <w:basedOn w:val="DefaultParagraphFont"/>
    <w:link w:val="Heading1"/>
    <w:uiPriority w:val="9"/>
    <w:rsid w:val="00717B71"/>
    <w:rPr>
      <w:rFonts w:asciiTheme="majorHAnsi" w:eastAsiaTheme="majorEastAsia" w:hAnsiTheme="majorHAnsi" w:cstheme="majorBidi"/>
      <w:color w:val="2E74B5" w:themeColor="accent1" w:themeShade="BF"/>
      <w:sz w:val="32"/>
      <w:szCs w:val="32"/>
    </w:rPr>
  </w:style>
  <w:style w:type="paragraph" w:styleId="FootnoteText">
    <w:name w:val="footnote text"/>
    <w:basedOn w:val="Normal"/>
    <w:link w:val="FootnoteTextChar"/>
    <w:uiPriority w:val="99"/>
    <w:unhideWhenUsed/>
    <w:rsid w:val="006520D0"/>
    <w:pPr>
      <w:spacing w:after="0" w:line="240" w:lineRule="auto"/>
    </w:pPr>
    <w:rPr>
      <w:sz w:val="20"/>
      <w:szCs w:val="20"/>
    </w:rPr>
  </w:style>
  <w:style w:type="character" w:customStyle="1" w:styleId="FootnoteTextChar">
    <w:name w:val="Footnote Text Char"/>
    <w:basedOn w:val="DefaultParagraphFont"/>
    <w:link w:val="FootnoteText"/>
    <w:uiPriority w:val="99"/>
    <w:rsid w:val="006520D0"/>
    <w:rPr>
      <w:sz w:val="20"/>
      <w:szCs w:val="20"/>
    </w:rPr>
  </w:style>
  <w:style w:type="character" w:styleId="FootnoteReference">
    <w:name w:val="footnote reference"/>
    <w:basedOn w:val="DefaultParagraphFont"/>
    <w:uiPriority w:val="99"/>
    <w:semiHidden/>
    <w:unhideWhenUsed/>
    <w:rsid w:val="006520D0"/>
    <w:rPr>
      <w:vertAlign w:val="superscript"/>
    </w:rPr>
  </w:style>
  <w:style w:type="paragraph" w:styleId="Header">
    <w:name w:val="header"/>
    <w:basedOn w:val="Normal"/>
    <w:link w:val="HeaderChar"/>
    <w:uiPriority w:val="99"/>
    <w:unhideWhenUsed/>
    <w:rsid w:val="00EF1DD3"/>
    <w:pPr>
      <w:tabs>
        <w:tab w:val="center" w:pos="4252"/>
        <w:tab w:val="right" w:pos="8504"/>
      </w:tabs>
      <w:spacing w:after="0" w:line="240" w:lineRule="auto"/>
    </w:pPr>
  </w:style>
  <w:style w:type="character" w:customStyle="1" w:styleId="HeaderChar">
    <w:name w:val="Header Char"/>
    <w:basedOn w:val="DefaultParagraphFont"/>
    <w:link w:val="Header"/>
    <w:uiPriority w:val="99"/>
    <w:rsid w:val="00EF1DD3"/>
    <w:rPr>
      <w:sz w:val="24"/>
    </w:rPr>
  </w:style>
  <w:style w:type="paragraph" w:styleId="Footer">
    <w:name w:val="footer"/>
    <w:basedOn w:val="Normal"/>
    <w:link w:val="FooterChar"/>
    <w:uiPriority w:val="99"/>
    <w:unhideWhenUsed/>
    <w:rsid w:val="00EF1DD3"/>
    <w:pPr>
      <w:tabs>
        <w:tab w:val="center" w:pos="4252"/>
        <w:tab w:val="right" w:pos="8504"/>
      </w:tabs>
      <w:spacing w:after="0" w:line="240" w:lineRule="auto"/>
    </w:pPr>
  </w:style>
  <w:style w:type="character" w:customStyle="1" w:styleId="FooterChar">
    <w:name w:val="Footer Char"/>
    <w:basedOn w:val="DefaultParagraphFont"/>
    <w:link w:val="Footer"/>
    <w:uiPriority w:val="99"/>
    <w:rsid w:val="00EF1DD3"/>
    <w:rPr>
      <w:sz w:val="24"/>
    </w:rPr>
  </w:style>
  <w:style w:type="character" w:customStyle="1" w:styleId="Heading3Char">
    <w:name w:val="Heading 3 Char"/>
    <w:basedOn w:val="DefaultParagraphFont"/>
    <w:link w:val="Heading3"/>
    <w:uiPriority w:val="9"/>
    <w:rsid w:val="00685609"/>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47129C"/>
    <w:pPr>
      <w:spacing w:after="0" w:line="240" w:lineRule="auto"/>
      <w:ind w:left="720" w:hanging="720"/>
    </w:pPr>
  </w:style>
  <w:style w:type="paragraph" w:styleId="TOCHeading">
    <w:name w:val="TOC Heading"/>
    <w:basedOn w:val="Heading1"/>
    <w:next w:val="Normal"/>
    <w:uiPriority w:val="39"/>
    <w:unhideWhenUsed/>
    <w:qFormat/>
    <w:rsid w:val="00680C70"/>
    <w:pPr>
      <w:spacing w:line="259" w:lineRule="auto"/>
      <w:jc w:val="left"/>
      <w:outlineLvl w:val="9"/>
    </w:pPr>
    <w:rPr>
      <w:lang w:val="en-US"/>
    </w:rPr>
  </w:style>
  <w:style w:type="paragraph" w:styleId="TOC1">
    <w:name w:val="toc 1"/>
    <w:basedOn w:val="Normal"/>
    <w:next w:val="Normal"/>
    <w:autoRedefine/>
    <w:uiPriority w:val="39"/>
    <w:unhideWhenUsed/>
    <w:rsid w:val="002C3927"/>
    <w:pPr>
      <w:tabs>
        <w:tab w:val="right" w:leader="dot" w:pos="8494"/>
      </w:tabs>
      <w:spacing w:after="100"/>
    </w:pPr>
    <w:rPr>
      <w:b/>
      <w:noProof/>
    </w:rPr>
  </w:style>
  <w:style w:type="paragraph" w:styleId="TOC2">
    <w:name w:val="toc 2"/>
    <w:basedOn w:val="Normal"/>
    <w:next w:val="Normal"/>
    <w:autoRedefine/>
    <w:uiPriority w:val="39"/>
    <w:unhideWhenUsed/>
    <w:rsid w:val="00680C70"/>
    <w:pPr>
      <w:spacing w:after="100"/>
      <w:ind w:left="240"/>
    </w:pPr>
  </w:style>
  <w:style w:type="paragraph" w:styleId="TOC3">
    <w:name w:val="toc 3"/>
    <w:basedOn w:val="Normal"/>
    <w:next w:val="Normal"/>
    <w:autoRedefine/>
    <w:uiPriority w:val="39"/>
    <w:unhideWhenUsed/>
    <w:rsid w:val="00680C70"/>
    <w:pPr>
      <w:spacing w:after="100"/>
      <w:ind w:left="480"/>
    </w:pPr>
  </w:style>
  <w:style w:type="character" w:styleId="Hyperlink">
    <w:name w:val="Hyperlink"/>
    <w:basedOn w:val="DefaultParagraphFont"/>
    <w:uiPriority w:val="99"/>
    <w:unhideWhenUsed/>
    <w:rsid w:val="00680C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3C861-DDC5-4337-85DD-17922F71E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25</Pages>
  <Words>19625</Words>
  <Characters>105588</Characters>
  <Application>Microsoft Office Word</Application>
  <DocSecurity>0</DocSecurity>
  <Lines>1852</Lines>
  <Paragraphs>420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dc:creator>
  <cp:keywords/>
  <dc:description/>
  <cp:lastModifiedBy>Pablo</cp:lastModifiedBy>
  <cp:revision>29</cp:revision>
  <cp:lastPrinted>2017-06-20T21:58:00Z</cp:lastPrinted>
  <dcterms:created xsi:type="dcterms:W3CDTF">2017-06-16T16:55:00Z</dcterms:created>
  <dcterms:modified xsi:type="dcterms:W3CDTF">2017-06-28T10:02:00Z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zotero-version="4.0.29.10"&gt;&lt;session id="OGC3aAaV"/&gt;&lt;style id="http://www.zotero.org/styles/elsevier-harvard" hasBibliography="1" bibliographyStyleHasBeenSet="1"/&gt;&lt;prefs&gt;&lt;pref name="fieldType" value="Field"/&gt;&lt;pref name="storeReferenc</vt:lpwstr>
  </property>
  <property fmtid="{D5CDD505-2E9C-101B-9397-08002B2CF9AE}" pid="3" name="ZOTERO_PREF_2">
    <vt:lpwstr>es" value="true"/&gt;&lt;pref name="automaticJournalAbbreviations" value="true"/&gt;&lt;pref name="noteType" value=""/&gt;&lt;/prefs&gt;&lt;/data&gt;</vt:lpwstr>
  </property>
</Properties>
</file>