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8A5DE1" w14:textId="77777777" w:rsidR="00E70639" w:rsidRPr="003A1191" w:rsidRDefault="00E70639" w:rsidP="00E70639">
      <w:pPr>
        <w:spacing w:after="0" w:line="240" w:lineRule="auto"/>
        <w:jc w:val="center"/>
        <w:rPr>
          <w:rFonts w:cstheme="minorHAnsi"/>
          <w:b/>
          <w:sz w:val="32"/>
        </w:rPr>
      </w:pPr>
      <w:r w:rsidRPr="003A1191">
        <w:rPr>
          <w:rFonts w:cstheme="minorHAnsi"/>
          <w:b/>
          <w:sz w:val="32"/>
        </w:rPr>
        <w:t>XIII CONGRESO DE AECPA</w:t>
      </w:r>
    </w:p>
    <w:p w14:paraId="55404FB6" w14:textId="77777777" w:rsidR="00E70639" w:rsidRPr="003A1191" w:rsidRDefault="00E70639" w:rsidP="00E70639">
      <w:pPr>
        <w:spacing w:after="0" w:line="240" w:lineRule="auto"/>
        <w:jc w:val="center"/>
        <w:rPr>
          <w:rFonts w:cstheme="minorHAnsi"/>
          <w:b/>
          <w:sz w:val="24"/>
        </w:rPr>
      </w:pPr>
      <w:r w:rsidRPr="003A1191">
        <w:rPr>
          <w:rFonts w:cstheme="minorHAnsi"/>
          <w:b/>
          <w:sz w:val="24"/>
        </w:rPr>
        <w:t>La fortaleza de Europa: vallas y puentes/A fortaleza de Europa: valados e pontes</w:t>
      </w:r>
    </w:p>
    <w:p w14:paraId="1F3EE431" w14:textId="77777777" w:rsidR="00E70639" w:rsidRPr="003A1191" w:rsidRDefault="00E70639" w:rsidP="00E70639">
      <w:pPr>
        <w:spacing w:after="0" w:line="240" w:lineRule="auto"/>
        <w:jc w:val="center"/>
        <w:rPr>
          <w:rFonts w:cstheme="minorHAnsi"/>
        </w:rPr>
      </w:pPr>
      <w:r w:rsidRPr="003A1191">
        <w:rPr>
          <w:rFonts w:cstheme="minorHAnsi"/>
        </w:rPr>
        <w:t>Universidad de Santiago de Compostela/Universidade de Santiago de Compostela</w:t>
      </w:r>
    </w:p>
    <w:p w14:paraId="4AC4F4EE" w14:textId="77777777" w:rsidR="00E70639" w:rsidRPr="003A1191" w:rsidRDefault="00E70639" w:rsidP="00E70639">
      <w:pPr>
        <w:spacing w:after="0" w:line="240" w:lineRule="auto"/>
        <w:jc w:val="center"/>
        <w:rPr>
          <w:rFonts w:cstheme="minorHAnsi"/>
        </w:rPr>
      </w:pPr>
      <w:r w:rsidRPr="003A1191">
        <w:rPr>
          <w:rFonts w:cstheme="minorHAnsi"/>
        </w:rPr>
        <w:t>20 al 22 de septiembre de 2017</w:t>
      </w:r>
    </w:p>
    <w:p w14:paraId="1F3457FD" w14:textId="4BE13755" w:rsidR="00E70639" w:rsidRPr="003A1191" w:rsidRDefault="00E70639" w:rsidP="00E70639">
      <w:pPr>
        <w:pBdr>
          <w:bottom w:val="single" w:sz="6" w:space="1" w:color="auto"/>
        </w:pBdr>
        <w:spacing w:after="0" w:line="240" w:lineRule="auto"/>
        <w:jc w:val="center"/>
        <w:rPr>
          <w:rFonts w:cstheme="minorHAnsi"/>
        </w:rPr>
      </w:pPr>
      <w:r w:rsidRPr="003A1191">
        <w:rPr>
          <w:rFonts w:cstheme="minorHAnsi"/>
        </w:rPr>
        <w:t>Santiago de Compostela – Galicia</w:t>
      </w:r>
    </w:p>
    <w:p w14:paraId="1A148A61" w14:textId="1D60BA6D" w:rsidR="00E70639" w:rsidRPr="003A1191" w:rsidRDefault="00E70639" w:rsidP="00E70639">
      <w:pPr>
        <w:pBdr>
          <w:bottom w:val="single" w:sz="6" w:space="1" w:color="auto"/>
        </w:pBdr>
        <w:spacing w:after="0" w:line="240" w:lineRule="auto"/>
        <w:jc w:val="center"/>
        <w:rPr>
          <w:rFonts w:cstheme="minorHAnsi"/>
        </w:rPr>
      </w:pPr>
    </w:p>
    <w:p w14:paraId="22DC996D" w14:textId="77777777" w:rsidR="00E70639" w:rsidRPr="003A1191" w:rsidRDefault="00E70639" w:rsidP="00E70639">
      <w:pPr>
        <w:pBdr>
          <w:bottom w:val="single" w:sz="6" w:space="1" w:color="auto"/>
        </w:pBdr>
        <w:spacing w:after="0" w:line="240" w:lineRule="auto"/>
        <w:jc w:val="center"/>
        <w:rPr>
          <w:rFonts w:cstheme="minorHAnsi"/>
        </w:rPr>
      </w:pPr>
    </w:p>
    <w:p w14:paraId="67977FF2" w14:textId="77777777" w:rsidR="00E70639" w:rsidRPr="003A1191" w:rsidRDefault="00E70639" w:rsidP="00E70639">
      <w:pPr>
        <w:jc w:val="center"/>
        <w:rPr>
          <w:rFonts w:cstheme="minorHAnsi"/>
          <w:b/>
          <w:sz w:val="32"/>
        </w:rPr>
      </w:pPr>
    </w:p>
    <w:p w14:paraId="0C8715F7" w14:textId="6C94C27C" w:rsidR="00672FE3" w:rsidRPr="003A1191" w:rsidRDefault="00B56C71" w:rsidP="00E70639">
      <w:pPr>
        <w:jc w:val="center"/>
        <w:rPr>
          <w:rFonts w:cstheme="minorHAnsi"/>
          <w:b/>
          <w:sz w:val="32"/>
        </w:rPr>
      </w:pPr>
      <w:r w:rsidRPr="003A1191">
        <w:rPr>
          <w:rFonts w:cstheme="minorHAnsi"/>
          <w:b/>
          <w:sz w:val="32"/>
        </w:rPr>
        <w:t>Símbolos religiosos y funciones coercitivas: la necesidad de neutralidad de los funcionarios públicos a debate</w:t>
      </w:r>
    </w:p>
    <w:p w14:paraId="19A5417B" w14:textId="2FF263D7" w:rsidR="00545B53" w:rsidRPr="003A1191" w:rsidRDefault="00545B53" w:rsidP="00545B53">
      <w:pPr>
        <w:rPr>
          <w:rFonts w:cstheme="minorHAnsi"/>
          <w:b/>
          <w:sz w:val="28"/>
        </w:rPr>
      </w:pPr>
    </w:p>
    <w:p w14:paraId="00ECF445" w14:textId="77777777" w:rsidR="00545B53" w:rsidRPr="003A1191" w:rsidRDefault="00545B53" w:rsidP="00545B53">
      <w:pPr>
        <w:rPr>
          <w:rFonts w:cstheme="minorHAnsi"/>
          <w:b/>
          <w:sz w:val="28"/>
        </w:rPr>
      </w:pPr>
    </w:p>
    <w:p w14:paraId="4D640657" w14:textId="6C25C8F8" w:rsidR="00545B53" w:rsidRPr="003A1191" w:rsidRDefault="00E61FB9" w:rsidP="00E70639">
      <w:pPr>
        <w:spacing w:after="0" w:line="240" w:lineRule="auto"/>
        <w:jc w:val="both"/>
        <w:rPr>
          <w:rFonts w:cstheme="minorHAnsi"/>
          <w:i/>
        </w:rPr>
      </w:pPr>
      <w:r w:rsidRPr="003A1191">
        <w:rPr>
          <w:rFonts w:cstheme="minorHAnsi"/>
          <w:i/>
        </w:rPr>
        <w:t>Christian J.</w:t>
      </w:r>
      <w:r w:rsidR="00545B53" w:rsidRPr="003A1191">
        <w:rPr>
          <w:rFonts w:cstheme="minorHAnsi"/>
          <w:i/>
        </w:rPr>
        <w:t xml:space="preserve"> Backenköhler Casajús</w:t>
      </w:r>
    </w:p>
    <w:p w14:paraId="11540A7B" w14:textId="77777777" w:rsidR="00545B53" w:rsidRPr="003A1191" w:rsidRDefault="00545B53" w:rsidP="00E70639">
      <w:pPr>
        <w:spacing w:after="0" w:line="240" w:lineRule="auto"/>
        <w:jc w:val="both"/>
        <w:rPr>
          <w:rFonts w:cstheme="minorHAnsi"/>
        </w:rPr>
      </w:pPr>
      <w:r w:rsidRPr="003A1191">
        <w:rPr>
          <w:rFonts w:cstheme="minorHAnsi"/>
        </w:rPr>
        <w:t>Universidad Autónoma de Madrid (UAM)</w:t>
      </w:r>
    </w:p>
    <w:p w14:paraId="3562512A" w14:textId="6F2873B6" w:rsidR="00B56C71" w:rsidRPr="003A1191" w:rsidRDefault="00D51874" w:rsidP="00E70639">
      <w:pPr>
        <w:spacing w:after="0" w:line="240" w:lineRule="auto"/>
        <w:jc w:val="both"/>
        <w:rPr>
          <w:rFonts w:cstheme="minorHAnsi"/>
        </w:rPr>
      </w:pPr>
      <w:hyperlink r:id="rId8" w:history="1">
        <w:r w:rsidR="00545B53" w:rsidRPr="003A1191">
          <w:rPr>
            <w:rStyle w:val="Hipervnculo"/>
            <w:rFonts w:cstheme="minorHAnsi"/>
          </w:rPr>
          <w:t>christian.backenkohler@uam.es</w:t>
        </w:r>
      </w:hyperlink>
    </w:p>
    <w:p w14:paraId="2C1A83CE" w14:textId="77777777" w:rsidR="00545B53" w:rsidRPr="003A1191" w:rsidRDefault="00545B53" w:rsidP="00545B53">
      <w:pPr>
        <w:jc w:val="both"/>
        <w:rPr>
          <w:rFonts w:cstheme="minorHAnsi"/>
        </w:rPr>
      </w:pPr>
    </w:p>
    <w:p w14:paraId="17D08716" w14:textId="77777777" w:rsidR="00B56C71" w:rsidRPr="003A1191" w:rsidRDefault="00B56C71" w:rsidP="00B56C71">
      <w:pPr>
        <w:jc w:val="center"/>
        <w:rPr>
          <w:rFonts w:cstheme="minorHAnsi"/>
          <w:b/>
        </w:rPr>
      </w:pPr>
    </w:p>
    <w:p w14:paraId="35DB0DC4" w14:textId="08B06C8B" w:rsidR="00B56C71" w:rsidRPr="003A1191" w:rsidRDefault="00B56C71" w:rsidP="00545B53">
      <w:pPr>
        <w:pStyle w:val="Prrafodelista"/>
        <w:numPr>
          <w:ilvl w:val="0"/>
          <w:numId w:val="1"/>
        </w:numPr>
        <w:spacing w:line="360" w:lineRule="auto"/>
        <w:jc w:val="both"/>
        <w:rPr>
          <w:rFonts w:cstheme="minorHAnsi"/>
          <w:b/>
          <w:sz w:val="24"/>
          <w:szCs w:val="24"/>
        </w:rPr>
      </w:pPr>
      <w:r w:rsidRPr="003A1191">
        <w:rPr>
          <w:rFonts w:cstheme="minorHAnsi"/>
          <w:b/>
          <w:sz w:val="24"/>
          <w:szCs w:val="24"/>
        </w:rPr>
        <w:t xml:space="preserve">Introducción: </w:t>
      </w:r>
      <w:r w:rsidR="003B4EE7" w:rsidRPr="003A1191">
        <w:rPr>
          <w:rFonts w:cstheme="minorHAnsi"/>
          <w:b/>
          <w:sz w:val="24"/>
          <w:szCs w:val="24"/>
        </w:rPr>
        <w:t>ataque terrorista contra el modelo de convivencia francocanadiense</w:t>
      </w:r>
      <w:r w:rsidR="006D2AF0" w:rsidRPr="003A1191">
        <w:rPr>
          <w:rFonts w:cstheme="minorHAnsi"/>
          <w:b/>
          <w:sz w:val="24"/>
          <w:szCs w:val="24"/>
        </w:rPr>
        <w:t>.</w:t>
      </w:r>
    </w:p>
    <w:p w14:paraId="101C3339" w14:textId="77777777" w:rsidR="003B4EE7" w:rsidRPr="003A1191" w:rsidRDefault="003B4EE7" w:rsidP="00545B53">
      <w:pPr>
        <w:spacing w:line="360" w:lineRule="auto"/>
        <w:ind w:firstLine="708"/>
        <w:jc w:val="both"/>
        <w:rPr>
          <w:rFonts w:cstheme="minorHAnsi"/>
          <w:sz w:val="24"/>
          <w:szCs w:val="24"/>
        </w:rPr>
      </w:pPr>
      <w:r w:rsidRPr="003A1191">
        <w:rPr>
          <w:rFonts w:cstheme="minorHAnsi"/>
          <w:sz w:val="24"/>
          <w:szCs w:val="24"/>
        </w:rPr>
        <w:t>Durante la noche del domingo 29 de enero de 2017, un individuo entró en la mezquita de Quebec armado con un fusil de asalto AK-47 abriendo fuego contra una multitud de personas que se encontraban en ese momento rezando</w:t>
      </w:r>
      <w:r w:rsidRPr="003A1191">
        <w:rPr>
          <w:rStyle w:val="Refdenotaalpie"/>
          <w:rFonts w:cstheme="minorHAnsi"/>
          <w:sz w:val="24"/>
          <w:szCs w:val="24"/>
        </w:rPr>
        <w:footnoteReference w:id="2"/>
      </w:r>
      <w:r w:rsidRPr="003A1191">
        <w:rPr>
          <w:rFonts w:cstheme="minorHAnsi"/>
          <w:sz w:val="24"/>
          <w:szCs w:val="24"/>
        </w:rPr>
        <w:t xml:space="preserve">. Murieron 6 personas y 8 resultaron gravemente heridas. El sospechoso detenido era un franco-canadiense de 27 años, estudiante de antropología de la Universidad de Laval. Alexandre Bissonnette, autor del atentado, era considerado entre sus compañeros y vecinos como una persona tímida y reservada, pero vehemente en sus ideas políticas y en su apoyo a las políticas antimigratorias del presidente estadounidense Donald Trump, de las ideas de la líder ultraderechista Le Pen y por su rechazo al feminismo político. El primer Ministro de Quebec, Philippe Couillard, mostraba su consternación y momentos después dirigía unas palabras de solidaridad a la comunidad musulmana de la provincia </w:t>
      </w:r>
      <w:r w:rsidRPr="003A1191">
        <w:rPr>
          <w:rFonts w:cstheme="minorHAnsi"/>
          <w:sz w:val="24"/>
          <w:szCs w:val="24"/>
        </w:rPr>
        <w:lastRenderedPageBreak/>
        <w:t>francocanadiense</w:t>
      </w:r>
      <w:r w:rsidRPr="003A1191">
        <w:rPr>
          <w:rStyle w:val="Refdenotaalpie"/>
          <w:rFonts w:cstheme="minorHAnsi"/>
          <w:sz w:val="24"/>
          <w:szCs w:val="24"/>
        </w:rPr>
        <w:footnoteReference w:id="3"/>
      </w:r>
      <w:r w:rsidRPr="003A1191">
        <w:rPr>
          <w:rFonts w:cstheme="minorHAnsi"/>
          <w:sz w:val="24"/>
          <w:szCs w:val="24"/>
        </w:rPr>
        <w:t>. Mediante un comunicado posterior, el primer ministro de Canadá, Justin Trudeau, condenó "este ataque terrorista contra musulmanes en un centro de culto y refugio".</w:t>
      </w:r>
    </w:p>
    <w:p w14:paraId="6712E07E" w14:textId="29DBFD53" w:rsidR="003B4EE7" w:rsidRPr="003A1191" w:rsidRDefault="003B4EE7" w:rsidP="003F4767">
      <w:pPr>
        <w:spacing w:line="360" w:lineRule="auto"/>
        <w:ind w:firstLine="708"/>
        <w:jc w:val="both"/>
        <w:rPr>
          <w:rFonts w:cstheme="minorHAnsi"/>
          <w:b/>
          <w:sz w:val="24"/>
          <w:szCs w:val="24"/>
        </w:rPr>
      </w:pPr>
      <w:r w:rsidRPr="003A1191">
        <w:rPr>
          <w:rFonts w:cstheme="minorHAnsi"/>
          <w:sz w:val="24"/>
          <w:szCs w:val="24"/>
        </w:rPr>
        <w:t>El ataque contra los fieles del centro Cultural Islámico de Quebec es el primer ataque terrorista contra musulmanes en Canadá. Con anterioridad, Canadá había sufrido varios ataques terroristas de corte islamista como los del asalto al Parlamento de Ottawa, el atropello de dos soldados y la muerte de uno de ellos ocurrido en un pueblo de Quebec, o la desarticulación en 2006 de una célula yihadista integrada por musulmanes canadienses de segunda generación que pretendían atentar en Toronto</w:t>
      </w:r>
      <w:r w:rsidRPr="003A1191">
        <w:rPr>
          <w:rStyle w:val="Refdenotaalpie"/>
          <w:rFonts w:cstheme="minorHAnsi"/>
          <w:sz w:val="24"/>
          <w:szCs w:val="24"/>
        </w:rPr>
        <w:footnoteReference w:id="4"/>
      </w:r>
      <w:r w:rsidRPr="003A1191">
        <w:rPr>
          <w:rFonts w:cstheme="minorHAnsi"/>
          <w:sz w:val="24"/>
          <w:szCs w:val="24"/>
        </w:rPr>
        <w:t>. Hasta ahora, los objetivos terroristas habían sido los “valores y símbolos occidentales”, pero el reciente atentado contra musulmanes canadienses golpeaba la principal seña de identidad canadiense: el multiculturalismo. Es cierto que los anteriores atentados fueron también una manera de cuestionar la viabilidad del proyecto multicultural, donde muchos de sus detractores aprovecharon para señalar a los inintegrables. Pero esta era la primera vez que un ataque terrorista se dirigía contra una comunidad étnica concreta y se orientaba simbólicamente contra el proyecto multicultural canadiense. Se atentaba contra las intenciones políticas</w:t>
      </w:r>
      <w:r w:rsidR="0013501C" w:rsidRPr="003A1191">
        <w:rPr>
          <w:rFonts w:cstheme="minorHAnsi"/>
          <w:sz w:val="24"/>
          <w:szCs w:val="24"/>
        </w:rPr>
        <w:t xml:space="preserve"> y</w:t>
      </w:r>
      <w:r w:rsidRPr="003A1191">
        <w:rPr>
          <w:rFonts w:cstheme="minorHAnsi"/>
          <w:sz w:val="24"/>
          <w:szCs w:val="24"/>
        </w:rPr>
        <w:t xml:space="preserve"> contra sus consecuencias. Es decir, el atentado era una manera de herir las intenciones del proyecto multicultural atentando contra los que se señala como inintegrables y como responsables de una identidad canadiense que algunos perciben en crisis.</w:t>
      </w:r>
    </w:p>
    <w:p w14:paraId="2AFB4B76" w14:textId="5A0EB778" w:rsidR="003B4EE7" w:rsidRPr="003A1191" w:rsidRDefault="003B4EE7" w:rsidP="00545B53">
      <w:pPr>
        <w:pStyle w:val="Prrafodelista"/>
        <w:numPr>
          <w:ilvl w:val="0"/>
          <w:numId w:val="1"/>
        </w:numPr>
        <w:spacing w:line="360" w:lineRule="auto"/>
        <w:jc w:val="both"/>
        <w:rPr>
          <w:rFonts w:cstheme="minorHAnsi"/>
          <w:b/>
          <w:sz w:val="24"/>
          <w:szCs w:val="24"/>
        </w:rPr>
      </w:pPr>
      <w:r w:rsidRPr="003A1191">
        <w:rPr>
          <w:rFonts w:cstheme="minorHAnsi"/>
          <w:b/>
          <w:sz w:val="24"/>
          <w:szCs w:val="24"/>
        </w:rPr>
        <w:t>La comisión Bouchard-Taylor y su modelo de laicidad abierta:</w:t>
      </w:r>
      <w:r w:rsidR="002B5412" w:rsidRPr="003A1191">
        <w:rPr>
          <w:rFonts w:cstheme="minorHAnsi"/>
          <w:b/>
          <w:sz w:val="24"/>
          <w:szCs w:val="24"/>
        </w:rPr>
        <w:t xml:space="preserve"> la apariencia de neutralidad de los funcionarios públicos</w:t>
      </w:r>
      <w:r w:rsidR="00F5284C" w:rsidRPr="003A1191">
        <w:rPr>
          <w:rFonts w:cstheme="minorHAnsi"/>
          <w:b/>
          <w:sz w:val="24"/>
          <w:szCs w:val="24"/>
        </w:rPr>
        <w:t>.</w:t>
      </w:r>
    </w:p>
    <w:p w14:paraId="6037A1C9" w14:textId="31B6544D" w:rsidR="004946F0" w:rsidRPr="003A1191" w:rsidRDefault="008B0057" w:rsidP="00545B53">
      <w:pPr>
        <w:spacing w:line="360" w:lineRule="auto"/>
        <w:ind w:firstLine="708"/>
        <w:jc w:val="both"/>
        <w:rPr>
          <w:rFonts w:cstheme="minorHAnsi"/>
          <w:sz w:val="24"/>
          <w:szCs w:val="24"/>
        </w:rPr>
      </w:pPr>
      <w:r w:rsidRPr="003A1191">
        <w:rPr>
          <w:rFonts w:cstheme="minorHAnsi"/>
          <w:sz w:val="24"/>
          <w:szCs w:val="24"/>
        </w:rPr>
        <w:t>Tras el atentado de finales de enero de este año, un</w:t>
      </w:r>
      <w:r w:rsidR="00E616D5" w:rsidRPr="003A1191">
        <w:rPr>
          <w:rFonts w:cstheme="minorHAnsi"/>
          <w:sz w:val="24"/>
          <w:szCs w:val="24"/>
        </w:rPr>
        <w:t>o</w:t>
      </w:r>
      <w:r w:rsidRPr="003A1191">
        <w:rPr>
          <w:rFonts w:cstheme="minorHAnsi"/>
          <w:sz w:val="24"/>
          <w:szCs w:val="24"/>
        </w:rPr>
        <w:t xml:space="preserve"> de los pensadores más importantes de Canadá realizó </w:t>
      </w:r>
      <w:r w:rsidR="00A16150" w:rsidRPr="003A1191">
        <w:rPr>
          <w:rFonts w:cstheme="minorHAnsi"/>
          <w:sz w:val="24"/>
          <w:szCs w:val="24"/>
        </w:rPr>
        <w:t>unas polémicas declaraciones</w:t>
      </w:r>
      <w:r w:rsidRPr="003A1191">
        <w:rPr>
          <w:rFonts w:cstheme="minorHAnsi"/>
          <w:sz w:val="24"/>
          <w:szCs w:val="24"/>
        </w:rPr>
        <w:t xml:space="preserve"> ante los medios de su país</w:t>
      </w:r>
      <w:r w:rsidR="00E616D5" w:rsidRPr="003A1191">
        <w:rPr>
          <w:rStyle w:val="Refdenotaalpie"/>
          <w:rFonts w:cstheme="minorHAnsi"/>
          <w:sz w:val="24"/>
          <w:szCs w:val="24"/>
        </w:rPr>
        <w:footnoteReference w:id="5"/>
      </w:r>
      <w:r w:rsidR="00A16150" w:rsidRPr="003A1191">
        <w:rPr>
          <w:rFonts w:cstheme="minorHAnsi"/>
          <w:sz w:val="24"/>
          <w:szCs w:val="24"/>
        </w:rPr>
        <w:t xml:space="preserve">. Charles Taylor, conocido filósofo anglocanadiense, declaraba ante los medios que </w:t>
      </w:r>
      <w:r w:rsidR="00A16150" w:rsidRPr="003A1191">
        <w:rPr>
          <w:rFonts w:cstheme="minorHAnsi"/>
          <w:sz w:val="24"/>
          <w:szCs w:val="24"/>
        </w:rPr>
        <w:lastRenderedPageBreak/>
        <w:t>tal vez había errado en alguna de sus recomendaciones entregadas en la conocida comisión Bouchard-Taylor de la que fue copartícipe</w:t>
      </w:r>
      <w:r w:rsidR="004946F0" w:rsidRPr="003A1191">
        <w:rPr>
          <w:rFonts w:cstheme="minorHAnsi"/>
          <w:sz w:val="24"/>
          <w:szCs w:val="24"/>
        </w:rPr>
        <w:t xml:space="preserve">. </w:t>
      </w:r>
      <w:r w:rsidR="004D1DEC" w:rsidRPr="003A1191">
        <w:rPr>
          <w:rFonts w:cstheme="minorHAnsi"/>
          <w:sz w:val="24"/>
          <w:szCs w:val="24"/>
        </w:rPr>
        <w:t xml:space="preserve">Dicha comisión fue encargada entonces por el Primer Ministro de Quebec, Jean Charest, que el 8 de febrero de 2007 anunciaba su creación bajo el nombre de </w:t>
      </w:r>
      <w:r w:rsidR="004D1DEC" w:rsidRPr="003A1191">
        <w:rPr>
          <w:rFonts w:cstheme="minorHAnsi"/>
          <w:i/>
          <w:sz w:val="24"/>
          <w:szCs w:val="24"/>
        </w:rPr>
        <w:t>Comisión de consultas sobre las prácticas de acomodo relativas a las diferencias culturales</w:t>
      </w:r>
      <w:r w:rsidR="00087A2A" w:rsidRPr="003A1191">
        <w:rPr>
          <w:rFonts w:cstheme="minorHAnsi"/>
          <w:sz w:val="24"/>
          <w:szCs w:val="24"/>
        </w:rPr>
        <w:t xml:space="preserve">, y que se creó para el estudio y formulación de recomendaciones al gobierno para que los llamados </w:t>
      </w:r>
      <w:r w:rsidR="00087A2A" w:rsidRPr="003A1191">
        <w:rPr>
          <w:rFonts w:cstheme="minorHAnsi"/>
          <w:i/>
          <w:sz w:val="24"/>
          <w:szCs w:val="24"/>
        </w:rPr>
        <w:t>acomodos razonables</w:t>
      </w:r>
      <w:r w:rsidR="00087A2A" w:rsidRPr="003A1191">
        <w:rPr>
          <w:rFonts w:cstheme="minorHAnsi"/>
          <w:sz w:val="24"/>
          <w:szCs w:val="24"/>
        </w:rPr>
        <w:t xml:space="preserve"> fueran conformes a los valores de la sociedad quebequesa como sociedad pluralista, democrática e igualitaria. La comisión fue encargada a dos intelectuales quebequeses de gran renombre: el filósofo anglófono Charles Taylor, y al historiador y sociólogo francófono Gérard Bouchard, cuyo pensamiento tuvo gran influencia en el resultado del informe final de la comisión y en el nombre por el que se la conoce: Comisión Bouchard-Taylor</w:t>
      </w:r>
      <w:r w:rsidR="00087A2A" w:rsidRPr="003A1191">
        <w:rPr>
          <w:rFonts w:cstheme="minorHAnsi"/>
          <w:sz w:val="24"/>
          <w:szCs w:val="24"/>
          <w:vertAlign w:val="superscript"/>
        </w:rPr>
        <w:footnoteReference w:id="6"/>
      </w:r>
      <w:r w:rsidR="00087A2A" w:rsidRPr="003A1191">
        <w:rPr>
          <w:rFonts w:cstheme="minorHAnsi"/>
          <w:sz w:val="24"/>
          <w:szCs w:val="24"/>
        </w:rPr>
        <w:t>.</w:t>
      </w:r>
    </w:p>
    <w:p w14:paraId="202061FD" w14:textId="6D926454" w:rsidR="00787A07" w:rsidRPr="003A1191" w:rsidRDefault="0093723F" w:rsidP="00545B53">
      <w:pPr>
        <w:spacing w:line="360" w:lineRule="auto"/>
        <w:ind w:firstLine="708"/>
        <w:jc w:val="both"/>
        <w:rPr>
          <w:rFonts w:cstheme="minorHAnsi"/>
          <w:sz w:val="24"/>
          <w:szCs w:val="24"/>
        </w:rPr>
      </w:pPr>
      <w:r w:rsidRPr="003A1191">
        <w:rPr>
          <w:rFonts w:cstheme="minorHAnsi"/>
          <w:sz w:val="24"/>
          <w:szCs w:val="24"/>
        </w:rPr>
        <w:t>La región de Quebec sufría por entonces una sensación de pérdida de identidad por no haber podido resolver jurídicamente su inserción dentro de Canadá</w:t>
      </w:r>
      <w:r w:rsidR="009F152A" w:rsidRPr="003A1191">
        <w:rPr>
          <w:rFonts w:cstheme="minorHAnsi"/>
          <w:sz w:val="24"/>
          <w:szCs w:val="24"/>
        </w:rPr>
        <w:t>, pero también por un aumento de la diversidad étnica de la provincia</w:t>
      </w:r>
      <w:r w:rsidR="00FC614C">
        <w:rPr>
          <w:rFonts w:cstheme="minorHAnsi"/>
          <w:sz w:val="24"/>
          <w:szCs w:val="24"/>
        </w:rPr>
        <w:t xml:space="preserve"> debido a la inmigración</w:t>
      </w:r>
      <w:r w:rsidR="00AB2A7D" w:rsidRPr="003A1191">
        <w:rPr>
          <w:rFonts w:cstheme="minorHAnsi"/>
          <w:sz w:val="24"/>
          <w:szCs w:val="24"/>
        </w:rPr>
        <w:t xml:space="preserve">. </w:t>
      </w:r>
      <w:r w:rsidRPr="003A1191">
        <w:rPr>
          <w:rFonts w:cstheme="minorHAnsi"/>
          <w:sz w:val="24"/>
          <w:szCs w:val="24"/>
        </w:rPr>
        <w:t xml:space="preserve"> </w:t>
      </w:r>
      <w:r w:rsidR="009F152A" w:rsidRPr="003A1191">
        <w:rPr>
          <w:rFonts w:cstheme="minorHAnsi"/>
          <w:sz w:val="24"/>
          <w:szCs w:val="24"/>
        </w:rPr>
        <w:t>A</w:t>
      </w:r>
      <w:r w:rsidR="00787A07" w:rsidRPr="003A1191">
        <w:rPr>
          <w:rFonts w:cstheme="minorHAnsi"/>
          <w:sz w:val="24"/>
          <w:szCs w:val="24"/>
        </w:rPr>
        <w:t xml:space="preserve"> la ansiedad identitaria se le añadieron </w:t>
      </w:r>
      <w:r w:rsidR="009F152A" w:rsidRPr="003A1191">
        <w:rPr>
          <w:rFonts w:cstheme="minorHAnsi"/>
          <w:sz w:val="24"/>
          <w:szCs w:val="24"/>
        </w:rPr>
        <w:t xml:space="preserve">también </w:t>
      </w:r>
      <w:r w:rsidR="00787A07" w:rsidRPr="003A1191">
        <w:rPr>
          <w:rFonts w:cstheme="minorHAnsi"/>
          <w:sz w:val="24"/>
          <w:szCs w:val="24"/>
        </w:rPr>
        <w:t xml:space="preserve">diversos episodios de pánico moral </w:t>
      </w:r>
      <w:sdt>
        <w:sdtPr>
          <w:rPr>
            <w:rFonts w:cstheme="minorHAnsi"/>
            <w:sz w:val="24"/>
            <w:szCs w:val="24"/>
          </w:rPr>
          <w:id w:val="-1626616574"/>
          <w:citation/>
        </w:sdtPr>
        <w:sdtEndPr/>
        <w:sdtContent>
          <w:r w:rsidR="009F152A" w:rsidRPr="003A1191">
            <w:rPr>
              <w:rFonts w:cstheme="minorHAnsi"/>
              <w:sz w:val="24"/>
              <w:szCs w:val="24"/>
            </w:rPr>
            <w:fldChar w:fldCharType="begin"/>
          </w:r>
          <w:r w:rsidR="009F152A" w:rsidRPr="003A1191">
            <w:rPr>
              <w:rFonts w:cstheme="minorHAnsi"/>
              <w:sz w:val="24"/>
              <w:szCs w:val="24"/>
            </w:rPr>
            <w:instrText xml:space="preserve"> CITATION Goo94 \l 3082 </w:instrText>
          </w:r>
          <w:r w:rsidR="009F152A" w:rsidRPr="003A1191">
            <w:rPr>
              <w:rFonts w:cstheme="minorHAnsi"/>
              <w:sz w:val="24"/>
              <w:szCs w:val="24"/>
            </w:rPr>
            <w:fldChar w:fldCharType="separate"/>
          </w:r>
          <w:r w:rsidR="009F152A" w:rsidRPr="003A1191">
            <w:rPr>
              <w:rFonts w:cstheme="minorHAnsi"/>
              <w:noProof/>
              <w:sz w:val="24"/>
              <w:szCs w:val="24"/>
            </w:rPr>
            <w:t>(Goode &amp; Yehuda, 1994)</w:t>
          </w:r>
          <w:r w:rsidR="009F152A" w:rsidRPr="003A1191">
            <w:rPr>
              <w:rFonts w:cstheme="minorHAnsi"/>
              <w:sz w:val="24"/>
              <w:szCs w:val="24"/>
            </w:rPr>
            <w:fldChar w:fldCharType="end"/>
          </w:r>
        </w:sdtContent>
      </w:sdt>
      <w:r w:rsidR="009F152A" w:rsidRPr="003A1191">
        <w:rPr>
          <w:rFonts w:cstheme="minorHAnsi"/>
          <w:sz w:val="24"/>
          <w:szCs w:val="24"/>
        </w:rPr>
        <w:t xml:space="preserve"> que estallaron con la denominada “crisis de los acomodos razonables”</w:t>
      </w:r>
      <w:r w:rsidR="00331F76" w:rsidRPr="003A1191">
        <w:rPr>
          <w:rFonts w:cstheme="minorHAnsi"/>
          <w:sz w:val="24"/>
          <w:szCs w:val="24"/>
        </w:rPr>
        <w:t xml:space="preserve"> </w:t>
      </w:r>
      <w:sdt>
        <w:sdtPr>
          <w:rPr>
            <w:rFonts w:cstheme="minorHAnsi"/>
            <w:sz w:val="24"/>
            <w:szCs w:val="24"/>
          </w:rPr>
          <w:id w:val="72322430"/>
          <w:citation/>
        </w:sdtPr>
        <w:sdtEndPr/>
        <w:sdtContent>
          <w:r w:rsidR="00331F76" w:rsidRPr="003A1191">
            <w:rPr>
              <w:rFonts w:cstheme="minorHAnsi"/>
              <w:sz w:val="24"/>
              <w:szCs w:val="24"/>
            </w:rPr>
            <w:fldChar w:fldCharType="begin"/>
          </w:r>
          <w:r w:rsidR="00331F76" w:rsidRPr="003A1191">
            <w:rPr>
              <w:rFonts w:cstheme="minorHAnsi"/>
              <w:sz w:val="24"/>
              <w:szCs w:val="24"/>
            </w:rPr>
            <w:instrText xml:space="preserve"> CITATION Est09 \l 3082 </w:instrText>
          </w:r>
          <w:r w:rsidR="00331F76" w:rsidRPr="003A1191">
            <w:rPr>
              <w:rFonts w:cstheme="minorHAnsi"/>
              <w:sz w:val="24"/>
              <w:szCs w:val="24"/>
            </w:rPr>
            <w:fldChar w:fldCharType="separate"/>
          </w:r>
          <w:r w:rsidR="00331F76" w:rsidRPr="003A1191">
            <w:rPr>
              <w:rFonts w:cstheme="minorHAnsi"/>
              <w:noProof/>
              <w:sz w:val="24"/>
              <w:szCs w:val="24"/>
            </w:rPr>
            <w:t>(Esteban Sánchez &amp; López Sala, 2009)</w:t>
          </w:r>
          <w:r w:rsidR="00331F76" w:rsidRPr="003A1191">
            <w:rPr>
              <w:rFonts w:cstheme="minorHAnsi"/>
              <w:sz w:val="24"/>
              <w:szCs w:val="24"/>
            </w:rPr>
            <w:fldChar w:fldCharType="end"/>
          </w:r>
        </w:sdtContent>
      </w:sdt>
      <w:r w:rsidR="008D057B">
        <w:rPr>
          <w:rFonts w:cstheme="minorHAnsi"/>
          <w:sz w:val="24"/>
          <w:szCs w:val="24"/>
        </w:rPr>
        <w:t>, unos episodios</w:t>
      </w:r>
      <w:r w:rsidR="009F152A" w:rsidRPr="003A1191">
        <w:rPr>
          <w:rFonts w:cstheme="minorHAnsi"/>
          <w:sz w:val="24"/>
          <w:szCs w:val="24"/>
        </w:rPr>
        <w:t xml:space="preserve"> que </w:t>
      </w:r>
      <w:r w:rsidR="00A43B34" w:rsidRPr="003A1191">
        <w:rPr>
          <w:rFonts w:cstheme="minorHAnsi"/>
          <w:sz w:val="24"/>
          <w:szCs w:val="24"/>
        </w:rPr>
        <w:t>sacudieron</w:t>
      </w:r>
      <w:r w:rsidR="009F152A" w:rsidRPr="003A1191">
        <w:rPr>
          <w:rFonts w:cstheme="minorHAnsi"/>
          <w:sz w:val="24"/>
          <w:szCs w:val="24"/>
        </w:rPr>
        <w:t xml:space="preserve"> a la sociedad quebequense entre el otoño de 2006 y la primavera de 2007, cuando una serie de casos</w:t>
      </w:r>
      <w:r w:rsidR="00B200CE" w:rsidRPr="003A1191">
        <w:rPr>
          <w:rStyle w:val="Refdenotaalpie"/>
          <w:rFonts w:cstheme="minorHAnsi"/>
          <w:sz w:val="24"/>
          <w:szCs w:val="24"/>
        </w:rPr>
        <w:footnoteReference w:id="7"/>
      </w:r>
      <w:r w:rsidR="009F152A" w:rsidRPr="003A1191">
        <w:rPr>
          <w:rFonts w:cstheme="minorHAnsi"/>
          <w:sz w:val="24"/>
          <w:szCs w:val="24"/>
        </w:rPr>
        <w:t xml:space="preserve"> relacionados con las demandas de ciertas minorías étnicas generaron una tremenda repercusión mediática y provocaron una intensa polémica social </w:t>
      </w:r>
      <w:sdt>
        <w:sdtPr>
          <w:rPr>
            <w:rFonts w:cstheme="minorHAnsi"/>
            <w:sz w:val="24"/>
            <w:szCs w:val="24"/>
          </w:rPr>
          <w:id w:val="-1878079023"/>
          <w:citation/>
        </w:sdtPr>
        <w:sdtEndPr/>
        <w:sdtContent>
          <w:r w:rsidR="009F152A" w:rsidRPr="003A1191">
            <w:rPr>
              <w:rFonts w:cstheme="minorHAnsi"/>
              <w:sz w:val="24"/>
              <w:szCs w:val="24"/>
            </w:rPr>
            <w:fldChar w:fldCharType="begin"/>
          </w:r>
          <w:r w:rsidR="009F152A" w:rsidRPr="003A1191">
            <w:rPr>
              <w:rFonts w:cstheme="minorHAnsi"/>
              <w:sz w:val="24"/>
              <w:szCs w:val="24"/>
            </w:rPr>
            <w:instrText xml:space="preserve">CITATION Tos10 \p 96 \l 3082 </w:instrText>
          </w:r>
          <w:r w:rsidR="009F152A" w:rsidRPr="003A1191">
            <w:rPr>
              <w:rFonts w:cstheme="minorHAnsi"/>
              <w:sz w:val="24"/>
              <w:szCs w:val="24"/>
            </w:rPr>
            <w:fldChar w:fldCharType="separate"/>
          </w:r>
          <w:r w:rsidR="009F152A" w:rsidRPr="003A1191">
            <w:rPr>
              <w:rFonts w:cstheme="minorHAnsi"/>
              <w:noProof/>
              <w:sz w:val="24"/>
              <w:szCs w:val="24"/>
            </w:rPr>
            <w:t>(Toscano Méndez, 2010, p. 96)</w:t>
          </w:r>
          <w:r w:rsidR="009F152A" w:rsidRPr="003A1191">
            <w:rPr>
              <w:rFonts w:cstheme="minorHAnsi"/>
              <w:sz w:val="24"/>
              <w:szCs w:val="24"/>
            </w:rPr>
            <w:fldChar w:fldCharType="end"/>
          </w:r>
        </w:sdtContent>
      </w:sdt>
      <w:r w:rsidR="009F152A" w:rsidRPr="003A1191">
        <w:rPr>
          <w:rFonts w:cstheme="minorHAnsi"/>
          <w:sz w:val="24"/>
          <w:szCs w:val="24"/>
        </w:rPr>
        <w:t>. La reacción social se produjo cuando algunas minorías étnicas trataron de lograr el reconocimiento de algunas prácticas culturales</w:t>
      </w:r>
      <w:r w:rsidR="00F00CED" w:rsidRPr="003A1191">
        <w:rPr>
          <w:rFonts w:cstheme="minorHAnsi"/>
          <w:sz w:val="24"/>
          <w:szCs w:val="24"/>
        </w:rPr>
        <w:t>,</w:t>
      </w:r>
      <w:r w:rsidR="009F152A" w:rsidRPr="003A1191">
        <w:rPr>
          <w:rFonts w:cstheme="minorHAnsi"/>
          <w:sz w:val="24"/>
          <w:szCs w:val="24"/>
        </w:rPr>
        <w:t xml:space="preserve"> </w:t>
      </w:r>
      <w:r w:rsidR="00F00CED" w:rsidRPr="003A1191">
        <w:rPr>
          <w:rFonts w:cstheme="minorHAnsi"/>
          <w:sz w:val="24"/>
          <w:szCs w:val="24"/>
        </w:rPr>
        <w:t xml:space="preserve">fundamentalmente de carácter religioso, </w:t>
      </w:r>
      <w:r w:rsidR="009F152A" w:rsidRPr="003A1191">
        <w:rPr>
          <w:rFonts w:cstheme="minorHAnsi"/>
          <w:sz w:val="24"/>
          <w:szCs w:val="24"/>
        </w:rPr>
        <w:t xml:space="preserve">que la sociedad </w:t>
      </w:r>
      <w:r w:rsidR="00F00CED" w:rsidRPr="003A1191">
        <w:rPr>
          <w:rFonts w:cstheme="minorHAnsi"/>
          <w:sz w:val="24"/>
          <w:szCs w:val="24"/>
        </w:rPr>
        <w:t>quebequense</w:t>
      </w:r>
      <w:r w:rsidR="009F152A" w:rsidRPr="003A1191">
        <w:rPr>
          <w:rFonts w:cstheme="minorHAnsi"/>
          <w:sz w:val="24"/>
          <w:szCs w:val="24"/>
        </w:rPr>
        <w:t xml:space="preserve"> percibía como </w:t>
      </w:r>
      <w:r w:rsidR="00F00CED" w:rsidRPr="003A1191">
        <w:rPr>
          <w:rFonts w:cstheme="minorHAnsi"/>
          <w:sz w:val="24"/>
          <w:szCs w:val="24"/>
        </w:rPr>
        <w:t xml:space="preserve">contrarias a sus propios valores y principios. La indignación social provocó una contrarreacción identitaria que se expresó con el rechazo a las prácticas de armonización que se habían iniciado con los </w:t>
      </w:r>
      <w:r w:rsidR="00B41341" w:rsidRPr="003A1191">
        <w:rPr>
          <w:rFonts w:cstheme="minorHAnsi"/>
          <w:sz w:val="24"/>
          <w:szCs w:val="24"/>
        </w:rPr>
        <w:t xml:space="preserve">denominados </w:t>
      </w:r>
      <w:r w:rsidR="00F00CED" w:rsidRPr="003A1191">
        <w:rPr>
          <w:rFonts w:cstheme="minorHAnsi"/>
          <w:sz w:val="24"/>
          <w:szCs w:val="24"/>
        </w:rPr>
        <w:t>“acomodos razonables”</w:t>
      </w:r>
      <w:r w:rsidR="006D2AF0" w:rsidRPr="003A1191">
        <w:rPr>
          <w:rFonts w:cstheme="minorHAnsi"/>
          <w:sz w:val="24"/>
          <w:szCs w:val="24"/>
        </w:rPr>
        <w:t xml:space="preserve"> </w:t>
      </w:r>
      <w:sdt>
        <w:sdtPr>
          <w:rPr>
            <w:rFonts w:cstheme="minorHAnsi"/>
            <w:sz w:val="24"/>
            <w:szCs w:val="24"/>
          </w:rPr>
          <w:id w:val="146410602"/>
          <w:citation/>
        </w:sdtPr>
        <w:sdtEndPr/>
        <w:sdtContent>
          <w:r w:rsidR="006D2AF0" w:rsidRPr="003A1191">
            <w:rPr>
              <w:rFonts w:cstheme="minorHAnsi"/>
              <w:sz w:val="24"/>
              <w:szCs w:val="24"/>
            </w:rPr>
            <w:fldChar w:fldCharType="begin"/>
          </w:r>
          <w:r w:rsidR="006D2AF0" w:rsidRPr="003A1191">
            <w:rPr>
              <w:rFonts w:cstheme="minorHAnsi"/>
              <w:sz w:val="24"/>
              <w:szCs w:val="24"/>
            </w:rPr>
            <w:instrText xml:space="preserve"> CITATION Wen15 \l 3082 </w:instrText>
          </w:r>
          <w:r w:rsidR="006D2AF0" w:rsidRPr="003A1191">
            <w:rPr>
              <w:rFonts w:cstheme="minorHAnsi"/>
              <w:sz w:val="24"/>
              <w:szCs w:val="24"/>
            </w:rPr>
            <w:fldChar w:fldCharType="separate"/>
          </w:r>
          <w:r w:rsidR="006D2AF0" w:rsidRPr="003A1191">
            <w:rPr>
              <w:rFonts w:cstheme="minorHAnsi"/>
              <w:noProof/>
              <w:sz w:val="24"/>
              <w:szCs w:val="24"/>
            </w:rPr>
            <w:t>(Wences, 2015)</w:t>
          </w:r>
          <w:r w:rsidR="006D2AF0" w:rsidRPr="003A1191">
            <w:rPr>
              <w:rFonts w:cstheme="minorHAnsi"/>
              <w:sz w:val="24"/>
              <w:szCs w:val="24"/>
            </w:rPr>
            <w:fldChar w:fldCharType="end"/>
          </w:r>
        </w:sdtContent>
      </w:sdt>
      <w:r w:rsidR="00F00CED" w:rsidRPr="003A1191">
        <w:rPr>
          <w:rFonts w:cstheme="minorHAnsi"/>
          <w:sz w:val="24"/>
          <w:szCs w:val="24"/>
        </w:rPr>
        <w:t>, un</w:t>
      </w:r>
      <w:r w:rsidR="00B41341" w:rsidRPr="003A1191">
        <w:rPr>
          <w:rFonts w:cstheme="minorHAnsi"/>
          <w:sz w:val="24"/>
          <w:szCs w:val="24"/>
        </w:rPr>
        <w:t>os</w:t>
      </w:r>
      <w:r w:rsidR="00F00CED" w:rsidRPr="003A1191">
        <w:rPr>
          <w:rFonts w:cstheme="minorHAnsi"/>
          <w:sz w:val="24"/>
          <w:szCs w:val="24"/>
        </w:rPr>
        <w:t xml:space="preserve"> mecanismo</w:t>
      </w:r>
      <w:r w:rsidR="00B41341" w:rsidRPr="003A1191">
        <w:rPr>
          <w:rFonts w:cstheme="minorHAnsi"/>
          <w:sz w:val="24"/>
          <w:szCs w:val="24"/>
        </w:rPr>
        <w:t>s</w:t>
      </w:r>
      <w:r w:rsidR="00F00CED" w:rsidRPr="003A1191">
        <w:rPr>
          <w:rFonts w:cstheme="minorHAnsi"/>
          <w:sz w:val="24"/>
          <w:szCs w:val="24"/>
        </w:rPr>
        <w:t xml:space="preserve"> legal</w:t>
      </w:r>
      <w:r w:rsidR="00B41341" w:rsidRPr="003A1191">
        <w:rPr>
          <w:rFonts w:cstheme="minorHAnsi"/>
          <w:sz w:val="24"/>
          <w:szCs w:val="24"/>
        </w:rPr>
        <w:t>es</w:t>
      </w:r>
      <w:r w:rsidR="00F00CED" w:rsidRPr="003A1191">
        <w:rPr>
          <w:rFonts w:cstheme="minorHAnsi"/>
          <w:sz w:val="24"/>
          <w:szCs w:val="24"/>
        </w:rPr>
        <w:t xml:space="preserve"> dirigido</w:t>
      </w:r>
      <w:r w:rsidR="00B41341" w:rsidRPr="003A1191">
        <w:rPr>
          <w:rFonts w:cstheme="minorHAnsi"/>
          <w:sz w:val="24"/>
          <w:szCs w:val="24"/>
        </w:rPr>
        <w:t>s</w:t>
      </w:r>
      <w:r w:rsidR="00F00CED" w:rsidRPr="003A1191">
        <w:rPr>
          <w:rFonts w:cstheme="minorHAnsi"/>
          <w:sz w:val="24"/>
          <w:szCs w:val="24"/>
        </w:rPr>
        <w:t xml:space="preserve"> a conciliar o armonizar intereses a partir de una demanda </w:t>
      </w:r>
      <w:r w:rsidR="00F00CED" w:rsidRPr="003A1191">
        <w:rPr>
          <w:rFonts w:cstheme="minorHAnsi"/>
          <w:sz w:val="24"/>
          <w:szCs w:val="24"/>
        </w:rPr>
        <w:lastRenderedPageBreak/>
        <w:t>personal que percibe cierta discriminación y que constituye en la actualidad una parte integral del derecho a la igualdad en Canadá.</w:t>
      </w:r>
    </w:p>
    <w:p w14:paraId="6EE8CF82" w14:textId="09C871A9" w:rsidR="008E2D72" w:rsidRPr="003A1191" w:rsidRDefault="008E2D72" w:rsidP="00545B53">
      <w:pPr>
        <w:spacing w:line="360" w:lineRule="auto"/>
        <w:ind w:firstLine="708"/>
        <w:jc w:val="both"/>
        <w:rPr>
          <w:rFonts w:cstheme="minorHAnsi"/>
          <w:sz w:val="24"/>
          <w:szCs w:val="24"/>
        </w:rPr>
      </w:pPr>
      <w:r w:rsidRPr="003A1191">
        <w:rPr>
          <w:rFonts w:cstheme="minorHAnsi"/>
          <w:sz w:val="24"/>
          <w:szCs w:val="24"/>
        </w:rPr>
        <w:t xml:space="preserve">La finalidad del </w:t>
      </w:r>
      <w:r w:rsidRPr="003A1191">
        <w:rPr>
          <w:rFonts w:cstheme="minorHAnsi"/>
          <w:i/>
          <w:sz w:val="24"/>
          <w:szCs w:val="24"/>
        </w:rPr>
        <w:t>Rapport Bouchard-Taylor</w:t>
      </w:r>
      <w:r w:rsidRPr="003A1191">
        <w:rPr>
          <w:rFonts w:cstheme="minorHAnsi"/>
          <w:sz w:val="24"/>
          <w:szCs w:val="24"/>
        </w:rPr>
        <w:t xml:space="preserve"> </w:t>
      </w:r>
      <w:sdt>
        <w:sdtPr>
          <w:rPr>
            <w:rFonts w:cstheme="minorHAnsi"/>
            <w:sz w:val="24"/>
            <w:szCs w:val="24"/>
          </w:rPr>
          <w:id w:val="403490678"/>
          <w:citation/>
        </w:sdtPr>
        <w:sdtEndPr/>
        <w:sdtContent>
          <w:r w:rsidR="0033366A" w:rsidRPr="003A1191">
            <w:rPr>
              <w:rFonts w:cstheme="minorHAnsi"/>
              <w:sz w:val="24"/>
              <w:szCs w:val="24"/>
            </w:rPr>
            <w:fldChar w:fldCharType="begin"/>
          </w:r>
          <w:r w:rsidR="0033366A" w:rsidRPr="003A1191">
            <w:rPr>
              <w:rFonts w:cstheme="minorHAnsi"/>
              <w:sz w:val="24"/>
              <w:szCs w:val="24"/>
            </w:rPr>
            <w:instrText xml:space="preserve"> CITATION Bou10 \l 3082 </w:instrText>
          </w:r>
          <w:r w:rsidR="0033366A" w:rsidRPr="003A1191">
            <w:rPr>
              <w:rFonts w:cstheme="minorHAnsi"/>
              <w:sz w:val="24"/>
              <w:szCs w:val="24"/>
            </w:rPr>
            <w:fldChar w:fldCharType="separate"/>
          </w:r>
          <w:r w:rsidR="0033366A" w:rsidRPr="003A1191">
            <w:rPr>
              <w:rFonts w:cstheme="minorHAnsi"/>
              <w:noProof/>
              <w:sz w:val="24"/>
              <w:szCs w:val="24"/>
            </w:rPr>
            <w:t>(Bouchard &amp; Taylor, 2010)</w:t>
          </w:r>
          <w:r w:rsidR="0033366A" w:rsidRPr="003A1191">
            <w:rPr>
              <w:rFonts w:cstheme="minorHAnsi"/>
              <w:sz w:val="24"/>
              <w:szCs w:val="24"/>
            </w:rPr>
            <w:fldChar w:fldCharType="end"/>
          </w:r>
        </w:sdtContent>
      </w:sdt>
      <w:r w:rsidR="0033366A" w:rsidRPr="003A1191">
        <w:rPr>
          <w:rFonts w:cstheme="minorHAnsi"/>
          <w:sz w:val="24"/>
          <w:szCs w:val="24"/>
        </w:rPr>
        <w:t xml:space="preserve"> </w:t>
      </w:r>
      <w:r w:rsidRPr="003A1191">
        <w:rPr>
          <w:rFonts w:cstheme="minorHAnsi"/>
          <w:sz w:val="24"/>
          <w:szCs w:val="24"/>
        </w:rPr>
        <w:t xml:space="preserve">era tratar de desarrollar un modelo intercultural que consiguiera conciliar una identidad común, junto a una base lingüística francófona, con el respeto máximo de sus propias minorías internas y la diversidad venida de la inmigración </w:t>
      </w:r>
      <w:sdt>
        <w:sdtPr>
          <w:rPr>
            <w:rFonts w:cstheme="minorHAnsi"/>
            <w:sz w:val="24"/>
            <w:szCs w:val="24"/>
          </w:rPr>
          <w:id w:val="-681516773"/>
          <w:citation/>
        </w:sdtPr>
        <w:sdtEndPr/>
        <w:sdtContent>
          <w:r w:rsidRPr="003A1191">
            <w:rPr>
              <w:rFonts w:cstheme="minorHAnsi"/>
              <w:sz w:val="24"/>
              <w:szCs w:val="24"/>
            </w:rPr>
            <w:fldChar w:fldCharType="begin"/>
          </w:r>
          <w:r w:rsidRPr="003A1191">
            <w:rPr>
              <w:rFonts w:cstheme="minorHAnsi"/>
              <w:sz w:val="24"/>
              <w:szCs w:val="24"/>
            </w:rPr>
            <w:instrText xml:space="preserve">CITATION Eló0a \p 141 \l 3082 </w:instrText>
          </w:r>
          <w:r w:rsidRPr="003A1191">
            <w:rPr>
              <w:rFonts w:cstheme="minorHAnsi"/>
              <w:sz w:val="24"/>
              <w:szCs w:val="24"/>
            </w:rPr>
            <w:fldChar w:fldCharType="separate"/>
          </w:r>
          <w:r w:rsidRPr="003A1191">
            <w:rPr>
              <w:rFonts w:cstheme="minorHAnsi"/>
              <w:noProof/>
              <w:sz w:val="24"/>
              <w:szCs w:val="24"/>
            </w:rPr>
            <w:t>(Elósegui Itxaso, 2010a, p. 141)</w:t>
          </w:r>
          <w:r w:rsidRPr="003A1191">
            <w:rPr>
              <w:rFonts w:cstheme="minorHAnsi"/>
              <w:sz w:val="24"/>
              <w:szCs w:val="24"/>
            </w:rPr>
            <w:fldChar w:fldCharType="end"/>
          </w:r>
        </w:sdtContent>
      </w:sdt>
      <w:r w:rsidR="00193B44" w:rsidRPr="003A1191">
        <w:rPr>
          <w:rFonts w:cstheme="minorHAnsi"/>
          <w:sz w:val="24"/>
          <w:szCs w:val="24"/>
        </w:rPr>
        <w:t>. La preocupación por fomentar la cohesión social a través de la promoción del valor de la diversidad cultural y su respeto sólo podría lograrse con la insistencia de la construcción de una ciudadanía participativa y solidaria que se preocupara por el buen funcionamiento de una sociedad igualitaria. La comisión estableció que la forma de concretar un modelo de cohesión adecuado debía ser a través de la fijación de un marco común de integración entre los inmigrantes y la sociedad receptora a través de las instituciones democráticas</w:t>
      </w:r>
      <w:r w:rsidR="00111DA7" w:rsidRPr="003A1191">
        <w:rPr>
          <w:rFonts w:cstheme="minorHAnsi"/>
          <w:sz w:val="24"/>
          <w:szCs w:val="24"/>
        </w:rPr>
        <w:t xml:space="preserve"> y del respeto de los principios contenidos en las principales Cartas de derechos y libertades canadienses</w:t>
      </w:r>
      <w:r w:rsidR="00111DA7" w:rsidRPr="003A1191">
        <w:rPr>
          <w:rStyle w:val="Refdenotaalpie"/>
          <w:rFonts w:cstheme="minorHAnsi"/>
          <w:sz w:val="24"/>
          <w:szCs w:val="24"/>
        </w:rPr>
        <w:footnoteReference w:id="8"/>
      </w:r>
      <w:r w:rsidR="00111DA7" w:rsidRPr="003A1191">
        <w:rPr>
          <w:rFonts w:cstheme="minorHAnsi"/>
          <w:sz w:val="24"/>
          <w:szCs w:val="24"/>
        </w:rPr>
        <w:t>.</w:t>
      </w:r>
    </w:p>
    <w:p w14:paraId="5A582F13" w14:textId="4B4193CE" w:rsidR="00B241E4" w:rsidRPr="003A1191" w:rsidRDefault="00460770" w:rsidP="00545B53">
      <w:pPr>
        <w:spacing w:line="360" w:lineRule="auto"/>
        <w:ind w:firstLine="708"/>
        <w:jc w:val="both"/>
        <w:rPr>
          <w:rFonts w:cstheme="minorHAnsi"/>
          <w:sz w:val="24"/>
          <w:szCs w:val="24"/>
        </w:rPr>
      </w:pPr>
      <w:r w:rsidRPr="003A1191">
        <w:rPr>
          <w:rFonts w:cstheme="minorHAnsi"/>
          <w:sz w:val="24"/>
          <w:szCs w:val="24"/>
        </w:rPr>
        <w:t xml:space="preserve">El modelo de convivencia </w:t>
      </w:r>
      <w:r w:rsidR="00FC26DE" w:rsidRPr="003A1191">
        <w:rPr>
          <w:rFonts w:cstheme="minorHAnsi"/>
          <w:sz w:val="24"/>
          <w:szCs w:val="24"/>
        </w:rPr>
        <w:t xml:space="preserve">para la </w:t>
      </w:r>
      <w:r w:rsidR="00FC26DE" w:rsidRPr="003A1191">
        <w:rPr>
          <w:rFonts w:cstheme="minorHAnsi"/>
          <w:i/>
          <w:sz w:val="24"/>
          <w:szCs w:val="24"/>
        </w:rPr>
        <w:t>Belle Province</w:t>
      </w:r>
      <w:r w:rsidR="00FC26DE" w:rsidRPr="003A1191">
        <w:rPr>
          <w:rFonts w:cstheme="minorHAnsi"/>
          <w:sz w:val="24"/>
          <w:szCs w:val="24"/>
        </w:rPr>
        <w:t xml:space="preserve"> </w:t>
      </w:r>
      <w:r w:rsidRPr="003A1191">
        <w:rPr>
          <w:rFonts w:cstheme="minorHAnsi"/>
          <w:sz w:val="24"/>
          <w:szCs w:val="24"/>
        </w:rPr>
        <w:t xml:space="preserve">que </w:t>
      </w:r>
      <w:r w:rsidR="003A4E7C" w:rsidRPr="003A1191">
        <w:rPr>
          <w:rFonts w:cstheme="minorHAnsi"/>
          <w:sz w:val="24"/>
          <w:szCs w:val="24"/>
        </w:rPr>
        <w:t>pretendía</w:t>
      </w:r>
      <w:r w:rsidRPr="003A1191">
        <w:rPr>
          <w:rFonts w:cstheme="minorHAnsi"/>
          <w:sz w:val="24"/>
          <w:szCs w:val="24"/>
        </w:rPr>
        <w:t xml:space="preserve"> fomentar la comisión </w:t>
      </w:r>
      <w:r w:rsidR="003A4E7C" w:rsidRPr="003A1191">
        <w:rPr>
          <w:rFonts w:cstheme="minorHAnsi"/>
          <w:sz w:val="24"/>
          <w:szCs w:val="24"/>
        </w:rPr>
        <w:t xml:space="preserve">trató de sustentarse sobre un </w:t>
      </w:r>
      <w:r w:rsidR="006813F5" w:rsidRPr="003A1191">
        <w:rPr>
          <w:rFonts w:cstheme="minorHAnsi"/>
          <w:sz w:val="24"/>
          <w:szCs w:val="24"/>
        </w:rPr>
        <w:t>grado</w:t>
      </w:r>
      <w:r w:rsidR="003A4E7C" w:rsidRPr="003A1191">
        <w:rPr>
          <w:rFonts w:cstheme="minorHAnsi"/>
          <w:sz w:val="24"/>
          <w:szCs w:val="24"/>
        </w:rPr>
        <w:t xml:space="preserve"> de laicidad que fuera lo más acorde las característic</w:t>
      </w:r>
      <w:r w:rsidR="006D2AF0" w:rsidRPr="003A1191">
        <w:rPr>
          <w:rFonts w:cstheme="minorHAnsi"/>
          <w:sz w:val="24"/>
          <w:szCs w:val="24"/>
        </w:rPr>
        <w:t xml:space="preserve">as de la sociedad quebequense. </w:t>
      </w:r>
      <w:r w:rsidR="00010222" w:rsidRPr="003A1191">
        <w:rPr>
          <w:rFonts w:cstheme="minorHAnsi"/>
          <w:sz w:val="24"/>
          <w:szCs w:val="24"/>
        </w:rPr>
        <w:t xml:space="preserve">Para ello se quiso constituir un modelo de laicidad que respetara el marco de regulación de la libertad religiosa previsto en los tratados internacionales, pero adaptado a la realidad particular de la sociedad quebequesa. </w:t>
      </w:r>
      <w:r w:rsidR="000770F2" w:rsidRPr="003A1191">
        <w:rPr>
          <w:rFonts w:cstheme="minorHAnsi"/>
          <w:sz w:val="24"/>
          <w:szCs w:val="24"/>
        </w:rPr>
        <w:t>De este modo, e</w:t>
      </w:r>
      <w:r w:rsidR="00661989" w:rsidRPr="003A1191">
        <w:rPr>
          <w:rFonts w:cstheme="minorHAnsi"/>
          <w:sz w:val="24"/>
          <w:szCs w:val="24"/>
        </w:rPr>
        <w:t>l régimen de laicidad que surge del modelo propuesto por la Comisión Bouchard-Taylor se sustenta</w:t>
      </w:r>
      <w:r w:rsidR="006D2AF0" w:rsidRPr="003A1191">
        <w:rPr>
          <w:rFonts w:cstheme="minorHAnsi"/>
          <w:sz w:val="24"/>
          <w:szCs w:val="24"/>
        </w:rPr>
        <w:t>ría</w:t>
      </w:r>
      <w:r w:rsidR="00661989" w:rsidRPr="003A1191">
        <w:rPr>
          <w:rFonts w:cstheme="minorHAnsi"/>
          <w:sz w:val="24"/>
          <w:szCs w:val="24"/>
        </w:rPr>
        <w:t xml:space="preserve"> sobre cuatro principios básicos: el principio de separación</w:t>
      </w:r>
      <w:r w:rsidR="000770F2" w:rsidRPr="003A1191">
        <w:rPr>
          <w:rFonts w:cstheme="minorHAnsi"/>
          <w:sz w:val="24"/>
          <w:szCs w:val="24"/>
        </w:rPr>
        <w:t xml:space="preserve"> entre Iglesia y Estado</w:t>
      </w:r>
      <w:r w:rsidR="00661989" w:rsidRPr="003A1191">
        <w:rPr>
          <w:rFonts w:cstheme="minorHAnsi"/>
          <w:sz w:val="24"/>
          <w:szCs w:val="24"/>
        </w:rPr>
        <w:t>, el principio de neutralidad</w:t>
      </w:r>
      <w:r w:rsidR="000770F2" w:rsidRPr="003A1191">
        <w:rPr>
          <w:rFonts w:cstheme="minorHAnsi"/>
          <w:sz w:val="24"/>
          <w:szCs w:val="24"/>
        </w:rPr>
        <w:t xml:space="preserve"> del Estado</w:t>
      </w:r>
      <w:r w:rsidR="00661989" w:rsidRPr="003A1191">
        <w:rPr>
          <w:rFonts w:cstheme="minorHAnsi"/>
          <w:sz w:val="24"/>
          <w:szCs w:val="24"/>
        </w:rPr>
        <w:t xml:space="preserve">, la </w:t>
      </w:r>
      <w:r w:rsidR="000770F2" w:rsidRPr="003A1191">
        <w:rPr>
          <w:rFonts w:cstheme="minorHAnsi"/>
          <w:sz w:val="24"/>
          <w:szCs w:val="24"/>
        </w:rPr>
        <w:t xml:space="preserve">igualdad moral de los ciudadanos y la </w:t>
      </w:r>
      <w:r w:rsidR="00661989" w:rsidRPr="003A1191">
        <w:rPr>
          <w:rFonts w:cstheme="minorHAnsi"/>
          <w:sz w:val="24"/>
          <w:szCs w:val="24"/>
        </w:rPr>
        <w:t xml:space="preserve">protección </w:t>
      </w:r>
      <w:r w:rsidR="000770F2" w:rsidRPr="003A1191">
        <w:rPr>
          <w:rFonts w:cstheme="minorHAnsi"/>
          <w:sz w:val="24"/>
          <w:szCs w:val="24"/>
        </w:rPr>
        <w:t>de</w:t>
      </w:r>
      <w:r w:rsidR="00661989" w:rsidRPr="003A1191">
        <w:rPr>
          <w:rFonts w:cstheme="minorHAnsi"/>
          <w:sz w:val="24"/>
          <w:szCs w:val="24"/>
        </w:rPr>
        <w:t xml:space="preserve"> la libertad de conciencia y religión</w:t>
      </w:r>
      <w:r w:rsidR="0013501C" w:rsidRPr="003A1191">
        <w:rPr>
          <w:rFonts w:cstheme="minorHAnsi"/>
          <w:sz w:val="24"/>
          <w:szCs w:val="24"/>
        </w:rPr>
        <w:t xml:space="preserve"> </w:t>
      </w:r>
      <w:sdt>
        <w:sdtPr>
          <w:rPr>
            <w:rFonts w:cstheme="minorHAnsi"/>
            <w:sz w:val="24"/>
            <w:szCs w:val="24"/>
          </w:rPr>
          <w:id w:val="1200896956"/>
          <w:citation/>
        </w:sdtPr>
        <w:sdtEndPr/>
        <w:sdtContent>
          <w:r w:rsidR="0013501C" w:rsidRPr="003A1191">
            <w:rPr>
              <w:rFonts w:cstheme="minorHAnsi"/>
              <w:sz w:val="24"/>
              <w:szCs w:val="24"/>
            </w:rPr>
            <w:fldChar w:fldCharType="begin"/>
          </w:r>
          <w:r w:rsidR="0013501C" w:rsidRPr="003A1191">
            <w:rPr>
              <w:rFonts w:cstheme="minorHAnsi"/>
              <w:sz w:val="24"/>
              <w:szCs w:val="24"/>
            </w:rPr>
            <w:instrText xml:space="preserve">CITATION Bou10 \p 48 \l 3082 </w:instrText>
          </w:r>
          <w:r w:rsidR="0013501C" w:rsidRPr="003A1191">
            <w:rPr>
              <w:rFonts w:cstheme="minorHAnsi"/>
              <w:sz w:val="24"/>
              <w:szCs w:val="24"/>
            </w:rPr>
            <w:fldChar w:fldCharType="separate"/>
          </w:r>
          <w:r w:rsidR="0013501C" w:rsidRPr="003A1191">
            <w:rPr>
              <w:rFonts w:cstheme="minorHAnsi"/>
              <w:noProof/>
              <w:sz w:val="24"/>
              <w:szCs w:val="24"/>
            </w:rPr>
            <w:t>(Bouchard &amp; Taylor, 2010, p. 48)</w:t>
          </w:r>
          <w:r w:rsidR="0013501C" w:rsidRPr="003A1191">
            <w:rPr>
              <w:rFonts w:cstheme="minorHAnsi"/>
              <w:sz w:val="24"/>
              <w:szCs w:val="24"/>
            </w:rPr>
            <w:fldChar w:fldCharType="end"/>
          </w:r>
        </w:sdtContent>
      </w:sdt>
      <w:r w:rsidR="00661989" w:rsidRPr="003A1191">
        <w:rPr>
          <w:rFonts w:cstheme="minorHAnsi"/>
          <w:sz w:val="24"/>
          <w:szCs w:val="24"/>
        </w:rPr>
        <w:t>.</w:t>
      </w:r>
      <w:r w:rsidR="005D64FD" w:rsidRPr="003A1191">
        <w:rPr>
          <w:rFonts w:cstheme="minorHAnsi"/>
          <w:sz w:val="24"/>
          <w:szCs w:val="24"/>
        </w:rPr>
        <w:t xml:space="preserve"> Estos cuatro principios se articulan en torno a dos ejes fundamentales: por un lado, un eje institucional integrado por los principios de </w:t>
      </w:r>
      <w:r w:rsidR="005D64FD" w:rsidRPr="003A1191">
        <w:rPr>
          <w:rFonts w:cstheme="minorHAnsi"/>
          <w:sz w:val="24"/>
          <w:szCs w:val="24"/>
        </w:rPr>
        <w:lastRenderedPageBreak/>
        <w:t>separación y neutralidad y, por otro lado, un eje deontológico compuesto por los principios morales de libertad de conciencia e igualdad.</w:t>
      </w:r>
      <w:r w:rsidR="00A34C1C" w:rsidRPr="003A1191">
        <w:rPr>
          <w:rFonts w:cstheme="minorHAnsi"/>
          <w:sz w:val="24"/>
          <w:szCs w:val="24"/>
        </w:rPr>
        <w:t xml:space="preserve"> </w:t>
      </w:r>
    </w:p>
    <w:p w14:paraId="626C16D6" w14:textId="5076A602" w:rsidR="00B241E4" w:rsidRPr="003A1191" w:rsidRDefault="00B241E4" w:rsidP="00545B53">
      <w:pPr>
        <w:spacing w:line="360" w:lineRule="auto"/>
        <w:ind w:firstLine="708"/>
        <w:jc w:val="both"/>
        <w:rPr>
          <w:rFonts w:cstheme="minorHAnsi"/>
          <w:sz w:val="24"/>
          <w:szCs w:val="24"/>
        </w:rPr>
      </w:pPr>
      <w:r w:rsidRPr="003A1191">
        <w:rPr>
          <w:rFonts w:cstheme="minorHAnsi"/>
          <w:sz w:val="24"/>
          <w:szCs w:val="24"/>
        </w:rPr>
        <w:t>Los principios morales que formarían parte del eje deontológico, es decir, la libertad de conciencia y la igualdad, son principios a los que cualquier régimen de laicidad debe</w:t>
      </w:r>
      <w:r w:rsidR="001F5251">
        <w:rPr>
          <w:rFonts w:cstheme="minorHAnsi"/>
          <w:sz w:val="24"/>
          <w:szCs w:val="24"/>
        </w:rPr>
        <w:t>ría</w:t>
      </w:r>
      <w:r w:rsidRPr="003A1191">
        <w:rPr>
          <w:rFonts w:cstheme="minorHAnsi"/>
          <w:sz w:val="24"/>
          <w:szCs w:val="24"/>
        </w:rPr>
        <w:t xml:space="preserve"> aspirar si pretende la protección de los derechos y libertades fundamentales de las personas. Ambos principios se configuran como </w:t>
      </w:r>
      <w:r w:rsidR="00FF678C" w:rsidRPr="003A1191">
        <w:rPr>
          <w:rFonts w:cstheme="minorHAnsi"/>
          <w:sz w:val="24"/>
          <w:szCs w:val="24"/>
        </w:rPr>
        <w:t xml:space="preserve">preceptos </w:t>
      </w:r>
      <w:r w:rsidRPr="003A1191">
        <w:rPr>
          <w:rFonts w:cstheme="minorHAnsi"/>
          <w:sz w:val="24"/>
          <w:szCs w:val="24"/>
        </w:rPr>
        <w:t xml:space="preserve">morales fundamentales para la regulación del comportamiento de </w:t>
      </w:r>
      <w:r w:rsidR="001F5251" w:rsidRPr="003A1191">
        <w:rPr>
          <w:rFonts w:cstheme="minorHAnsi"/>
          <w:sz w:val="24"/>
          <w:szCs w:val="24"/>
        </w:rPr>
        <w:t>los individuos</w:t>
      </w:r>
      <w:r w:rsidR="00BB38FB" w:rsidRPr="003A1191">
        <w:rPr>
          <w:rFonts w:cstheme="minorHAnsi"/>
          <w:sz w:val="24"/>
          <w:szCs w:val="24"/>
        </w:rPr>
        <w:t>,</w:t>
      </w:r>
      <w:r w:rsidR="00557B34" w:rsidRPr="003A1191">
        <w:rPr>
          <w:rFonts w:cstheme="minorHAnsi"/>
          <w:sz w:val="24"/>
          <w:szCs w:val="24"/>
        </w:rPr>
        <w:t xml:space="preserve"> pero también de la acción del Estado</w:t>
      </w:r>
      <w:r w:rsidRPr="003A1191">
        <w:rPr>
          <w:rFonts w:cstheme="minorHAnsi"/>
          <w:sz w:val="24"/>
          <w:szCs w:val="24"/>
        </w:rPr>
        <w:t>.</w:t>
      </w:r>
      <w:r w:rsidR="00557B34" w:rsidRPr="003A1191">
        <w:rPr>
          <w:rFonts w:cstheme="minorHAnsi"/>
          <w:sz w:val="24"/>
          <w:szCs w:val="24"/>
        </w:rPr>
        <w:t xml:space="preserve"> La libertad de conciencia</w:t>
      </w:r>
      <w:r w:rsidR="00BB38FB" w:rsidRPr="003A1191">
        <w:rPr>
          <w:rFonts w:cstheme="minorHAnsi"/>
          <w:sz w:val="24"/>
          <w:szCs w:val="24"/>
        </w:rPr>
        <w:t xml:space="preserve"> y religión</w:t>
      </w:r>
      <w:r w:rsidR="00557B34" w:rsidRPr="003A1191">
        <w:rPr>
          <w:rFonts w:cstheme="minorHAnsi"/>
          <w:sz w:val="24"/>
          <w:szCs w:val="24"/>
        </w:rPr>
        <w:t xml:space="preserve">, por un lado, </w:t>
      </w:r>
      <w:r w:rsidR="00BB38FB" w:rsidRPr="003A1191">
        <w:rPr>
          <w:rFonts w:cstheme="minorHAnsi"/>
          <w:sz w:val="24"/>
          <w:szCs w:val="24"/>
        </w:rPr>
        <w:t>nos recuerda que la protección de la libertad religiosa se integra dentro de la libertad de conciencia y que ambos forman parte del derecho de los ciudadanos a ver protegidas sus propias convicciones, de revisarlas o abandonarlas</w:t>
      </w:r>
      <w:r w:rsidR="002938C9" w:rsidRPr="003A1191">
        <w:rPr>
          <w:rFonts w:cstheme="minorHAnsi"/>
          <w:sz w:val="24"/>
          <w:szCs w:val="24"/>
        </w:rPr>
        <w:t>,</w:t>
      </w:r>
      <w:r w:rsidR="00BB38FB" w:rsidRPr="003A1191">
        <w:rPr>
          <w:rFonts w:cstheme="minorHAnsi"/>
          <w:sz w:val="24"/>
          <w:szCs w:val="24"/>
        </w:rPr>
        <w:t xml:space="preserve"> tengan a o no carácter religioso </w:t>
      </w:r>
      <w:sdt>
        <w:sdtPr>
          <w:rPr>
            <w:rFonts w:cstheme="minorHAnsi"/>
            <w:sz w:val="24"/>
            <w:szCs w:val="24"/>
          </w:rPr>
          <w:id w:val="163751665"/>
          <w:citation/>
        </w:sdtPr>
        <w:sdtEndPr/>
        <w:sdtContent>
          <w:r w:rsidR="00BB38FB" w:rsidRPr="003A1191">
            <w:rPr>
              <w:rFonts w:cstheme="minorHAnsi"/>
              <w:sz w:val="24"/>
              <w:szCs w:val="24"/>
            </w:rPr>
            <w:fldChar w:fldCharType="begin"/>
          </w:r>
          <w:r w:rsidR="00BB38FB" w:rsidRPr="003A1191">
            <w:rPr>
              <w:rFonts w:cstheme="minorHAnsi"/>
              <w:sz w:val="24"/>
              <w:szCs w:val="24"/>
            </w:rPr>
            <w:instrText xml:space="preserve">CITATION Tos10 \p 100 \l 3082 </w:instrText>
          </w:r>
          <w:r w:rsidR="00BB38FB" w:rsidRPr="003A1191">
            <w:rPr>
              <w:rFonts w:cstheme="minorHAnsi"/>
              <w:sz w:val="24"/>
              <w:szCs w:val="24"/>
            </w:rPr>
            <w:fldChar w:fldCharType="separate"/>
          </w:r>
          <w:r w:rsidR="00BB38FB" w:rsidRPr="003A1191">
            <w:rPr>
              <w:rFonts w:cstheme="minorHAnsi"/>
              <w:noProof/>
              <w:sz w:val="24"/>
              <w:szCs w:val="24"/>
            </w:rPr>
            <w:t>(Toscano Méndez, 2010, p. 100)</w:t>
          </w:r>
          <w:r w:rsidR="00BB38FB" w:rsidRPr="003A1191">
            <w:rPr>
              <w:rFonts w:cstheme="minorHAnsi"/>
              <w:sz w:val="24"/>
              <w:szCs w:val="24"/>
            </w:rPr>
            <w:fldChar w:fldCharType="end"/>
          </w:r>
        </w:sdtContent>
      </w:sdt>
      <w:r w:rsidR="002938C9" w:rsidRPr="003A1191">
        <w:rPr>
          <w:rFonts w:cstheme="minorHAnsi"/>
          <w:sz w:val="24"/>
          <w:szCs w:val="24"/>
        </w:rPr>
        <w:t xml:space="preserve">. Con la igualdad moral, por otro lado, se pretende garantizar por igual los derechos fundamentales de todos los ciudadanos sin discriminación alguna, y exige del Estado la misma consideración para todos sus ciudadanos, independientemente de sus creencias o convicciones. </w:t>
      </w:r>
    </w:p>
    <w:p w14:paraId="63CCB50A" w14:textId="65F89620" w:rsidR="0057195C" w:rsidRPr="003A1191" w:rsidRDefault="007B39E7" w:rsidP="00545B53">
      <w:pPr>
        <w:spacing w:line="360" w:lineRule="auto"/>
        <w:ind w:firstLine="708"/>
        <w:jc w:val="both"/>
        <w:rPr>
          <w:rFonts w:cstheme="minorHAnsi"/>
          <w:sz w:val="24"/>
          <w:szCs w:val="24"/>
        </w:rPr>
      </w:pPr>
      <w:r w:rsidRPr="003A1191">
        <w:rPr>
          <w:rFonts w:cstheme="minorHAnsi"/>
          <w:sz w:val="24"/>
          <w:szCs w:val="24"/>
        </w:rPr>
        <w:t xml:space="preserve">En cuanto a los principios de separación y neutralidad, ambos serían principios institucionales que derivarían de los anteriores. </w:t>
      </w:r>
      <w:r w:rsidR="009F1678" w:rsidRPr="003A1191">
        <w:rPr>
          <w:rFonts w:cstheme="minorHAnsi"/>
          <w:sz w:val="24"/>
          <w:szCs w:val="24"/>
        </w:rPr>
        <w:t>Su esencia radica en la configuración institucional que debe adoptar el Estado para no erosionar ninguno de los dos principios</w:t>
      </w:r>
      <w:r w:rsidR="0013501C" w:rsidRPr="003A1191">
        <w:rPr>
          <w:rFonts w:cstheme="minorHAnsi"/>
          <w:sz w:val="24"/>
          <w:szCs w:val="24"/>
        </w:rPr>
        <w:t xml:space="preserve"> precedentes</w:t>
      </w:r>
      <w:r w:rsidR="009F1678" w:rsidRPr="003A1191">
        <w:rPr>
          <w:rFonts w:cstheme="minorHAnsi"/>
          <w:sz w:val="24"/>
          <w:szCs w:val="24"/>
        </w:rPr>
        <w:t xml:space="preserve">. </w:t>
      </w:r>
      <w:r w:rsidR="008C3D9A" w:rsidRPr="003A1191">
        <w:rPr>
          <w:rFonts w:cstheme="minorHAnsi"/>
          <w:sz w:val="24"/>
          <w:szCs w:val="24"/>
        </w:rPr>
        <w:t>Mediante el</w:t>
      </w:r>
      <w:r w:rsidR="009F1678" w:rsidRPr="003A1191">
        <w:rPr>
          <w:rFonts w:cstheme="minorHAnsi"/>
          <w:sz w:val="24"/>
          <w:szCs w:val="24"/>
        </w:rPr>
        <w:t xml:space="preserve"> principio de </w:t>
      </w:r>
      <w:r w:rsidR="008C3D9A" w:rsidRPr="003A1191">
        <w:rPr>
          <w:rFonts w:cstheme="minorHAnsi"/>
          <w:sz w:val="24"/>
          <w:szCs w:val="24"/>
        </w:rPr>
        <w:t>separación, en primer lugar, se pretende asegurar una estricta separación entre la religión y el Estado, que no debe decantarse por ninguna religión en concreto, por lo que ninguna confesión religiosa debe ser revestida de carácter oficial.</w:t>
      </w:r>
      <w:r w:rsidR="002C5794" w:rsidRPr="003A1191">
        <w:rPr>
          <w:rFonts w:cstheme="minorHAnsi"/>
          <w:sz w:val="24"/>
          <w:szCs w:val="24"/>
        </w:rPr>
        <w:t xml:space="preserve"> Este principio quedaría reforzado, en segundo lugar, con el principio de neutralidad. </w:t>
      </w:r>
      <w:r w:rsidR="00327595" w:rsidRPr="003A1191">
        <w:rPr>
          <w:rFonts w:cstheme="minorHAnsi"/>
          <w:sz w:val="24"/>
          <w:szCs w:val="24"/>
        </w:rPr>
        <w:t xml:space="preserve">Con este principio se pretende </w:t>
      </w:r>
      <w:r w:rsidR="0057195C" w:rsidRPr="003A1191">
        <w:rPr>
          <w:rFonts w:cstheme="minorHAnsi"/>
          <w:sz w:val="24"/>
          <w:szCs w:val="24"/>
        </w:rPr>
        <w:t xml:space="preserve">la no identificación </w:t>
      </w:r>
      <w:r w:rsidR="00327595" w:rsidRPr="003A1191">
        <w:rPr>
          <w:rFonts w:cstheme="minorHAnsi"/>
          <w:sz w:val="24"/>
          <w:szCs w:val="24"/>
        </w:rPr>
        <w:t xml:space="preserve">del Estado </w:t>
      </w:r>
      <w:r w:rsidR="0057195C" w:rsidRPr="003A1191">
        <w:rPr>
          <w:rFonts w:cstheme="minorHAnsi"/>
          <w:sz w:val="24"/>
          <w:szCs w:val="24"/>
        </w:rPr>
        <w:t xml:space="preserve">con </w:t>
      </w:r>
      <w:r w:rsidR="00327595" w:rsidRPr="003A1191">
        <w:rPr>
          <w:rFonts w:cstheme="minorHAnsi"/>
          <w:sz w:val="24"/>
          <w:szCs w:val="24"/>
        </w:rPr>
        <w:t>ninguna</w:t>
      </w:r>
      <w:r w:rsidR="0057195C" w:rsidRPr="003A1191">
        <w:rPr>
          <w:rFonts w:cstheme="minorHAnsi"/>
          <w:sz w:val="24"/>
          <w:szCs w:val="24"/>
        </w:rPr>
        <w:t xml:space="preserve"> cosmovisión específica</w:t>
      </w:r>
      <w:r w:rsidR="001F5251">
        <w:rPr>
          <w:rFonts w:cstheme="minorHAnsi"/>
          <w:sz w:val="24"/>
          <w:szCs w:val="24"/>
        </w:rPr>
        <w:t>,</w:t>
      </w:r>
      <w:r w:rsidR="0057195C" w:rsidRPr="003A1191">
        <w:rPr>
          <w:rFonts w:cstheme="minorHAnsi"/>
          <w:sz w:val="24"/>
          <w:szCs w:val="24"/>
        </w:rPr>
        <w:t xml:space="preserve"> y la </w:t>
      </w:r>
      <w:r w:rsidR="00213620" w:rsidRPr="003A1191">
        <w:rPr>
          <w:rFonts w:cstheme="minorHAnsi"/>
          <w:sz w:val="24"/>
          <w:szCs w:val="24"/>
        </w:rPr>
        <w:t>imparcialidad</w:t>
      </w:r>
      <w:r w:rsidR="0057195C" w:rsidRPr="003A1191">
        <w:rPr>
          <w:rFonts w:cstheme="minorHAnsi"/>
          <w:sz w:val="24"/>
          <w:szCs w:val="24"/>
        </w:rPr>
        <w:t xml:space="preserve"> que debe mantener el Estado ante cualquier </w:t>
      </w:r>
      <w:r w:rsidR="00327595" w:rsidRPr="003A1191">
        <w:rPr>
          <w:rFonts w:cstheme="minorHAnsi"/>
          <w:sz w:val="24"/>
          <w:szCs w:val="24"/>
        </w:rPr>
        <w:t xml:space="preserve">concepción </w:t>
      </w:r>
      <w:r w:rsidR="00213620" w:rsidRPr="003A1191">
        <w:rPr>
          <w:rFonts w:cstheme="minorHAnsi"/>
          <w:sz w:val="24"/>
          <w:szCs w:val="24"/>
        </w:rPr>
        <w:t xml:space="preserve">particular </w:t>
      </w:r>
      <w:r w:rsidR="00327595" w:rsidRPr="003A1191">
        <w:rPr>
          <w:rFonts w:cstheme="minorHAnsi"/>
          <w:sz w:val="24"/>
          <w:szCs w:val="24"/>
        </w:rPr>
        <w:t>del mundo y de la buena vida de sus ciudadanos, por lo que n</w:t>
      </w:r>
      <w:r w:rsidR="00CA1030" w:rsidRPr="003A1191">
        <w:rPr>
          <w:rFonts w:cstheme="minorHAnsi"/>
          <w:sz w:val="24"/>
          <w:szCs w:val="24"/>
        </w:rPr>
        <w:t>o</w:t>
      </w:r>
      <w:r w:rsidR="00327595" w:rsidRPr="003A1191">
        <w:rPr>
          <w:rFonts w:cstheme="minorHAnsi"/>
          <w:sz w:val="24"/>
          <w:szCs w:val="24"/>
        </w:rPr>
        <w:t xml:space="preserve"> debe tomar partida de ninguna </w:t>
      </w:r>
      <w:r w:rsidR="0057195C" w:rsidRPr="003A1191">
        <w:rPr>
          <w:rFonts w:cstheme="minorHAnsi"/>
          <w:sz w:val="24"/>
          <w:szCs w:val="24"/>
        </w:rPr>
        <w:t xml:space="preserve">doctrina comprehensiva </w:t>
      </w:r>
      <w:r w:rsidR="00213620" w:rsidRPr="003A1191">
        <w:rPr>
          <w:rFonts w:cstheme="minorHAnsi"/>
          <w:sz w:val="24"/>
          <w:szCs w:val="24"/>
        </w:rPr>
        <w:t>a expensas de las otras</w:t>
      </w:r>
      <w:r w:rsidR="0057195C" w:rsidRPr="003A1191">
        <w:rPr>
          <w:rFonts w:cstheme="minorHAnsi"/>
          <w:sz w:val="24"/>
          <w:szCs w:val="24"/>
        </w:rPr>
        <w:t xml:space="preserve">. </w:t>
      </w:r>
      <w:r w:rsidR="00213620" w:rsidRPr="003A1191">
        <w:rPr>
          <w:rFonts w:cstheme="minorHAnsi"/>
          <w:sz w:val="24"/>
          <w:szCs w:val="24"/>
        </w:rPr>
        <w:t xml:space="preserve"> </w:t>
      </w:r>
    </w:p>
    <w:p w14:paraId="42EDEAEA" w14:textId="77777777" w:rsidR="003D4EAA" w:rsidRPr="003A1191" w:rsidRDefault="0033366A" w:rsidP="00545B53">
      <w:pPr>
        <w:spacing w:line="360" w:lineRule="auto"/>
        <w:ind w:firstLine="708"/>
        <w:jc w:val="both"/>
        <w:rPr>
          <w:rFonts w:cstheme="minorHAnsi"/>
          <w:sz w:val="24"/>
          <w:szCs w:val="24"/>
        </w:rPr>
      </w:pPr>
      <w:r w:rsidRPr="003A1191">
        <w:rPr>
          <w:rFonts w:cstheme="minorHAnsi"/>
          <w:sz w:val="24"/>
          <w:szCs w:val="24"/>
        </w:rPr>
        <w:t xml:space="preserve">Esta base deontológica e institucional del </w:t>
      </w:r>
      <w:r w:rsidR="000D257D" w:rsidRPr="003A1191">
        <w:rPr>
          <w:rFonts w:cstheme="minorHAnsi"/>
          <w:sz w:val="24"/>
          <w:szCs w:val="24"/>
        </w:rPr>
        <w:t xml:space="preserve">modelo de </w:t>
      </w:r>
      <w:r w:rsidR="000D5177" w:rsidRPr="003A1191">
        <w:rPr>
          <w:rFonts w:cstheme="minorHAnsi"/>
          <w:sz w:val="24"/>
          <w:szCs w:val="24"/>
        </w:rPr>
        <w:t>convivencia</w:t>
      </w:r>
      <w:r w:rsidR="000D257D" w:rsidRPr="003A1191">
        <w:rPr>
          <w:rFonts w:cstheme="minorHAnsi"/>
          <w:sz w:val="24"/>
          <w:szCs w:val="24"/>
        </w:rPr>
        <w:t xml:space="preserve"> propuesto </w:t>
      </w:r>
      <w:r w:rsidRPr="003A1191">
        <w:rPr>
          <w:rFonts w:cstheme="minorHAnsi"/>
          <w:sz w:val="24"/>
          <w:szCs w:val="24"/>
        </w:rPr>
        <w:t xml:space="preserve">por el </w:t>
      </w:r>
      <w:r w:rsidR="000D257D" w:rsidRPr="003A1191">
        <w:rPr>
          <w:rFonts w:cstheme="minorHAnsi"/>
          <w:i/>
          <w:sz w:val="24"/>
          <w:szCs w:val="24"/>
        </w:rPr>
        <w:t>Rapport</w:t>
      </w:r>
      <w:r w:rsidR="000D257D" w:rsidRPr="003A1191">
        <w:rPr>
          <w:rFonts w:cstheme="minorHAnsi"/>
          <w:sz w:val="24"/>
          <w:szCs w:val="24"/>
        </w:rPr>
        <w:t xml:space="preserve"> </w:t>
      </w:r>
      <w:r w:rsidR="000D5177" w:rsidRPr="003A1191">
        <w:rPr>
          <w:rFonts w:cstheme="minorHAnsi"/>
          <w:sz w:val="24"/>
          <w:szCs w:val="24"/>
        </w:rPr>
        <w:t xml:space="preserve">aboga, por tanto, </w:t>
      </w:r>
      <w:r w:rsidR="00094454" w:rsidRPr="003A1191">
        <w:rPr>
          <w:rFonts w:cstheme="minorHAnsi"/>
          <w:sz w:val="24"/>
          <w:szCs w:val="24"/>
        </w:rPr>
        <w:t>por una interpretación más liberal de la laicidad</w:t>
      </w:r>
      <w:r w:rsidR="00CD1E35" w:rsidRPr="003A1191">
        <w:rPr>
          <w:rFonts w:cstheme="minorHAnsi"/>
          <w:sz w:val="24"/>
          <w:szCs w:val="24"/>
        </w:rPr>
        <w:t>,</w:t>
      </w:r>
      <w:r w:rsidR="00094454" w:rsidRPr="003A1191">
        <w:rPr>
          <w:rFonts w:cstheme="minorHAnsi"/>
          <w:sz w:val="24"/>
          <w:szCs w:val="24"/>
        </w:rPr>
        <w:t xml:space="preserve"> con actitudes más flexibles hacia el hecho religioso y alejada de</w:t>
      </w:r>
      <w:r w:rsidR="00CD1E35" w:rsidRPr="003A1191">
        <w:rPr>
          <w:rFonts w:cstheme="minorHAnsi"/>
          <w:sz w:val="24"/>
          <w:szCs w:val="24"/>
        </w:rPr>
        <w:t xml:space="preserve"> interpretaciones </w:t>
      </w:r>
      <w:r w:rsidR="00FF678C" w:rsidRPr="003A1191">
        <w:rPr>
          <w:rFonts w:cstheme="minorHAnsi"/>
          <w:sz w:val="24"/>
          <w:szCs w:val="24"/>
        </w:rPr>
        <w:t>demasiado</w:t>
      </w:r>
      <w:r w:rsidR="00CD1E35" w:rsidRPr="003A1191">
        <w:rPr>
          <w:rFonts w:cstheme="minorHAnsi"/>
          <w:sz w:val="24"/>
          <w:szCs w:val="24"/>
        </w:rPr>
        <w:t xml:space="preserve"> </w:t>
      </w:r>
      <w:r w:rsidR="00CD1E35" w:rsidRPr="003A1191">
        <w:rPr>
          <w:rFonts w:cstheme="minorHAnsi"/>
          <w:sz w:val="24"/>
          <w:szCs w:val="24"/>
        </w:rPr>
        <w:lastRenderedPageBreak/>
        <w:t>rígidas como los modelos republicanos propuestos por otras comisiones</w:t>
      </w:r>
      <w:r w:rsidR="000D6480" w:rsidRPr="003A1191">
        <w:rPr>
          <w:rStyle w:val="Refdenotaalpie"/>
          <w:rFonts w:cstheme="minorHAnsi"/>
          <w:sz w:val="24"/>
          <w:szCs w:val="24"/>
        </w:rPr>
        <w:footnoteReference w:id="9"/>
      </w:r>
      <w:r w:rsidR="00CD1E35" w:rsidRPr="003A1191">
        <w:rPr>
          <w:rFonts w:cstheme="minorHAnsi"/>
          <w:sz w:val="24"/>
          <w:szCs w:val="24"/>
        </w:rPr>
        <w:t>.</w:t>
      </w:r>
      <w:r w:rsidR="00094454" w:rsidRPr="003A1191">
        <w:rPr>
          <w:rFonts w:cstheme="minorHAnsi"/>
          <w:sz w:val="24"/>
          <w:szCs w:val="24"/>
        </w:rPr>
        <w:t xml:space="preserve"> </w:t>
      </w:r>
      <w:r w:rsidR="00E77671" w:rsidRPr="003A1191">
        <w:rPr>
          <w:rFonts w:cstheme="minorHAnsi"/>
          <w:sz w:val="24"/>
          <w:szCs w:val="24"/>
        </w:rPr>
        <w:t xml:space="preserve">El modelo de laicismo abierto propuesto por el </w:t>
      </w:r>
      <w:r w:rsidR="00E77671" w:rsidRPr="003A1191">
        <w:rPr>
          <w:rFonts w:cstheme="minorHAnsi"/>
          <w:i/>
          <w:sz w:val="24"/>
          <w:szCs w:val="24"/>
        </w:rPr>
        <w:t>Rapport</w:t>
      </w:r>
      <w:r w:rsidR="00E77671" w:rsidRPr="003A1191">
        <w:rPr>
          <w:rFonts w:cstheme="minorHAnsi"/>
          <w:sz w:val="24"/>
          <w:szCs w:val="24"/>
        </w:rPr>
        <w:t xml:space="preserve"> pretende una mayor </w:t>
      </w:r>
      <w:r w:rsidR="00515F34" w:rsidRPr="003A1191">
        <w:rPr>
          <w:rFonts w:cstheme="minorHAnsi"/>
          <w:sz w:val="24"/>
          <w:szCs w:val="24"/>
        </w:rPr>
        <w:t>promoción</w:t>
      </w:r>
      <w:r w:rsidR="00E77671" w:rsidRPr="003A1191">
        <w:rPr>
          <w:rFonts w:cstheme="minorHAnsi"/>
          <w:sz w:val="24"/>
          <w:szCs w:val="24"/>
        </w:rPr>
        <w:t xml:space="preserve"> de la protección de la libertad de conciencia y religión </w:t>
      </w:r>
      <w:r w:rsidR="00515F34" w:rsidRPr="003A1191">
        <w:rPr>
          <w:rFonts w:cstheme="minorHAnsi"/>
          <w:sz w:val="24"/>
          <w:szCs w:val="24"/>
        </w:rPr>
        <w:t>a través de los mecanismos de los acomodos razonables.</w:t>
      </w:r>
      <w:r w:rsidR="00CC506A" w:rsidRPr="003A1191">
        <w:rPr>
          <w:rFonts w:cstheme="minorHAnsi"/>
          <w:sz w:val="24"/>
          <w:szCs w:val="24"/>
        </w:rPr>
        <w:t xml:space="preserve"> Con el laicismo abierto lo que se intenta, en definitiva, es no negar las expresiones religiosas en la esfera pública ni tampoco relegarlas a la esfera de lo privado. </w:t>
      </w:r>
      <w:r w:rsidR="00311DAA" w:rsidRPr="003A1191">
        <w:rPr>
          <w:rFonts w:cstheme="minorHAnsi"/>
          <w:sz w:val="24"/>
          <w:szCs w:val="24"/>
        </w:rPr>
        <w:t>De esta manera, l</w:t>
      </w:r>
      <w:r w:rsidR="00CC506A" w:rsidRPr="003A1191">
        <w:rPr>
          <w:rFonts w:cstheme="minorHAnsi"/>
          <w:sz w:val="24"/>
          <w:szCs w:val="24"/>
        </w:rPr>
        <w:t xml:space="preserve">o que se consigue con este tipo de laicidad, en palabras de sus comisarios, </w:t>
      </w:r>
      <w:r w:rsidR="00E553F1" w:rsidRPr="003A1191">
        <w:rPr>
          <w:rFonts w:cstheme="minorHAnsi"/>
          <w:sz w:val="24"/>
          <w:szCs w:val="24"/>
        </w:rPr>
        <w:t xml:space="preserve">es defender una idea laica más liberal que republicana, teniendo como objetivo principal la protección de cualquier expresión religiosa y no su </w:t>
      </w:r>
      <w:r w:rsidR="00980C30" w:rsidRPr="003A1191">
        <w:rPr>
          <w:rFonts w:cstheme="minorHAnsi"/>
          <w:sz w:val="24"/>
          <w:szCs w:val="24"/>
        </w:rPr>
        <w:t xml:space="preserve">ocultamiento. Su finalidad es proteger los derechos y estar al servicio de los mismos, no imponer un tipo de identidad determinado ni un imperativo constitucional. Para ello, los principios institucionales de separación y neutralidad no se configuran como fines en sí mismos, sino como medios para garantizar la igualdad moral de los ciudadanos y el principio de libertad de conciencia </w:t>
      </w:r>
      <w:sdt>
        <w:sdtPr>
          <w:rPr>
            <w:rFonts w:cstheme="minorHAnsi"/>
            <w:sz w:val="24"/>
            <w:szCs w:val="24"/>
          </w:rPr>
          <w:id w:val="1145010157"/>
          <w:citation/>
        </w:sdtPr>
        <w:sdtEndPr/>
        <w:sdtContent>
          <w:r w:rsidR="00980C30" w:rsidRPr="003A1191">
            <w:rPr>
              <w:rFonts w:cstheme="minorHAnsi"/>
              <w:sz w:val="24"/>
              <w:szCs w:val="24"/>
            </w:rPr>
            <w:fldChar w:fldCharType="begin"/>
          </w:r>
          <w:r w:rsidR="00980C30" w:rsidRPr="003A1191">
            <w:rPr>
              <w:rFonts w:cstheme="minorHAnsi"/>
              <w:sz w:val="24"/>
              <w:szCs w:val="24"/>
            </w:rPr>
            <w:instrText xml:space="preserve">CITATION Eló10 \p 18-19 \l 3082 </w:instrText>
          </w:r>
          <w:r w:rsidR="00980C30" w:rsidRPr="003A1191">
            <w:rPr>
              <w:rFonts w:cstheme="minorHAnsi"/>
              <w:sz w:val="24"/>
              <w:szCs w:val="24"/>
            </w:rPr>
            <w:fldChar w:fldCharType="separate"/>
          </w:r>
          <w:r w:rsidR="00980C30" w:rsidRPr="003A1191">
            <w:rPr>
              <w:rFonts w:cstheme="minorHAnsi"/>
              <w:noProof/>
              <w:sz w:val="24"/>
              <w:szCs w:val="24"/>
            </w:rPr>
            <w:t>(Elósegui Itxaso, 2010, pp. 18-19)</w:t>
          </w:r>
          <w:r w:rsidR="00980C30" w:rsidRPr="003A1191">
            <w:rPr>
              <w:rFonts w:cstheme="minorHAnsi"/>
              <w:sz w:val="24"/>
              <w:szCs w:val="24"/>
            </w:rPr>
            <w:fldChar w:fldCharType="end"/>
          </w:r>
        </w:sdtContent>
      </w:sdt>
      <w:r w:rsidR="00980C30" w:rsidRPr="003A1191">
        <w:rPr>
          <w:rFonts w:cstheme="minorHAnsi"/>
          <w:sz w:val="24"/>
          <w:szCs w:val="24"/>
        </w:rPr>
        <w:t xml:space="preserve">. </w:t>
      </w:r>
    </w:p>
    <w:p w14:paraId="0F8BFF0D" w14:textId="09F5B1C6" w:rsidR="004946F0" w:rsidRPr="003A1191" w:rsidRDefault="00337BC6" w:rsidP="00545B53">
      <w:pPr>
        <w:spacing w:line="360" w:lineRule="auto"/>
        <w:ind w:firstLine="708"/>
        <w:jc w:val="both"/>
        <w:rPr>
          <w:rFonts w:cstheme="minorHAnsi"/>
          <w:sz w:val="24"/>
          <w:szCs w:val="24"/>
        </w:rPr>
      </w:pPr>
      <w:r w:rsidRPr="003A1191">
        <w:rPr>
          <w:rFonts w:cstheme="minorHAnsi"/>
          <w:sz w:val="24"/>
          <w:szCs w:val="24"/>
        </w:rPr>
        <w:t>Finalmente, para la consecución de los objetivos de</w:t>
      </w:r>
      <w:r w:rsidR="00EB309D" w:rsidRPr="003A1191">
        <w:rPr>
          <w:rFonts w:cstheme="minorHAnsi"/>
          <w:sz w:val="24"/>
          <w:szCs w:val="24"/>
        </w:rPr>
        <w:t>l</w:t>
      </w:r>
      <w:r w:rsidRPr="003A1191">
        <w:rPr>
          <w:rFonts w:cstheme="minorHAnsi"/>
          <w:sz w:val="24"/>
          <w:szCs w:val="24"/>
        </w:rPr>
        <w:t xml:space="preserve"> modelo de convivencia</w:t>
      </w:r>
      <w:r w:rsidR="00EB309D" w:rsidRPr="003A1191">
        <w:rPr>
          <w:rFonts w:cstheme="minorHAnsi"/>
          <w:sz w:val="24"/>
          <w:szCs w:val="24"/>
        </w:rPr>
        <w:t xml:space="preserve"> propuesto por la comisión</w:t>
      </w:r>
      <w:r w:rsidR="009A3344" w:rsidRPr="003A1191">
        <w:rPr>
          <w:rFonts w:cstheme="minorHAnsi"/>
          <w:sz w:val="24"/>
          <w:szCs w:val="24"/>
        </w:rPr>
        <w:t xml:space="preserve"> y la traducción práctica de su apuesta por el laicismo abierto</w:t>
      </w:r>
      <w:r w:rsidRPr="003A1191">
        <w:rPr>
          <w:rFonts w:cstheme="minorHAnsi"/>
          <w:sz w:val="24"/>
          <w:szCs w:val="24"/>
        </w:rPr>
        <w:t xml:space="preserve">, </w:t>
      </w:r>
      <w:r w:rsidR="00EB309D" w:rsidRPr="003A1191">
        <w:rPr>
          <w:rFonts w:cstheme="minorHAnsi"/>
          <w:sz w:val="24"/>
          <w:szCs w:val="24"/>
        </w:rPr>
        <w:t xml:space="preserve">los autores del informe realizan un </w:t>
      </w:r>
      <w:r w:rsidRPr="003A1191">
        <w:rPr>
          <w:rFonts w:cstheme="minorHAnsi"/>
          <w:sz w:val="24"/>
          <w:szCs w:val="24"/>
        </w:rPr>
        <w:t xml:space="preserve">importante esfuerzo para definir una serie de normas o de guías para las prácticas de armonización religiosa dentro de la sociedad, </w:t>
      </w:r>
      <w:r w:rsidR="009A3344" w:rsidRPr="003A1191">
        <w:rPr>
          <w:rFonts w:cstheme="minorHAnsi"/>
          <w:sz w:val="24"/>
          <w:szCs w:val="24"/>
        </w:rPr>
        <w:t>aunque</w:t>
      </w:r>
      <w:r w:rsidRPr="003A1191">
        <w:rPr>
          <w:rFonts w:cstheme="minorHAnsi"/>
          <w:sz w:val="24"/>
          <w:szCs w:val="24"/>
        </w:rPr>
        <w:t xml:space="preserve"> asumiendo </w:t>
      </w:r>
      <w:r w:rsidR="00144D29" w:rsidRPr="003A1191">
        <w:rPr>
          <w:rFonts w:cstheme="minorHAnsi"/>
          <w:sz w:val="24"/>
          <w:szCs w:val="24"/>
        </w:rPr>
        <w:t xml:space="preserve">la necesidad pragmática que obliga al estudio de cada </w:t>
      </w:r>
      <w:r w:rsidRPr="003A1191">
        <w:rPr>
          <w:rFonts w:cstheme="minorHAnsi"/>
          <w:sz w:val="24"/>
          <w:szCs w:val="24"/>
        </w:rPr>
        <w:t>caso particular.</w:t>
      </w:r>
      <w:r w:rsidR="00144D29" w:rsidRPr="003A1191">
        <w:rPr>
          <w:rFonts w:cstheme="minorHAnsi"/>
          <w:sz w:val="24"/>
          <w:szCs w:val="24"/>
        </w:rPr>
        <w:t xml:space="preserve"> De entre todas ellas, una de las principales recomendaciones del </w:t>
      </w:r>
      <w:r w:rsidR="00144D29" w:rsidRPr="003A1191">
        <w:rPr>
          <w:rFonts w:cstheme="minorHAnsi"/>
          <w:i/>
          <w:sz w:val="24"/>
          <w:szCs w:val="24"/>
        </w:rPr>
        <w:t>Rapport</w:t>
      </w:r>
      <w:r w:rsidR="00144D29" w:rsidRPr="003A1191">
        <w:rPr>
          <w:rFonts w:cstheme="minorHAnsi"/>
          <w:sz w:val="24"/>
          <w:szCs w:val="24"/>
        </w:rPr>
        <w:t xml:space="preserve"> es la que desarrolla el concepto de neutralidad del Estado a través de sus representantes, los cargos y funcionarios públicos. </w:t>
      </w:r>
      <w:r w:rsidR="009A3344" w:rsidRPr="003A1191">
        <w:rPr>
          <w:rFonts w:cstheme="minorHAnsi"/>
          <w:sz w:val="24"/>
          <w:szCs w:val="24"/>
        </w:rPr>
        <w:t>A diferencia del caso francés, que prácticamente</w:t>
      </w:r>
      <w:r w:rsidR="00C71E1D" w:rsidRPr="003A1191">
        <w:rPr>
          <w:rFonts w:cstheme="minorHAnsi"/>
          <w:sz w:val="24"/>
          <w:szCs w:val="24"/>
        </w:rPr>
        <w:t xml:space="preserve"> relega al ámbito de lo</w:t>
      </w:r>
      <w:r w:rsidR="009A3344" w:rsidRPr="003A1191">
        <w:rPr>
          <w:rFonts w:cstheme="minorHAnsi"/>
          <w:sz w:val="24"/>
          <w:szCs w:val="24"/>
        </w:rPr>
        <w:t xml:space="preserve"> privado cualquier expresión religiosa, el modelo </w:t>
      </w:r>
      <w:r w:rsidR="00382458" w:rsidRPr="003A1191">
        <w:rPr>
          <w:rFonts w:cstheme="minorHAnsi"/>
          <w:sz w:val="24"/>
          <w:szCs w:val="24"/>
        </w:rPr>
        <w:t>francocanadiense</w:t>
      </w:r>
      <w:r w:rsidR="009A3344" w:rsidRPr="003A1191">
        <w:rPr>
          <w:rFonts w:cstheme="minorHAnsi"/>
          <w:sz w:val="24"/>
          <w:szCs w:val="24"/>
        </w:rPr>
        <w:t xml:space="preserve"> de convivencia no aboga por una prohibición total de los signos religiosos en los espacios públicos. El informe considera que una prohibición universal de la expresión religiosa</w:t>
      </w:r>
      <w:r w:rsidR="002932ED" w:rsidRPr="003A1191">
        <w:rPr>
          <w:rFonts w:cstheme="minorHAnsi"/>
          <w:sz w:val="24"/>
          <w:szCs w:val="24"/>
        </w:rPr>
        <w:t>,</w:t>
      </w:r>
      <w:r w:rsidR="009A3344" w:rsidRPr="003A1191">
        <w:rPr>
          <w:rFonts w:cstheme="minorHAnsi"/>
          <w:sz w:val="24"/>
          <w:szCs w:val="24"/>
        </w:rPr>
        <w:t xml:space="preserve"> para los ciudadanos en general y para los usuarios de los servicios públicos en particular</w:t>
      </w:r>
      <w:r w:rsidR="002932ED" w:rsidRPr="003A1191">
        <w:rPr>
          <w:rFonts w:cstheme="minorHAnsi"/>
          <w:sz w:val="24"/>
          <w:szCs w:val="24"/>
        </w:rPr>
        <w:t>,</w:t>
      </w:r>
      <w:r w:rsidR="009A3344" w:rsidRPr="003A1191">
        <w:rPr>
          <w:rFonts w:cstheme="minorHAnsi"/>
          <w:sz w:val="24"/>
          <w:szCs w:val="24"/>
        </w:rPr>
        <w:t xml:space="preserve"> iría en contra de la libertad de conciencia y religión.</w:t>
      </w:r>
      <w:r w:rsidR="0055543C" w:rsidRPr="003A1191">
        <w:rPr>
          <w:rFonts w:cstheme="minorHAnsi"/>
          <w:sz w:val="24"/>
          <w:szCs w:val="24"/>
        </w:rPr>
        <w:t xml:space="preserve"> </w:t>
      </w:r>
      <w:r w:rsidR="002B5412" w:rsidRPr="003A1191">
        <w:rPr>
          <w:rFonts w:cstheme="minorHAnsi"/>
          <w:sz w:val="24"/>
          <w:szCs w:val="24"/>
        </w:rPr>
        <w:t xml:space="preserve">En el modelo de laicidad abierta, la </w:t>
      </w:r>
      <w:r w:rsidR="002B5412" w:rsidRPr="003A1191">
        <w:rPr>
          <w:rFonts w:cstheme="minorHAnsi"/>
          <w:sz w:val="24"/>
          <w:szCs w:val="24"/>
        </w:rPr>
        <w:lastRenderedPageBreak/>
        <w:t xml:space="preserve">exigencia de neutralidad se impone a las instituciones, no así a los individuos. </w:t>
      </w:r>
      <w:r w:rsidR="0055543C" w:rsidRPr="003A1191">
        <w:rPr>
          <w:rFonts w:cstheme="minorHAnsi"/>
          <w:sz w:val="24"/>
          <w:szCs w:val="24"/>
        </w:rPr>
        <w:t>Pero</w:t>
      </w:r>
      <w:r w:rsidR="00341252" w:rsidRPr="003A1191">
        <w:rPr>
          <w:rFonts w:cstheme="minorHAnsi"/>
          <w:sz w:val="24"/>
          <w:szCs w:val="24"/>
        </w:rPr>
        <w:t xml:space="preserve"> el informe</w:t>
      </w:r>
      <w:r w:rsidR="0055543C" w:rsidRPr="003A1191">
        <w:rPr>
          <w:rFonts w:cstheme="minorHAnsi"/>
          <w:sz w:val="24"/>
          <w:szCs w:val="24"/>
        </w:rPr>
        <w:t xml:space="preserve"> sí considera</w:t>
      </w:r>
      <w:r w:rsidR="00341252" w:rsidRPr="003A1191">
        <w:rPr>
          <w:rFonts w:cstheme="minorHAnsi"/>
          <w:sz w:val="24"/>
          <w:szCs w:val="24"/>
        </w:rPr>
        <w:t xml:space="preserve">, </w:t>
      </w:r>
      <w:r w:rsidR="0055543C" w:rsidRPr="003A1191">
        <w:rPr>
          <w:rFonts w:cstheme="minorHAnsi"/>
          <w:sz w:val="24"/>
          <w:szCs w:val="24"/>
        </w:rPr>
        <w:t xml:space="preserve">en cambio, que esta protección total de la libertad de conciencia y religión </w:t>
      </w:r>
      <w:r w:rsidR="00341252" w:rsidRPr="003A1191">
        <w:rPr>
          <w:rFonts w:cstheme="minorHAnsi"/>
          <w:sz w:val="24"/>
          <w:szCs w:val="24"/>
        </w:rPr>
        <w:t xml:space="preserve">no es absoluta y </w:t>
      </w:r>
      <w:r w:rsidR="0055543C" w:rsidRPr="003A1191">
        <w:rPr>
          <w:rFonts w:cstheme="minorHAnsi"/>
          <w:sz w:val="24"/>
          <w:szCs w:val="24"/>
        </w:rPr>
        <w:t xml:space="preserve">puede ser modulada </w:t>
      </w:r>
      <w:r w:rsidR="00341252" w:rsidRPr="003A1191">
        <w:rPr>
          <w:rFonts w:cstheme="minorHAnsi"/>
          <w:sz w:val="24"/>
          <w:szCs w:val="24"/>
        </w:rPr>
        <w:t xml:space="preserve">para el caso de algunos representantes públicos. En general, el informe considera que el derecho a expresar las convicciones religiosas a través de los signos religiosos debe ser reconocido a todos los funcionarios públicos, salvo para el caso particular de los policías, jueces y el presidente del parlamento, ya que, debido a la especial naturaleza de sus funciones, debe recaer sobre ellos una exigencia total de </w:t>
      </w:r>
      <w:r w:rsidR="003F18AC" w:rsidRPr="003A1191">
        <w:rPr>
          <w:rFonts w:cstheme="minorHAnsi"/>
          <w:sz w:val="24"/>
          <w:szCs w:val="24"/>
        </w:rPr>
        <w:t>apariencia</w:t>
      </w:r>
      <w:r w:rsidR="00341252" w:rsidRPr="003A1191">
        <w:rPr>
          <w:rFonts w:cstheme="minorHAnsi"/>
          <w:sz w:val="24"/>
          <w:szCs w:val="24"/>
        </w:rPr>
        <w:t xml:space="preserve"> de neutralidad.</w:t>
      </w:r>
      <w:r w:rsidR="00456FBD" w:rsidRPr="003A1191">
        <w:rPr>
          <w:rFonts w:cstheme="minorHAnsi"/>
          <w:sz w:val="24"/>
          <w:szCs w:val="24"/>
        </w:rPr>
        <w:t xml:space="preserve"> Para la comisión existen ciertas funciones que requieren el establecimiento de medidas más </w:t>
      </w:r>
      <w:r w:rsidR="00233E2F" w:rsidRPr="003A1191">
        <w:rPr>
          <w:rFonts w:cstheme="minorHAnsi"/>
          <w:sz w:val="24"/>
          <w:szCs w:val="24"/>
        </w:rPr>
        <w:t>estrictas</w:t>
      </w:r>
      <w:r w:rsidR="00456FBD" w:rsidRPr="003A1191">
        <w:rPr>
          <w:rFonts w:cstheme="minorHAnsi"/>
          <w:sz w:val="24"/>
          <w:szCs w:val="24"/>
        </w:rPr>
        <w:t xml:space="preserve"> que garanticen lo que denominan como </w:t>
      </w:r>
      <w:r w:rsidR="00456FBD" w:rsidRPr="003A1191">
        <w:rPr>
          <w:rFonts w:cstheme="minorHAnsi"/>
          <w:i/>
          <w:sz w:val="24"/>
          <w:szCs w:val="24"/>
        </w:rPr>
        <w:t>deber de reserva</w:t>
      </w:r>
      <w:r w:rsidR="00456FBD" w:rsidRPr="003A1191">
        <w:rPr>
          <w:rFonts w:cstheme="minorHAnsi"/>
          <w:sz w:val="24"/>
          <w:szCs w:val="24"/>
        </w:rPr>
        <w:t xml:space="preserve">, por lo que justifican la posibilidad de que llegue a imponerse limitaciones </w:t>
      </w:r>
      <w:r w:rsidR="005B593F" w:rsidRPr="003A1191">
        <w:rPr>
          <w:rFonts w:cstheme="minorHAnsi"/>
          <w:sz w:val="24"/>
          <w:szCs w:val="24"/>
        </w:rPr>
        <w:t xml:space="preserve">de derechos </w:t>
      </w:r>
      <w:r w:rsidR="00456FBD" w:rsidRPr="003A1191">
        <w:rPr>
          <w:rFonts w:cstheme="minorHAnsi"/>
          <w:sz w:val="24"/>
          <w:szCs w:val="24"/>
        </w:rPr>
        <w:t>a los funcionarios públicos que las desempeñen.</w:t>
      </w:r>
      <w:r w:rsidR="005B593F" w:rsidRPr="003A1191">
        <w:rPr>
          <w:rFonts w:cstheme="minorHAnsi"/>
          <w:sz w:val="24"/>
          <w:szCs w:val="24"/>
        </w:rPr>
        <w:t xml:space="preserve"> El principal argumento para restringir los derechos de los funcionarios es que son ellos los que en muchas ocasiones deben encarnar los valores del Estado, por lo </w:t>
      </w:r>
      <w:r w:rsidR="00A555B4" w:rsidRPr="003A1191">
        <w:rPr>
          <w:rFonts w:cstheme="minorHAnsi"/>
          <w:sz w:val="24"/>
          <w:szCs w:val="24"/>
        </w:rPr>
        <w:t>que,</w:t>
      </w:r>
      <w:r w:rsidR="005B593F" w:rsidRPr="003A1191">
        <w:rPr>
          <w:rFonts w:cstheme="minorHAnsi"/>
          <w:sz w:val="24"/>
          <w:szCs w:val="24"/>
        </w:rPr>
        <w:t xml:space="preserve"> si el modelo de convivencia aboga por su neutralidad, es lógico exigir</w:t>
      </w:r>
      <w:r w:rsidR="00A555B4" w:rsidRPr="003A1191">
        <w:rPr>
          <w:rFonts w:cstheme="minorHAnsi"/>
          <w:sz w:val="24"/>
          <w:szCs w:val="24"/>
        </w:rPr>
        <w:t>les</w:t>
      </w:r>
      <w:r w:rsidR="005B593F" w:rsidRPr="003A1191">
        <w:rPr>
          <w:rFonts w:cstheme="minorHAnsi"/>
          <w:sz w:val="24"/>
          <w:szCs w:val="24"/>
        </w:rPr>
        <w:t xml:space="preserve"> que sean neutrales en el ejercicio de sus funciones. La lógica de la limitación de sus derechos es que ellos, en todo momento, deben mostrar una </w:t>
      </w:r>
      <w:r w:rsidR="005B593F" w:rsidRPr="004365AA">
        <w:rPr>
          <w:rFonts w:cstheme="minorHAnsi"/>
          <w:i/>
          <w:sz w:val="24"/>
          <w:szCs w:val="24"/>
        </w:rPr>
        <w:t>apariencia de neutralidad</w:t>
      </w:r>
      <w:r w:rsidR="005B593F" w:rsidRPr="003A1191">
        <w:rPr>
          <w:rFonts w:cstheme="minorHAnsi"/>
          <w:sz w:val="24"/>
          <w:szCs w:val="24"/>
        </w:rPr>
        <w:t>.</w:t>
      </w:r>
    </w:p>
    <w:p w14:paraId="454DF88A" w14:textId="6D1588DA" w:rsidR="008F6CEE" w:rsidRPr="003A1191" w:rsidRDefault="008F6CEE" w:rsidP="00545B53">
      <w:pPr>
        <w:pStyle w:val="Prrafodelista"/>
        <w:numPr>
          <w:ilvl w:val="0"/>
          <w:numId w:val="1"/>
        </w:numPr>
        <w:spacing w:line="360" w:lineRule="auto"/>
        <w:jc w:val="both"/>
        <w:rPr>
          <w:rFonts w:cstheme="minorHAnsi"/>
          <w:sz w:val="24"/>
          <w:szCs w:val="24"/>
        </w:rPr>
      </w:pPr>
      <w:r w:rsidRPr="003A1191">
        <w:rPr>
          <w:rFonts w:cstheme="minorHAnsi"/>
          <w:b/>
          <w:sz w:val="24"/>
          <w:szCs w:val="24"/>
        </w:rPr>
        <w:t>La apariencia de neutralidad y los funcionarios públicos con funciones de coerción: los motivos del retracto de Charles Taylor.</w:t>
      </w:r>
    </w:p>
    <w:p w14:paraId="53E06E74" w14:textId="534B1667" w:rsidR="006C4851" w:rsidRPr="003A1191" w:rsidRDefault="006274DC" w:rsidP="00545B53">
      <w:pPr>
        <w:spacing w:line="360" w:lineRule="auto"/>
        <w:ind w:firstLine="708"/>
        <w:jc w:val="both"/>
        <w:rPr>
          <w:rFonts w:cstheme="minorHAnsi"/>
          <w:sz w:val="24"/>
          <w:szCs w:val="24"/>
        </w:rPr>
      </w:pPr>
      <w:r w:rsidRPr="003A1191">
        <w:rPr>
          <w:rFonts w:cstheme="minorHAnsi"/>
          <w:sz w:val="24"/>
          <w:szCs w:val="24"/>
        </w:rPr>
        <w:t>En el régimen de laicidad abierta propuesto por la comisión, l</w:t>
      </w:r>
      <w:r w:rsidR="008F6CEE" w:rsidRPr="003A1191">
        <w:rPr>
          <w:rFonts w:cstheme="minorHAnsi"/>
          <w:sz w:val="24"/>
          <w:szCs w:val="24"/>
        </w:rPr>
        <w:t xml:space="preserve">a apariencia de neutralidad que se exige a los funcionarios públicos se asienta sobre la necesidad </w:t>
      </w:r>
      <w:r w:rsidRPr="003A1191">
        <w:rPr>
          <w:rFonts w:cstheme="minorHAnsi"/>
          <w:sz w:val="24"/>
          <w:szCs w:val="24"/>
        </w:rPr>
        <w:t>que tiene el Estado de demostrar su compromiso con la neutralidad a través de sus agentes.</w:t>
      </w:r>
      <w:r w:rsidR="008F6CEE" w:rsidRPr="003A1191">
        <w:rPr>
          <w:rFonts w:cstheme="minorHAnsi"/>
          <w:sz w:val="24"/>
          <w:szCs w:val="24"/>
        </w:rPr>
        <w:t xml:space="preserve"> </w:t>
      </w:r>
      <w:r w:rsidR="00274ED0" w:rsidRPr="003A1191">
        <w:rPr>
          <w:rFonts w:cstheme="minorHAnsi"/>
          <w:sz w:val="24"/>
          <w:szCs w:val="24"/>
        </w:rPr>
        <w:t>El argumento básico sería que, si un funcionario público exhibiera de forma ostentosa un símbolo religioso, los ciudadanos que acudieran a él podrían albergar dudas sobre su</w:t>
      </w:r>
      <w:r w:rsidR="00F62C36" w:rsidRPr="003A1191">
        <w:rPr>
          <w:rFonts w:cstheme="minorHAnsi"/>
          <w:sz w:val="24"/>
          <w:szCs w:val="24"/>
        </w:rPr>
        <w:t xml:space="preserve"> compromiso con las obligaciones de su puesto y su</w:t>
      </w:r>
      <w:r w:rsidR="00274ED0" w:rsidRPr="003A1191">
        <w:rPr>
          <w:rFonts w:cstheme="minorHAnsi"/>
          <w:sz w:val="24"/>
          <w:szCs w:val="24"/>
        </w:rPr>
        <w:t xml:space="preserve"> lealtad hacia </w:t>
      </w:r>
      <w:r w:rsidR="00F62C36" w:rsidRPr="003A1191">
        <w:rPr>
          <w:rFonts w:cstheme="minorHAnsi"/>
          <w:sz w:val="24"/>
          <w:szCs w:val="24"/>
        </w:rPr>
        <w:t>el Estado.</w:t>
      </w:r>
      <w:r w:rsidR="006C4851" w:rsidRPr="003A1191">
        <w:rPr>
          <w:rFonts w:cstheme="minorHAnsi"/>
          <w:sz w:val="24"/>
          <w:szCs w:val="24"/>
        </w:rPr>
        <w:t xml:space="preserve"> Pero limitar las expresiones visuales de las creencias religiosas de los funcionarios públicos tiene dos consecuencias inmediatas</w:t>
      </w:r>
      <w:r w:rsidR="0037389C" w:rsidRPr="003A1191">
        <w:rPr>
          <w:rFonts w:cstheme="minorHAnsi"/>
          <w:sz w:val="24"/>
          <w:szCs w:val="24"/>
        </w:rPr>
        <w:t xml:space="preserve"> </w:t>
      </w:r>
      <w:sdt>
        <w:sdtPr>
          <w:rPr>
            <w:rFonts w:cstheme="minorHAnsi"/>
            <w:sz w:val="24"/>
            <w:szCs w:val="24"/>
          </w:rPr>
          <w:id w:val="567145600"/>
          <w:citation/>
        </w:sdtPr>
        <w:sdtEndPr/>
        <w:sdtContent>
          <w:r w:rsidR="0037389C" w:rsidRPr="003A1191">
            <w:rPr>
              <w:rFonts w:cstheme="minorHAnsi"/>
              <w:sz w:val="24"/>
              <w:szCs w:val="24"/>
            </w:rPr>
            <w:fldChar w:fldCharType="begin"/>
          </w:r>
          <w:r w:rsidR="0037389C" w:rsidRPr="003A1191">
            <w:rPr>
              <w:rFonts w:cstheme="minorHAnsi"/>
              <w:sz w:val="24"/>
              <w:szCs w:val="24"/>
            </w:rPr>
            <w:instrText xml:space="preserve">CITATION Mac11 \p 62 \l 3082 </w:instrText>
          </w:r>
          <w:r w:rsidR="0037389C" w:rsidRPr="003A1191">
            <w:rPr>
              <w:rFonts w:cstheme="minorHAnsi"/>
              <w:sz w:val="24"/>
              <w:szCs w:val="24"/>
            </w:rPr>
            <w:fldChar w:fldCharType="separate"/>
          </w:r>
          <w:r w:rsidR="0037389C" w:rsidRPr="003A1191">
            <w:rPr>
              <w:rFonts w:cstheme="minorHAnsi"/>
              <w:noProof/>
              <w:sz w:val="24"/>
              <w:szCs w:val="24"/>
            </w:rPr>
            <w:t>(Maclure &amp; Taylor, 2011, p. 62)</w:t>
          </w:r>
          <w:r w:rsidR="0037389C" w:rsidRPr="003A1191">
            <w:rPr>
              <w:rFonts w:cstheme="minorHAnsi"/>
              <w:sz w:val="24"/>
              <w:szCs w:val="24"/>
            </w:rPr>
            <w:fldChar w:fldCharType="end"/>
          </w:r>
        </w:sdtContent>
      </w:sdt>
      <w:r w:rsidR="006C4851" w:rsidRPr="003A1191">
        <w:rPr>
          <w:rFonts w:cstheme="minorHAnsi"/>
          <w:sz w:val="24"/>
          <w:szCs w:val="24"/>
        </w:rPr>
        <w:t>: la primera, la restricción de su libertad de conciencia y religión; y la segunda, la limitación del acceso en igualdad a los servicios públicos</w:t>
      </w:r>
      <w:r w:rsidR="0037389C" w:rsidRPr="003A1191">
        <w:rPr>
          <w:rFonts w:cstheme="minorHAnsi"/>
          <w:sz w:val="24"/>
          <w:szCs w:val="24"/>
        </w:rPr>
        <w:t xml:space="preserve"> como empleados</w:t>
      </w:r>
      <w:r w:rsidR="006C4851" w:rsidRPr="003A1191">
        <w:rPr>
          <w:rFonts w:cstheme="minorHAnsi"/>
          <w:sz w:val="24"/>
          <w:szCs w:val="24"/>
        </w:rPr>
        <w:t>. Aunque es cierto q</w:t>
      </w:r>
      <w:r w:rsidR="00B34677" w:rsidRPr="003A1191">
        <w:rPr>
          <w:rFonts w:cstheme="minorHAnsi"/>
          <w:sz w:val="24"/>
          <w:szCs w:val="24"/>
        </w:rPr>
        <w:t>ue en un Estado democrático de D</w:t>
      </w:r>
      <w:r w:rsidR="006C4851" w:rsidRPr="003A1191">
        <w:rPr>
          <w:rFonts w:cstheme="minorHAnsi"/>
          <w:sz w:val="24"/>
          <w:szCs w:val="24"/>
        </w:rPr>
        <w:t>erecho ningún derecho es absoluto, sí que debe existir motivos razonables para que puedan ser restringidos. Sobre este punto, los autores de</w:t>
      </w:r>
      <w:r w:rsidR="00051C3C" w:rsidRPr="003A1191">
        <w:rPr>
          <w:rFonts w:cstheme="minorHAnsi"/>
          <w:sz w:val="24"/>
          <w:szCs w:val="24"/>
        </w:rPr>
        <w:t>l</w:t>
      </w:r>
      <w:r w:rsidR="006C4851" w:rsidRPr="003A1191">
        <w:rPr>
          <w:rFonts w:cstheme="minorHAnsi"/>
          <w:sz w:val="24"/>
          <w:szCs w:val="24"/>
        </w:rPr>
        <w:t xml:space="preserve"> </w:t>
      </w:r>
      <w:r w:rsidR="006C4851" w:rsidRPr="003A1191">
        <w:rPr>
          <w:rFonts w:cstheme="minorHAnsi"/>
          <w:i/>
          <w:sz w:val="24"/>
          <w:szCs w:val="24"/>
        </w:rPr>
        <w:t>Rapport</w:t>
      </w:r>
      <w:r w:rsidR="006C4851" w:rsidRPr="003A1191">
        <w:rPr>
          <w:rFonts w:cstheme="minorHAnsi"/>
          <w:sz w:val="24"/>
          <w:szCs w:val="24"/>
        </w:rPr>
        <w:t xml:space="preserve"> alberg</w:t>
      </w:r>
      <w:r w:rsidR="004365AA">
        <w:rPr>
          <w:rFonts w:cstheme="minorHAnsi"/>
          <w:sz w:val="24"/>
          <w:szCs w:val="24"/>
        </w:rPr>
        <w:t>ab</w:t>
      </w:r>
      <w:r w:rsidR="006C4851" w:rsidRPr="003A1191">
        <w:rPr>
          <w:rFonts w:cstheme="minorHAnsi"/>
          <w:sz w:val="24"/>
          <w:szCs w:val="24"/>
        </w:rPr>
        <w:t xml:space="preserve">an muchas dudas y por ello no </w:t>
      </w:r>
      <w:r w:rsidR="004365AA">
        <w:rPr>
          <w:rFonts w:cstheme="minorHAnsi"/>
          <w:sz w:val="24"/>
          <w:szCs w:val="24"/>
        </w:rPr>
        <w:t>fueron</w:t>
      </w:r>
      <w:r w:rsidR="006C4851" w:rsidRPr="003A1191">
        <w:rPr>
          <w:rFonts w:cstheme="minorHAnsi"/>
          <w:sz w:val="24"/>
          <w:szCs w:val="24"/>
        </w:rPr>
        <w:t xml:space="preserve"> finalmente partidarios de defender una prohibición absoluta </w:t>
      </w:r>
      <w:r w:rsidR="006C4851" w:rsidRPr="003A1191">
        <w:rPr>
          <w:rFonts w:cstheme="minorHAnsi"/>
          <w:sz w:val="24"/>
          <w:szCs w:val="24"/>
        </w:rPr>
        <w:lastRenderedPageBreak/>
        <w:t xml:space="preserve">a los funcionarios públicos </w:t>
      </w:r>
      <w:r w:rsidR="00A57CFC" w:rsidRPr="003A1191">
        <w:rPr>
          <w:rFonts w:cstheme="minorHAnsi"/>
          <w:sz w:val="24"/>
          <w:szCs w:val="24"/>
        </w:rPr>
        <w:t>para</w:t>
      </w:r>
      <w:r w:rsidR="006C4851" w:rsidRPr="003A1191">
        <w:rPr>
          <w:rFonts w:cstheme="minorHAnsi"/>
          <w:sz w:val="24"/>
          <w:szCs w:val="24"/>
        </w:rPr>
        <w:t xml:space="preserve"> portar símbolos religiosos </w:t>
      </w:r>
      <w:sdt>
        <w:sdtPr>
          <w:rPr>
            <w:rFonts w:cstheme="minorHAnsi"/>
            <w:sz w:val="24"/>
            <w:szCs w:val="24"/>
          </w:rPr>
          <w:id w:val="1111250335"/>
          <w:citation/>
        </w:sdtPr>
        <w:sdtEndPr/>
        <w:sdtContent>
          <w:r w:rsidR="006C4851" w:rsidRPr="003A1191">
            <w:rPr>
              <w:rFonts w:cstheme="minorHAnsi"/>
              <w:sz w:val="24"/>
              <w:szCs w:val="24"/>
            </w:rPr>
            <w:fldChar w:fldCharType="begin"/>
          </w:r>
          <w:r w:rsidR="006C4851" w:rsidRPr="003A1191">
            <w:rPr>
              <w:rFonts w:cstheme="minorHAnsi"/>
              <w:sz w:val="24"/>
              <w:szCs w:val="24"/>
            </w:rPr>
            <w:instrText xml:space="preserve">CITATION Bou10 \p 49-50 \l 3082 </w:instrText>
          </w:r>
          <w:r w:rsidR="006C4851" w:rsidRPr="003A1191">
            <w:rPr>
              <w:rFonts w:cstheme="minorHAnsi"/>
              <w:sz w:val="24"/>
              <w:szCs w:val="24"/>
            </w:rPr>
            <w:fldChar w:fldCharType="separate"/>
          </w:r>
          <w:r w:rsidR="006C4851" w:rsidRPr="003A1191">
            <w:rPr>
              <w:rFonts w:cstheme="minorHAnsi"/>
              <w:noProof/>
              <w:sz w:val="24"/>
              <w:szCs w:val="24"/>
            </w:rPr>
            <w:t>(Bouchard &amp; Taylor, 2010, pp. 49-50)</w:t>
          </w:r>
          <w:r w:rsidR="006C4851" w:rsidRPr="003A1191">
            <w:rPr>
              <w:rFonts w:cstheme="minorHAnsi"/>
              <w:sz w:val="24"/>
              <w:szCs w:val="24"/>
            </w:rPr>
            <w:fldChar w:fldCharType="end"/>
          </w:r>
        </w:sdtContent>
      </w:sdt>
      <w:r w:rsidR="006C4851" w:rsidRPr="003A1191">
        <w:rPr>
          <w:rFonts w:cstheme="minorHAnsi"/>
          <w:sz w:val="24"/>
          <w:szCs w:val="24"/>
        </w:rPr>
        <w:t xml:space="preserve">. </w:t>
      </w:r>
    </w:p>
    <w:p w14:paraId="3FBEE28A" w14:textId="1A4A9807" w:rsidR="00595C75" w:rsidRPr="003A1191" w:rsidRDefault="00A57CFC" w:rsidP="00545B53">
      <w:pPr>
        <w:spacing w:line="360" w:lineRule="auto"/>
        <w:ind w:firstLine="708"/>
        <w:jc w:val="both"/>
        <w:rPr>
          <w:rFonts w:cstheme="minorHAnsi"/>
          <w:sz w:val="24"/>
          <w:szCs w:val="24"/>
        </w:rPr>
      </w:pPr>
      <w:r w:rsidRPr="003A1191">
        <w:rPr>
          <w:rFonts w:cstheme="minorHAnsi"/>
          <w:sz w:val="24"/>
          <w:szCs w:val="24"/>
        </w:rPr>
        <w:t xml:space="preserve">Los comisarios </w:t>
      </w:r>
      <w:r w:rsidR="004365AA">
        <w:rPr>
          <w:rFonts w:cstheme="minorHAnsi"/>
          <w:sz w:val="24"/>
          <w:szCs w:val="24"/>
        </w:rPr>
        <w:t>sostenían</w:t>
      </w:r>
      <w:r w:rsidRPr="003A1191">
        <w:rPr>
          <w:rFonts w:cstheme="minorHAnsi"/>
          <w:sz w:val="24"/>
          <w:szCs w:val="24"/>
        </w:rPr>
        <w:t xml:space="preserve"> qu</w:t>
      </w:r>
      <w:r w:rsidR="007837F3">
        <w:rPr>
          <w:rFonts w:cstheme="minorHAnsi"/>
          <w:sz w:val="24"/>
          <w:szCs w:val="24"/>
        </w:rPr>
        <w:t>e los funcionarios públicos debía</w:t>
      </w:r>
      <w:r w:rsidRPr="003A1191">
        <w:rPr>
          <w:rFonts w:cstheme="minorHAnsi"/>
          <w:sz w:val="24"/>
          <w:szCs w:val="24"/>
        </w:rPr>
        <w:t xml:space="preserve">n ser juzgados por sus actos </w:t>
      </w:r>
      <w:r w:rsidR="001B5892" w:rsidRPr="003A1191">
        <w:rPr>
          <w:rFonts w:cstheme="minorHAnsi"/>
          <w:sz w:val="24"/>
          <w:szCs w:val="24"/>
        </w:rPr>
        <w:t>y probar su</w:t>
      </w:r>
      <w:r w:rsidRPr="003A1191">
        <w:rPr>
          <w:rFonts w:cstheme="minorHAnsi"/>
          <w:sz w:val="24"/>
          <w:szCs w:val="24"/>
        </w:rPr>
        <w:t xml:space="preserve"> imparcialidad en el ejercicio de sus </w:t>
      </w:r>
      <w:r w:rsidR="001B5892" w:rsidRPr="003A1191">
        <w:rPr>
          <w:rFonts w:cstheme="minorHAnsi"/>
          <w:sz w:val="24"/>
          <w:szCs w:val="24"/>
        </w:rPr>
        <w:t>funciones</w:t>
      </w:r>
      <w:r w:rsidR="00FF3744" w:rsidRPr="003A1191">
        <w:rPr>
          <w:rFonts w:cstheme="minorHAnsi"/>
          <w:sz w:val="24"/>
          <w:szCs w:val="24"/>
        </w:rPr>
        <w:t>, por lo que</w:t>
      </w:r>
      <w:r w:rsidR="003372A2" w:rsidRPr="003A1191">
        <w:rPr>
          <w:rFonts w:cstheme="minorHAnsi"/>
          <w:sz w:val="24"/>
          <w:szCs w:val="24"/>
        </w:rPr>
        <w:t xml:space="preserve"> no </w:t>
      </w:r>
      <w:r w:rsidR="004365AA">
        <w:rPr>
          <w:rFonts w:cstheme="minorHAnsi"/>
          <w:sz w:val="24"/>
          <w:szCs w:val="24"/>
        </w:rPr>
        <w:t>veían</w:t>
      </w:r>
      <w:r w:rsidR="00FF3744" w:rsidRPr="003A1191">
        <w:rPr>
          <w:rFonts w:cstheme="minorHAnsi"/>
          <w:sz w:val="24"/>
          <w:szCs w:val="24"/>
        </w:rPr>
        <w:t xml:space="preserve"> </w:t>
      </w:r>
      <w:r w:rsidR="003372A2" w:rsidRPr="003A1191">
        <w:rPr>
          <w:rFonts w:cstheme="minorHAnsi"/>
          <w:sz w:val="24"/>
          <w:szCs w:val="24"/>
        </w:rPr>
        <w:t xml:space="preserve">justificable una prohibición general relativa a la ostentación de símbolos religiosos por parte de los funcionarios públicos. </w:t>
      </w:r>
      <w:r w:rsidR="004365AA">
        <w:rPr>
          <w:rFonts w:cstheme="minorHAnsi"/>
          <w:sz w:val="24"/>
          <w:szCs w:val="24"/>
        </w:rPr>
        <w:t>Entendían</w:t>
      </w:r>
      <w:r w:rsidR="002106DA" w:rsidRPr="003A1191">
        <w:rPr>
          <w:rFonts w:cstheme="minorHAnsi"/>
          <w:sz w:val="24"/>
          <w:szCs w:val="24"/>
        </w:rPr>
        <w:t xml:space="preserve"> que prohibir el uso de signos religiosos a los funcionarios públicos por miedo a que no conjugaran con la neutralidad del Estado sería una forma de prejuzgar sus acciones y sus capacidades profesionales. </w:t>
      </w:r>
      <w:r w:rsidR="00DF4EF1" w:rsidRPr="003A1191">
        <w:rPr>
          <w:rFonts w:cstheme="minorHAnsi"/>
          <w:sz w:val="24"/>
          <w:szCs w:val="24"/>
        </w:rPr>
        <w:t>Porque</w:t>
      </w:r>
      <w:r w:rsidR="002932ED" w:rsidRPr="003A1191">
        <w:rPr>
          <w:rFonts w:cstheme="minorHAnsi"/>
          <w:sz w:val="24"/>
          <w:szCs w:val="24"/>
        </w:rPr>
        <w:t>, p</w:t>
      </w:r>
      <w:r w:rsidR="002106DA" w:rsidRPr="003A1191">
        <w:rPr>
          <w:rFonts w:cstheme="minorHAnsi"/>
          <w:sz w:val="24"/>
          <w:szCs w:val="24"/>
        </w:rPr>
        <w:t>or lo general, lo realmente importante es que los funcionarios den prueba de</w:t>
      </w:r>
      <w:r w:rsidR="002932ED" w:rsidRPr="003A1191">
        <w:rPr>
          <w:rFonts w:cstheme="minorHAnsi"/>
          <w:sz w:val="24"/>
          <w:szCs w:val="24"/>
        </w:rPr>
        <w:t xml:space="preserve"> su i</w:t>
      </w:r>
      <w:r w:rsidR="002106DA" w:rsidRPr="003A1191">
        <w:rPr>
          <w:rFonts w:cstheme="minorHAnsi"/>
          <w:sz w:val="24"/>
          <w:szCs w:val="24"/>
        </w:rPr>
        <w:t xml:space="preserve">mparcialidad en el ejercicio de sus funciones </w:t>
      </w:r>
      <w:sdt>
        <w:sdtPr>
          <w:rPr>
            <w:rFonts w:cstheme="minorHAnsi"/>
            <w:sz w:val="24"/>
            <w:szCs w:val="24"/>
          </w:rPr>
          <w:id w:val="-2078583660"/>
          <w:citation/>
        </w:sdtPr>
        <w:sdtEndPr/>
        <w:sdtContent>
          <w:r w:rsidR="002106DA" w:rsidRPr="003A1191">
            <w:rPr>
              <w:rFonts w:cstheme="minorHAnsi"/>
              <w:sz w:val="24"/>
              <w:szCs w:val="24"/>
            </w:rPr>
            <w:fldChar w:fldCharType="begin"/>
          </w:r>
          <w:r w:rsidR="00CE43E7" w:rsidRPr="003A1191">
            <w:rPr>
              <w:rFonts w:cstheme="minorHAnsi"/>
              <w:sz w:val="24"/>
              <w:szCs w:val="24"/>
            </w:rPr>
            <w:instrText xml:space="preserve">CITATION Eló12 \p 124 \l 3082 </w:instrText>
          </w:r>
          <w:r w:rsidR="002106DA" w:rsidRPr="003A1191">
            <w:rPr>
              <w:rFonts w:cstheme="minorHAnsi"/>
              <w:sz w:val="24"/>
              <w:szCs w:val="24"/>
            </w:rPr>
            <w:fldChar w:fldCharType="separate"/>
          </w:r>
          <w:r w:rsidR="00CE43E7" w:rsidRPr="003A1191">
            <w:rPr>
              <w:rFonts w:cstheme="minorHAnsi"/>
              <w:noProof/>
              <w:sz w:val="24"/>
              <w:szCs w:val="24"/>
            </w:rPr>
            <w:t>(Elósegui Itxaso, 2012, p. 124)</w:t>
          </w:r>
          <w:r w:rsidR="002106DA" w:rsidRPr="003A1191">
            <w:rPr>
              <w:rFonts w:cstheme="minorHAnsi"/>
              <w:sz w:val="24"/>
              <w:szCs w:val="24"/>
            </w:rPr>
            <w:fldChar w:fldCharType="end"/>
          </w:r>
        </w:sdtContent>
      </w:sdt>
      <w:r w:rsidR="002106DA" w:rsidRPr="003A1191">
        <w:rPr>
          <w:rFonts w:cstheme="minorHAnsi"/>
          <w:sz w:val="24"/>
          <w:szCs w:val="24"/>
        </w:rPr>
        <w:t>, lo que implica demostrar con su trabajo diario que</w:t>
      </w:r>
      <w:r w:rsidR="00CE43E7" w:rsidRPr="003A1191">
        <w:rPr>
          <w:rFonts w:cstheme="minorHAnsi"/>
          <w:sz w:val="24"/>
          <w:szCs w:val="24"/>
        </w:rPr>
        <w:t>,</w:t>
      </w:r>
      <w:r w:rsidR="002106DA" w:rsidRPr="003A1191">
        <w:rPr>
          <w:rFonts w:cstheme="minorHAnsi"/>
          <w:sz w:val="24"/>
          <w:szCs w:val="24"/>
        </w:rPr>
        <w:t xml:space="preserve"> en el cumplimiento de sus obligaciones como trabajadores públicos</w:t>
      </w:r>
      <w:r w:rsidR="00CE43E7" w:rsidRPr="003A1191">
        <w:rPr>
          <w:rFonts w:cstheme="minorHAnsi"/>
          <w:sz w:val="24"/>
          <w:szCs w:val="24"/>
        </w:rPr>
        <w:t>,</w:t>
      </w:r>
      <w:r w:rsidR="002106DA" w:rsidRPr="003A1191">
        <w:rPr>
          <w:rFonts w:cstheme="minorHAnsi"/>
          <w:sz w:val="24"/>
          <w:szCs w:val="24"/>
        </w:rPr>
        <w:t xml:space="preserve"> sus actos no están dictados por la fe o por una visión concreta de la buena vida, sino simple y llanamente </w:t>
      </w:r>
      <w:r w:rsidR="00CE43E7" w:rsidRPr="003A1191">
        <w:rPr>
          <w:rFonts w:cstheme="minorHAnsi"/>
          <w:sz w:val="24"/>
          <w:szCs w:val="24"/>
        </w:rPr>
        <w:t>por la voluntad y el convencimiento de realizar las funciones asociadas a su cargo.</w:t>
      </w:r>
      <w:r w:rsidR="00595C75" w:rsidRPr="003A1191">
        <w:rPr>
          <w:rFonts w:cstheme="minorHAnsi"/>
          <w:sz w:val="24"/>
          <w:szCs w:val="24"/>
        </w:rPr>
        <w:t xml:space="preserve"> El compromiso del modelo de convivencia quebequense con el rég</w:t>
      </w:r>
      <w:r w:rsidR="007837F3">
        <w:rPr>
          <w:rFonts w:cstheme="minorHAnsi"/>
          <w:sz w:val="24"/>
          <w:szCs w:val="24"/>
        </w:rPr>
        <w:t>imen de laicidad abierta permitía</w:t>
      </w:r>
      <w:r w:rsidR="00595C75" w:rsidRPr="003A1191">
        <w:rPr>
          <w:rFonts w:cstheme="minorHAnsi"/>
          <w:sz w:val="24"/>
          <w:szCs w:val="24"/>
        </w:rPr>
        <w:t>, por tanto, la ostentación de simbología religiosa en los espacios públicos incluso por parte sus agentes, porque el Estado confía en el compromiso de sus funcionarios y en su lealtad hacia las instituciones públicas.</w:t>
      </w:r>
      <w:r w:rsidR="004723F8" w:rsidRPr="003A1191">
        <w:rPr>
          <w:rFonts w:cstheme="minorHAnsi"/>
          <w:sz w:val="24"/>
          <w:szCs w:val="24"/>
        </w:rPr>
        <w:t xml:space="preserve"> Una lectura rígida del régimen de laicidad prejuzgaría el </w:t>
      </w:r>
      <w:r w:rsidR="0018204E" w:rsidRPr="003A1191">
        <w:rPr>
          <w:rFonts w:cstheme="minorHAnsi"/>
          <w:sz w:val="24"/>
          <w:szCs w:val="24"/>
        </w:rPr>
        <w:t>compromiso</w:t>
      </w:r>
      <w:r w:rsidR="004723F8" w:rsidRPr="003A1191">
        <w:rPr>
          <w:rFonts w:cstheme="minorHAnsi"/>
          <w:sz w:val="24"/>
          <w:szCs w:val="24"/>
        </w:rPr>
        <w:t xml:space="preserve"> de sus funcionarios, acabaría </w:t>
      </w:r>
      <w:r w:rsidR="0018204E" w:rsidRPr="003A1191">
        <w:rPr>
          <w:rFonts w:cstheme="minorHAnsi"/>
          <w:sz w:val="24"/>
          <w:szCs w:val="24"/>
        </w:rPr>
        <w:t>excluyéndolos</w:t>
      </w:r>
      <w:r w:rsidR="004723F8" w:rsidRPr="003A1191">
        <w:rPr>
          <w:rFonts w:cstheme="minorHAnsi"/>
          <w:sz w:val="24"/>
          <w:szCs w:val="24"/>
        </w:rPr>
        <w:t xml:space="preserve"> del acceso al funcionariado y terminaría dificultando su integración.</w:t>
      </w:r>
    </w:p>
    <w:p w14:paraId="29969D4A" w14:textId="5C3C114B" w:rsidR="00A57CFC" w:rsidRPr="003A1191" w:rsidRDefault="00595C75" w:rsidP="00545B53">
      <w:pPr>
        <w:spacing w:line="360" w:lineRule="auto"/>
        <w:ind w:firstLine="708"/>
        <w:jc w:val="both"/>
        <w:rPr>
          <w:rFonts w:cstheme="minorHAnsi"/>
          <w:sz w:val="24"/>
          <w:szCs w:val="24"/>
        </w:rPr>
      </w:pPr>
      <w:r w:rsidRPr="003A1191">
        <w:rPr>
          <w:rFonts w:cstheme="minorHAnsi"/>
          <w:sz w:val="24"/>
          <w:szCs w:val="24"/>
        </w:rPr>
        <w:t>No obstante</w:t>
      </w:r>
      <w:r w:rsidR="0037389C" w:rsidRPr="003A1191">
        <w:rPr>
          <w:rFonts w:cstheme="minorHAnsi"/>
          <w:sz w:val="24"/>
          <w:szCs w:val="24"/>
        </w:rPr>
        <w:t>, los autores del informe considera</w:t>
      </w:r>
      <w:r w:rsidR="007837F3">
        <w:rPr>
          <w:rFonts w:cstheme="minorHAnsi"/>
          <w:sz w:val="24"/>
          <w:szCs w:val="24"/>
        </w:rPr>
        <w:t>ro</w:t>
      </w:r>
      <w:r w:rsidR="0037389C" w:rsidRPr="003A1191">
        <w:rPr>
          <w:rFonts w:cstheme="minorHAnsi"/>
          <w:sz w:val="24"/>
          <w:szCs w:val="24"/>
        </w:rPr>
        <w:t xml:space="preserve">n que </w:t>
      </w:r>
      <w:r w:rsidR="007837F3">
        <w:rPr>
          <w:rFonts w:cstheme="minorHAnsi"/>
          <w:sz w:val="24"/>
          <w:szCs w:val="24"/>
        </w:rPr>
        <w:t>podían</w:t>
      </w:r>
      <w:r w:rsidR="0037389C" w:rsidRPr="003A1191">
        <w:rPr>
          <w:rFonts w:cstheme="minorHAnsi"/>
          <w:sz w:val="24"/>
          <w:szCs w:val="24"/>
        </w:rPr>
        <w:t xml:space="preserve"> existir restricciones para algunos funcionarios públicos por su especial responsabilidad.</w:t>
      </w:r>
      <w:r w:rsidR="007837F3">
        <w:rPr>
          <w:rFonts w:cstheme="minorHAnsi"/>
          <w:sz w:val="24"/>
          <w:szCs w:val="24"/>
        </w:rPr>
        <w:t xml:space="preserve"> La comisión entendía</w:t>
      </w:r>
      <w:r w:rsidR="00A45102" w:rsidRPr="003A1191">
        <w:rPr>
          <w:rFonts w:cstheme="minorHAnsi"/>
          <w:sz w:val="24"/>
          <w:szCs w:val="24"/>
        </w:rPr>
        <w:t xml:space="preserve"> que existen algunas funciones públicas que por su importancia podrían implicar una </w:t>
      </w:r>
      <w:r w:rsidR="00A45102" w:rsidRPr="003A1191">
        <w:rPr>
          <w:rFonts w:cstheme="minorHAnsi"/>
          <w:i/>
          <w:sz w:val="24"/>
          <w:szCs w:val="24"/>
        </w:rPr>
        <w:t>obligación de reserva</w:t>
      </w:r>
      <w:r w:rsidR="00A45102" w:rsidRPr="003A1191">
        <w:rPr>
          <w:rFonts w:cstheme="minorHAnsi"/>
          <w:sz w:val="24"/>
          <w:szCs w:val="24"/>
        </w:rPr>
        <w:t>.</w:t>
      </w:r>
      <w:r w:rsidR="00E31CA9" w:rsidRPr="003A1191">
        <w:rPr>
          <w:rFonts w:cstheme="minorHAnsi"/>
          <w:sz w:val="24"/>
          <w:szCs w:val="24"/>
        </w:rPr>
        <w:t xml:space="preserve"> </w:t>
      </w:r>
      <w:r w:rsidR="00697C78" w:rsidRPr="003A1191">
        <w:rPr>
          <w:rFonts w:cstheme="minorHAnsi"/>
          <w:sz w:val="24"/>
          <w:szCs w:val="24"/>
        </w:rPr>
        <w:t>A</w:t>
      </w:r>
      <w:r w:rsidR="007837F3">
        <w:rPr>
          <w:rFonts w:cstheme="minorHAnsi"/>
          <w:sz w:val="24"/>
          <w:szCs w:val="24"/>
        </w:rPr>
        <w:t>sí, a</w:t>
      </w:r>
      <w:r w:rsidR="00697C78" w:rsidRPr="003A1191">
        <w:rPr>
          <w:rFonts w:cstheme="minorHAnsi"/>
          <w:sz w:val="24"/>
          <w:szCs w:val="24"/>
        </w:rPr>
        <w:t xml:space="preserve"> instancias de una memoria presentada por el Bloque Quebequés en </w:t>
      </w:r>
      <w:r w:rsidR="002932ED" w:rsidRPr="003A1191">
        <w:rPr>
          <w:rFonts w:cstheme="minorHAnsi"/>
          <w:sz w:val="24"/>
          <w:szCs w:val="24"/>
        </w:rPr>
        <w:t>la</w:t>
      </w:r>
      <w:r w:rsidR="00697C78" w:rsidRPr="003A1191">
        <w:rPr>
          <w:rFonts w:cstheme="minorHAnsi"/>
          <w:sz w:val="24"/>
          <w:szCs w:val="24"/>
        </w:rPr>
        <w:t xml:space="preserve"> audiencia pública de la comisión, el informe reconoció finalmente que podrían existir algunas funciones que “por su propia naturaleza encarnan al Estado y su necesidad de neutralidad” </w:t>
      </w:r>
      <w:sdt>
        <w:sdtPr>
          <w:rPr>
            <w:rFonts w:cstheme="minorHAnsi"/>
            <w:sz w:val="24"/>
            <w:szCs w:val="24"/>
          </w:rPr>
          <w:id w:val="1047715719"/>
          <w:citation/>
        </w:sdtPr>
        <w:sdtEndPr/>
        <w:sdtContent>
          <w:r w:rsidR="00697C78" w:rsidRPr="003A1191">
            <w:rPr>
              <w:rFonts w:cstheme="minorHAnsi"/>
              <w:sz w:val="24"/>
              <w:szCs w:val="24"/>
            </w:rPr>
            <w:fldChar w:fldCharType="begin"/>
          </w:r>
          <w:r w:rsidR="00697C78" w:rsidRPr="003A1191">
            <w:rPr>
              <w:rFonts w:cstheme="minorHAnsi"/>
              <w:sz w:val="24"/>
              <w:szCs w:val="24"/>
            </w:rPr>
            <w:instrText xml:space="preserve">CITATION Bou10 \p 50 \l 3082 </w:instrText>
          </w:r>
          <w:r w:rsidR="00697C78" w:rsidRPr="003A1191">
            <w:rPr>
              <w:rFonts w:cstheme="minorHAnsi"/>
              <w:sz w:val="24"/>
              <w:szCs w:val="24"/>
            </w:rPr>
            <w:fldChar w:fldCharType="separate"/>
          </w:r>
          <w:r w:rsidR="00697C78" w:rsidRPr="003A1191">
            <w:rPr>
              <w:rFonts w:cstheme="minorHAnsi"/>
              <w:noProof/>
              <w:sz w:val="24"/>
              <w:szCs w:val="24"/>
            </w:rPr>
            <w:t>(Bouchard &amp; Taylor, 2010, p. 50)</w:t>
          </w:r>
          <w:r w:rsidR="00697C78" w:rsidRPr="003A1191">
            <w:rPr>
              <w:rFonts w:cstheme="minorHAnsi"/>
              <w:sz w:val="24"/>
              <w:szCs w:val="24"/>
            </w:rPr>
            <w:fldChar w:fldCharType="end"/>
          </w:r>
        </w:sdtContent>
      </w:sdt>
      <w:r w:rsidR="00697C78" w:rsidRPr="003A1191">
        <w:rPr>
          <w:rFonts w:cstheme="minorHAnsi"/>
          <w:sz w:val="24"/>
          <w:szCs w:val="24"/>
        </w:rPr>
        <w:t>. Sería el caso particular de los jueces, los procuradores de la Corona, de los policías y del Presidente de la Asamblea Nacional, a quienes se les debería exigir que renunciaran a mostrar su derecho a exhibir su pertenencia religiosa en aras de preservar la apariencia de imparcialidad necesaria para el ejercicio de sus funciones.</w:t>
      </w:r>
    </w:p>
    <w:p w14:paraId="6B04CF30" w14:textId="1CBC7EF1" w:rsidR="001C5272" w:rsidRPr="003A1191" w:rsidRDefault="001C5272" w:rsidP="00545B53">
      <w:pPr>
        <w:spacing w:line="360" w:lineRule="auto"/>
        <w:ind w:firstLine="708"/>
        <w:jc w:val="both"/>
        <w:rPr>
          <w:rFonts w:cstheme="minorHAnsi"/>
          <w:sz w:val="24"/>
          <w:szCs w:val="24"/>
        </w:rPr>
      </w:pPr>
      <w:r w:rsidRPr="003A1191">
        <w:rPr>
          <w:rFonts w:cstheme="minorHAnsi"/>
          <w:sz w:val="24"/>
          <w:szCs w:val="24"/>
        </w:rPr>
        <w:lastRenderedPageBreak/>
        <w:t xml:space="preserve">El </w:t>
      </w:r>
      <w:r w:rsidRPr="003A1191">
        <w:rPr>
          <w:rFonts w:cstheme="minorHAnsi"/>
          <w:i/>
          <w:sz w:val="24"/>
          <w:szCs w:val="24"/>
        </w:rPr>
        <w:t xml:space="preserve">Rapport </w:t>
      </w:r>
      <w:r w:rsidRPr="003A1191">
        <w:rPr>
          <w:rFonts w:cstheme="minorHAnsi"/>
          <w:sz w:val="24"/>
          <w:szCs w:val="24"/>
        </w:rPr>
        <w:t xml:space="preserve">se inclinaba por no apoyar una prohibición general a todos los funcionarios públicos porque entendían que una sociedad diversificada como la quebequense debería estar también reflejada en sus instituciones. Acostumbrar a la sociedad a reconocer la diversidad en todos los niveles sociales ayudaría a </w:t>
      </w:r>
      <w:r w:rsidR="00EE2906" w:rsidRPr="003A1191">
        <w:rPr>
          <w:rFonts w:cstheme="minorHAnsi"/>
          <w:sz w:val="24"/>
          <w:szCs w:val="24"/>
        </w:rPr>
        <w:t>desmitificar</w:t>
      </w:r>
      <w:r w:rsidRPr="003A1191">
        <w:rPr>
          <w:rFonts w:cstheme="minorHAnsi"/>
          <w:sz w:val="24"/>
          <w:szCs w:val="24"/>
        </w:rPr>
        <w:t xml:space="preserve"> las diferencias y promover la integración de todas </w:t>
      </w:r>
      <w:r w:rsidR="00BF3CA3" w:rsidRPr="003A1191">
        <w:rPr>
          <w:rFonts w:cstheme="minorHAnsi"/>
          <w:sz w:val="24"/>
          <w:szCs w:val="24"/>
        </w:rPr>
        <w:t>las</w:t>
      </w:r>
      <w:r w:rsidRPr="003A1191">
        <w:rPr>
          <w:rFonts w:cstheme="minorHAnsi"/>
          <w:sz w:val="24"/>
          <w:szCs w:val="24"/>
        </w:rPr>
        <w:t xml:space="preserve"> culturas</w:t>
      </w:r>
      <w:r w:rsidR="00BF3CA3" w:rsidRPr="003A1191">
        <w:rPr>
          <w:rFonts w:cstheme="minorHAnsi"/>
          <w:sz w:val="24"/>
          <w:szCs w:val="24"/>
        </w:rPr>
        <w:t xml:space="preserve">. Pero entendían que existían ciertas responsabilidades públicas que por su importancia y entidad sí deberían restringirse. De un modo general, consideran que los funcionarios públicos con funciones de coerción (jueces, policías y funcionarios de prisiones) representan de un modo más tangible </w:t>
      </w:r>
      <w:r w:rsidR="00AC7E9D" w:rsidRPr="003A1191">
        <w:rPr>
          <w:rFonts w:cstheme="minorHAnsi"/>
          <w:sz w:val="24"/>
          <w:szCs w:val="24"/>
        </w:rPr>
        <w:t>a</w:t>
      </w:r>
      <w:r w:rsidR="005339CC" w:rsidRPr="003A1191">
        <w:rPr>
          <w:rFonts w:cstheme="minorHAnsi"/>
          <w:sz w:val="24"/>
          <w:szCs w:val="24"/>
        </w:rPr>
        <w:t xml:space="preserve"> </w:t>
      </w:r>
      <w:r w:rsidR="00AC7E9D" w:rsidRPr="003A1191">
        <w:rPr>
          <w:rFonts w:cstheme="minorHAnsi"/>
          <w:sz w:val="24"/>
          <w:szCs w:val="24"/>
        </w:rPr>
        <w:t>l</w:t>
      </w:r>
      <w:r w:rsidR="005339CC" w:rsidRPr="003A1191">
        <w:rPr>
          <w:rFonts w:cstheme="minorHAnsi"/>
          <w:sz w:val="24"/>
          <w:szCs w:val="24"/>
        </w:rPr>
        <w:t>os</w:t>
      </w:r>
      <w:r w:rsidR="00AC7E9D" w:rsidRPr="003A1191">
        <w:rPr>
          <w:rFonts w:cstheme="minorHAnsi"/>
          <w:sz w:val="24"/>
          <w:szCs w:val="24"/>
        </w:rPr>
        <w:t xml:space="preserve"> </w:t>
      </w:r>
      <w:r w:rsidR="005339CC" w:rsidRPr="003A1191">
        <w:rPr>
          <w:rFonts w:cstheme="minorHAnsi"/>
          <w:sz w:val="24"/>
          <w:szCs w:val="24"/>
        </w:rPr>
        <w:t xml:space="preserve">poderes del </w:t>
      </w:r>
      <w:r w:rsidR="00AC7E9D" w:rsidRPr="003A1191">
        <w:rPr>
          <w:rFonts w:cstheme="minorHAnsi"/>
          <w:sz w:val="24"/>
          <w:szCs w:val="24"/>
        </w:rPr>
        <w:t>Estado y, sobre todo, a su monopolio del uso de la fuerza. Se trata de u</w:t>
      </w:r>
      <w:r w:rsidR="005339CC" w:rsidRPr="003A1191">
        <w:rPr>
          <w:rFonts w:cstheme="minorHAnsi"/>
          <w:sz w:val="24"/>
          <w:szCs w:val="24"/>
        </w:rPr>
        <w:t>n sector funcionarial que tiene</w:t>
      </w:r>
      <w:r w:rsidR="00AC7E9D" w:rsidRPr="003A1191">
        <w:rPr>
          <w:rFonts w:cstheme="minorHAnsi"/>
          <w:sz w:val="24"/>
          <w:szCs w:val="24"/>
        </w:rPr>
        <w:t xml:space="preserve"> en </w:t>
      </w:r>
      <w:r w:rsidR="005339CC" w:rsidRPr="003A1191">
        <w:rPr>
          <w:rFonts w:cstheme="minorHAnsi"/>
          <w:sz w:val="24"/>
          <w:szCs w:val="24"/>
        </w:rPr>
        <w:t>sus manos</w:t>
      </w:r>
      <w:r w:rsidR="00AC7E9D" w:rsidRPr="003A1191">
        <w:rPr>
          <w:rFonts w:cstheme="minorHAnsi"/>
          <w:sz w:val="24"/>
          <w:szCs w:val="24"/>
        </w:rPr>
        <w:t xml:space="preserve"> la posibilidad directa de restringir los derechos de los ciudadanos por encarar funciones que se identifican con un </w:t>
      </w:r>
      <w:r w:rsidR="005339CC" w:rsidRPr="003A1191">
        <w:rPr>
          <w:rFonts w:cstheme="minorHAnsi"/>
          <w:sz w:val="24"/>
          <w:szCs w:val="24"/>
        </w:rPr>
        <w:t>ejercicio</w:t>
      </w:r>
      <w:r w:rsidR="00AC7E9D" w:rsidRPr="003A1191">
        <w:rPr>
          <w:rFonts w:cstheme="minorHAnsi"/>
          <w:sz w:val="24"/>
          <w:szCs w:val="24"/>
        </w:rPr>
        <w:t xml:space="preserve"> más directo de la autoridad pública.</w:t>
      </w:r>
      <w:r w:rsidR="005339CC" w:rsidRPr="003A1191">
        <w:rPr>
          <w:rFonts w:cstheme="minorHAnsi"/>
          <w:sz w:val="24"/>
          <w:szCs w:val="24"/>
        </w:rPr>
        <w:t xml:space="preserve"> Por esta razón, concluyen los comisarios que a estos funcionarios públicos se les debe exigir</w:t>
      </w:r>
      <w:r w:rsidR="002932ED" w:rsidRPr="003A1191">
        <w:rPr>
          <w:rFonts w:cstheme="minorHAnsi"/>
          <w:sz w:val="24"/>
          <w:szCs w:val="24"/>
        </w:rPr>
        <w:t xml:space="preserve"> alguna obligación de autorrestri</w:t>
      </w:r>
      <w:r w:rsidR="005339CC" w:rsidRPr="003A1191">
        <w:rPr>
          <w:rFonts w:cstheme="minorHAnsi"/>
          <w:sz w:val="24"/>
          <w:szCs w:val="24"/>
        </w:rPr>
        <w:t>cción que garantice la neutralidad del Estado y, consecuentemente, los derechos de sus ciudadanos.</w:t>
      </w:r>
    </w:p>
    <w:p w14:paraId="562E5852" w14:textId="12E49D77" w:rsidR="00C55BDF" w:rsidRPr="003A1191" w:rsidRDefault="00F939BB" w:rsidP="00545B53">
      <w:pPr>
        <w:spacing w:line="360" w:lineRule="auto"/>
        <w:ind w:firstLine="708"/>
        <w:jc w:val="both"/>
        <w:rPr>
          <w:rFonts w:cstheme="minorHAnsi"/>
          <w:sz w:val="24"/>
          <w:szCs w:val="24"/>
        </w:rPr>
      </w:pPr>
      <w:r w:rsidRPr="003A1191">
        <w:rPr>
          <w:rFonts w:cstheme="minorHAnsi"/>
          <w:sz w:val="24"/>
          <w:szCs w:val="24"/>
        </w:rPr>
        <w:t>Pero sobre esta última cuestión Charles Taylor no estaba del todo</w:t>
      </w:r>
      <w:r w:rsidR="00136432" w:rsidRPr="003A1191">
        <w:rPr>
          <w:rFonts w:cstheme="minorHAnsi"/>
          <w:sz w:val="24"/>
          <w:szCs w:val="24"/>
        </w:rPr>
        <w:t xml:space="preserve"> convencido</w:t>
      </w:r>
      <w:r w:rsidRPr="003A1191">
        <w:rPr>
          <w:rFonts w:cstheme="minorHAnsi"/>
          <w:sz w:val="24"/>
          <w:szCs w:val="24"/>
        </w:rPr>
        <w:t>, a pesar de haber firmado como copartícipe en el informe de la comisión. Tras el atentado contra el Centro Cultural Islámico de Quebec, algun</w:t>
      </w:r>
      <w:r w:rsidR="00AC683A" w:rsidRPr="003A1191">
        <w:rPr>
          <w:rFonts w:cstheme="minorHAnsi"/>
          <w:sz w:val="24"/>
          <w:szCs w:val="24"/>
        </w:rPr>
        <w:t>a</w:t>
      </w:r>
      <w:r w:rsidRPr="003A1191">
        <w:rPr>
          <w:rFonts w:cstheme="minorHAnsi"/>
          <w:sz w:val="24"/>
          <w:szCs w:val="24"/>
        </w:rPr>
        <w:t xml:space="preserve">s </w:t>
      </w:r>
      <w:r w:rsidR="00AC683A" w:rsidRPr="003A1191">
        <w:rPr>
          <w:rFonts w:cstheme="minorHAnsi"/>
          <w:sz w:val="24"/>
          <w:szCs w:val="24"/>
        </w:rPr>
        <w:t xml:space="preserve">de sus dudas sobre determinados aspectos del informe comenzaron a aflorar públicamente. En su artículo de opinión publicado en La </w:t>
      </w:r>
      <w:r w:rsidR="00794879" w:rsidRPr="003A1191">
        <w:rPr>
          <w:rFonts w:cstheme="minorHAnsi"/>
          <w:sz w:val="24"/>
          <w:szCs w:val="24"/>
        </w:rPr>
        <w:t>Presse</w:t>
      </w:r>
      <w:r w:rsidR="007837F3">
        <w:rPr>
          <w:rStyle w:val="Refdenotaalpie"/>
          <w:rFonts w:cstheme="minorHAnsi"/>
          <w:sz w:val="24"/>
          <w:szCs w:val="24"/>
        </w:rPr>
        <w:footnoteReference w:id="10"/>
      </w:r>
      <w:r w:rsidR="00794879" w:rsidRPr="003A1191">
        <w:rPr>
          <w:rFonts w:cstheme="minorHAnsi"/>
          <w:sz w:val="24"/>
          <w:szCs w:val="24"/>
        </w:rPr>
        <w:t>, Charles</w:t>
      </w:r>
      <w:r w:rsidR="00B200CE" w:rsidRPr="003A1191">
        <w:rPr>
          <w:rFonts w:cstheme="minorHAnsi"/>
          <w:sz w:val="24"/>
          <w:szCs w:val="24"/>
        </w:rPr>
        <w:t xml:space="preserve"> Taylor declaraba que le preocupaba la deriva </w:t>
      </w:r>
      <w:r w:rsidR="00BD206F" w:rsidRPr="003A1191">
        <w:rPr>
          <w:rFonts w:cstheme="minorHAnsi"/>
          <w:sz w:val="24"/>
          <w:szCs w:val="24"/>
        </w:rPr>
        <w:t xml:space="preserve">rigorista con la que la sociedad quebequense pretendía hacer cumplir algunas de las recomendaciones del informe, concretamente la relacionada con la </w:t>
      </w:r>
      <w:r w:rsidR="00794879" w:rsidRPr="003A1191">
        <w:rPr>
          <w:rFonts w:cstheme="minorHAnsi"/>
          <w:sz w:val="24"/>
          <w:szCs w:val="24"/>
        </w:rPr>
        <w:t>exhibición</w:t>
      </w:r>
      <w:r w:rsidR="00BD206F" w:rsidRPr="003A1191">
        <w:rPr>
          <w:rFonts w:cstheme="minorHAnsi"/>
          <w:sz w:val="24"/>
          <w:szCs w:val="24"/>
        </w:rPr>
        <w:t xml:space="preserve"> de símbolos religiosos por part</w:t>
      </w:r>
      <w:r w:rsidR="004A14AA">
        <w:rPr>
          <w:rFonts w:cstheme="minorHAnsi"/>
          <w:sz w:val="24"/>
          <w:szCs w:val="24"/>
        </w:rPr>
        <w:t xml:space="preserve">e de los funcionarios públicos. </w:t>
      </w:r>
      <w:r w:rsidR="00C55BDF" w:rsidRPr="003A1191">
        <w:rPr>
          <w:rFonts w:cstheme="minorHAnsi"/>
          <w:sz w:val="24"/>
          <w:szCs w:val="24"/>
        </w:rPr>
        <w:t xml:space="preserve">En la sociedad francocanadiense se había experimentado durante los últimos años un aumento gradual de la retórica antimusulmana y algunos medios señalaron el </w:t>
      </w:r>
      <w:r w:rsidR="004A14AA">
        <w:rPr>
          <w:rFonts w:cstheme="minorHAnsi"/>
          <w:sz w:val="24"/>
          <w:szCs w:val="24"/>
        </w:rPr>
        <w:t>acrecimiento</w:t>
      </w:r>
      <w:r w:rsidR="004A14AA" w:rsidRPr="003A1191">
        <w:rPr>
          <w:rFonts w:cstheme="minorHAnsi"/>
          <w:sz w:val="24"/>
          <w:szCs w:val="24"/>
        </w:rPr>
        <w:t xml:space="preserve"> </w:t>
      </w:r>
      <w:r w:rsidR="00C30DD7" w:rsidRPr="003A1191">
        <w:rPr>
          <w:rFonts w:cstheme="minorHAnsi"/>
          <w:sz w:val="24"/>
          <w:szCs w:val="24"/>
        </w:rPr>
        <w:t xml:space="preserve">de la islamofobia como </w:t>
      </w:r>
      <w:r w:rsidR="00C55BDF" w:rsidRPr="003A1191">
        <w:rPr>
          <w:rFonts w:cstheme="minorHAnsi"/>
          <w:sz w:val="24"/>
          <w:szCs w:val="24"/>
        </w:rPr>
        <w:t xml:space="preserve">principal </w:t>
      </w:r>
      <w:r w:rsidR="00C30DD7" w:rsidRPr="003A1191">
        <w:rPr>
          <w:rFonts w:cstheme="minorHAnsi"/>
          <w:sz w:val="24"/>
          <w:szCs w:val="24"/>
        </w:rPr>
        <w:t xml:space="preserve">causa </w:t>
      </w:r>
      <w:r w:rsidR="00C55BDF" w:rsidRPr="003A1191">
        <w:rPr>
          <w:rFonts w:cstheme="minorHAnsi"/>
          <w:sz w:val="24"/>
          <w:szCs w:val="24"/>
        </w:rPr>
        <w:t>del ataque contra la mezquita de Quebec</w:t>
      </w:r>
      <w:r w:rsidR="00C55BDF" w:rsidRPr="003A1191">
        <w:rPr>
          <w:rStyle w:val="Refdenotaalpie"/>
          <w:rFonts w:cstheme="minorHAnsi"/>
          <w:sz w:val="24"/>
          <w:szCs w:val="24"/>
        </w:rPr>
        <w:footnoteReference w:id="11"/>
      </w:r>
      <w:r w:rsidR="00C55BDF" w:rsidRPr="003A1191">
        <w:rPr>
          <w:rFonts w:cstheme="minorHAnsi"/>
          <w:sz w:val="24"/>
          <w:szCs w:val="24"/>
        </w:rPr>
        <w:t>.</w:t>
      </w:r>
      <w:r w:rsidR="00C30DD7" w:rsidRPr="003A1191">
        <w:rPr>
          <w:rFonts w:cstheme="minorHAnsi"/>
          <w:sz w:val="24"/>
          <w:szCs w:val="24"/>
        </w:rPr>
        <w:t xml:space="preserve"> Para Taylor, el rigor con el que se había intentado aplicar la recomendación sobre la </w:t>
      </w:r>
      <w:r w:rsidR="00C30DD7" w:rsidRPr="003A1191">
        <w:rPr>
          <w:rFonts w:cstheme="minorHAnsi"/>
          <w:sz w:val="24"/>
          <w:szCs w:val="24"/>
        </w:rPr>
        <w:lastRenderedPageBreak/>
        <w:t>exhibición de símbolos religiosos por parte de algunos funcionarios públicos había tenido un efecto contrario al</w:t>
      </w:r>
      <w:r w:rsidR="004A14AA">
        <w:rPr>
          <w:rFonts w:cstheme="minorHAnsi"/>
          <w:sz w:val="24"/>
          <w:szCs w:val="24"/>
        </w:rPr>
        <w:t xml:space="preserve"> que se pretendía en el informe, que era</w:t>
      </w:r>
      <w:r w:rsidR="00C30DD7" w:rsidRPr="003A1191">
        <w:rPr>
          <w:rFonts w:cstheme="minorHAnsi"/>
          <w:sz w:val="24"/>
          <w:szCs w:val="24"/>
        </w:rPr>
        <w:t xml:space="preserve"> la integración y la normalización de la </w:t>
      </w:r>
      <w:r w:rsidR="00DF4EF1" w:rsidRPr="003A1191">
        <w:rPr>
          <w:rFonts w:cstheme="minorHAnsi"/>
          <w:sz w:val="24"/>
          <w:szCs w:val="24"/>
        </w:rPr>
        <w:t>diversidad</w:t>
      </w:r>
      <w:r w:rsidR="00C30DD7" w:rsidRPr="003A1191">
        <w:rPr>
          <w:rFonts w:cstheme="minorHAnsi"/>
          <w:sz w:val="24"/>
          <w:szCs w:val="24"/>
        </w:rPr>
        <w:t>.</w:t>
      </w:r>
    </w:p>
    <w:p w14:paraId="2E4293B4" w14:textId="1271FCC3" w:rsidR="004E2AE2" w:rsidRPr="003A1191" w:rsidRDefault="00C30DD7" w:rsidP="00545B53">
      <w:pPr>
        <w:spacing w:line="360" w:lineRule="auto"/>
        <w:ind w:firstLine="708"/>
        <w:jc w:val="both"/>
        <w:rPr>
          <w:rFonts w:cstheme="minorHAnsi"/>
          <w:sz w:val="24"/>
          <w:szCs w:val="24"/>
        </w:rPr>
      </w:pPr>
      <w:r w:rsidRPr="003A1191">
        <w:rPr>
          <w:rFonts w:cstheme="minorHAnsi"/>
          <w:sz w:val="24"/>
          <w:szCs w:val="24"/>
        </w:rPr>
        <w:t xml:space="preserve">Charles Taylor </w:t>
      </w:r>
      <w:r w:rsidR="00B0229C" w:rsidRPr="003A1191">
        <w:rPr>
          <w:rFonts w:cstheme="minorHAnsi"/>
          <w:sz w:val="24"/>
          <w:szCs w:val="24"/>
        </w:rPr>
        <w:t>reconocía</w:t>
      </w:r>
      <w:r w:rsidRPr="003A1191">
        <w:rPr>
          <w:rFonts w:cstheme="minorHAnsi"/>
          <w:sz w:val="24"/>
          <w:szCs w:val="24"/>
        </w:rPr>
        <w:t xml:space="preserve"> haberse equivocado al apoyar esa recomendación concreta en la que el informe sugería que los funcionarios públicos con funciones de coerción debieran autolimitarse </w:t>
      </w:r>
      <w:r w:rsidR="00F923D5" w:rsidRPr="003A1191">
        <w:rPr>
          <w:rFonts w:cstheme="minorHAnsi"/>
          <w:sz w:val="24"/>
          <w:szCs w:val="24"/>
        </w:rPr>
        <w:t>en su derecho a la libertad religiosa a través de la exhibición de símbolos religiosos.</w:t>
      </w:r>
      <w:r w:rsidR="00AC08DC" w:rsidRPr="003A1191">
        <w:rPr>
          <w:rFonts w:cstheme="minorHAnsi"/>
          <w:sz w:val="24"/>
          <w:szCs w:val="24"/>
        </w:rPr>
        <w:t xml:space="preserve"> Él aseguraba que, a pesar de haber firmado esa recomendación, no lo hizo con el convencimiento de que fuera una medida necesaria para sostener el laicismo abierto que defendía el informe, sino más bien por tratarse de una medida adecuada al contexto social que por entonces vivía la </w:t>
      </w:r>
      <w:r w:rsidR="00F83B8F" w:rsidRPr="003A1191">
        <w:rPr>
          <w:rFonts w:cstheme="minorHAnsi"/>
          <w:sz w:val="24"/>
          <w:szCs w:val="24"/>
        </w:rPr>
        <w:t>región</w:t>
      </w:r>
      <w:r w:rsidR="00AC08DC" w:rsidRPr="003A1191">
        <w:rPr>
          <w:rFonts w:cstheme="minorHAnsi"/>
          <w:sz w:val="24"/>
          <w:szCs w:val="24"/>
        </w:rPr>
        <w:t xml:space="preserve"> de </w:t>
      </w:r>
      <w:r w:rsidR="00F70230" w:rsidRPr="003A1191">
        <w:rPr>
          <w:rFonts w:cstheme="minorHAnsi"/>
          <w:sz w:val="24"/>
          <w:szCs w:val="24"/>
        </w:rPr>
        <w:t>Quebec</w:t>
      </w:r>
      <w:r w:rsidR="00AC08DC" w:rsidRPr="003A1191">
        <w:rPr>
          <w:rFonts w:cstheme="minorHAnsi"/>
          <w:sz w:val="24"/>
          <w:szCs w:val="24"/>
        </w:rPr>
        <w:t>.</w:t>
      </w:r>
      <w:r w:rsidR="00F83B8F" w:rsidRPr="003A1191">
        <w:rPr>
          <w:rFonts w:cstheme="minorHAnsi"/>
          <w:sz w:val="24"/>
          <w:szCs w:val="24"/>
        </w:rPr>
        <w:t xml:space="preserve"> La crisis de los acomodos razonables había dejado tocado el ánimo integrador y multiculturalista de la provincia francocanadiense</w:t>
      </w:r>
      <w:r w:rsidR="00922656" w:rsidRPr="003A1191">
        <w:rPr>
          <w:rFonts w:cstheme="minorHAnsi"/>
          <w:sz w:val="24"/>
          <w:szCs w:val="24"/>
        </w:rPr>
        <w:t xml:space="preserve">, por lo que el filósofo </w:t>
      </w:r>
      <w:r w:rsidR="00051C3C" w:rsidRPr="003A1191">
        <w:rPr>
          <w:rFonts w:cstheme="minorHAnsi"/>
          <w:sz w:val="24"/>
          <w:szCs w:val="24"/>
        </w:rPr>
        <w:t>anglo</w:t>
      </w:r>
      <w:r w:rsidR="00922656" w:rsidRPr="003A1191">
        <w:rPr>
          <w:rFonts w:cstheme="minorHAnsi"/>
          <w:sz w:val="24"/>
          <w:szCs w:val="24"/>
        </w:rPr>
        <w:t xml:space="preserve">canadiense decidió apoyar la medida como una recomendación temporal que, con el tiempo, y la normalización de la diversidad étnica, no sería necesaria en unos años. Pero la recomendación finalmente fue cristalizada en la </w:t>
      </w:r>
      <w:r w:rsidR="004608F4" w:rsidRPr="003A1191">
        <w:rPr>
          <w:rFonts w:cstheme="minorHAnsi"/>
          <w:sz w:val="24"/>
          <w:szCs w:val="24"/>
        </w:rPr>
        <w:t>Carta de Valores de Quebec</w:t>
      </w:r>
      <w:r w:rsidR="004608F4" w:rsidRPr="003A1191">
        <w:rPr>
          <w:rStyle w:val="Refdenotaalpie"/>
          <w:rFonts w:cstheme="minorHAnsi"/>
          <w:sz w:val="24"/>
          <w:szCs w:val="24"/>
        </w:rPr>
        <w:footnoteReference w:id="12"/>
      </w:r>
      <w:r w:rsidR="004608F4" w:rsidRPr="003A1191">
        <w:rPr>
          <w:rFonts w:cstheme="minorHAnsi"/>
          <w:sz w:val="24"/>
          <w:szCs w:val="24"/>
        </w:rPr>
        <w:t>.</w:t>
      </w:r>
      <w:r w:rsidR="001C2BBB" w:rsidRPr="003A1191">
        <w:rPr>
          <w:rFonts w:cstheme="minorHAnsi"/>
          <w:sz w:val="24"/>
          <w:szCs w:val="24"/>
        </w:rPr>
        <w:t xml:space="preserve"> En ella, la asamblea </w:t>
      </w:r>
      <w:r w:rsidR="00EB4CDB" w:rsidRPr="003A1191">
        <w:rPr>
          <w:rFonts w:cstheme="minorHAnsi"/>
          <w:sz w:val="24"/>
          <w:szCs w:val="24"/>
        </w:rPr>
        <w:t>quebequense</w:t>
      </w:r>
      <w:r w:rsidR="001C2BBB" w:rsidRPr="003A1191">
        <w:rPr>
          <w:rFonts w:cstheme="minorHAnsi"/>
          <w:sz w:val="24"/>
          <w:szCs w:val="24"/>
        </w:rPr>
        <w:t xml:space="preserve"> dejaba materializada la versión más rígida del supuesto modelo abierto del laicismo quebequés. </w:t>
      </w:r>
    </w:p>
    <w:p w14:paraId="6DD2B3FF" w14:textId="2B68383C" w:rsidR="00EB4CDB" w:rsidRPr="003A1191" w:rsidRDefault="001C2BBB" w:rsidP="00545B53">
      <w:pPr>
        <w:spacing w:line="360" w:lineRule="auto"/>
        <w:ind w:firstLine="708"/>
        <w:jc w:val="both"/>
        <w:rPr>
          <w:rFonts w:cstheme="minorHAnsi"/>
          <w:sz w:val="24"/>
          <w:szCs w:val="24"/>
        </w:rPr>
      </w:pPr>
      <w:r w:rsidRPr="003A1191">
        <w:rPr>
          <w:rFonts w:cstheme="minorHAnsi"/>
          <w:sz w:val="24"/>
          <w:szCs w:val="24"/>
        </w:rPr>
        <w:t xml:space="preserve">En realidad, </w:t>
      </w:r>
      <w:r w:rsidR="00EB4CDB" w:rsidRPr="003A1191">
        <w:rPr>
          <w:rFonts w:cstheme="minorHAnsi"/>
          <w:sz w:val="24"/>
          <w:szCs w:val="24"/>
        </w:rPr>
        <w:t>era</w:t>
      </w:r>
      <w:r w:rsidRPr="003A1191">
        <w:rPr>
          <w:rFonts w:cstheme="minorHAnsi"/>
          <w:sz w:val="24"/>
          <w:szCs w:val="24"/>
        </w:rPr>
        <w:t xml:space="preserve"> una medida que refleja</w:t>
      </w:r>
      <w:r w:rsidR="00EB4CDB" w:rsidRPr="003A1191">
        <w:rPr>
          <w:rFonts w:cstheme="minorHAnsi"/>
          <w:sz w:val="24"/>
          <w:szCs w:val="24"/>
        </w:rPr>
        <w:t>ba</w:t>
      </w:r>
      <w:r w:rsidRPr="003A1191">
        <w:rPr>
          <w:rFonts w:cstheme="minorHAnsi"/>
          <w:sz w:val="24"/>
          <w:szCs w:val="24"/>
        </w:rPr>
        <w:t xml:space="preserve"> de una manera evidente cierto espíritu de resistencia </w:t>
      </w:r>
      <w:r w:rsidR="00C25911" w:rsidRPr="003A1191">
        <w:rPr>
          <w:rFonts w:cstheme="minorHAnsi"/>
          <w:sz w:val="24"/>
          <w:szCs w:val="24"/>
        </w:rPr>
        <w:t xml:space="preserve">de la sociedad francocanadiense hacia una identidad francófona que, por parte de muchos ciudadanos de Quebec, ser percibe en </w:t>
      </w:r>
      <w:r w:rsidR="00662658" w:rsidRPr="003A1191">
        <w:rPr>
          <w:rFonts w:cstheme="minorHAnsi"/>
          <w:sz w:val="24"/>
          <w:szCs w:val="24"/>
        </w:rPr>
        <w:t xml:space="preserve">constante </w:t>
      </w:r>
      <w:r w:rsidR="00C25911" w:rsidRPr="003A1191">
        <w:rPr>
          <w:rFonts w:cstheme="minorHAnsi"/>
          <w:sz w:val="24"/>
          <w:szCs w:val="24"/>
        </w:rPr>
        <w:t>peligro.</w:t>
      </w:r>
      <w:r w:rsidRPr="003A1191">
        <w:rPr>
          <w:rFonts w:cstheme="minorHAnsi"/>
          <w:sz w:val="24"/>
          <w:szCs w:val="24"/>
        </w:rPr>
        <w:t xml:space="preserve"> </w:t>
      </w:r>
      <w:r w:rsidR="00EB4CDB" w:rsidRPr="003A1191">
        <w:rPr>
          <w:rFonts w:cstheme="minorHAnsi"/>
          <w:sz w:val="24"/>
          <w:szCs w:val="24"/>
        </w:rPr>
        <w:t xml:space="preserve">Este sentimiento de amenaza se explica por dos motivos: el primero, por </w:t>
      </w:r>
      <w:r w:rsidR="007B2C94" w:rsidRPr="003A1191">
        <w:rPr>
          <w:rFonts w:cstheme="minorHAnsi"/>
          <w:sz w:val="24"/>
          <w:szCs w:val="24"/>
        </w:rPr>
        <w:t>el desafío</w:t>
      </w:r>
      <w:r w:rsidR="00EB4CDB" w:rsidRPr="003A1191">
        <w:rPr>
          <w:rFonts w:cstheme="minorHAnsi"/>
          <w:sz w:val="24"/>
          <w:szCs w:val="24"/>
        </w:rPr>
        <w:t xml:space="preserve"> que supone siempre la poderosa mayoría anglófona de gran parte de Norteamérica. No será fácil para la región francófona sustraerse del influjo estadounidense ni tampoco del resto del país. Y el segundo, porque gran parte de la identidad francófona actual vino tras la denominada Revolución Tranquila, un episodio </w:t>
      </w:r>
      <w:r w:rsidR="00215D56" w:rsidRPr="003A1191">
        <w:rPr>
          <w:rFonts w:cstheme="minorHAnsi"/>
          <w:sz w:val="24"/>
          <w:szCs w:val="24"/>
        </w:rPr>
        <w:t>clave en</w:t>
      </w:r>
      <w:r w:rsidR="00EB4CDB" w:rsidRPr="003A1191">
        <w:rPr>
          <w:rFonts w:cstheme="minorHAnsi"/>
          <w:sz w:val="24"/>
          <w:szCs w:val="24"/>
        </w:rPr>
        <w:t xml:space="preserve"> el devenir de la provincia de Quebec.</w:t>
      </w:r>
      <w:r w:rsidR="00A709F2" w:rsidRPr="003A1191">
        <w:rPr>
          <w:rFonts w:cstheme="minorHAnsi"/>
          <w:sz w:val="24"/>
          <w:szCs w:val="24"/>
        </w:rPr>
        <w:t xml:space="preserve"> Durante la Revolución Tranquila, llamada así por el carácter sosegado de las reivindicaciones sociales, pero con consecuencias firmes y profundas en el futuro de Quebec, la sociedad francocanadisese experimentó una acelerada secularización de todos los estamentos políticos y sociales, antes muy influenciados por la Iglesia católica.</w:t>
      </w:r>
      <w:r w:rsidR="00DE0149" w:rsidRPr="003A1191">
        <w:rPr>
          <w:rFonts w:cstheme="minorHAnsi"/>
          <w:sz w:val="24"/>
          <w:szCs w:val="24"/>
        </w:rPr>
        <w:t xml:space="preserve"> </w:t>
      </w:r>
      <w:r w:rsidR="00DE0149" w:rsidRPr="003A1191">
        <w:rPr>
          <w:rFonts w:cstheme="minorHAnsi"/>
          <w:sz w:val="24"/>
          <w:szCs w:val="24"/>
        </w:rPr>
        <w:lastRenderedPageBreak/>
        <w:t xml:space="preserve">Por eso </w:t>
      </w:r>
      <w:r w:rsidR="00A84D8C" w:rsidRPr="003A1191">
        <w:rPr>
          <w:rFonts w:cstheme="minorHAnsi"/>
          <w:sz w:val="24"/>
          <w:szCs w:val="24"/>
        </w:rPr>
        <w:t>ahora</w:t>
      </w:r>
      <w:r w:rsidR="00DE0149" w:rsidRPr="003A1191">
        <w:rPr>
          <w:rFonts w:cstheme="minorHAnsi"/>
          <w:sz w:val="24"/>
          <w:szCs w:val="24"/>
        </w:rPr>
        <w:t xml:space="preserve"> el laicismo, como traducción institucional de esa secularización de la </w:t>
      </w:r>
      <w:r w:rsidR="00A84D8C" w:rsidRPr="003A1191">
        <w:rPr>
          <w:rFonts w:cstheme="minorHAnsi"/>
          <w:sz w:val="24"/>
          <w:szCs w:val="24"/>
        </w:rPr>
        <w:t>sociedad</w:t>
      </w:r>
      <w:r w:rsidR="00DE0149" w:rsidRPr="003A1191">
        <w:rPr>
          <w:rFonts w:cstheme="minorHAnsi"/>
          <w:sz w:val="24"/>
          <w:szCs w:val="24"/>
        </w:rPr>
        <w:t xml:space="preserve"> quebequense, forma parte </w:t>
      </w:r>
      <w:r w:rsidR="00A84D8C" w:rsidRPr="003A1191">
        <w:rPr>
          <w:rFonts w:cstheme="minorHAnsi"/>
          <w:sz w:val="24"/>
          <w:szCs w:val="24"/>
        </w:rPr>
        <w:t xml:space="preserve">fundamental </w:t>
      </w:r>
      <w:r w:rsidR="00DE0149" w:rsidRPr="003A1191">
        <w:rPr>
          <w:rFonts w:cstheme="minorHAnsi"/>
          <w:sz w:val="24"/>
          <w:szCs w:val="24"/>
        </w:rPr>
        <w:t>de la identidad francófona</w:t>
      </w:r>
      <w:r w:rsidR="00A84D8C" w:rsidRPr="003A1191">
        <w:rPr>
          <w:rFonts w:cstheme="minorHAnsi"/>
          <w:sz w:val="24"/>
          <w:szCs w:val="24"/>
        </w:rPr>
        <w:t xml:space="preserve"> de Quebec</w:t>
      </w:r>
      <w:r w:rsidR="00DE0149" w:rsidRPr="003A1191">
        <w:rPr>
          <w:rFonts w:cstheme="minorHAnsi"/>
          <w:sz w:val="24"/>
          <w:szCs w:val="24"/>
        </w:rPr>
        <w:t xml:space="preserve">. </w:t>
      </w:r>
      <w:r w:rsidR="00A84D8C" w:rsidRPr="003A1191">
        <w:rPr>
          <w:rFonts w:cstheme="minorHAnsi"/>
          <w:sz w:val="24"/>
          <w:szCs w:val="24"/>
        </w:rPr>
        <w:t>De hecho, fue precisamente de mano de los partidos separatistas</w:t>
      </w:r>
      <w:r w:rsidR="00BA5943" w:rsidRPr="003A1191">
        <w:rPr>
          <w:rFonts w:cstheme="minorHAnsi"/>
          <w:sz w:val="24"/>
          <w:szCs w:val="24"/>
        </w:rPr>
        <w:t xml:space="preserve"> de donde surgió la iniciativa de promulgar una Carta de Valores con un acentuado carácter laicista. El Parti Québécois (PQ)</w:t>
      </w:r>
      <w:r w:rsidR="00870BF1" w:rsidRPr="003A1191">
        <w:rPr>
          <w:rFonts w:cstheme="minorHAnsi"/>
          <w:sz w:val="24"/>
          <w:szCs w:val="24"/>
        </w:rPr>
        <w:t xml:space="preserve"> fue quien propuso la creación de la Carta y quien insistió en que en ella </w:t>
      </w:r>
      <w:r w:rsidR="006232E6" w:rsidRPr="003A1191">
        <w:rPr>
          <w:rFonts w:cstheme="minorHAnsi"/>
          <w:sz w:val="24"/>
          <w:szCs w:val="24"/>
        </w:rPr>
        <w:t>figurara</w:t>
      </w:r>
      <w:r w:rsidR="00870BF1" w:rsidRPr="003A1191">
        <w:rPr>
          <w:rFonts w:cstheme="minorHAnsi"/>
          <w:sz w:val="24"/>
          <w:szCs w:val="24"/>
        </w:rPr>
        <w:t xml:space="preserve"> claramente </w:t>
      </w:r>
      <w:r w:rsidR="006232E6" w:rsidRPr="003A1191">
        <w:rPr>
          <w:rFonts w:cstheme="minorHAnsi"/>
          <w:sz w:val="24"/>
          <w:szCs w:val="24"/>
        </w:rPr>
        <w:t xml:space="preserve">la prohibición de que los funcionarios públicos </w:t>
      </w:r>
      <w:r w:rsidR="00051C3C" w:rsidRPr="003A1191">
        <w:rPr>
          <w:rFonts w:cstheme="minorHAnsi"/>
          <w:sz w:val="24"/>
          <w:szCs w:val="24"/>
        </w:rPr>
        <w:t xml:space="preserve">con funciones de coerción </w:t>
      </w:r>
      <w:r w:rsidR="006232E6" w:rsidRPr="003A1191">
        <w:rPr>
          <w:rFonts w:cstheme="minorHAnsi"/>
          <w:sz w:val="24"/>
          <w:szCs w:val="24"/>
        </w:rPr>
        <w:t>no pudieran portar símbolos religiosos de ningún tipo. Y a pesar de ser una medida juzgada por entonces muy polémica, cuenta en la actualidad con el apoyo de al menos un 60% de la sociedad quebequense</w:t>
      </w:r>
      <w:r w:rsidR="00BB5798" w:rsidRPr="003A1191">
        <w:rPr>
          <w:rFonts w:cstheme="minorHAnsi"/>
          <w:sz w:val="24"/>
          <w:szCs w:val="24"/>
        </w:rPr>
        <w:t>, lo que ha creado una importante fractura en la sociedad</w:t>
      </w:r>
      <w:r w:rsidR="006232E6" w:rsidRPr="003A1191">
        <w:rPr>
          <w:rStyle w:val="Refdenotaalpie"/>
          <w:rFonts w:cstheme="minorHAnsi"/>
          <w:sz w:val="24"/>
          <w:szCs w:val="24"/>
        </w:rPr>
        <w:footnoteReference w:id="13"/>
      </w:r>
      <w:r w:rsidR="006232E6" w:rsidRPr="003A1191">
        <w:rPr>
          <w:rFonts w:cstheme="minorHAnsi"/>
          <w:sz w:val="24"/>
          <w:szCs w:val="24"/>
        </w:rPr>
        <w:t>.</w:t>
      </w:r>
      <w:r w:rsidR="001D1D4D" w:rsidRPr="003A1191">
        <w:rPr>
          <w:rFonts w:cstheme="minorHAnsi"/>
          <w:sz w:val="24"/>
          <w:szCs w:val="24"/>
        </w:rPr>
        <w:t xml:space="preserve"> No </w:t>
      </w:r>
      <w:r w:rsidR="00BB5798" w:rsidRPr="003A1191">
        <w:rPr>
          <w:rFonts w:cstheme="minorHAnsi"/>
          <w:sz w:val="24"/>
          <w:szCs w:val="24"/>
        </w:rPr>
        <w:t>en vano</w:t>
      </w:r>
      <w:r w:rsidR="001D1D4D" w:rsidRPr="003A1191">
        <w:rPr>
          <w:rFonts w:cstheme="minorHAnsi"/>
          <w:sz w:val="24"/>
          <w:szCs w:val="24"/>
        </w:rPr>
        <w:t xml:space="preserve">, la propuesta provocó un amplio debate y, entre otras cosas, se acusó al PQ de traer </w:t>
      </w:r>
      <w:r w:rsidR="00BB5798" w:rsidRPr="003A1191">
        <w:rPr>
          <w:rFonts w:cstheme="minorHAnsi"/>
          <w:sz w:val="24"/>
          <w:szCs w:val="24"/>
        </w:rPr>
        <w:t xml:space="preserve">de nuevo </w:t>
      </w:r>
      <w:r w:rsidR="001D1D4D" w:rsidRPr="003A1191">
        <w:rPr>
          <w:rFonts w:cstheme="minorHAnsi"/>
          <w:sz w:val="24"/>
          <w:szCs w:val="24"/>
        </w:rPr>
        <w:t xml:space="preserve">a colación el debate identitario y el problema de los símbolos religiosos para ayudarles a subir en las encuestas. </w:t>
      </w:r>
      <w:r w:rsidR="00BB5798" w:rsidRPr="003A1191">
        <w:rPr>
          <w:rFonts w:cstheme="minorHAnsi"/>
          <w:sz w:val="24"/>
          <w:szCs w:val="24"/>
        </w:rPr>
        <w:t xml:space="preserve">Charles Taylor, por su parte, culpó al PQ de demagogia y de utilizar el miedo a la diversidad étnica para recortar derechos a costa de un importante sector de la población. </w:t>
      </w:r>
      <w:r w:rsidR="00BC4456" w:rsidRPr="003A1191">
        <w:rPr>
          <w:rFonts w:cstheme="minorHAnsi"/>
          <w:sz w:val="24"/>
          <w:szCs w:val="24"/>
        </w:rPr>
        <w:t>Siguió</w:t>
      </w:r>
      <w:r w:rsidR="00BB5798" w:rsidRPr="003A1191">
        <w:rPr>
          <w:rFonts w:cstheme="minorHAnsi"/>
          <w:sz w:val="24"/>
          <w:szCs w:val="24"/>
        </w:rPr>
        <w:t xml:space="preserve"> </w:t>
      </w:r>
      <w:r w:rsidR="00BC4456" w:rsidRPr="003A1191">
        <w:rPr>
          <w:rFonts w:cstheme="minorHAnsi"/>
          <w:sz w:val="24"/>
          <w:szCs w:val="24"/>
        </w:rPr>
        <w:t>insistiendo</w:t>
      </w:r>
      <w:r w:rsidR="00BB5798" w:rsidRPr="003A1191">
        <w:rPr>
          <w:rFonts w:cstheme="minorHAnsi"/>
          <w:sz w:val="24"/>
          <w:szCs w:val="24"/>
        </w:rPr>
        <w:t xml:space="preserve"> </w:t>
      </w:r>
      <w:r w:rsidR="00BC4456" w:rsidRPr="003A1191">
        <w:rPr>
          <w:rFonts w:cstheme="minorHAnsi"/>
          <w:sz w:val="24"/>
          <w:szCs w:val="24"/>
        </w:rPr>
        <w:t>en</w:t>
      </w:r>
      <w:r w:rsidR="00BB5798" w:rsidRPr="003A1191">
        <w:rPr>
          <w:rFonts w:cstheme="minorHAnsi"/>
          <w:sz w:val="24"/>
          <w:szCs w:val="24"/>
        </w:rPr>
        <w:t xml:space="preserve"> sus declaraciones que la neutralidad del </w:t>
      </w:r>
      <w:r w:rsidR="00BC4456" w:rsidRPr="003A1191">
        <w:rPr>
          <w:rFonts w:cstheme="minorHAnsi"/>
          <w:sz w:val="24"/>
          <w:szCs w:val="24"/>
        </w:rPr>
        <w:t>E</w:t>
      </w:r>
      <w:r w:rsidR="00BB5798" w:rsidRPr="003A1191">
        <w:rPr>
          <w:rFonts w:cstheme="minorHAnsi"/>
          <w:sz w:val="24"/>
          <w:szCs w:val="24"/>
        </w:rPr>
        <w:t xml:space="preserve">stado debe proyectarse a través de sus instituciones, y no de sus agentes, y que, </w:t>
      </w:r>
      <w:r w:rsidR="00BC4456" w:rsidRPr="003A1191">
        <w:rPr>
          <w:rFonts w:cstheme="minorHAnsi"/>
          <w:sz w:val="24"/>
          <w:szCs w:val="24"/>
        </w:rPr>
        <w:t>en su opinión</w:t>
      </w:r>
      <w:r w:rsidR="00BB5798" w:rsidRPr="003A1191">
        <w:rPr>
          <w:rFonts w:cstheme="minorHAnsi"/>
          <w:sz w:val="24"/>
          <w:szCs w:val="24"/>
        </w:rPr>
        <w:t xml:space="preserve">, al prohibir determinadas vestimentas religiosas como </w:t>
      </w:r>
      <w:r w:rsidR="00BC4456" w:rsidRPr="003A1191">
        <w:rPr>
          <w:rFonts w:cstheme="minorHAnsi"/>
          <w:sz w:val="24"/>
          <w:szCs w:val="24"/>
        </w:rPr>
        <w:t>el turbante</w:t>
      </w:r>
      <w:r w:rsidR="00BB5798" w:rsidRPr="003A1191">
        <w:rPr>
          <w:rFonts w:cstheme="minorHAnsi"/>
          <w:sz w:val="24"/>
          <w:szCs w:val="24"/>
        </w:rPr>
        <w:t xml:space="preserve">, kipá o velo, </w:t>
      </w:r>
      <w:r w:rsidR="00BC4456" w:rsidRPr="003A1191">
        <w:rPr>
          <w:rFonts w:cstheme="minorHAnsi"/>
          <w:sz w:val="24"/>
          <w:szCs w:val="24"/>
        </w:rPr>
        <w:t>lo único que el PQ conseguía era retratarse como un partido que pretende alcanzar el poder a costa de discriminar a muchos ciudadanos</w:t>
      </w:r>
      <w:r w:rsidR="00BC4456" w:rsidRPr="003A1191">
        <w:rPr>
          <w:rStyle w:val="Refdenotaalpie"/>
          <w:rFonts w:cstheme="minorHAnsi"/>
          <w:sz w:val="24"/>
          <w:szCs w:val="24"/>
        </w:rPr>
        <w:footnoteReference w:id="14"/>
      </w:r>
      <w:r w:rsidR="00BC4456" w:rsidRPr="003A1191">
        <w:rPr>
          <w:rFonts w:cstheme="minorHAnsi"/>
          <w:sz w:val="24"/>
          <w:szCs w:val="24"/>
        </w:rPr>
        <w:t xml:space="preserve">. </w:t>
      </w:r>
      <w:r w:rsidR="00BB5798" w:rsidRPr="003A1191">
        <w:rPr>
          <w:rFonts w:cstheme="minorHAnsi"/>
          <w:sz w:val="24"/>
          <w:szCs w:val="24"/>
        </w:rPr>
        <w:t xml:space="preserve">  </w:t>
      </w:r>
    </w:p>
    <w:p w14:paraId="15FFC042" w14:textId="09969023" w:rsidR="00D15712" w:rsidRPr="003A1191" w:rsidRDefault="00D15712" w:rsidP="00545B53">
      <w:pPr>
        <w:spacing w:line="360" w:lineRule="auto"/>
        <w:ind w:firstLine="708"/>
        <w:jc w:val="both"/>
        <w:rPr>
          <w:rFonts w:cstheme="minorHAnsi"/>
          <w:sz w:val="24"/>
          <w:szCs w:val="24"/>
        </w:rPr>
      </w:pPr>
      <w:r w:rsidRPr="003A1191">
        <w:rPr>
          <w:rFonts w:cstheme="minorHAnsi"/>
          <w:sz w:val="24"/>
          <w:szCs w:val="24"/>
        </w:rPr>
        <w:t>Para Taylor la medida adoptada en el informe creaba una falsa dicotomía que al final tendría consecuencias sociales negativas para la diversidad étnica, sobre todo musulmana y de origen inmigrante.</w:t>
      </w:r>
      <w:r w:rsidR="00AA6043" w:rsidRPr="003A1191">
        <w:rPr>
          <w:rFonts w:cstheme="minorHAnsi"/>
          <w:sz w:val="24"/>
          <w:szCs w:val="24"/>
        </w:rPr>
        <w:t xml:space="preserve"> En el </w:t>
      </w:r>
      <w:r w:rsidR="00FE5AE8" w:rsidRPr="003A1191">
        <w:rPr>
          <w:rFonts w:cstheme="minorHAnsi"/>
          <w:sz w:val="24"/>
          <w:szCs w:val="24"/>
        </w:rPr>
        <w:t>informe</w:t>
      </w:r>
      <w:r w:rsidR="00AA6043" w:rsidRPr="003A1191">
        <w:rPr>
          <w:rFonts w:cstheme="minorHAnsi"/>
          <w:sz w:val="24"/>
          <w:szCs w:val="24"/>
        </w:rPr>
        <w:t xml:space="preserve"> se diferenciaba entre funcionarios públicos con funciones de coerción –jueces, policías y funcionarios de prisiones- y el resto de funcionarios </w:t>
      </w:r>
      <w:r w:rsidR="00FE5AE8" w:rsidRPr="003A1191">
        <w:rPr>
          <w:rFonts w:cstheme="minorHAnsi"/>
          <w:sz w:val="24"/>
          <w:szCs w:val="24"/>
        </w:rPr>
        <w:t>públicos</w:t>
      </w:r>
      <w:r w:rsidR="00AA6043" w:rsidRPr="003A1191">
        <w:rPr>
          <w:rFonts w:cstheme="minorHAnsi"/>
          <w:sz w:val="24"/>
          <w:szCs w:val="24"/>
        </w:rPr>
        <w:t xml:space="preserve"> del Estado –salud</w:t>
      </w:r>
      <w:r w:rsidR="00932CAA" w:rsidRPr="003A1191">
        <w:rPr>
          <w:rFonts w:cstheme="minorHAnsi"/>
          <w:sz w:val="24"/>
          <w:szCs w:val="24"/>
        </w:rPr>
        <w:t>,</w:t>
      </w:r>
      <w:r w:rsidR="00AA6043" w:rsidRPr="003A1191">
        <w:rPr>
          <w:rFonts w:cstheme="minorHAnsi"/>
          <w:sz w:val="24"/>
          <w:szCs w:val="24"/>
        </w:rPr>
        <w:t xml:space="preserve"> educación, administración, </w:t>
      </w:r>
      <w:r w:rsidR="00FE5AE8" w:rsidRPr="003A1191">
        <w:rPr>
          <w:rFonts w:cstheme="minorHAnsi"/>
          <w:sz w:val="24"/>
          <w:szCs w:val="24"/>
        </w:rPr>
        <w:t>etc.</w:t>
      </w:r>
      <w:r w:rsidR="00AA6043" w:rsidRPr="003A1191">
        <w:rPr>
          <w:rFonts w:cstheme="minorHAnsi"/>
          <w:sz w:val="24"/>
          <w:szCs w:val="24"/>
        </w:rPr>
        <w:t>-.</w:t>
      </w:r>
      <w:r w:rsidR="00932CAA" w:rsidRPr="003A1191">
        <w:rPr>
          <w:rFonts w:cstheme="minorHAnsi"/>
          <w:sz w:val="24"/>
          <w:szCs w:val="24"/>
        </w:rPr>
        <w:t xml:space="preserve"> Tal distinción, según Taylor, no tuvo el efecto deseado y con el tiempo las funciones de coerción que distinguían a los funcionarios a los que se debía restringir el uso de símbolos religiosos fue siendo sustituido por un vago concepto de “autoridad” que comenzó a englobar a cualquier tipo de </w:t>
      </w:r>
      <w:r w:rsidR="00ED2487" w:rsidRPr="003A1191">
        <w:rPr>
          <w:rFonts w:cstheme="minorHAnsi"/>
          <w:sz w:val="24"/>
          <w:szCs w:val="24"/>
        </w:rPr>
        <w:t>trabajador púb</w:t>
      </w:r>
      <w:r w:rsidR="00136432" w:rsidRPr="003A1191">
        <w:rPr>
          <w:rFonts w:cstheme="minorHAnsi"/>
          <w:sz w:val="24"/>
          <w:szCs w:val="24"/>
        </w:rPr>
        <w:t>l</w:t>
      </w:r>
      <w:r w:rsidR="00ED2487" w:rsidRPr="003A1191">
        <w:rPr>
          <w:rFonts w:cstheme="minorHAnsi"/>
          <w:sz w:val="24"/>
          <w:szCs w:val="24"/>
        </w:rPr>
        <w:t>ico</w:t>
      </w:r>
      <w:r w:rsidR="00932CAA" w:rsidRPr="003A1191">
        <w:rPr>
          <w:rFonts w:cstheme="minorHAnsi"/>
          <w:sz w:val="24"/>
          <w:szCs w:val="24"/>
        </w:rPr>
        <w:t xml:space="preserve"> que tuviera a su cargo</w:t>
      </w:r>
      <w:r w:rsidR="006B5D37" w:rsidRPr="003A1191">
        <w:rPr>
          <w:rFonts w:cstheme="minorHAnsi"/>
          <w:sz w:val="24"/>
          <w:szCs w:val="24"/>
        </w:rPr>
        <w:t xml:space="preserve"> a algún </w:t>
      </w:r>
      <w:r w:rsidR="006B5D37" w:rsidRPr="003A1191">
        <w:rPr>
          <w:rFonts w:cstheme="minorHAnsi"/>
          <w:sz w:val="24"/>
          <w:szCs w:val="24"/>
        </w:rPr>
        <w:lastRenderedPageBreak/>
        <w:t>sector social, como los maestros o educadores.</w:t>
      </w:r>
      <w:r w:rsidR="002066E6" w:rsidRPr="003A1191">
        <w:rPr>
          <w:rFonts w:cstheme="minorHAnsi"/>
          <w:sz w:val="24"/>
          <w:szCs w:val="24"/>
        </w:rPr>
        <w:t xml:space="preserve"> Pero lo realmente preocupante para Taylor fueron las consecuencias sociales de dicha distinción. </w:t>
      </w:r>
      <w:r w:rsidR="00156864" w:rsidRPr="003A1191">
        <w:rPr>
          <w:rFonts w:cstheme="minorHAnsi"/>
          <w:sz w:val="24"/>
          <w:szCs w:val="24"/>
        </w:rPr>
        <w:t>Tras la aprobación de la Carta de Val</w:t>
      </w:r>
      <w:r w:rsidR="000479EB" w:rsidRPr="003A1191">
        <w:rPr>
          <w:rFonts w:cstheme="minorHAnsi"/>
          <w:sz w:val="24"/>
          <w:szCs w:val="24"/>
        </w:rPr>
        <w:t xml:space="preserve">ores, se observó que en Quebec </w:t>
      </w:r>
      <w:r w:rsidR="00156864" w:rsidRPr="003A1191">
        <w:rPr>
          <w:rFonts w:cstheme="minorHAnsi"/>
          <w:sz w:val="24"/>
          <w:szCs w:val="24"/>
        </w:rPr>
        <w:t>aumentaron los casos de agresión contra algunos individuos de grupos étnicos minoritarios</w:t>
      </w:r>
      <w:r w:rsidR="00156864" w:rsidRPr="003A1191">
        <w:rPr>
          <w:rStyle w:val="Refdenotaalpie"/>
          <w:rFonts w:cstheme="minorHAnsi"/>
          <w:sz w:val="24"/>
          <w:szCs w:val="24"/>
        </w:rPr>
        <w:footnoteReference w:id="15"/>
      </w:r>
      <w:r w:rsidR="00156864" w:rsidRPr="003A1191">
        <w:rPr>
          <w:rFonts w:cstheme="minorHAnsi"/>
          <w:sz w:val="24"/>
          <w:szCs w:val="24"/>
        </w:rPr>
        <w:t>.</w:t>
      </w:r>
      <w:r w:rsidR="000479EB" w:rsidRPr="003A1191">
        <w:rPr>
          <w:rFonts w:cstheme="minorHAnsi"/>
          <w:sz w:val="24"/>
          <w:szCs w:val="24"/>
        </w:rPr>
        <w:t xml:space="preserve"> La razón de este aumento de las agresiones contra la diversidad étnica fue que la prohibición del uso de símbolos religiosos a algunos funcionarios fue estigmatizando poco a poco a todos </w:t>
      </w:r>
      <w:r w:rsidR="00051C3C" w:rsidRPr="003A1191">
        <w:rPr>
          <w:rFonts w:cstheme="minorHAnsi"/>
          <w:sz w:val="24"/>
          <w:szCs w:val="24"/>
        </w:rPr>
        <w:t>a aquellos individuos que portaran</w:t>
      </w:r>
      <w:r w:rsidR="000479EB" w:rsidRPr="003A1191">
        <w:rPr>
          <w:rFonts w:cstheme="minorHAnsi"/>
          <w:sz w:val="24"/>
          <w:szCs w:val="24"/>
        </w:rPr>
        <w:t xml:space="preserve"> signos religiosos de una manera más evidente, como son los </w:t>
      </w:r>
      <w:r w:rsidR="00D43966" w:rsidRPr="003A1191">
        <w:rPr>
          <w:rFonts w:cstheme="minorHAnsi"/>
          <w:sz w:val="24"/>
          <w:szCs w:val="24"/>
        </w:rPr>
        <w:t>miembros</w:t>
      </w:r>
      <w:r w:rsidR="000479EB" w:rsidRPr="003A1191">
        <w:rPr>
          <w:rFonts w:cstheme="minorHAnsi"/>
          <w:sz w:val="24"/>
          <w:szCs w:val="24"/>
        </w:rPr>
        <w:t xml:space="preserve"> de la comunidad musulmana, y sobre todo mujeres. Para Taylor, las muestras de rechazo y agresión contra estos individuos formaban parte de un</w:t>
      </w:r>
      <w:r w:rsidR="00BB7971" w:rsidRPr="003A1191">
        <w:rPr>
          <w:rFonts w:cstheme="minorHAnsi"/>
          <w:sz w:val="24"/>
          <w:szCs w:val="24"/>
        </w:rPr>
        <w:t>a</w:t>
      </w:r>
      <w:r w:rsidR="000479EB" w:rsidRPr="003A1191">
        <w:rPr>
          <w:rFonts w:cstheme="minorHAnsi"/>
          <w:sz w:val="24"/>
          <w:szCs w:val="24"/>
        </w:rPr>
        <w:t xml:space="preserve"> </w:t>
      </w:r>
      <w:r w:rsidR="00BB7971" w:rsidRPr="003A1191">
        <w:rPr>
          <w:rFonts w:cstheme="minorHAnsi"/>
          <w:sz w:val="24"/>
          <w:szCs w:val="24"/>
        </w:rPr>
        <w:t>hostilidad</w:t>
      </w:r>
      <w:r w:rsidR="000479EB" w:rsidRPr="003A1191">
        <w:rPr>
          <w:rFonts w:cstheme="minorHAnsi"/>
          <w:sz w:val="24"/>
          <w:szCs w:val="24"/>
        </w:rPr>
        <w:t xml:space="preserve"> </w:t>
      </w:r>
      <w:r w:rsidR="00D43966" w:rsidRPr="003A1191">
        <w:rPr>
          <w:rFonts w:cstheme="minorHAnsi"/>
          <w:sz w:val="24"/>
          <w:szCs w:val="24"/>
        </w:rPr>
        <w:t>contenid</w:t>
      </w:r>
      <w:r w:rsidR="00BB7971" w:rsidRPr="003A1191">
        <w:rPr>
          <w:rFonts w:cstheme="minorHAnsi"/>
          <w:sz w:val="24"/>
          <w:szCs w:val="24"/>
        </w:rPr>
        <w:t>a</w:t>
      </w:r>
      <w:r w:rsidR="000479EB" w:rsidRPr="003A1191">
        <w:rPr>
          <w:rFonts w:cstheme="minorHAnsi"/>
          <w:sz w:val="24"/>
          <w:szCs w:val="24"/>
        </w:rPr>
        <w:t xml:space="preserve"> que, con el debate de la Carta de Valores y su aprobación final, fue finalmente liberad</w:t>
      </w:r>
      <w:r w:rsidR="00BB7971" w:rsidRPr="003A1191">
        <w:rPr>
          <w:rFonts w:cstheme="minorHAnsi"/>
          <w:sz w:val="24"/>
          <w:szCs w:val="24"/>
        </w:rPr>
        <w:t>a</w:t>
      </w:r>
      <w:r w:rsidR="000479EB" w:rsidRPr="003A1191">
        <w:rPr>
          <w:rFonts w:cstheme="minorHAnsi"/>
          <w:sz w:val="24"/>
          <w:szCs w:val="24"/>
        </w:rPr>
        <w:t xml:space="preserve">. La prohibición, por tanto, tuvo un efecto </w:t>
      </w:r>
      <w:r w:rsidR="00BB7971" w:rsidRPr="003A1191">
        <w:rPr>
          <w:rFonts w:cstheme="minorHAnsi"/>
          <w:sz w:val="24"/>
          <w:szCs w:val="24"/>
        </w:rPr>
        <w:t>des</w:t>
      </w:r>
      <w:r w:rsidR="000479EB" w:rsidRPr="003A1191">
        <w:rPr>
          <w:rFonts w:cstheme="minorHAnsi"/>
          <w:sz w:val="24"/>
          <w:szCs w:val="24"/>
        </w:rPr>
        <w:t>inhi</w:t>
      </w:r>
      <w:r w:rsidR="00421DB0" w:rsidRPr="003A1191">
        <w:rPr>
          <w:rFonts w:cstheme="minorHAnsi"/>
          <w:sz w:val="24"/>
          <w:szCs w:val="24"/>
        </w:rPr>
        <w:t xml:space="preserve">bidor </w:t>
      </w:r>
      <w:r w:rsidR="000479EB" w:rsidRPr="003A1191">
        <w:rPr>
          <w:rFonts w:cstheme="minorHAnsi"/>
          <w:sz w:val="24"/>
          <w:szCs w:val="24"/>
        </w:rPr>
        <w:t xml:space="preserve">en todas aquellas personas que ya sentían un profundo rechazo contra las minorías étnicas, pero que </w:t>
      </w:r>
      <w:r w:rsidR="00D43966" w:rsidRPr="003A1191">
        <w:rPr>
          <w:rFonts w:cstheme="minorHAnsi"/>
          <w:sz w:val="24"/>
          <w:szCs w:val="24"/>
        </w:rPr>
        <w:t>aún</w:t>
      </w:r>
      <w:r w:rsidR="000479EB" w:rsidRPr="003A1191">
        <w:rPr>
          <w:rFonts w:cstheme="minorHAnsi"/>
          <w:sz w:val="24"/>
          <w:szCs w:val="24"/>
        </w:rPr>
        <w:t xml:space="preserve"> no se atrevían a expresar por miedo a ser increpados socialmente</w:t>
      </w:r>
      <w:r w:rsidR="004354B3">
        <w:rPr>
          <w:rFonts w:cstheme="minorHAnsi"/>
          <w:sz w:val="24"/>
          <w:szCs w:val="24"/>
        </w:rPr>
        <w:t xml:space="preserve"> en un país en el que prácticamente se ha inventado el multiculturalismo</w:t>
      </w:r>
      <w:r w:rsidR="000479EB" w:rsidRPr="003A1191">
        <w:rPr>
          <w:rFonts w:cstheme="minorHAnsi"/>
          <w:sz w:val="24"/>
          <w:szCs w:val="24"/>
        </w:rPr>
        <w:t>.</w:t>
      </w:r>
    </w:p>
    <w:p w14:paraId="3E4C3EDC" w14:textId="4593AEA9" w:rsidR="00421DB0" w:rsidRPr="003A1191" w:rsidRDefault="00421DB0" w:rsidP="00545B53">
      <w:pPr>
        <w:spacing w:line="360" w:lineRule="auto"/>
        <w:ind w:firstLine="708"/>
        <w:jc w:val="both"/>
        <w:rPr>
          <w:rFonts w:cstheme="minorHAnsi"/>
          <w:sz w:val="24"/>
          <w:szCs w:val="24"/>
        </w:rPr>
      </w:pPr>
      <w:r w:rsidRPr="003A1191">
        <w:rPr>
          <w:rFonts w:cstheme="minorHAnsi"/>
          <w:sz w:val="24"/>
          <w:szCs w:val="24"/>
        </w:rPr>
        <w:t xml:space="preserve">En realidad, la opinión de Taylor no es nueva. Ya en un libro posterior a la elaboración del </w:t>
      </w:r>
      <w:r w:rsidRPr="003A1191">
        <w:rPr>
          <w:rFonts w:cstheme="minorHAnsi"/>
          <w:i/>
          <w:sz w:val="24"/>
          <w:szCs w:val="24"/>
        </w:rPr>
        <w:t>Rapport</w:t>
      </w:r>
      <w:r w:rsidRPr="003A1191">
        <w:rPr>
          <w:rFonts w:cstheme="minorHAnsi"/>
          <w:sz w:val="24"/>
          <w:szCs w:val="24"/>
        </w:rPr>
        <w:t xml:space="preserve">, junto con su también </w:t>
      </w:r>
      <w:r w:rsidR="00CE28D0" w:rsidRPr="003A1191">
        <w:rPr>
          <w:rFonts w:cstheme="minorHAnsi"/>
          <w:sz w:val="24"/>
          <w:szCs w:val="24"/>
        </w:rPr>
        <w:t>colaborador</w:t>
      </w:r>
      <w:r w:rsidRPr="003A1191">
        <w:rPr>
          <w:rFonts w:cstheme="minorHAnsi"/>
          <w:sz w:val="24"/>
          <w:szCs w:val="24"/>
        </w:rPr>
        <w:t xml:space="preserve"> en la redacción</w:t>
      </w:r>
      <w:r w:rsidR="00101246" w:rsidRPr="003A1191">
        <w:rPr>
          <w:rStyle w:val="Refdenotaalpie"/>
          <w:rFonts w:cstheme="minorHAnsi"/>
          <w:sz w:val="24"/>
          <w:szCs w:val="24"/>
        </w:rPr>
        <w:footnoteReference w:id="16"/>
      </w:r>
      <w:r w:rsidRPr="003A1191">
        <w:rPr>
          <w:rFonts w:cstheme="minorHAnsi"/>
          <w:sz w:val="24"/>
          <w:szCs w:val="24"/>
        </w:rPr>
        <w:t xml:space="preserve">, Jocelyn Maclure </w:t>
      </w:r>
      <w:sdt>
        <w:sdtPr>
          <w:rPr>
            <w:rFonts w:cstheme="minorHAnsi"/>
            <w:sz w:val="24"/>
            <w:szCs w:val="24"/>
          </w:rPr>
          <w:id w:val="643170591"/>
          <w:citation/>
        </w:sdtPr>
        <w:sdtEndPr/>
        <w:sdtContent>
          <w:r w:rsidRPr="003A1191">
            <w:rPr>
              <w:rFonts w:cstheme="minorHAnsi"/>
              <w:sz w:val="24"/>
              <w:szCs w:val="24"/>
            </w:rPr>
            <w:fldChar w:fldCharType="begin"/>
          </w:r>
          <w:r w:rsidRPr="003A1191">
            <w:rPr>
              <w:rFonts w:cstheme="minorHAnsi"/>
              <w:sz w:val="24"/>
              <w:szCs w:val="24"/>
            </w:rPr>
            <w:instrText xml:space="preserve"> CITATION Mac11 \l 3082 </w:instrText>
          </w:r>
          <w:r w:rsidRPr="003A1191">
            <w:rPr>
              <w:rFonts w:cstheme="minorHAnsi"/>
              <w:sz w:val="24"/>
              <w:szCs w:val="24"/>
            </w:rPr>
            <w:fldChar w:fldCharType="separate"/>
          </w:r>
          <w:r w:rsidRPr="003A1191">
            <w:rPr>
              <w:rFonts w:cstheme="minorHAnsi"/>
              <w:noProof/>
              <w:sz w:val="24"/>
              <w:szCs w:val="24"/>
            </w:rPr>
            <w:t>(Maclure &amp; Taylor, 2011)</w:t>
          </w:r>
          <w:r w:rsidRPr="003A1191">
            <w:rPr>
              <w:rFonts w:cstheme="minorHAnsi"/>
              <w:sz w:val="24"/>
              <w:szCs w:val="24"/>
            </w:rPr>
            <w:fldChar w:fldCharType="end"/>
          </w:r>
        </w:sdtContent>
      </w:sdt>
      <w:r w:rsidR="00E83F64" w:rsidRPr="003A1191">
        <w:rPr>
          <w:rFonts w:cstheme="minorHAnsi"/>
          <w:sz w:val="24"/>
          <w:szCs w:val="24"/>
        </w:rPr>
        <w:t xml:space="preserve">, pudo explayarse en todos aquellos puntos sobre el concepto de la laicidad </w:t>
      </w:r>
      <w:r w:rsidR="00CE28D0" w:rsidRPr="003A1191">
        <w:rPr>
          <w:rFonts w:cstheme="minorHAnsi"/>
          <w:sz w:val="24"/>
          <w:szCs w:val="24"/>
        </w:rPr>
        <w:t xml:space="preserve">abierta </w:t>
      </w:r>
      <w:r w:rsidR="00E83F64" w:rsidRPr="003A1191">
        <w:rPr>
          <w:rFonts w:cstheme="minorHAnsi"/>
          <w:sz w:val="24"/>
          <w:szCs w:val="24"/>
        </w:rPr>
        <w:t xml:space="preserve">que no había podido desarrollar como él hubiera querido. </w:t>
      </w:r>
      <w:r w:rsidR="00233DC8" w:rsidRPr="003A1191">
        <w:rPr>
          <w:rFonts w:cstheme="minorHAnsi"/>
          <w:sz w:val="24"/>
          <w:szCs w:val="24"/>
        </w:rPr>
        <w:t>Para ambos autores, la prohibición del uso de símbolos religiosos s</w:t>
      </w:r>
      <w:r w:rsidR="00205B01" w:rsidRPr="003A1191">
        <w:rPr>
          <w:rFonts w:cstheme="minorHAnsi"/>
          <w:sz w:val="24"/>
          <w:szCs w:val="24"/>
        </w:rPr>
        <w:t xml:space="preserve">obre </w:t>
      </w:r>
      <w:r w:rsidR="00233DC8" w:rsidRPr="003A1191">
        <w:rPr>
          <w:rFonts w:cstheme="minorHAnsi"/>
          <w:sz w:val="24"/>
          <w:szCs w:val="24"/>
        </w:rPr>
        <w:t xml:space="preserve">los funcionarios públicos afectaba al equilibrio que un Estado liberal y pluralista debe mantener entre, por un lado, una protección amplia al derecho a la libertad religiosa y, por otro, la defensa de la igualdad de todos sus ciudadanos </w:t>
      </w:r>
      <w:sdt>
        <w:sdtPr>
          <w:rPr>
            <w:rFonts w:cstheme="minorHAnsi"/>
            <w:sz w:val="24"/>
            <w:szCs w:val="24"/>
          </w:rPr>
          <w:id w:val="1282454617"/>
          <w:citation/>
        </w:sdtPr>
        <w:sdtEndPr/>
        <w:sdtContent>
          <w:r w:rsidR="00233DC8" w:rsidRPr="003A1191">
            <w:rPr>
              <w:rFonts w:cstheme="minorHAnsi"/>
              <w:sz w:val="24"/>
              <w:szCs w:val="24"/>
            </w:rPr>
            <w:fldChar w:fldCharType="begin"/>
          </w:r>
          <w:r w:rsidR="00233DC8" w:rsidRPr="003A1191">
            <w:rPr>
              <w:rFonts w:cstheme="minorHAnsi"/>
              <w:sz w:val="24"/>
              <w:szCs w:val="24"/>
            </w:rPr>
            <w:instrText xml:space="preserve">CITATION Mac11 \p 61 \l 3082 </w:instrText>
          </w:r>
          <w:r w:rsidR="00233DC8" w:rsidRPr="003A1191">
            <w:rPr>
              <w:rFonts w:cstheme="minorHAnsi"/>
              <w:sz w:val="24"/>
              <w:szCs w:val="24"/>
            </w:rPr>
            <w:fldChar w:fldCharType="separate"/>
          </w:r>
          <w:r w:rsidR="00233DC8" w:rsidRPr="003A1191">
            <w:rPr>
              <w:rFonts w:cstheme="minorHAnsi"/>
              <w:noProof/>
              <w:sz w:val="24"/>
              <w:szCs w:val="24"/>
            </w:rPr>
            <w:t>(Maclure &amp; Taylor, 2011, p. 61)</w:t>
          </w:r>
          <w:r w:rsidR="00233DC8" w:rsidRPr="003A1191">
            <w:rPr>
              <w:rFonts w:cstheme="minorHAnsi"/>
              <w:sz w:val="24"/>
              <w:szCs w:val="24"/>
            </w:rPr>
            <w:fldChar w:fldCharType="end"/>
          </w:r>
        </w:sdtContent>
      </w:sdt>
      <w:r w:rsidR="00233DC8" w:rsidRPr="003A1191">
        <w:rPr>
          <w:rFonts w:cstheme="minorHAnsi"/>
          <w:sz w:val="24"/>
          <w:szCs w:val="24"/>
        </w:rPr>
        <w:t xml:space="preserve">. </w:t>
      </w:r>
      <w:r w:rsidR="00441875" w:rsidRPr="003A1191">
        <w:rPr>
          <w:rFonts w:cstheme="minorHAnsi"/>
          <w:sz w:val="24"/>
          <w:szCs w:val="24"/>
        </w:rPr>
        <w:t xml:space="preserve">Para ambos autores, aunque la apariencia de neutralidad tenga cierta justificación </w:t>
      </w:r>
      <w:r w:rsidR="00441875" w:rsidRPr="003A1191">
        <w:rPr>
          <w:rFonts w:cstheme="minorHAnsi"/>
          <w:i/>
          <w:sz w:val="24"/>
          <w:szCs w:val="24"/>
        </w:rPr>
        <w:t>a priori</w:t>
      </w:r>
      <w:r w:rsidR="00441875" w:rsidRPr="003A1191">
        <w:rPr>
          <w:rFonts w:cstheme="minorHAnsi"/>
          <w:sz w:val="24"/>
          <w:szCs w:val="24"/>
        </w:rPr>
        <w:t xml:space="preserve">, </w:t>
      </w:r>
      <w:r w:rsidR="00104820" w:rsidRPr="003A1191">
        <w:rPr>
          <w:rFonts w:cstheme="minorHAnsi"/>
          <w:sz w:val="24"/>
          <w:szCs w:val="24"/>
        </w:rPr>
        <w:t xml:space="preserve">somete a un sector de la población a unas exigencias que a menudo pueden llegar a ser inasumibles: se les restringe de una manera expresa una parte </w:t>
      </w:r>
      <w:r w:rsidR="00BB1CC8" w:rsidRPr="003A1191">
        <w:rPr>
          <w:rFonts w:cstheme="minorHAnsi"/>
          <w:sz w:val="24"/>
          <w:szCs w:val="24"/>
        </w:rPr>
        <w:t>importante</w:t>
      </w:r>
      <w:r w:rsidR="00104820" w:rsidRPr="003A1191">
        <w:rPr>
          <w:rFonts w:cstheme="minorHAnsi"/>
          <w:sz w:val="24"/>
          <w:szCs w:val="24"/>
        </w:rPr>
        <w:t xml:space="preserve"> de su libertad religiosa </w:t>
      </w:r>
      <w:r w:rsidR="00BB1CC8" w:rsidRPr="003A1191">
        <w:rPr>
          <w:rFonts w:cstheme="minorHAnsi"/>
          <w:sz w:val="24"/>
          <w:szCs w:val="24"/>
        </w:rPr>
        <w:t xml:space="preserve">y se les limita o prácticamente se les impide el acceso en igualdad a los empleos </w:t>
      </w:r>
      <w:r w:rsidR="00BB1CC8" w:rsidRPr="003A1191">
        <w:rPr>
          <w:rFonts w:cstheme="minorHAnsi"/>
          <w:sz w:val="24"/>
          <w:szCs w:val="24"/>
        </w:rPr>
        <w:lastRenderedPageBreak/>
        <w:t>del sector público</w:t>
      </w:r>
      <w:r w:rsidR="00406932" w:rsidRPr="003A1191">
        <w:rPr>
          <w:rFonts w:cstheme="minorHAnsi"/>
          <w:sz w:val="24"/>
          <w:szCs w:val="24"/>
        </w:rPr>
        <w:t xml:space="preserve">. </w:t>
      </w:r>
      <w:r w:rsidR="00104820" w:rsidRPr="003A1191">
        <w:rPr>
          <w:rFonts w:cstheme="minorHAnsi"/>
          <w:sz w:val="24"/>
          <w:szCs w:val="24"/>
        </w:rPr>
        <w:t>Como ya expresara en su columna de opinión, la consecuencia social más inmediata que tiene la medida es el proceso de estigmatización</w:t>
      </w:r>
      <w:r w:rsidR="003C1BD6" w:rsidRPr="003A1191">
        <w:rPr>
          <w:rFonts w:cstheme="minorHAnsi"/>
          <w:sz w:val="24"/>
          <w:szCs w:val="24"/>
        </w:rPr>
        <w:t xml:space="preserve"> al que se somete a muchos miembros de comunidades étnicas minoritarias. </w:t>
      </w:r>
      <w:r w:rsidR="009A345A" w:rsidRPr="003A1191">
        <w:rPr>
          <w:rFonts w:cstheme="minorHAnsi"/>
          <w:sz w:val="24"/>
          <w:szCs w:val="24"/>
        </w:rPr>
        <w:t xml:space="preserve">Mostrar rechazo a que un trabajador público pueda vestir un símbolo religioso seguramente no sea por cuestionar su profesionalidad o por temer un intento de proselitismo, sino </w:t>
      </w:r>
      <w:r w:rsidR="00051C3C" w:rsidRPr="003A1191">
        <w:rPr>
          <w:rFonts w:cstheme="minorHAnsi"/>
          <w:sz w:val="24"/>
          <w:szCs w:val="24"/>
        </w:rPr>
        <w:t xml:space="preserve">que es </w:t>
      </w:r>
      <w:r w:rsidR="00B57F7B" w:rsidRPr="003A1191">
        <w:rPr>
          <w:rFonts w:cstheme="minorHAnsi"/>
          <w:sz w:val="24"/>
          <w:szCs w:val="24"/>
        </w:rPr>
        <w:t xml:space="preserve">una manera de proyectar una actitud intolerante </w:t>
      </w:r>
      <w:r w:rsidR="009A345A" w:rsidRPr="003A1191">
        <w:rPr>
          <w:rFonts w:cstheme="minorHAnsi"/>
          <w:sz w:val="24"/>
          <w:szCs w:val="24"/>
        </w:rPr>
        <w:t xml:space="preserve">hacia todas las religiones en </w:t>
      </w:r>
      <w:r w:rsidR="00D64874" w:rsidRPr="003A1191">
        <w:rPr>
          <w:rFonts w:cstheme="minorHAnsi"/>
          <w:sz w:val="24"/>
          <w:szCs w:val="24"/>
        </w:rPr>
        <w:t>general</w:t>
      </w:r>
      <w:r w:rsidR="009A345A" w:rsidRPr="003A1191">
        <w:rPr>
          <w:rFonts w:cstheme="minorHAnsi"/>
          <w:sz w:val="24"/>
          <w:szCs w:val="24"/>
        </w:rPr>
        <w:t xml:space="preserve"> </w:t>
      </w:r>
      <w:r w:rsidR="00B57F7B" w:rsidRPr="003A1191">
        <w:rPr>
          <w:rFonts w:cstheme="minorHAnsi"/>
          <w:sz w:val="24"/>
          <w:szCs w:val="24"/>
        </w:rPr>
        <w:t xml:space="preserve">o </w:t>
      </w:r>
      <w:r w:rsidR="009A345A" w:rsidRPr="003A1191">
        <w:rPr>
          <w:rFonts w:cstheme="minorHAnsi"/>
          <w:sz w:val="24"/>
          <w:szCs w:val="24"/>
        </w:rPr>
        <w:t>contra una en particular.</w:t>
      </w:r>
      <w:r w:rsidR="00B57F7B" w:rsidRPr="003A1191">
        <w:rPr>
          <w:rFonts w:cstheme="minorHAnsi"/>
          <w:sz w:val="24"/>
          <w:szCs w:val="24"/>
        </w:rPr>
        <w:t xml:space="preserve"> </w:t>
      </w:r>
      <w:r w:rsidR="006E2FE8" w:rsidRPr="003A1191">
        <w:rPr>
          <w:rFonts w:cstheme="minorHAnsi"/>
          <w:sz w:val="24"/>
          <w:szCs w:val="24"/>
        </w:rPr>
        <w:t>Su propuesta para evitarlo</w:t>
      </w:r>
      <w:r w:rsidR="004C6BAE" w:rsidRPr="003A1191">
        <w:rPr>
          <w:rFonts w:cstheme="minorHAnsi"/>
          <w:sz w:val="24"/>
          <w:szCs w:val="24"/>
        </w:rPr>
        <w:t xml:space="preserve"> </w:t>
      </w:r>
      <w:r w:rsidR="004354B3">
        <w:rPr>
          <w:rFonts w:cstheme="minorHAnsi"/>
          <w:sz w:val="24"/>
          <w:szCs w:val="24"/>
        </w:rPr>
        <w:t>era</w:t>
      </w:r>
      <w:r w:rsidR="004C6BAE" w:rsidRPr="003A1191">
        <w:rPr>
          <w:rFonts w:cstheme="minorHAnsi"/>
          <w:sz w:val="24"/>
          <w:szCs w:val="24"/>
        </w:rPr>
        <w:t xml:space="preserve"> eliminar tales restricciones y juzgar la neutralidad de los trabajadores públicos únicamente en el desempeño de sus funciones </w:t>
      </w:r>
      <w:sdt>
        <w:sdtPr>
          <w:rPr>
            <w:rFonts w:cstheme="minorHAnsi"/>
            <w:sz w:val="24"/>
            <w:szCs w:val="24"/>
          </w:rPr>
          <w:id w:val="-1514377658"/>
          <w:citation/>
        </w:sdtPr>
        <w:sdtEndPr/>
        <w:sdtContent>
          <w:r w:rsidR="004C6BAE" w:rsidRPr="003A1191">
            <w:rPr>
              <w:rFonts w:cstheme="minorHAnsi"/>
              <w:sz w:val="24"/>
              <w:szCs w:val="24"/>
            </w:rPr>
            <w:fldChar w:fldCharType="begin"/>
          </w:r>
          <w:r w:rsidR="004C6BAE" w:rsidRPr="003A1191">
            <w:rPr>
              <w:rFonts w:cstheme="minorHAnsi"/>
              <w:sz w:val="24"/>
              <w:szCs w:val="24"/>
            </w:rPr>
            <w:instrText xml:space="preserve">CITATION Mac11 \p 63 \l 3082 </w:instrText>
          </w:r>
          <w:r w:rsidR="004C6BAE" w:rsidRPr="003A1191">
            <w:rPr>
              <w:rFonts w:cstheme="minorHAnsi"/>
              <w:sz w:val="24"/>
              <w:szCs w:val="24"/>
            </w:rPr>
            <w:fldChar w:fldCharType="separate"/>
          </w:r>
          <w:r w:rsidR="004C6BAE" w:rsidRPr="003A1191">
            <w:rPr>
              <w:rFonts w:cstheme="minorHAnsi"/>
              <w:noProof/>
              <w:sz w:val="24"/>
              <w:szCs w:val="24"/>
            </w:rPr>
            <w:t>(Maclure &amp; Taylor, 2011, p. 63)</w:t>
          </w:r>
          <w:r w:rsidR="004C6BAE" w:rsidRPr="003A1191">
            <w:rPr>
              <w:rFonts w:cstheme="minorHAnsi"/>
              <w:sz w:val="24"/>
              <w:szCs w:val="24"/>
            </w:rPr>
            <w:fldChar w:fldCharType="end"/>
          </w:r>
        </w:sdtContent>
      </w:sdt>
      <w:r w:rsidR="004C6BAE" w:rsidRPr="003A1191">
        <w:rPr>
          <w:rFonts w:cstheme="minorHAnsi"/>
          <w:sz w:val="24"/>
          <w:szCs w:val="24"/>
        </w:rPr>
        <w:t xml:space="preserve">. </w:t>
      </w:r>
      <w:r w:rsidR="00C600BA" w:rsidRPr="003A1191">
        <w:rPr>
          <w:rFonts w:cstheme="minorHAnsi"/>
          <w:sz w:val="24"/>
          <w:szCs w:val="24"/>
        </w:rPr>
        <w:t xml:space="preserve">Externalizar una filiación religiosa no debería afectar al desempeño de sus funciones y ni que éstas estén sometidas a la más estricta neutralidad. </w:t>
      </w:r>
      <w:r w:rsidR="00DF763F" w:rsidRPr="003A1191">
        <w:rPr>
          <w:rFonts w:cstheme="minorHAnsi"/>
          <w:sz w:val="24"/>
          <w:szCs w:val="24"/>
        </w:rPr>
        <w:t>Cerrar, además, la posibilidad a que muchos de estos servicios públicos se cubran con personas representantes de la diversidad étnica de la sociedad, deja</w:t>
      </w:r>
      <w:r w:rsidR="004354B3">
        <w:rPr>
          <w:rFonts w:cstheme="minorHAnsi"/>
          <w:sz w:val="24"/>
          <w:szCs w:val="24"/>
        </w:rPr>
        <w:t>ría</w:t>
      </w:r>
      <w:r w:rsidR="00DF763F" w:rsidRPr="003A1191">
        <w:rPr>
          <w:rFonts w:cstheme="minorHAnsi"/>
          <w:sz w:val="24"/>
          <w:szCs w:val="24"/>
        </w:rPr>
        <w:t xml:space="preserve"> sin normalizar una realidad que ya resulta evidente. </w:t>
      </w:r>
      <w:r w:rsidR="009579D7" w:rsidRPr="003A1191">
        <w:rPr>
          <w:rFonts w:cstheme="minorHAnsi"/>
          <w:sz w:val="24"/>
          <w:szCs w:val="24"/>
        </w:rPr>
        <w:t>La prohibición, por tanto, no debería aplicarse y sería una medida integradora que ayudaría mucho a la visualización de la diversidad étnica y su normalización por el resto de la sociedad.</w:t>
      </w:r>
    </w:p>
    <w:p w14:paraId="4E1E4669" w14:textId="11A9C34A" w:rsidR="00646983" w:rsidRPr="003A1191" w:rsidRDefault="004354B3" w:rsidP="00545B53">
      <w:pPr>
        <w:spacing w:line="360" w:lineRule="auto"/>
        <w:ind w:firstLine="708"/>
        <w:jc w:val="both"/>
        <w:rPr>
          <w:rFonts w:cstheme="minorHAnsi"/>
          <w:sz w:val="24"/>
          <w:szCs w:val="24"/>
        </w:rPr>
      </w:pPr>
      <w:r>
        <w:rPr>
          <w:rFonts w:cstheme="minorHAnsi"/>
          <w:sz w:val="24"/>
          <w:szCs w:val="24"/>
        </w:rPr>
        <w:t>Pero e</w:t>
      </w:r>
      <w:r w:rsidR="00646983" w:rsidRPr="003A1191">
        <w:rPr>
          <w:rFonts w:cstheme="minorHAnsi"/>
          <w:sz w:val="24"/>
          <w:szCs w:val="24"/>
        </w:rPr>
        <w:t xml:space="preserve">sta medida tampoco debería aplicarse como excepción a los funcionarios públicos con funciones de coerción. </w:t>
      </w:r>
      <w:r w:rsidR="008475B0" w:rsidRPr="003A1191">
        <w:rPr>
          <w:rFonts w:cstheme="minorHAnsi"/>
          <w:sz w:val="24"/>
          <w:szCs w:val="24"/>
        </w:rPr>
        <w:t xml:space="preserve">Para los autores, tampoco queda claro que la exigencia de neutralidad para </w:t>
      </w:r>
      <w:r w:rsidR="00301081" w:rsidRPr="003A1191">
        <w:rPr>
          <w:rFonts w:cstheme="minorHAnsi"/>
          <w:sz w:val="24"/>
          <w:szCs w:val="24"/>
        </w:rPr>
        <w:t xml:space="preserve">un </w:t>
      </w:r>
      <w:r w:rsidR="008475B0" w:rsidRPr="003A1191">
        <w:rPr>
          <w:rFonts w:cstheme="minorHAnsi"/>
          <w:sz w:val="24"/>
          <w:szCs w:val="24"/>
        </w:rPr>
        <w:t>funcionario con un poder de sanción asegure su imparcialidad. A todos ellos, como al resto de funcionarios, se les exige abstraerse de sus propias creencias y convicciones para desempeñar sus funciones con arreglo a las leyes, por lo que no parece que la prohibición de portar símbolos religios</w:t>
      </w:r>
      <w:r w:rsidR="00301081" w:rsidRPr="003A1191">
        <w:rPr>
          <w:rFonts w:cstheme="minorHAnsi"/>
          <w:sz w:val="24"/>
          <w:szCs w:val="24"/>
        </w:rPr>
        <w:t xml:space="preserve">os sea una necesidad funcional </w:t>
      </w:r>
      <w:r w:rsidR="008475B0" w:rsidRPr="003A1191">
        <w:rPr>
          <w:rFonts w:cstheme="minorHAnsi"/>
          <w:sz w:val="24"/>
          <w:szCs w:val="24"/>
        </w:rPr>
        <w:t xml:space="preserve">para el cumplimiento de sus deberes </w:t>
      </w:r>
      <w:sdt>
        <w:sdtPr>
          <w:rPr>
            <w:rFonts w:cstheme="minorHAnsi"/>
            <w:sz w:val="24"/>
            <w:szCs w:val="24"/>
          </w:rPr>
          <w:id w:val="-482774021"/>
          <w:citation/>
        </w:sdtPr>
        <w:sdtEndPr/>
        <w:sdtContent>
          <w:r w:rsidR="008475B0" w:rsidRPr="003A1191">
            <w:rPr>
              <w:rFonts w:cstheme="minorHAnsi"/>
              <w:sz w:val="24"/>
              <w:szCs w:val="24"/>
            </w:rPr>
            <w:fldChar w:fldCharType="begin"/>
          </w:r>
          <w:r w:rsidR="008475B0" w:rsidRPr="003A1191">
            <w:rPr>
              <w:rFonts w:cstheme="minorHAnsi"/>
              <w:sz w:val="24"/>
              <w:szCs w:val="24"/>
            </w:rPr>
            <w:instrText xml:space="preserve">CITATION Mac11 \p 67 \l 3082 </w:instrText>
          </w:r>
          <w:r w:rsidR="008475B0" w:rsidRPr="003A1191">
            <w:rPr>
              <w:rFonts w:cstheme="minorHAnsi"/>
              <w:sz w:val="24"/>
              <w:szCs w:val="24"/>
            </w:rPr>
            <w:fldChar w:fldCharType="separate"/>
          </w:r>
          <w:r w:rsidR="008475B0" w:rsidRPr="003A1191">
            <w:rPr>
              <w:rFonts w:cstheme="minorHAnsi"/>
              <w:noProof/>
              <w:sz w:val="24"/>
              <w:szCs w:val="24"/>
            </w:rPr>
            <w:t>(Maclure &amp; Taylor, 2011, p. 67)</w:t>
          </w:r>
          <w:r w:rsidR="008475B0" w:rsidRPr="003A1191">
            <w:rPr>
              <w:rFonts w:cstheme="minorHAnsi"/>
              <w:sz w:val="24"/>
              <w:szCs w:val="24"/>
            </w:rPr>
            <w:fldChar w:fldCharType="end"/>
          </w:r>
        </w:sdtContent>
      </w:sdt>
      <w:r w:rsidR="008475B0" w:rsidRPr="003A1191">
        <w:rPr>
          <w:rFonts w:cstheme="minorHAnsi"/>
          <w:sz w:val="24"/>
          <w:szCs w:val="24"/>
        </w:rPr>
        <w:t>.</w:t>
      </w:r>
      <w:r w:rsidR="00301081" w:rsidRPr="003A1191">
        <w:rPr>
          <w:rFonts w:cstheme="minorHAnsi"/>
          <w:sz w:val="24"/>
          <w:szCs w:val="24"/>
        </w:rPr>
        <w:t xml:space="preserve"> La sospecha </w:t>
      </w:r>
      <w:r w:rsidR="00101246" w:rsidRPr="003A1191">
        <w:rPr>
          <w:rFonts w:cstheme="minorHAnsi"/>
          <w:sz w:val="24"/>
          <w:szCs w:val="24"/>
        </w:rPr>
        <w:t>que pueda inducir visibilizar lo</w:t>
      </w:r>
      <w:r w:rsidR="00301081" w:rsidRPr="003A1191">
        <w:rPr>
          <w:rFonts w:cstheme="minorHAnsi"/>
          <w:sz w:val="24"/>
          <w:szCs w:val="24"/>
        </w:rPr>
        <w:t xml:space="preserve">s símbolos religiosos en los trabajadores del sector público sólo se puede superar con la confianza en su profesionalización y el convencimiento que se extraiga </w:t>
      </w:r>
      <w:r w:rsidR="00101246" w:rsidRPr="003A1191">
        <w:rPr>
          <w:rFonts w:cstheme="minorHAnsi"/>
          <w:sz w:val="24"/>
          <w:szCs w:val="24"/>
        </w:rPr>
        <w:t>de comprobar cómo diariamente cumplen con sus obligaciones de una manera neutral.</w:t>
      </w:r>
    </w:p>
    <w:p w14:paraId="738ED4AF" w14:textId="0DF69A81" w:rsidR="005E5247" w:rsidRDefault="00101246" w:rsidP="00545B53">
      <w:pPr>
        <w:spacing w:line="360" w:lineRule="auto"/>
        <w:ind w:firstLine="708"/>
        <w:jc w:val="both"/>
        <w:rPr>
          <w:rFonts w:cstheme="minorHAnsi"/>
          <w:sz w:val="24"/>
          <w:szCs w:val="24"/>
        </w:rPr>
      </w:pPr>
      <w:r w:rsidRPr="003A1191">
        <w:rPr>
          <w:rFonts w:cstheme="minorHAnsi"/>
          <w:sz w:val="24"/>
          <w:szCs w:val="24"/>
        </w:rPr>
        <w:t>Sobre este retracto de Taylor en las recomendaciones del informe, el otro copartícipe lamentó las declaraciones de su compañero en la comisión. Para Bouchard</w:t>
      </w:r>
      <w:r w:rsidR="005C40AE" w:rsidRPr="003A1191">
        <w:rPr>
          <w:rStyle w:val="Refdenotaalpie"/>
          <w:rFonts w:cstheme="minorHAnsi"/>
          <w:sz w:val="24"/>
          <w:szCs w:val="24"/>
        </w:rPr>
        <w:footnoteReference w:id="17"/>
      </w:r>
      <w:r w:rsidRPr="003A1191">
        <w:rPr>
          <w:rFonts w:cstheme="minorHAnsi"/>
          <w:sz w:val="24"/>
          <w:szCs w:val="24"/>
        </w:rPr>
        <w:t xml:space="preserve">, </w:t>
      </w:r>
      <w:r w:rsidR="006938D8" w:rsidRPr="003A1191">
        <w:rPr>
          <w:rFonts w:cstheme="minorHAnsi"/>
          <w:sz w:val="24"/>
          <w:szCs w:val="24"/>
        </w:rPr>
        <w:lastRenderedPageBreak/>
        <w:t>la retractación</w:t>
      </w:r>
      <w:r w:rsidRPr="003A1191">
        <w:rPr>
          <w:rFonts w:cstheme="minorHAnsi"/>
          <w:sz w:val="24"/>
          <w:szCs w:val="24"/>
        </w:rPr>
        <w:t xml:space="preserve"> de Taylor lleg</w:t>
      </w:r>
      <w:r w:rsidR="006938D8" w:rsidRPr="003A1191">
        <w:rPr>
          <w:rFonts w:cstheme="minorHAnsi"/>
          <w:sz w:val="24"/>
          <w:szCs w:val="24"/>
        </w:rPr>
        <w:t>aba</w:t>
      </w:r>
      <w:r w:rsidRPr="003A1191">
        <w:rPr>
          <w:rFonts w:cstheme="minorHAnsi"/>
          <w:sz w:val="24"/>
          <w:szCs w:val="24"/>
        </w:rPr>
        <w:t xml:space="preserve"> en un mal momento</w:t>
      </w:r>
      <w:r w:rsidR="006938D8" w:rsidRPr="003A1191">
        <w:rPr>
          <w:rFonts w:cstheme="minorHAnsi"/>
          <w:sz w:val="24"/>
          <w:szCs w:val="24"/>
        </w:rPr>
        <w:t>,</w:t>
      </w:r>
      <w:r w:rsidRPr="003A1191">
        <w:rPr>
          <w:rFonts w:cstheme="minorHAnsi"/>
          <w:sz w:val="24"/>
          <w:szCs w:val="24"/>
        </w:rPr>
        <w:t xml:space="preserve"> y </w:t>
      </w:r>
      <w:r w:rsidR="004354B3">
        <w:rPr>
          <w:rFonts w:cstheme="minorHAnsi"/>
          <w:sz w:val="24"/>
          <w:szCs w:val="24"/>
        </w:rPr>
        <w:t xml:space="preserve">consideraba que </w:t>
      </w:r>
      <w:r w:rsidRPr="003A1191">
        <w:rPr>
          <w:rFonts w:cstheme="minorHAnsi"/>
          <w:sz w:val="24"/>
          <w:szCs w:val="24"/>
        </w:rPr>
        <w:t xml:space="preserve">cuestionar las recomendaciones del informe podía significar volver a abrir la herida social que precisamente se intentó paliar con la elaboración del </w:t>
      </w:r>
      <w:r w:rsidRPr="003A1191">
        <w:rPr>
          <w:rFonts w:cstheme="minorHAnsi"/>
          <w:i/>
          <w:sz w:val="24"/>
          <w:szCs w:val="24"/>
        </w:rPr>
        <w:t>Rapport</w:t>
      </w:r>
      <w:r w:rsidRPr="003A1191">
        <w:rPr>
          <w:rFonts w:cstheme="minorHAnsi"/>
          <w:sz w:val="24"/>
          <w:szCs w:val="24"/>
        </w:rPr>
        <w:t xml:space="preserve">. </w:t>
      </w:r>
      <w:r w:rsidR="00D25068" w:rsidRPr="003A1191">
        <w:rPr>
          <w:rFonts w:cstheme="minorHAnsi"/>
          <w:sz w:val="24"/>
          <w:szCs w:val="24"/>
        </w:rPr>
        <w:t>Bouchard, por tanto, no encuentra</w:t>
      </w:r>
      <w:r w:rsidR="004354B3">
        <w:rPr>
          <w:rFonts w:cstheme="minorHAnsi"/>
          <w:sz w:val="24"/>
          <w:szCs w:val="24"/>
        </w:rPr>
        <w:t>ba</w:t>
      </w:r>
      <w:r w:rsidR="00D25068" w:rsidRPr="003A1191">
        <w:rPr>
          <w:rFonts w:cstheme="minorHAnsi"/>
          <w:sz w:val="24"/>
          <w:szCs w:val="24"/>
        </w:rPr>
        <w:t xml:space="preserve"> justificación alguna en la eliminación de la restricción a los funcionarios públicos </w:t>
      </w:r>
      <w:r w:rsidR="00051C3C" w:rsidRPr="003A1191">
        <w:rPr>
          <w:rFonts w:cstheme="minorHAnsi"/>
          <w:sz w:val="24"/>
          <w:szCs w:val="24"/>
        </w:rPr>
        <w:t xml:space="preserve">con funciones de coerción </w:t>
      </w:r>
      <w:r w:rsidR="00D25068" w:rsidRPr="003A1191">
        <w:rPr>
          <w:rFonts w:cstheme="minorHAnsi"/>
          <w:sz w:val="24"/>
          <w:szCs w:val="24"/>
        </w:rPr>
        <w:t xml:space="preserve">de portar símbolos </w:t>
      </w:r>
      <w:r w:rsidR="009C1360" w:rsidRPr="003A1191">
        <w:rPr>
          <w:rFonts w:cstheme="minorHAnsi"/>
          <w:sz w:val="24"/>
          <w:szCs w:val="24"/>
        </w:rPr>
        <w:t>religiosos</w:t>
      </w:r>
      <w:r w:rsidR="00D25068" w:rsidRPr="003A1191">
        <w:rPr>
          <w:rFonts w:cstheme="minorHAnsi"/>
          <w:sz w:val="24"/>
          <w:szCs w:val="24"/>
        </w:rPr>
        <w:t xml:space="preserve"> en el ejercicio de sus funciones. Considera</w:t>
      </w:r>
      <w:r w:rsidR="004354B3">
        <w:rPr>
          <w:rFonts w:cstheme="minorHAnsi"/>
          <w:sz w:val="24"/>
          <w:szCs w:val="24"/>
        </w:rPr>
        <w:t>ba</w:t>
      </w:r>
      <w:r w:rsidR="00D25068" w:rsidRPr="003A1191">
        <w:rPr>
          <w:rFonts w:cstheme="minorHAnsi"/>
          <w:sz w:val="24"/>
          <w:szCs w:val="24"/>
        </w:rPr>
        <w:t xml:space="preserve">, además, que fue una medida adoptada para proteger la neutralidad del </w:t>
      </w:r>
      <w:r w:rsidR="00E320FC" w:rsidRPr="003A1191">
        <w:rPr>
          <w:rFonts w:cstheme="minorHAnsi"/>
          <w:sz w:val="24"/>
          <w:szCs w:val="24"/>
        </w:rPr>
        <w:t>Estado,</w:t>
      </w:r>
      <w:r w:rsidR="00D25068" w:rsidRPr="003A1191">
        <w:rPr>
          <w:rFonts w:cstheme="minorHAnsi"/>
          <w:sz w:val="24"/>
          <w:szCs w:val="24"/>
        </w:rPr>
        <w:t xml:space="preserve"> pero, sobre todo, para </w:t>
      </w:r>
      <w:r w:rsidR="001D1D4D" w:rsidRPr="003A1191">
        <w:rPr>
          <w:rFonts w:cstheme="minorHAnsi"/>
          <w:sz w:val="24"/>
          <w:szCs w:val="24"/>
        </w:rPr>
        <w:t>apaciguar</w:t>
      </w:r>
      <w:r w:rsidR="00D25068" w:rsidRPr="003A1191">
        <w:rPr>
          <w:rFonts w:cstheme="minorHAnsi"/>
          <w:sz w:val="24"/>
          <w:szCs w:val="24"/>
        </w:rPr>
        <w:t xml:space="preserve"> a una sociedad que sentía desafiados sus valores y principios. </w:t>
      </w:r>
      <w:r w:rsidR="004354B3">
        <w:rPr>
          <w:rFonts w:cstheme="minorHAnsi"/>
          <w:sz w:val="24"/>
          <w:szCs w:val="24"/>
        </w:rPr>
        <w:t>Para Bouchard, m</w:t>
      </w:r>
      <w:r w:rsidR="006938D8" w:rsidRPr="003A1191">
        <w:rPr>
          <w:rFonts w:cstheme="minorHAnsi"/>
          <w:sz w:val="24"/>
          <w:szCs w:val="24"/>
        </w:rPr>
        <w:t xml:space="preserve">antener una neutralidad visible a través de los funcionarios del Estado garantizaría </w:t>
      </w:r>
      <w:r w:rsidR="00FB2004" w:rsidRPr="003A1191">
        <w:rPr>
          <w:rFonts w:cstheme="minorHAnsi"/>
          <w:sz w:val="24"/>
          <w:szCs w:val="24"/>
        </w:rPr>
        <w:t xml:space="preserve">la conservación de </w:t>
      </w:r>
      <w:r w:rsidR="006938D8" w:rsidRPr="003A1191">
        <w:rPr>
          <w:rFonts w:cstheme="minorHAnsi"/>
          <w:sz w:val="24"/>
          <w:szCs w:val="24"/>
        </w:rPr>
        <w:t xml:space="preserve">una referencia común que el resto de la sociedad podría compartir, independientemente de su afiliación étnica. </w:t>
      </w:r>
      <w:r w:rsidR="009C1360" w:rsidRPr="003A1191">
        <w:rPr>
          <w:rFonts w:cstheme="minorHAnsi"/>
          <w:sz w:val="24"/>
          <w:szCs w:val="24"/>
        </w:rPr>
        <w:t>D</w:t>
      </w:r>
      <w:r w:rsidR="004354B3">
        <w:rPr>
          <w:rFonts w:cstheme="minorHAnsi"/>
          <w:sz w:val="24"/>
          <w:szCs w:val="24"/>
        </w:rPr>
        <w:t>e modo que d</w:t>
      </w:r>
      <w:r w:rsidR="009C1360" w:rsidRPr="003A1191">
        <w:rPr>
          <w:rFonts w:cstheme="minorHAnsi"/>
          <w:sz w:val="24"/>
          <w:szCs w:val="24"/>
        </w:rPr>
        <w:t>erogar la medida acabaría con el consenso social que tanto costó alcanzar durante los trabajos de la comisión.</w:t>
      </w:r>
      <w:r w:rsidR="00E320FC" w:rsidRPr="003A1191">
        <w:rPr>
          <w:rFonts w:cstheme="minorHAnsi"/>
          <w:sz w:val="24"/>
          <w:szCs w:val="24"/>
        </w:rPr>
        <w:t xml:space="preserve"> </w:t>
      </w:r>
      <w:r w:rsidR="004354B3">
        <w:rPr>
          <w:rFonts w:cstheme="minorHAnsi"/>
          <w:sz w:val="24"/>
          <w:szCs w:val="24"/>
        </w:rPr>
        <w:t>También le preocupaba</w:t>
      </w:r>
      <w:r w:rsidR="00E320FC" w:rsidRPr="003A1191">
        <w:rPr>
          <w:rFonts w:cstheme="minorHAnsi"/>
          <w:sz w:val="24"/>
          <w:szCs w:val="24"/>
        </w:rPr>
        <w:t xml:space="preserve">, además, </w:t>
      </w:r>
      <w:r w:rsidR="004354B3">
        <w:rPr>
          <w:rFonts w:cstheme="minorHAnsi"/>
          <w:sz w:val="24"/>
          <w:szCs w:val="24"/>
        </w:rPr>
        <w:t xml:space="preserve">a Bouchard </w:t>
      </w:r>
      <w:r w:rsidR="00E320FC" w:rsidRPr="003A1191">
        <w:rPr>
          <w:rFonts w:cstheme="minorHAnsi"/>
          <w:sz w:val="24"/>
          <w:szCs w:val="24"/>
        </w:rPr>
        <w:t xml:space="preserve">que las declaraciones del Taylor hubieran influenciado en la opinión del primer ministro de Quebec, </w:t>
      </w:r>
      <w:r w:rsidR="00CC3B16" w:rsidRPr="003A1191">
        <w:rPr>
          <w:rFonts w:cstheme="minorHAnsi"/>
          <w:sz w:val="24"/>
          <w:szCs w:val="24"/>
        </w:rPr>
        <w:t>Philippe Couillard, quien unos días antes anunciaba su intención de abolir la prohibición del uso de símbolos religiosos en funcionarios que representaran figuras de autoridad</w:t>
      </w:r>
      <w:r w:rsidR="00CC3B16" w:rsidRPr="003A1191">
        <w:rPr>
          <w:rStyle w:val="Refdenotaalpie"/>
          <w:rFonts w:cstheme="minorHAnsi"/>
          <w:sz w:val="24"/>
          <w:szCs w:val="24"/>
        </w:rPr>
        <w:footnoteReference w:id="18"/>
      </w:r>
      <w:r w:rsidR="00CC3B16" w:rsidRPr="003A1191">
        <w:rPr>
          <w:rFonts w:cstheme="minorHAnsi"/>
          <w:sz w:val="24"/>
          <w:szCs w:val="24"/>
        </w:rPr>
        <w:t>.</w:t>
      </w:r>
      <w:r w:rsidR="00FB2004" w:rsidRPr="003A1191">
        <w:rPr>
          <w:rFonts w:cstheme="minorHAnsi"/>
          <w:sz w:val="24"/>
          <w:szCs w:val="24"/>
        </w:rPr>
        <w:t xml:space="preserve"> E</w:t>
      </w:r>
      <w:r w:rsidR="005E5247">
        <w:rPr>
          <w:rFonts w:cstheme="minorHAnsi"/>
          <w:sz w:val="24"/>
          <w:szCs w:val="24"/>
        </w:rPr>
        <w:t>n ese momento, e</w:t>
      </w:r>
      <w:r w:rsidR="00FB2004" w:rsidRPr="003A1191">
        <w:rPr>
          <w:rFonts w:cstheme="minorHAnsi"/>
          <w:sz w:val="24"/>
          <w:szCs w:val="24"/>
        </w:rPr>
        <w:t xml:space="preserve">l primer ministro quebequés se alienaba con las opiniones del Taylor y aprovechaba para anunciar su </w:t>
      </w:r>
      <w:r w:rsidR="00051C3C" w:rsidRPr="003A1191">
        <w:rPr>
          <w:rFonts w:cstheme="minorHAnsi"/>
          <w:sz w:val="24"/>
          <w:szCs w:val="24"/>
        </w:rPr>
        <w:t>intención</w:t>
      </w:r>
      <w:r w:rsidR="00FB2004" w:rsidRPr="003A1191">
        <w:rPr>
          <w:rFonts w:cstheme="minorHAnsi"/>
          <w:sz w:val="24"/>
          <w:szCs w:val="24"/>
        </w:rPr>
        <w:t xml:space="preserve"> de acabar con la prohibición en base al respeto de los principios del multiculturalismo que tanto definen la identidad canadiense. </w:t>
      </w:r>
    </w:p>
    <w:p w14:paraId="2CAD6B11" w14:textId="56D39F10" w:rsidR="00101246" w:rsidRPr="003A1191" w:rsidRDefault="00FB2004" w:rsidP="00545B53">
      <w:pPr>
        <w:spacing w:line="360" w:lineRule="auto"/>
        <w:ind w:firstLine="708"/>
        <w:jc w:val="both"/>
        <w:rPr>
          <w:rFonts w:cstheme="minorHAnsi"/>
          <w:sz w:val="24"/>
          <w:szCs w:val="24"/>
        </w:rPr>
      </w:pPr>
      <w:r w:rsidRPr="003A1191">
        <w:rPr>
          <w:rFonts w:cstheme="minorHAnsi"/>
          <w:sz w:val="24"/>
          <w:szCs w:val="24"/>
        </w:rPr>
        <w:t xml:space="preserve">El sociólogo francocanadiense se </w:t>
      </w:r>
      <w:r w:rsidR="00457EF9" w:rsidRPr="003A1191">
        <w:rPr>
          <w:rFonts w:cstheme="minorHAnsi"/>
          <w:sz w:val="24"/>
          <w:szCs w:val="24"/>
        </w:rPr>
        <w:t>encontraba</w:t>
      </w:r>
      <w:r w:rsidRPr="003A1191">
        <w:rPr>
          <w:rFonts w:cstheme="minorHAnsi"/>
          <w:sz w:val="24"/>
          <w:szCs w:val="24"/>
        </w:rPr>
        <w:t>, por tanto, decepcionado con la reciente postura adoptada por su colega y lamenta</w:t>
      </w:r>
      <w:r w:rsidR="00051C3C" w:rsidRPr="003A1191">
        <w:rPr>
          <w:rFonts w:cstheme="minorHAnsi"/>
          <w:sz w:val="24"/>
          <w:szCs w:val="24"/>
        </w:rPr>
        <w:t>ba</w:t>
      </w:r>
      <w:r w:rsidRPr="003A1191">
        <w:rPr>
          <w:rFonts w:cstheme="minorHAnsi"/>
          <w:sz w:val="24"/>
          <w:szCs w:val="24"/>
        </w:rPr>
        <w:t xml:space="preserve"> que no </w:t>
      </w:r>
      <w:r w:rsidR="00051C3C" w:rsidRPr="003A1191">
        <w:rPr>
          <w:rFonts w:cstheme="minorHAnsi"/>
          <w:sz w:val="24"/>
          <w:szCs w:val="24"/>
        </w:rPr>
        <w:t>siguiera</w:t>
      </w:r>
      <w:r w:rsidRPr="003A1191">
        <w:rPr>
          <w:rFonts w:cstheme="minorHAnsi"/>
          <w:sz w:val="24"/>
          <w:szCs w:val="24"/>
        </w:rPr>
        <w:t xml:space="preserve"> apoyando una medida que él considera</w:t>
      </w:r>
      <w:r w:rsidR="00051C3C" w:rsidRPr="003A1191">
        <w:rPr>
          <w:rFonts w:cstheme="minorHAnsi"/>
          <w:sz w:val="24"/>
          <w:szCs w:val="24"/>
        </w:rPr>
        <w:t>ba</w:t>
      </w:r>
      <w:r w:rsidRPr="003A1191">
        <w:rPr>
          <w:rFonts w:cstheme="minorHAnsi"/>
          <w:sz w:val="24"/>
          <w:szCs w:val="24"/>
        </w:rPr>
        <w:t xml:space="preserve"> necesaria para garantizar la credibilidad de los funcionarios públicos que ejercen funciones de coerción.</w:t>
      </w:r>
      <w:r w:rsidR="00F56549" w:rsidRPr="003A1191">
        <w:rPr>
          <w:rFonts w:cstheme="minorHAnsi"/>
          <w:sz w:val="24"/>
          <w:szCs w:val="24"/>
        </w:rPr>
        <w:t xml:space="preserve"> Para Bouchard, la medida no fue fruto de la </w:t>
      </w:r>
      <w:r w:rsidR="00457EF9" w:rsidRPr="003A1191">
        <w:rPr>
          <w:rFonts w:cstheme="minorHAnsi"/>
          <w:sz w:val="24"/>
          <w:szCs w:val="24"/>
        </w:rPr>
        <w:t>frivolidad,</w:t>
      </w:r>
      <w:r w:rsidR="00F56549" w:rsidRPr="003A1191">
        <w:rPr>
          <w:rFonts w:cstheme="minorHAnsi"/>
          <w:sz w:val="24"/>
          <w:szCs w:val="24"/>
        </w:rPr>
        <w:t xml:space="preserve"> sino que se </w:t>
      </w:r>
      <w:r w:rsidR="00457EF9" w:rsidRPr="003A1191">
        <w:rPr>
          <w:rFonts w:cstheme="minorHAnsi"/>
          <w:sz w:val="24"/>
          <w:szCs w:val="24"/>
        </w:rPr>
        <w:t>sostenía</w:t>
      </w:r>
      <w:r w:rsidR="00F56549" w:rsidRPr="003A1191">
        <w:rPr>
          <w:rFonts w:cstheme="minorHAnsi"/>
          <w:sz w:val="24"/>
          <w:szCs w:val="24"/>
        </w:rPr>
        <w:t xml:space="preserve"> sobre un principio extremadamente importante: es necesario que los funcionarios públicos con poderes de coerción, con capacidad de ejercer actos de violencia legítima contra el resto de ciudadanos, y que se ocupan, por tanto, de una función excepcional, estén rodeados de toda una serie de precauciones excepcionales.</w:t>
      </w:r>
      <w:r w:rsidR="00670668" w:rsidRPr="003A1191">
        <w:rPr>
          <w:rFonts w:cstheme="minorHAnsi"/>
          <w:sz w:val="24"/>
          <w:szCs w:val="24"/>
        </w:rPr>
        <w:t xml:space="preserve"> Sólo así puede garantizarse una total neutralidad de quienes ostentan una función tan excepcional como es la autoridad o el uso legítimo de la </w:t>
      </w:r>
      <w:r w:rsidR="005E5247">
        <w:rPr>
          <w:rFonts w:cstheme="minorHAnsi"/>
          <w:sz w:val="24"/>
          <w:szCs w:val="24"/>
        </w:rPr>
        <w:t>fuerza</w:t>
      </w:r>
      <w:r w:rsidR="00670668" w:rsidRPr="003A1191">
        <w:rPr>
          <w:rFonts w:cstheme="minorHAnsi"/>
          <w:sz w:val="24"/>
          <w:szCs w:val="24"/>
        </w:rPr>
        <w:t>.</w:t>
      </w:r>
      <w:r w:rsidR="00BE016A" w:rsidRPr="003A1191">
        <w:rPr>
          <w:rFonts w:cstheme="minorHAnsi"/>
          <w:sz w:val="24"/>
          <w:szCs w:val="24"/>
        </w:rPr>
        <w:t xml:space="preserve"> Para </w:t>
      </w:r>
      <w:r w:rsidR="001143B8" w:rsidRPr="003A1191">
        <w:rPr>
          <w:rFonts w:cstheme="minorHAnsi"/>
          <w:sz w:val="24"/>
          <w:szCs w:val="24"/>
        </w:rPr>
        <w:lastRenderedPageBreak/>
        <w:t>Bouchard</w:t>
      </w:r>
      <w:r w:rsidR="00136432" w:rsidRPr="003A1191">
        <w:rPr>
          <w:rFonts w:cstheme="minorHAnsi"/>
          <w:sz w:val="24"/>
          <w:szCs w:val="24"/>
        </w:rPr>
        <w:t>,</w:t>
      </w:r>
      <w:r w:rsidR="00BE016A" w:rsidRPr="003A1191">
        <w:rPr>
          <w:rFonts w:cstheme="minorHAnsi"/>
          <w:sz w:val="24"/>
          <w:szCs w:val="24"/>
        </w:rPr>
        <w:t xml:space="preserve"> todas las recomendaciones del informe </w:t>
      </w:r>
      <w:r w:rsidR="00E767D5">
        <w:rPr>
          <w:rFonts w:cstheme="minorHAnsi"/>
          <w:sz w:val="24"/>
          <w:szCs w:val="24"/>
        </w:rPr>
        <w:t>seguían</w:t>
      </w:r>
      <w:r w:rsidR="00BE016A" w:rsidRPr="003A1191">
        <w:rPr>
          <w:rFonts w:cstheme="minorHAnsi"/>
          <w:sz w:val="24"/>
          <w:szCs w:val="24"/>
        </w:rPr>
        <w:t xml:space="preserve"> estando vigentes y ahora más que nunca </w:t>
      </w:r>
      <w:r w:rsidR="00E767D5">
        <w:rPr>
          <w:rFonts w:cstheme="minorHAnsi"/>
          <w:sz w:val="24"/>
          <w:szCs w:val="24"/>
        </w:rPr>
        <w:t>eran</w:t>
      </w:r>
      <w:r w:rsidR="00BE016A" w:rsidRPr="003A1191">
        <w:rPr>
          <w:rFonts w:cstheme="minorHAnsi"/>
          <w:sz w:val="24"/>
          <w:szCs w:val="24"/>
        </w:rPr>
        <w:t xml:space="preserve"> necesarias. Acabar con el marco de referencia común que tanto costó </w:t>
      </w:r>
      <w:r w:rsidR="001143B8" w:rsidRPr="003A1191">
        <w:rPr>
          <w:rFonts w:cstheme="minorHAnsi"/>
          <w:sz w:val="24"/>
          <w:szCs w:val="24"/>
        </w:rPr>
        <w:t>conseguir</w:t>
      </w:r>
      <w:r w:rsidR="00BE016A" w:rsidRPr="003A1191">
        <w:rPr>
          <w:rFonts w:cstheme="minorHAnsi"/>
          <w:sz w:val="24"/>
          <w:szCs w:val="24"/>
        </w:rPr>
        <w:t xml:space="preserve"> </w:t>
      </w:r>
      <w:r w:rsidR="001143B8" w:rsidRPr="003A1191">
        <w:rPr>
          <w:rFonts w:cstheme="minorHAnsi"/>
          <w:sz w:val="24"/>
          <w:szCs w:val="24"/>
        </w:rPr>
        <w:t xml:space="preserve">acabaría con el consenso social alcanzado y sólo abocaría a retomar debates estériles sin puntos de encuentro. Lo realmente necesario para Bouchard es acabar con </w:t>
      </w:r>
      <w:r w:rsidR="001D1D4D" w:rsidRPr="003A1191">
        <w:rPr>
          <w:rFonts w:cstheme="minorHAnsi"/>
          <w:sz w:val="24"/>
          <w:szCs w:val="24"/>
        </w:rPr>
        <w:t>la discriminación</w:t>
      </w:r>
      <w:r w:rsidR="001143B8" w:rsidRPr="003A1191">
        <w:rPr>
          <w:rFonts w:cstheme="minorHAnsi"/>
          <w:sz w:val="24"/>
          <w:szCs w:val="24"/>
        </w:rPr>
        <w:t xml:space="preserve"> y el desempleo como medidas integradoras, y construir lazos interculturales que consigan eliminar las barreras de los estereotipos, para lo cual resulta necesario acabar con el recurso a los acomodos razonables.</w:t>
      </w:r>
    </w:p>
    <w:p w14:paraId="69DCABF9" w14:textId="1B6C591B" w:rsidR="00014075" w:rsidRPr="003A1191" w:rsidRDefault="00014075" w:rsidP="00545B53">
      <w:pPr>
        <w:pStyle w:val="Prrafodelista"/>
        <w:numPr>
          <w:ilvl w:val="0"/>
          <w:numId w:val="1"/>
        </w:numPr>
        <w:spacing w:line="360" w:lineRule="auto"/>
        <w:jc w:val="both"/>
        <w:rPr>
          <w:rFonts w:cstheme="minorHAnsi"/>
          <w:b/>
          <w:sz w:val="24"/>
          <w:szCs w:val="24"/>
        </w:rPr>
      </w:pPr>
      <w:r w:rsidRPr="003A1191">
        <w:rPr>
          <w:rFonts w:cstheme="minorHAnsi"/>
          <w:b/>
          <w:sz w:val="24"/>
          <w:szCs w:val="24"/>
        </w:rPr>
        <w:t>Funciones de coerción y símbolos religiosos: un difícil equilibrio entre neutralidad y libertad religiosa.</w:t>
      </w:r>
    </w:p>
    <w:p w14:paraId="1B330BDE" w14:textId="6D6CE3C7" w:rsidR="00174562" w:rsidRPr="003A1191" w:rsidRDefault="00174562" w:rsidP="00545B53">
      <w:pPr>
        <w:spacing w:line="360" w:lineRule="auto"/>
        <w:ind w:firstLine="708"/>
        <w:jc w:val="both"/>
        <w:rPr>
          <w:rFonts w:cstheme="minorHAnsi"/>
          <w:sz w:val="24"/>
          <w:szCs w:val="24"/>
        </w:rPr>
      </w:pPr>
      <w:r w:rsidRPr="003A1191">
        <w:rPr>
          <w:rFonts w:cstheme="minorHAnsi"/>
          <w:sz w:val="24"/>
          <w:szCs w:val="24"/>
        </w:rPr>
        <w:t xml:space="preserve">La regulación sobre el uso de símbolos religiosos por parte de los funcionarios con funciones de coerción fue, sin duda, el tema más espinoso al que tuvo que </w:t>
      </w:r>
      <w:r w:rsidR="001128E1" w:rsidRPr="003A1191">
        <w:rPr>
          <w:rFonts w:cstheme="minorHAnsi"/>
          <w:sz w:val="24"/>
          <w:szCs w:val="24"/>
        </w:rPr>
        <w:t>enfrentarse</w:t>
      </w:r>
      <w:r w:rsidRPr="003A1191">
        <w:rPr>
          <w:rFonts w:cstheme="minorHAnsi"/>
          <w:sz w:val="24"/>
          <w:szCs w:val="24"/>
        </w:rPr>
        <w:t xml:space="preserve"> la Comisión Bouchard-Taylor. Debido al contexto social de entonces, protagonizado por la “crisis de los acomodos razonables”, a los autores del informe no les quedó más remedio que jugar en muchas ocasiones con la ambigüedad al proponer sus recomendaciones. En este caso, sobre la prohibición del uso de símbolos religiosos en la función pública, los comisionados decidieron finalmente contentar </w:t>
      </w:r>
      <w:r w:rsidR="00B03AE1" w:rsidRPr="003A1191">
        <w:rPr>
          <w:rFonts w:cstheme="minorHAnsi"/>
          <w:sz w:val="24"/>
          <w:szCs w:val="24"/>
        </w:rPr>
        <w:t>muchos ánimos</w:t>
      </w:r>
      <w:r w:rsidR="001128E1" w:rsidRPr="003A1191">
        <w:rPr>
          <w:rFonts w:cstheme="minorHAnsi"/>
          <w:sz w:val="24"/>
          <w:szCs w:val="24"/>
        </w:rPr>
        <w:t xml:space="preserve"> tomando la decisión de no defender una prohibición general, pero sí particular para ciertas funciones públicas que, por su relevancia e identidad, necesitaban que conservaran una apariencia de neutralidad muy rígida. Como ya explicara Taylor, esta postura se terminó adoptando pensando en la tensión social del momento, pero confiando en que, con los años, la sociedad quebequense fuera normalizando la presencia de la diversidad y dejara de extrañarse por la visualización habitual de símbolos religiosos en todos los espacios</w:t>
      </w:r>
      <w:r w:rsidR="00040278" w:rsidRPr="003A1191">
        <w:rPr>
          <w:rFonts w:cstheme="minorHAnsi"/>
          <w:sz w:val="24"/>
          <w:szCs w:val="24"/>
        </w:rPr>
        <w:t>,</w:t>
      </w:r>
      <w:r w:rsidR="001128E1" w:rsidRPr="003A1191">
        <w:rPr>
          <w:rFonts w:cstheme="minorHAnsi"/>
          <w:sz w:val="24"/>
          <w:szCs w:val="24"/>
        </w:rPr>
        <w:t xml:space="preserve"> sin llegar a cuestionar la laicidad de su sociedad e instituciones.</w:t>
      </w:r>
    </w:p>
    <w:p w14:paraId="4A4FB65D" w14:textId="77777777" w:rsidR="00076951" w:rsidRPr="003A1191" w:rsidRDefault="001128E1" w:rsidP="00545B53">
      <w:pPr>
        <w:spacing w:line="360" w:lineRule="auto"/>
        <w:ind w:firstLine="708"/>
        <w:jc w:val="both"/>
        <w:rPr>
          <w:rFonts w:cstheme="minorHAnsi"/>
          <w:sz w:val="24"/>
          <w:szCs w:val="24"/>
        </w:rPr>
      </w:pPr>
      <w:r w:rsidRPr="003A1191">
        <w:rPr>
          <w:rFonts w:cstheme="minorHAnsi"/>
          <w:sz w:val="24"/>
          <w:szCs w:val="24"/>
        </w:rPr>
        <w:t xml:space="preserve">Con los años parece que la esperanza de cambio </w:t>
      </w:r>
      <w:r w:rsidR="001407A0" w:rsidRPr="003A1191">
        <w:rPr>
          <w:rFonts w:cstheme="minorHAnsi"/>
          <w:sz w:val="24"/>
          <w:szCs w:val="24"/>
        </w:rPr>
        <w:t>y</w:t>
      </w:r>
      <w:r w:rsidRPr="003A1191">
        <w:rPr>
          <w:rFonts w:cstheme="minorHAnsi"/>
          <w:sz w:val="24"/>
          <w:szCs w:val="24"/>
        </w:rPr>
        <w:t xml:space="preserve"> adaptación de la sociedad francocanadiense no fue así. </w:t>
      </w:r>
      <w:r w:rsidR="00040278" w:rsidRPr="003A1191">
        <w:rPr>
          <w:rFonts w:cstheme="minorHAnsi"/>
          <w:sz w:val="24"/>
          <w:szCs w:val="24"/>
        </w:rPr>
        <w:t>Con el tiempo, como apuntara Taylor, muchos políticos y ciudadanos han tratado de extender la rigidez de la prohibición</w:t>
      </w:r>
      <w:r w:rsidR="00585731" w:rsidRPr="003A1191">
        <w:rPr>
          <w:rFonts w:cstheme="minorHAnsi"/>
          <w:sz w:val="24"/>
          <w:szCs w:val="24"/>
        </w:rPr>
        <w:t>,</w:t>
      </w:r>
      <w:r w:rsidR="00040278" w:rsidRPr="003A1191">
        <w:rPr>
          <w:rFonts w:cstheme="minorHAnsi"/>
          <w:sz w:val="24"/>
          <w:szCs w:val="24"/>
        </w:rPr>
        <w:t xml:space="preserve"> que se conservaba contra funcionarios con funciones de coerción</w:t>
      </w:r>
      <w:r w:rsidR="00585731" w:rsidRPr="003A1191">
        <w:rPr>
          <w:rFonts w:cstheme="minorHAnsi"/>
          <w:sz w:val="24"/>
          <w:szCs w:val="24"/>
        </w:rPr>
        <w:t>,</w:t>
      </w:r>
      <w:r w:rsidR="00040278" w:rsidRPr="003A1191">
        <w:rPr>
          <w:rFonts w:cstheme="minorHAnsi"/>
          <w:sz w:val="24"/>
          <w:szCs w:val="24"/>
        </w:rPr>
        <w:t xml:space="preserve"> a otros muchos sectores púb</w:t>
      </w:r>
      <w:r w:rsidR="00585731" w:rsidRPr="003A1191">
        <w:rPr>
          <w:rFonts w:cstheme="minorHAnsi"/>
          <w:sz w:val="24"/>
          <w:szCs w:val="24"/>
        </w:rPr>
        <w:t>licos donde se percibía</w:t>
      </w:r>
      <w:r w:rsidR="00040278" w:rsidRPr="003A1191">
        <w:rPr>
          <w:rFonts w:cstheme="minorHAnsi"/>
          <w:sz w:val="24"/>
          <w:szCs w:val="24"/>
        </w:rPr>
        <w:t xml:space="preserve"> que existían también posiciones de autoridad.</w:t>
      </w:r>
      <w:r w:rsidR="000A59A2" w:rsidRPr="003A1191">
        <w:rPr>
          <w:rFonts w:cstheme="minorHAnsi"/>
          <w:sz w:val="24"/>
          <w:szCs w:val="24"/>
        </w:rPr>
        <w:t xml:space="preserve"> De esta manera, una medida instrumental, que pretendía una adaptación paulatina hacia la normalización de la visualización de la diversidad en todas las esferas, terminó convirtiéndose en </w:t>
      </w:r>
      <w:r w:rsidR="000A59A2" w:rsidRPr="003A1191">
        <w:rPr>
          <w:rFonts w:cstheme="minorHAnsi"/>
          <w:sz w:val="24"/>
          <w:szCs w:val="24"/>
        </w:rPr>
        <w:lastRenderedPageBreak/>
        <w:t xml:space="preserve">herramienta de resistencia de algunos partidos y sectores sociales para la conservación de una identidad francófona percibida en peligro. </w:t>
      </w:r>
      <w:r w:rsidR="007D5425" w:rsidRPr="003A1191">
        <w:rPr>
          <w:rFonts w:cstheme="minorHAnsi"/>
          <w:sz w:val="24"/>
          <w:szCs w:val="24"/>
        </w:rPr>
        <w:t xml:space="preserve">Esto llevó a los defensores la prohibición del uso de símbolos religiosos en funcionarios públicos a legitimar su inclusión en la Carta de Valores y a mantener su </w:t>
      </w:r>
      <w:r w:rsidR="00564B8A" w:rsidRPr="003A1191">
        <w:rPr>
          <w:rFonts w:cstheme="minorHAnsi"/>
          <w:sz w:val="24"/>
          <w:szCs w:val="24"/>
        </w:rPr>
        <w:t xml:space="preserve">vigencia </w:t>
      </w:r>
      <w:r w:rsidR="00582216" w:rsidRPr="003A1191">
        <w:rPr>
          <w:rFonts w:cstheme="minorHAnsi"/>
          <w:sz w:val="24"/>
          <w:szCs w:val="24"/>
        </w:rPr>
        <w:t>en base a dos justificaciones</w:t>
      </w:r>
      <w:r w:rsidR="00FD4C2C" w:rsidRPr="003A1191">
        <w:rPr>
          <w:rFonts w:cstheme="minorHAnsi"/>
          <w:sz w:val="24"/>
          <w:szCs w:val="24"/>
        </w:rPr>
        <w:t xml:space="preserve"> </w:t>
      </w:r>
      <w:sdt>
        <w:sdtPr>
          <w:rPr>
            <w:rFonts w:cstheme="minorHAnsi"/>
            <w:sz w:val="24"/>
            <w:szCs w:val="24"/>
          </w:rPr>
          <w:id w:val="1151710599"/>
          <w:citation/>
        </w:sdtPr>
        <w:sdtEndPr/>
        <w:sdtContent>
          <w:r w:rsidR="006108D3" w:rsidRPr="003A1191">
            <w:rPr>
              <w:rFonts w:cstheme="minorHAnsi"/>
              <w:sz w:val="24"/>
              <w:szCs w:val="24"/>
            </w:rPr>
            <w:fldChar w:fldCharType="begin"/>
          </w:r>
          <w:r w:rsidR="006108D3" w:rsidRPr="003A1191">
            <w:rPr>
              <w:rFonts w:cstheme="minorHAnsi"/>
              <w:sz w:val="24"/>
              <w:szCs w:val="24"/>
            </w:rPr>
            <w:instrText xml:space="preserve">CITATION Mac16 \p 17 \l 3082 </w:instrText>
          </w:r>
          <w:r w:rsidR="006108D3" w:rsidRPr="003A1191">
            <w:rPr>
              <w:rFonts w:cstheme="minorHAnsi"/>
              <w:sz w:val="24"/>
              <w:szCs w:val="24"/>
            </w:rPr>
            <w:fldChar w:fldCharType="separate"/>
          </w:r>
          <w:r w:rsidR="006108D3" w:rsidRPr="003A1191">
            <w:rPr>
              <w:rFonts w:cstheme="minorHAnsi"/>
              <w:noProof/>
              <w:sz w:val="24"/>
              <w:szCs w:val="24"/>
            </w:rPr>
            <w:t>(Maclure, 2016, p. 17)</w:t>
          </w:r>
          <w:r w:rsidR="006108D3" w:rsidRPr="003A1191">
            <w:rPr>
              <w:rFonts w:cstheme="minorHAnsi"/>
              <w:sz w:val="24"/>
              <w:szCs w:val="24"/>
            </w:rPr>
            <w:fldChar w:fldCharType="end"/>
          </w:r>
        </w:sdtContent>
      </w:sdt>
      <w:r w:rsidR="00582216" w:rsidRPr="003A1191">
        <w:rPr>
          <w:rFonts w:cstheme="minorHAnsi"/>
          <w:sz w:val="24"/>
          <w:szCs w:val="24"/>
        </w:rPr>
        <w:t xml:space="preserve">: </w:t>
      </w:r>
      <w:r w:rsidR="005126EB" w:rsidRPr="003A1191">
        <w:rPr>
          <w:rFonts w:cstheme="minorHAnsi"/>
          <w:sz w:val="24"/>
          <w:szCs w:val="24"/>
        </w:rPr>
        <w:t>la primera</w:t>
      </w:r>
      <w:r w:rsidR="00AE61A8" w:rsidRPr="003A1191">
        <w:rPr>
          <w:rFonts w:cstheme="minorHAnsi"/>
          <w:sz w:val="24"/>
          <w:szCs w:val="24"/>
        </w:rPr>
        <w:t xml:space="preserve">, mediante una analogía por la que la exigencia de neutralidad en cuestiones </w:t>
      </w:r>
      <w:r w:rsidR="00012E68" w:rsidRPr="003A1191">
        <w:rPr>
          <w:rFonts w:cstheme="minorHAnsi"/>
          <w:sz w:val="24"/>
          <w:szCs w:val="24"/>
        </w:rPr>
        <w:t>religiosas</w:t>
      </w:r>
      <w:r w:rsidR="00AE61A8" w:rsidRPr="003A1191">
        <w:rPr>
          <w:rFonts w:cstheme="minorHAnsi"/>
          <w:sz w:val="24"/>
          <w:szCs w:val="24"/>
        </w:rPr>
        <w:t xml:space="preserve"> que se exige a la administración pública es la misma que cuando se le </w:t>
      </w:r>
      <w:r w:rsidR="00012E68" w:rsidRPr="003A1191">
        <w:rPr>
          <w:rFonts w:cstheme="minorHAnsi"/>
          <w:sz w:val="24"/>
          <w:szCs w:val="24"/>
        </w:rPr>
        <w:t>reclama</w:t>
      </w:r>
      <w:r w:rsidR="00AE61A8" w:rsidRPr="003A1191">
        <w:rPr>
          <w:rFonts w:cstheme="minorHAnsi"/>
          <w:sz w:val="24"/>
          <w:szCs w:val="24"/>
        </w:rPr>
        <w:t xml:space="preserve"> neutralidad política, es decir, que los funcionarios públicos tampoco podrían expresar sus inclinaciones políticas en el desempeño de sus funciones.</w:t>
      </w:r>
      <w:r w:rsidR="00012E68" w:rsidRPr="003A1191">
        <w:rPr>
          <w:rFonts w:cstheme="minorHAnsi"/>
          <w:sz w:val="24"/>
          <w:szCs w:val="24"/>
        </w:rPr>
        <w:t xml:space="preserve"> Y la segunda que, dado que </w:t>
      </w:r>
      <w:r w:rsidR="00671F81" w:rsidRPr="003A1191">
        <w:rPr>
          <w:rFonts w:cstheme="minorHAnsi"/>
          <w:sz w:val="24"/>
          <w:szCs w:val="24"/>
        </w:rPr>
        <w:t>la verdadera fe y las creencias religiosas son cuestiones subjetivas que alimentan la experiencia espiritual de los individuos, su externalización no debería ser parte del derecho a la libertad religiosa</w:t>
      </w:r>
      <w:r w:rsidR="00E179DE" w:rsidRPr="003A1191">
        <w:rPr>
          <w:rFonts w:cstheme="minorHAnsi"/>
          <w:sz w:val="24"/>
          <w:szCs w:val="24"/>
        </w:rPr>
        <w:t>. De este modo, cuando a un empleado público se le exigiera esconder cualquier tipo de símbolo que manifestara su pertenencia religiosa, en realidad se le estaría exigiendo un “sacrificio razonable”.</w:t>
      </w:r>
    </w:p>
    <w:p w14:paraId="6085FF04" w14:textId="65AFA9A2" w:rsidR="00997E77" w:rsidRPr="003A1191" w:rsidRDefault="00076951" w:rsidP="00545B53">
      <w:pPr>
        <w:spacing w:line="360" w:lineRule="auto"/>
        <w:ind w:firstLine="708"/>
        <w:jc w:val="both"/>
        <w:rPr>
          <w:rFonts w:cstheme="minorHAnsi"/>
          <w:sz w:val="24"/>
          <w:szCs w:val="24"/>
        </w:rPr>
      </w:pPr>
      <w:r w:rsidRPr="003A1191">
        <w:rPr>
          <w:rFonts w:cstheme="minorHAnsi"/>
          <w:sz w:val="24"/>
          <w:szCs w:val="24"/>
        </w:rPr>
        <w:t xml:space="preserve">En el primer caso, sostener una justificación en base a una analogía depende mucho de las similitudes o de las diferencias de los dos casos que se intentan casar. </w:t>
      </w:r>
      <w:r w:rsidR="00134D44" w:rsidRPr="003A1191">
        <w:rPr>
          <w:rFonts w:cstheme="minorHAnsi"/>
          <w:sz w:val="24"/>
          <w:szCs w:val="24"/>
        </w:rPr>
        <w:t>Para quien defiende este argumento, el Estado puede exigir a sus funcionarios que se abstengan de expresar cualquier opinión política mientras llevan a cabo sus funciones</w:t>
      </w:r>
      <w:r w:rsidR="008B0096" w:rsidRPr="003A1191">
        <w:rPr>
          <w:rFonts w:cstheme="minorHAnsi"/>
          <w:sz w:val="24"/>
          <w:szCs w:val="24"/>
        </w:rPr>
        <w:t>,</w:t>
      </w:r>
      <w:r w:rsidR="00134D44" w:rsidRPr="003A1191">
        <w:rPr>
          <w:rFonts w:cstheme="minorHAnsi"/>
          <w:sz w:val="24"/>
          <w:szCs w:val="24"/>
        </w:rPr>
        <w:t xml:space="preserve"> ya que la administración pública debe ser neutral incluso en cuestiones políticas. La administración pública debe ser la encargada de </w:t>
      </w:r>
      <w:r w:rsidR="008B0096" w:rsidRPr="003A1191">
        <w:rPr>
          <w:rFonts w:cstheme="minorHAnsi"/>
          <w:sz w:val="24"/>
          <w:szCs w:val="24"/>
        </w:rPr>
        <w:t>mantener</w:t>
      </w:r>
      <w:r w:rsidR="00134D44" w:rsidRPr="003A1191">
        <w:rPr>
          <w:rFonts w:cstheme="minorHAnsi"/>
          <w:sz w:val="24"/>
          <w:szCs w:val="24"/>
        </w:rPr>
        <w:t xml:space="preserve"> en funcionamiento </w:t>
      </w:r>
      <w:r w:rsidR="008B0096" w:rsidRPr="003A1191">
        <w:rPr>
          <w:rFonts w:cstheme="minorHAnsi"/>
          <w:sz w:val="24"/>
          <w:szCs w:val="24"/>
        </w:rPr>
        <w:t xml:space="preserve">constante </w:t>
      </w:r>
      <w:r w:rsidR="00134D44" w:rsidRPr="003A1191">
        <w:rPr>
          <w:rFonts w:cstheme="minorHAnsi"/>
          <w:sz w:val="24"/>
          <w:szCs w:val="24"/>
        </w:rPr>
        <w:t>al Estado</w:t>
      </w:r>
      <w:r w:rsidR="008B0096" w:rsidRPr="003A1191">
        <w:rPr>
          <w:rFonts w:cstheme="minorHAnsi"/>
          <w:sz w:val="24"/>
          <w:szCs w:val="24"/>
        </w:rPr>
        <w:t xml:space="preserve"> y de aplicar de forma imparcial el ordenamiento jurídico a pesar de los cambios de gobierno y de la introducción de nuevas ideas políticas. Existirían, por tanto, muchas cuestiones gestionadas por la administración pública que tienen su propia inercia al margen de las ideas políticas y que, por tanto, carecen de ningún tipo de adscripción ideológica. Pero este distanciamiento de la administración pública con respecto a las ideas políticas no resulta tan claro. Los cambios políticos que traen consigo cambios de gobierno afectan a la agenda política, que queda determinada en cada mandato por el programa político del partido ganador. Para ello, el gobierno tendrá a </w:t>
      </w:r>
      <w:r w:rsidR="00A60D18" w:rsidRPr="003A1191">
        <w:rPr>
          <w:rFonts w:cstheme="minorHAnsi"/>
          <w:sz w:val="24"/>
          <w:szCs w:val="24"/>
        </w:rPr>
        <w:t>su</w:t>
      </w:r>
      <w:r w:rsidR="008B0096" w:rsidRPr="003A1191">
        <w:rPr>
          <w:rFonts w:cstheme="minorHAnsi"/>
          <w:sz w:val="24"/>
          <w:szCs w:val="24"/>
        </w:rPr>
        <w:t xml:space="preserve"> disposición todos los </w:t>
      </w:r>
      <w:r w:rsidR="00A60D18" w:rsidRPr="003A1191">
        <w:rPr>
          <w:rFonts w:cstheme="minorHAnsi"/>
          <w:sz w:val="24"/>
          <w:szCs w:val="24"/>
        </w:rPr>
        <w:t>mecanismos</w:t>
      </w:r>
      <w:r w:rsidR="008B0096" w:rsidRPr="003A1191">
        <w:rPr>
          <w:rFonts w:cstheme="minorHAnsi"/>
          <w:sz w:val="24"/>
          <w:szCs w:val="24"/>
        </w:rPr>
        <w:t xml:space="preserve"> de la administración </w:t>
      </w:r>
      <w:r w:rsidR="00A60D18" w:rsidRPr="003A1191">
        <w:rPr>
          <w:rFonts w:cstheme="minorHAnsi"/>
          <w:sz w:val="24"/>
          <w:szCs w:val="24"/>
        </w:rPr>
        <w:t>pública</w:t>
      </w:r>
      <w:r w:rsidR="008B0096" w:rsidRPr="003A1191">
        <w:rPr>
          <w:rFonts w:cstheme="minorHAnsi"/>
          <w:sz w:val="24"/>
          <w:szCs w:val="24"/>
        </w:rPr>
        <w:t xml:space="preserve"> para la implementación de su agenda, por lo que muchos funcionarios públicos se </w:t>
      </w:r>
      <w:r w:rsidR="00A60D18" w:rsidRPr="003A1191">
        <w:rPr>
          <w:rFonts w:cstheme="minorHAnsi"/>
          <w:sz w:val="24"/>
          <w:szCs w:val="24"/>
        </w:rPr>
        <w:t>verán</w:t>
      </w:r>
      <w:r w:rsidR="008B0096" w:rsidRPr="003A1191">
        <w:rPr>
          <w:rFonts w:cstheme="minorHAnsi"/>
          <w:sz w:val="24"/>
          <w:szCs w:val="24"/>
        </w:rPr>
        <w:t xml:space="preserve"> obligados a aplicar determinadas normas o </w:t>
      </w:r>
      <w:r w:rsidR="00980043" w:rsidRPr="003A1191">
        <w:rPr>
          <w:rFonts w:cstheme="minorHAnsi"/>
          <w:sz w:val="24"/>
          <w:szCs w:val="24"/>
        </w:rPr>
        <w:t>procedimientos,</w:t>
      </w:r>
      <w:r w:rsidR="008B0096" w:rsidRPr="003A1191">
        <w:rPr>
          <w:rFonts w:cstheme="minorHAnsi"/>
          <w:sz w:val="24"/>
          <w:szCs w:val="24"/>
        </w:rPr>
        <w:t xml:space="preserve"> aunque no </w:t>
      </w:r>
      <w:r w:rsidR="00A60D18" w:rsidRPr="003A1191">
        <w:rPr>
          <w:rFonts w:cstheme="minorHAnsi"/>
          <w:sz w:val="24"/>
          <w:szCs w:val="24"/>
        </w:rPr>
        <w:t>conjuguen</w:t>
      </w:r>
      <w:r w:rsidR="008B0096" w:rsidRPr="003A1191">
        <w:rPr>
          <w:rFonts w:cstheme="minorHAnsi"/>
          <w:sz w:val="24"/>
          <w:szCs w:val="24"/>
        </w:rPr>
        <w:t xml:space="preserve"> con ellos.</w:t>
      </w:r>
      <w:r w:rsidR="00980043" w:rsidRPr="003A1191">
        <w:rPr>
          <w:rFonts w:cstheme="minorHAnsi"/>
          <w:sz w:val="24"/>
          <w:szCs w:val="24"/>
        </w:rPr>
        <w:t xml:space="preserve"> La administración pública no se mantiene neutral a la hora de tener que aplicar un </w:t>
      </w:r>
      <w:r w:rsidR="00980043" w:rsidRPr="003A1191">
        <w:rPr>
          <w:rFonts w:cstheme="minorHAnsi"/>
          <w:sz w:val="24"/>
          <w:szCs w:val="24"/>
        </w:rPr>
        <w:lastRenderedPageBreak/>
        <w:t xml:space="preserve">programa de gobierno a través de sus funcionarios. La neutralidad política, por tanto, no es posible en el Estado cuando utiliza la administración pública, pero sí puede serlo con respecto a la religión. </w:t>
      </w:r>
      <w:r w:rsidR="00D36A08" w:rsidRPr="003A1191">
        <w:rPr>
          <w:rFonts w:cstheme="minorHAnsi"/>
          <w:sz w:val="24"/>
          <w:szCs w:val="24"/>
        </w:rPr>
        <w:t>El hecho de que un funcionario público pueda portar un símbolo religioso en el desempeño de sus funciones no afecta a la adecuación de las mismas a las directrices fijadas por el gobierno en su programa político.</w:t>
      </w:r>
      <w:r w:rsidR="00C66439" w:rsidRPr="003A1191">
        <w:rPr>
          <w:rFonts w:cstheme="minorHAnsi"/>
          <w:sz w:val="24"/>
          <w:szCs w:val="24"/>
        </w:rPr>
        <w:t xml:space="preserve"> Los funcionarios públicos llevan a cabo su trabajo conforme a la ley, independientemente del origen ideológico de la misma y sin que su adscripción religiosa afecte a su aplicación.</w:t>
      </w:r>
      <w:r w:rsidR="00997E77" w:rsidRPr="003A1191">
        <w:rPr>
          <w:rFonts w:cstheme="minorHAnsi"/>
          <w:sz w:val="24"/>
          <w:szCs w:val="24"/>
        </w:rPr>
        <w:t xml:space="preserve"> La neutralidad del Estado</w:t>
      </w:r>
      <w:r w:rsidR="000132D8" w:rsidRPr="003A1191">
        <w:rPr>
          <w:rFonts w:cstheme="minorHAnsi"/>
          <w:sz w:val="24"/>
          <w:szCs w:val="24"/>
        </w:rPr>
        <w:t>, por tanto,</w:t>
      </w:r>
      <w:r w:rsidR="00997E77" w:rsidRPr="003A1191">
        <w:rPr>
          <w:rFonts w:cstheme="minorHAnsi"/>
          <w:sz w:val="24"/>
          <w:szCs w:val="24"/>
        </w:rPr>
        <w:t xml:space="preserve"> no se ve afectada por la aplicación de un programa político, pero sí pudiera cuestionarse si lo hiciera en función de una adscripción religiosa. Y los funcionarios públicos no dejan de desempeñar sus funciones de una manera neutral si aplican un programa político con una ideología concreta, como tampoco lo harían si portaran símbolos religiosos</w:t>
      </w:r>
      <w:r w:rsidR="00F51F0A" w:rsidRPr="003A1191">
        <w:rPr>
          <w:rFonts w:cstheme="minorHAnsi"/>
          <w:sz w:val="24"/>
          <w:szCs w:val="24"/>
        </w:rPr>
        <w:t>,</w:t>
      </w:r>
      <w:r w:rsidR="00997E77" w:rsidRPr="003A1191">
        <w:rPr>
          <w:rFonts w:cstheme="minorHAnsi"/>
          <w:sz w:val="24"/>
          <w:szCs w:val="24"/>
        </w:rPr>
        <w:t xml:space="preserve"> siempre y cuando su actuación se hiciera conforme a la ley. </w:t>
      </w:r>
      <w:r w:rsidR="00F51F0A" w:rsidRPr="003A1191">
        <w:rPr>
          <w:rFonts w:cstheme="minorHAnsi"/>
          <w:sz w:val="24"/>
          <w:szCs w:val="24"/>
        </w:rPr>
        <w:t>Aquí su ejercicio de la libertad religiosa se vería limitado por la obligación de cumplir sus funciones de forma profesional.</w:t>
      </w:r>
      <w:r w:rsidR="00436509" w:rsidRPr="003A1191">
        <w:rPr>
          <w:rFonts w:cstheme="minorHAnsi"/>
          <w:sz w:val="24"/>
          <w:szCs w:val="24"/>
        </w:rPr>
        <w:t xml:space="preserve"> Pero actuar conforme a la ley, independientemente de cuál sea su origen programático, es lo que determina la neutralidad de sus funciones.</w:t>
      </w:r>
    </w:p>
    <w:p w14:paraId="7BCE1498" w14:textId="12EC3D59" w:rsidR="00021FA3" w:rsidRPr="003A1191" w:rsidRDefault="00436509" w:rsidP="00545B53">
      <w:pPr>
        <w:spacing w:line="360" w:lineRule="auto"/>
        <w:ind w:firstLine="708"/>
        <w:jc w:val="both"/>
        <w:rPr>
          <w:rFonts w:cstheme="minorHAnsi"/>
          <w:sz w:val="24"/>
          <w:szCs w:val="24"/>
        </w:rPr>
      </w:pPr>
      <w:r w:rsidRPr="003A1191">
        <w:rPr>
          <w:rFonts w:cstheme="minorHAnsi"/>
          <w:sz w:val="24"/>
          <w:szCs w:val="24"/>
        </w:rPr>
        <w:t xml:space="preserve">La segunda justificación </w:t>
      </w:r>
      <w:r w:rsidR="009054B4" w:rsidRPr="003A1191">
        <w:rPr>
          <w:rFonts w:cstheme="minorHAnsi"/>
          <w:sz w:val="24"/>
          <w:szCs w:val="24"/>
        </w:rPr>
        <w:t>se fundamenta sobre la manera en</w:t>
      </w:r>
      <w:r w:rsidR="008062F4" w:rsidRPr="003A1191">
        <w:rPr>
          <w:rFonts w:cstheme="minorHAnsi"/>
          <w:sz w:val="24"/>
          <w:szCs w:val="24"/>
        </w:rPr>
        <w:t xml:space="preserve"> </w:t>
      </w:r>
      <w:r w:rsidR="009054B4" w:rsidRPr="003A1191">
        <w:rPr>
          <w:rFonts w:cstheme="minorHAnsi"/>
          <w:sz w:val="24"/>
          <w:szCs w:val="24"/>
        </w:rPr>
        <w:t xml:space="preserve">la que debe practicarse el derecho a la libertad religiosa. </w:t>
      </w:r>
      <w:r w:rsidR="00070A1A" w:rsidRPr="003A1191">
        <w:rPr>
          <w:rFonts w:cstheme="minorHAnsi"/>
          <w:sz w:val="24"/>
          <w:szCs w:val="24"/>
        </w:rPr>
        <w:t>Según presuponen, cualquier funcionario público es libre de expresar su adscripción religiosa en su vida privada, o participando en la sociedad civil, de la manera que estime oportuno. Pero en el eje</w:t>
      </w:r>
      <w:r w:rsidR="00900796" w:rsidRPr="003A1191">
        <w:rPr>
          <w:rFonts w:cstheme="minorHAnsi"/>
          <w:sz w:val="24"/>
          <w:szCs w:val="24"/>
        </w:rPr>
        <w:t xml:space="preserve">rcicio de sus funciones, le corresponde cumplir con un deber de reserva que le insta a abstenerse de mostrar cualquier símbolo que exprese sus creencias religiosas. </w:t>
      </w:r>
      <w:r w:rsidR="002C4483" w:rsidRPr="003A1191">
        <w:rPr>
          <w:rFonts w:cstheme="minorHAnsi"/>
          <w:sz w:val="24"/>
          <w:szCs w:val="24"/>
        </w:rPr>
        <w:t xml:space="preserve">Para Maclure, este sacrificio razonable de la fe en pos de la </w:t>
      </w:r>
      <w:r w:rsidR="009A1351" w:rsidRPr="003A1191">
        <w:rPr>
          <w:rFonts w:cstheme="minorHAnsi"/>
          <w:sz w:val="24"/>
          <w:szCs w:val="24"/>
        </w:rPr>
        <w:t xml:space="preserve">apariencia de neutralidad tiene, en realidad, </w:t>
      </w:r>
      <w:r w:rsidR="002C4483" w:rsidRPr="003A1191">
        <w:rPr>
          <w:rFonts w:cstheme="minorHAnsi"/>
          <w:sz w:val="24"/>
          <w:szCs w:val="24"/>
        </w:rPr>
        <w:t>una base</w:t>
      </w:r>
      <w:r w:rsidR="009A1351" w:rsidRPr="003A1191">
        <w:rPr>
          <w:rFonts w:cstheme="minorHAnsi"/>
          <w:sz w:val="24"/>
          <w:szCs w:val="24"/>
        </w:rPr>
        <w:t xml:space="preserve"> muy</w:t>
      </w:r>
      <w:r w:rsidR="002C4483" w:rsidRPr="003A1191">
        <w:rPr>
          <w:rFonts w:cstheme="minorHAnsi"/>
          <w:sz w:val="24"/>
          <w:szCs w:val="24"/>
        </w:rPr>
        <w:t xml:space="preserve"> cristiana </w:t>
      </w:r>
      <w:sdt>
        <w:sdtPr>
          <w:rPr>
            <w:rFonts w:cstheme="minorHAnsi"/>
            <w:sz w:val="24"/>
            <w:szCs w:val="24"/>
          </w:rPr>
          <w:id w:val="642081593"/>
          <w:citation/>
        </w:sdtPr>
        <w:sdtEndPr/>
        <w:sdtContent>
          <w:r w:rsidR="002C4483" w:rsidRPr="003A1191">
            <w:rPr>
              <w:rFonts w:cstheme="minorHAnsi"/>
              <w:sz w:val="24"/>
              <w:szCs w:val="24"/>
            </w:rPr>
            <w:fldChar w:fldCharType="begin"/>
          </w:r>
          <w:r w:rsidR="002C4483" w:rsidRPr="003A1191">
            <w:rPr>
              <w:rFonts w:cstheme="minorHAnsi"/>
              <w:sz w:val="24"/>
              <w:szCs w:val="24"/>
            </w:rPr>
            <w:instrText xml:space="preserve">CITATION Mac16 \p 20 \l 3082 </w:instrText>
          </w:r>
          <w:r w:rsidR="002C4483" w:rsidRPr="003A1191">
            <w:rPr>
              <w:rFonts w:cstheme="minorHAnsi"/>
              <w:sz w:val="24"/>
              <w:szCs w:val="24"/>
            </w:rPr>
            <w:fldChar w:fldCharType="separate"/>
          </w:r>
          <w:r w:rsidR="002C4483" w:rsidRPr="003A1191">
            <w:rPr>
              <w:rFonts w:cstheme="minorHAnsi"/>
              <w:noProof/>
              <w:sz w:val="24"/>
              <w:szCs w:val="24"/>
            </w:rPr>
            <w:t>(Maclure, 2016, p. 20)</w:t>
          </w:r>
          <w:r w:rsidR="002C4483" w:rsidRPr="003A1191">
            <w:rPr>
              <w:rFonts w:cstheme="minorHAnsi"/>
              <w:sz w:val="24"/>
              <w:szCs w:val="24"/>
            </w:rPr>
            <w:fldChar w:fldCharType="end"/>
          </w:r>
        </w:sdtContent>
      </w:sdt>
      <w:r w:rsidR="002C4483" w:rsidRPr="003A1191">
        <w:rPr>
          <w:rFonts w:cstheme="minorHAnsi"/>
          <w:sz w:val="24"/>
          <w:szCs w:val="24"/>
        </w:rPr>
        <w:t>. Gran parte de</w:t>
      </w:r>
      <w:r w:rsidR="009A1351" w:rsidRPr="003A1191">
        <w:rPr>
          <w:rFonts w:cstheme="minorHAnsi"/>
          <w:sz w:val="24"/>
          <w:szCs w:val="24"/>
        </w:rPr>
        <w:t>l</w:t>
      </w:r>
      <w:r w:rsidR="002C4483" w:rsidRPr="003A1191">
        <w:rPr>
          <w:rFonts w:cstheme="minorHAnsi"/>
          <w:sz w:val="24"/>
          <w:szCs w:val="24"/>
        </w:rPr>
        <w:t xml:space="preserve"> </w:t>
      </w:r>
      <w:r w:rsidR="000529D4" w:rsidRPr="003A1191">
        <w:rPr>
          <w:rFonts w:cstheme="minorHAnsi"/>
          <w:sz w:val="24"/>
          <w:szCs w:val="24"/>
        </w:rPr>
        <w:t>secularismo</w:t>
      </w:r>
      <w:r w:rsidR="002C4483" w:rsidRPr="003A1191">
        <w:rPr>
          <w:rFonts w:cstheme="minorHAnsi"/>
          <w:sz w:val="24"/>
          <w:szCs w:val="24"/>
        </w:rPr>
        <w:t xml:space="preserve"> </w:t>
      </w:r>
      <w:r w:rsidR="000529D4" w:rsidRPr="003A1191">
        <w:rPr>
          <w:rFonts w:cstheme="minorHAnsi"/>
          <w:sz w:val="24"/>
          <w:szCs w:val="24"/>
        </w:rPr>
        <w:t>tiene su origen en la transformación de la religión en una cuestión personal</w:t>
      </w:r>
      <w:r w:rsidR="006644AF" w:rsidRPr="003A1191">
        <w:rPr>
          <w:rFonts w:cstheme="minorHAnsi"/>
          <w:sz w:val="24"/>
          <w:szCs w:val="24"/>
        </w:rPr>
        <w:t xml:space="preserve"> y </w:t>
      </w:r>
      <w:r w:rsidR="00773EEF" w:rsidRPr="003A1191">
        <w:rPr>
          <w:rFonts w:cstheme="minorHAnsi"/>
          <w:sz w:val="24"/>
          <w:szCs w:val="24"/>
        </w:rPr>
        <w:t xml:space="preserve">en </w:t>
      </w:r>
      <w:r w:rsidR="006644AF" w:rsidRPr="003A1191">
        <w:rPr>
          <w:rFonts w:cstheme="minorHAnsi"/>
          <w:sz w:val="24"/>
          <w:szCs w:val="24"/>
        </w:rPr>
        <w:t xml:space="preserve">su </w:t>
      </w:r>
      <w:r w:rsidR="00773EEF" w:rsidRPr="003A1191">
        <w:rPr>
          <w:rFonts w:cstheme="minorHAnsi"/>
          <w:sz w:val="24"/>
          <w:szCs w:val="24"/>
        </w:rPr>
        <w:t>individualización</w:t>
      </w:r>
      <w:r w:rsidR="006644AF" w:rsidRPr="003A1191">
        <w:rPr>
          <w:rFonts w:cstheme="minorHAnsi"/>
          <w:sz w:val="24"/>
          <w:szCs w:val="24"/>
        </w:rPr>
        <w:t xml:space="preserve"> </w:t>
      </w:r>
      <w:r w:rsidR="00773EEF" w:rsidRPr="003A1191">
        <w:rPr>
          <w:rFonts w:cstheme="minorHAnsi"/>
          <w:sz w:val="24"/>
          <w:szCs w:val="24"/>
        </w:rPr>
        <w:t xml:space="preserve">como parte de la inclinación de las sociedades modernas hacia principios liberales como la autonomía </w:t>
      </w:r>
      <w:r w:rsidR="00AD4DA0" w:rsidRPr="003A1191">
        <w:rPr>
          <w:rFonts w:cstheme="minorHAnsi"/>
          <w:sz w:val="24"/>
          <w:szCs w:val="24"/>
        </w:rPr>
        <w:t xml:space="preserve">de la conciencia moral, es decir, </w:t>
      </w:r>
      <w:r w:rsidR="00F5322C" w:rsidRPr="003A1191">
        <w:rPr>
          <w:rFonts w:cstheme="minorHAnsi"/>
          <w:sz w:val="24"/>
          <w:szCs w:val="24"/>
        </w:rPr>
        <w:t>hacia una sociedad donde</w:t>
      </w:r>
      <w:r w:rsidR="00AD4DA0" w:rsidRPr="003A1191">
        <w:rPr>
          <w:rFonts w:cstheme="minorHAnsi"/>
          <w:sz w:val="24"/>
          <w:szCs w:val="24"/>
        </w:rPr>
        <w:t xml:space="preserve"> es el propio individuo quien se propone sus propias normas morales en función de sus creencias religiosas o </w:t>
      </w:r>
      <w:r w:rsidR="00F5322C" w:rsidRPr="003A1191">
        <w:rPr>
          <w:rFonts w:cstheme="minorHAnsi"/>
          <w:sz w:val="24"/>
          <w:szCs w:val="24"/>
        </w:rPr>
        <w:t>sus convicciones</w:t>
      </w:r>
      <w:r w:rsidR="00AD4DA0" w:rsidRPr="003A1191">
        <w:rPr>
          <w:rFonts w:cstheme="minorHAnsi"/>
          <w:sz w:val="24"/>
          <w:szCs w:val="24"/>
        </w:rPr>
        <w:t>.</w:t>
      </w:r>
      <w:r w:rsidR="00E238B3" w:rsidRPr="003A1191">
        <w:rPr>
          <w:rFonts w:cstheme="minorHAnsi"/>
          <w:sz w:val="24"/>
          <w:szCs w:val="24"/>
        </w:rPr>
        <w:t xml:space="preserve"> Pero es evidente que no todos los individuos pertenecientes a una sociedad étnicamente diversa han sufrido el mismo proceso de secularización, o no les resulta tan fácil separar sus propias creencias religiosas o </w:t>
      </w:r>
      <w:r w:rsidR="00E238B3" w:rsidRPr="003A1191">
        <w:rPr>
          <w:rFonts w:cstheme="minorHAnsi"/>
          <w:sz w:val="24"/>
          <w:szCs w:val="24"/>
        </w:rPr>
        <w:lastRenderedPageBreak/>
        <w:t xml:space="preserve">convicciones de su vida </w:t>
      </w:r>
      <w:r w:rsidR="005E7B8A" w:rsidRPr="003A1191">
        <w:rPr>
          <w:rFonts w:cstheme="minorHAnsi"/>
          <w:sz w:val="24"/>
          <w:szCs w:val="24"/>
        </w:rPr>
        <w:t>diaria</w:t>
      </w:r>
      <w:r w:rsidR="00E238B3" w:rsidRPr="003A1191">
        <w:rPr>
          <w:rFonts w:cstheme="minorHAnsi"/>
          <w:sz w:val="24"/>
          <w:szCs w:val="24"/>
        </w:rPr>
        <w:t xml:space="preserve">. </w:t>
      </w:r>
      <w:r w:rsidR="005E7B8A" w:rsidRPr="003A1191">
        <w:rPr>
          <w:rFonts w:cstheme="minorHAnsi"/>
          <w:sz w:val="24"/>
          <w:szCs w:val="24"/>
        </w:rPr>
        <w:t>Por parte de muchos creyentes</w:t>
      </w:r>
      <w:r w:rsidR="00EC7698" w:rsidRPr="003A1191">
        <w:rPr>
          <w:rFonts w:cstheme="minorHAnsi"/>
          <w:sz w:val="24"/>
          <w:szCs w:val="24"/>
        </w:rPr>
        <w:t>,</w:t>
      </w:r>
      <w:r w:rsidR="005E7B8A" w:rsidRPr="003A1191">
        <w:rPr>
          <w:rFonts w:cstheme="minorHAnsi"/>
          <w:sz w:val="24"/>
          <w:szCs w:val="24"/>
        </w:rPr>
        <w:t xml:space="preserve"> tener que renunciar a determinados símbolos religiosos puede resultar una verdadera </w:t>
      </w:r>
      <w:r w:rsidR="00021FA3" w:rsidRPr="003A1191">
        <w:rPr>
          <w:rFonts w:cstheme="minorHAnsi"/>
          <w:sz w:val="24"/>
          <w:szCs w:val="24"/>
        </w:rPr>
        <w:t>traición</w:t>
      </w:r>
      <w:r w:rsidR="005E7B8A" w:rsidRPr="003A1191">
        <w:rPr>
          <w:rFonts w:cstheme="minorHAnsi"/>
          <w:sz w:val="24"/>
          <w:szCs w:val="24"/>
        </w:rPr>
        <w:t xml:space="preserve"> a su fe</w:t>
      </w:r>
      <w:r w:rsidR="00021FA3" w:rsidRPr="003A1191">
        <w:rPr>
          <w:rFonts w:cstheme="minorHAnsi"/>
          <w:sz w:val="24"/>
          <w:szCs w:val="24"/>
        </w:rPr>
        <w:t>, y no están dispuestos a que se les obligue a tener que elegir entre sus creencias o una apariencia de neutralidad. De este modo, exigirles un sacrificio razonable e</w:t>
      </w:r>
      <w:r w:rsidR="001A58FB" w:rsidRPr="003A1191">
        <w:rPr>
          <w:rFonts w:cstheme="minorHAnsi"/>
          <w:sz w:val="24"/>
          <w:szCs w:val="24"/>
        </w:rPr>
        <w:t>n</w:t>
      </w:r>
      <w:r w:rsidR="00021FA3" w:rsidRPr="003A1191">
        <w:rPr>
          <w:rFonts w:cstheme="minorHAnsi"/>
          <w:sz w:val="24"/>
          <w:szCs w:val="24"/>
        </w:rPr>
        <w:t xml:space="preserve"> favor de una apariencia de neutralidad sólo es una manera de imponer una forma de religiosidad concreta que relega a lo privado cualquier manifestación de las creencias únicamente en base a una corrección social. Un sacrificio razonable termina convirtiéndose, por tanto, en una exigencia de autolimitación que sólo deja margen para la autodiscriminación por no querer renunciar a las propias convicciones.</w:t>
      </w:r>
    </w:p>
    <w:p w14:paraId="42E6EB13" w14:textId="720FE4B2" w:rsidR="0095051C" w:rsidRPr="003A1191" w:rsidRDefault="00571343" w:rsidP="00545B53">
      <w:pPr>
        <w:spacing w:line="360" w:lineRule="auto"/>
        <w:ind w:firstLine="708"/>
        <w:jc w:val="both"/>
        <w:rPr>
          <w:rFonts w:cstheme="minorHAnsi"/>
          <w:sz w:val="24"/>
          <w:szCs w:val="24"/>
        </w:rPr>
      </w:pPr>
      <w:r w:rsidRPr="003A1191">
        <w:rPr>
          <w:rFonts w:cstheme="minorHAnsi"/>
          <w:sz w:val="24"/>
          <w:szCs w:val="24"/>
        </w:rPr>
        <w:t>Todas estas cuestiones</w:t>
      </w:r>
      <w:r w:rsidR="005F0640" w:rsidRPr="003A1191">
        <w:rPr>
          <w:rFonts w:cstheme="minorHAnsi"/>
          <w:sz w:val="24"/>
          <w:szCs w:val="24"/>
        </w:rPr>
        <w:t xml:space="preserve"> n</w:t>
      </w:r>
      <w:r w:rsidR="00533F5E" w:rsidRPr="003A1191">
        <w:rPr>
          <w:rFonts w:cstheme="minorHAnsi"/>
          <w:sz w:val="24"/>
          <w:szCs w:val="24"/>
        </w:rPr>
        <w:t>o son fáciles de resolver y, en todo caso, dependerá</w:t>
      </w:r>
      <w:r w:rsidR="005F0640" w:rsidRPr="003A1191">
        <w:rPr>
          <w:rFonts w:cstheme="minorHAnsi"/>
          <w:sz w:val="24"/>
          <w:szCs w:val="24"/>
        </w:rPr>
        <w:t>n</w:t>
      </w:r>
      <w:r w:rsidR="00533F5E" w:rsidRPr="003A1191">
        <w:rPr>
          <w:rFonts w:cstheme="minorHAnsi"/>
          <w:sz w:val="24"/>
          <w:szCs w:val="24"/>
        </w:rPr>
        <w:t xml:space="preserve"> de cuál sea la relación que tenga en Estado con la religión. En una sociedad donde se aplique un concepto rígido </w:t>
      </w:r>
      <w:r w:rsidR="005F0640" w:rsidRPr="003A1191">
        <w:rPr>
          <w:rFonts w:cstheme="minorHAnsi"/>
          <w:sz w:val="24"/>
          <w:szCs w:val="24"/>
        </w:rPr>
        <w:t>de</w:t>
      </w:r>
      <w:r w:rsidR="00533F5E" w:rsidRPr="003A1191">
        <w:rPr>
          <w:rFonts w:cstheme="minorHAnsi"/>
          <w:sz w:val="24"/>
          <w:szCs w:val="24"/>
        </w:rPr>
        <w:t xml:space="preserve"> laicismo, el Estado tratará de distanciarse lo máximo del hecho religioso. En </w:t>
      </w:r>
      <w:r w:rsidR="005F0640" w:rsidRPr="003A1191">
        <w:rPr>
          <w:rFonts w:cstheme="minorHAnsi"/>
          <w:sz w:val="24"/>
          <w:szCs w:val="24"/>
        </w:rPr>
        <w:t xml:space="preserve">una sociedad donde, en cambio, </w:t>
      </w:r>
      <w:r w:rsidR="00533F5E" w:rsidRPr="003A1191">
        <w:rPr>
          <w:rFonts w:cstheme="minorHAnsi"/>
          <w:sz w:val="24"/>
          <w:szCs w:val="24"/>
        </w:rPr>
        <w:t xml:space="preserve">se acepte un concepto abierto de laicismo, el Estado entenderá la neutralidad de una manera positiva e inclusiva con el </w:t>
      </w:r>
      <w:r w:rsidR="005F0640" w:rsidRPr="003A1191">
        <w:rPr>
          <w:rFonts w:cstheme="minorHAnsi"/>
          <w:sz w:val="24"/>
          <w:szCs w:val="24"/>
        </w:rPr>
        <w:t>fenómeno religioso</w:t>
      </w:r>
      <w:r w:rsidR="00533F5E" w:rsidRPr="003A1191">
        <w:rPr>
          <w:rFonts w:cstheme="minorHAnsi"/>
          <w:sz w:val="24"/>
          <w:szCs w:val="24"/>
        </w:rPr>
        <w:t>.</w:t>
      </w:r>
      <w:r w:rsidR="005F0640" w:rsidRPr="003A1191">
        <w:rPr>
          <w:rFonts w:cstheme="minorHAnsi"/>
          <w:sz w:val="24"/>
          <w:szCs w:val="24"/>
        </w:rPr>
        <w:t xml:space="preserve"> En este último supuesto, el Estado puede permitir perfectamente que los funcionarios públicos puedan manifestar sus creencias religiosas ostentando cualquier tipo de símbolo religioso, sin </w:t>
      </w:r>
      <w:r w:rsidR="00BB7D43" w:rsidRPr="003A1191">
        <w:rPr>
          <w:rFonts w:cstheme="minorHAnsi"/>
          <w:sz w:val="24"/>
          <w:szCs w:val="24"/>
        </w:rPr>
        <w:t>perjuicio</w:t>
      </w:r>
      <w:r w:rsidR="005F0640" w:rsidRPr="003A1191">
        <w:rPr>
          <w:rFonts w:cstheme="minorHAnsi"/>
          <w:sz w:val="24"/>
          <w:szCs w:val="24"/>
        </w:rPr>
        <w:t xml:space="preserve"> de que al Estado se le atribuya</w:t>
      </w:r>
      <w:r w:rsidR="0095051C" w:rsidRPr="003A1191">
        <w:rPr>
          <w:rFonts w:cstheme="minorHAnsi"/>
          <w:sz w:val="24"/>
          <w:szCs w:val="24"/>
        </w:rPr>
        <w:t>n</w:t>
      </w:r>
      <w:r w:rsidR="005F0640" w:rsidRPr="003A1191">
        <w:rPr>
          <w:rFonts w:cstheme="minorHAnsi"/>
          <w:sz w:val="24"/>
          <w:szCs w:val="24"/>
        </w:rPr>
        <w:t xml:space="preserve"> las creencias profesadas por sus empleados públicos. Sin emba</w:t>
      </w:r>
      <w:r w:rsidR="00BB7D43" w:rsidRPr="003A1191">
        <w:rPr>
          <w:rFonts w:cstheme="minorHAnsi"/>
          <w:sz w:val="24"/>
          <w:szCs w:val="24"/>
        </w:rPr>
        <w:t>r</w:t>
      </w:r>
      <w:r w:rsidR="005F0640" w:rsidRPr="003A1191">
        <w:rPr>
          <w:rFonts w:cstheme="minorHAnsi"/>
          <w:sz w:val="24"/>
          <w:szCs w:val="24"/>
        </w:rPr>
        <w:t xml:space="preserve">go, dentro de esta apuesta </w:t>
      </w:r>
      <w:r w:rsidR="00BB7D43" w:rsidRPr="003A1191">
        <w:rPr>
          <w:rFonts w:cstheme="minorHAnsi"/>
          <w:sz w:val="24"/>
          <w:szCs w:val="24"/>
        </w:rPr>
        <w:t>por la laicidad abierta</w:t>
      </w:r>
      <w:r w:rsidR="005F0640" w:rsidRPr="003A1191">
        <w:rPr>
          <w:rFonts w:cstheme="minorHAnsi"/>
          <w:sz w:val="24"/>
          <w:szCs w:val="24"/>
        </w:rPr>
        <w:t xml:space="preserve">, existen todavía dudas sobre el posible conflicto de derechos frente a los ciudadanos que acuden a los servicios públicos, de modo que el difícil equilibrio entre la apariencia de neutralidad del Estado y el derecho a la libertad religiosa </w:t>
      </w:r>
      <w:r w:rsidR="001A7B08" w:rsidRPr="003A1191">
        <w:rPr>
          <w:rFonts w:cstheme="minorHAnsi"/>
          <w:sz w:val="24"/>
          <w:szCs w:val="24"/>
        </w:rPr>
        <w:t>termina centrándose en</w:t>
      </w:r>
      <w:r w:rsidR="005F0640" w:rsidRPr="003A1191">
        <w:rPr>
          <w:rFonts w:cstheme="minorHAnsi"/>
          <w:sz w:val="24"/>
          <w:szCs w:val="24"/>
        </w:rPr>
        <w:t xml:space="preserve"> dos problemas concretos: por un lado, el </w:t>
      </w:r>
      <w:r w:rsidR="002E6CB2" w:rsidRPr="003A1191">
        <w:rPr>
          <w:rFonts w:cstheme="minorHAnsi"/>
          <w:sz w:val="24"/>
          <w:szCs w:val="24"/>
        </w:rPr>
        <w:t xml:space="preserve">problema del posible </w:t>
      </w:r>
      <w:r w:rsidR="005F0640" w:rsidRPr="003A1191">
        <w:rPr>
          <w:rFonts w:cstheme="minorHAnsi"/>
          <w:sz w:val="24"/>
          <w:szCs w:val="24"/>
        </w:rPr>
        <w:t>proselitismo, es decir, la preocupación social porque un funcionario público pueda aprovechar su posición para influir en las creencias de los demás ciudadanos mientras ejerce sus funciones; y, por otro, los problemas funcionales que pudieran surgir por la sospecha de imparcialidad de un funcionario público que portara símbolos religiosos.</w:t>
      </w:r>
      <w:r w:rsidRPr="003A1191">
        <w:rPr>
          <w:rFonts w:cstheme="minorHAnsi"/>
          <w:sz w:val="24"/>
          <w:szCs w:val="24"/>
        </w:rPr>
        <w:t xml:space="preserve"> </w:t>
      </w:r>
      <w:r w:rsidR="0095051C" w:rsidRPr="003A1191">
        <w:rPr>
          <w:rFonts w:cstheme="minorHAnsi"/>
          <w:sz w:val="24"/>
          <w:szCs w:val="24"/>
        </w:rPr>
        <w:t xml:space="preserve">De todas formas, estas dos cuestiones, en todo caso, dependen del grado de influencia que pudiera ejercer un funcionario público o de la especial relevancia de sus funciones que, por su importancia simbólica, pudieran quedar comprometidas por la ostentación de símbolos religiosos. No es lo mismo un funcionario que realice labores puramente administrativas que otro que pertenezca a altas esferas gubernamentales. </w:t>
      </w:r>
      <w:r w:rsidR="00F6620C" w:rsidRPr="003A1191">
        <w:rPr>
          <w:rFonts w:cstheme="minorHAnsi"/>
          <w:sz w:val="24"/>
          <w:szCs w:val="24"/>
        </w:rPr>
        <w:t xml:space="preserve">Esta ha sido </w:t>
      </w:r>
      <w:r w:rsidR="00F6620C" w:rsidRPr="003A1191">
        <w:rPr>
          <w:rFonts w:cstheme="minorHAnsi"/>
          <w:sz w:val="24"/>
          <w:szCs w:val="24"/>
        </w:rPr>
        <w:lastRenderedPageBreak/>
        <w:t>la justificación que se ha defendido para mantener, aún en un régimen de laicidad abierta, la prohibición sectorial hacia funcionarios públicos con funciones de coerción</w:t>
      </w:r>
      <w:r w:rsidR="003A6120" w:rsidRPr="003A1191">
        <w:rPr>
          <w:rFonts w:cstheme="minorHAnsi"/>
          <w:sz w:val="24"/>
          <w:szCs w:val="24"/>
        </w:rPr>
        <w:t>, sobre todo por el impacto que sus decisiones suelen tener sobre el resto de la sociedad.</w:t>
      </w:r>
    </w:p>
    <w:p w14:paraId="66C57A1F" w14:textId="36500818" w:rsidR="00B761C1" w:rsidRPr="003A1191" w:rsidRDefault="00B761C1" w:rsidP="00545B53">
      <w:pPr>
        <w:pStyle w:val="Prrafodelista"/>
        <w:numPr>
          <w:ilvl w:val="0"/>
          <w:numId w:val="1"/>
        </w:numPr>
        <w:spacing w:line="360" w:lineRule="auto"/>
        <w:jc w:val="both"/>
        <w:rPr>
          <w:rFonts w:cstheme="minorHAnsi"/>
          <w:b/>
          <w:sz w:val="24"/>
          <w:szCs w:val="24"/>
        </w:rPr>
      </w:pPr>
      <w:r w:rsidRPr="003A1191">
        <w:rPr>
          <w:rFonts w:cstheme="minorHAnsi"/>
          <w:b/>
          <w:sz w:val="24"/>
          <w:szCs w:val="24"/>
        </w:rPr>
        <w:t>Funcionarios públicos con funciones de coerción: jueces</w:t>
      </w:r>
      <w:r w:rsidR="008850DB" w:rsidRPr="003A1191">
        <w:rPr>
          <w:rFonts w:cstheme="minorHAnsi"/>
          <w:b/>
          <w:sz w:val="24"/>
          <w:szCs w:val="24"/>
        </w:rPr>
        <w:t>,</w:t>
      </w:r>
      <w:r w:rsidRPr="003A1191">
        <w:rPr>
          <w:rFonts w:cstheme="minorHAnsi"/>
          <w:b/>
          <w:sz w:val="24"/>
          <w:szCs w:val="24"/>
        </w:rPr>
        <w:t xml:space="preserve"> policías</w:t>
      </w:r>
      <w:r w:rsidR="008850DB" w:rsidRPr="003A1191">
        <w:rPr>
          <w:rFonts w:cstheme="minorHAnsi"/>
          <w:b/>
          <w:sz w:val="24"/>
          <w:szCs w:val="24"/>
        </w:rPr>
        <w:t xml:space="preserve"> y funcionarios de prisión</w:t>
      </w:r>
      <w:r w:rsidR="008B4C2C" w:rsidRPr="003A1191">
        <w:rPr>
          <w:rFonts w:cstheme="minorHAnsi"/>
          <w:b/>
          <w:sz w:val="24"/>
          <w:szCs w:val="24"/>
        </w:rPr>
        <w:t>.</w:t>
      </w:r>
    </w:p>
    <w:p w14:paraId="68D24397" w14:textId="2BB3BCFB" w:rsidR="00B44855" w:rsidRPr="003A1191" w:rsidRDefault="00E0056A" w:rsidP="00545B53">
      <w:pPr>
        <w:spacing w:line="360" w:lineRule="auto"/>
        <w:ind w:firstLine="708"/>
        <w:jc w:val="both"/>
        <w:rPr>
          <w:rFonts w:cstheme="minorHAnsi"/>
          <w:sz w:val="24"/>
          <w:szCs w:val="24"/>
        </w:rPr>
      </w:pPr>
      <w:r w:rsidRPr="003A1191">
        <w:rPr>
          <w:rFonts w:cstheme="minorHAnsi"/>
          <w:sz w:val="24"/>
          <w:szCs w:val="24"/>
        </w:rPr>
        <w:t xml:space="preserve">En el debate sobre el régimen de laicidad deseado, muchos problemas existenciales acuden </w:t>
      </w:r>
      <w:r w:rsidR="009A1351" w:rsidRPr="003A1191">
        <w:rPr>
          <w:rFonts w:cstheme="minorHAnsi"/>
          <w:sz w:val="24"/>
          <w:szCs w:val="24"/>
        </w:rPr>
        <w:t xml:space="preserve">a </w:t>
      </w:r>
      <w:r w:rsidRPr="003A1191">
        <w:rPr>
          <w:rFonts w:cstheme="minorHAnsi"/>
          <w:sz w:val="24"/>
          <w:szCs w:val="24"/>
        </w:rPr>
        <w:t>los argumentos de los defensores de uno u otro modelo de convivencia social, y quizá la mayoría de ellos acaben siendo irresolubles. En todos estos debates se mezclan las cuestiones identitarias con el grado de secularismo que una determinada sociedad qu</w:t>
      </w:r>
      <w:r w:rsidR="009A1351" w:rsidRPr="003A1191">
        <w:rPr>
          <w:rFonts w:cstheme="minorHAnsi"/>
          <w:sz w:val="24"/>
          <w:szCs w:val="24"/>
        </w:rPr>
        <w:t>iere</w:t>
      </w:r>
      <w:r w:rsidRPr="003A1191">
        <w:rPr>
          <w:rFonts w:cstheme="minorHAnsi"/>
          <w:sz w:val="24"/>
          <w:szCs w:val="24"/>
        </w:rPr>
        <w:t xml:space="preserve"> alcanzar. Pero al analizar el caso concreto de los funcionarios públicos con funciones de </w:t>
      </w:r>
      <w:r w:rsidR="00B44855" w:rsidRPr="003A1191">
        <w:rPr>
          <w:rFonts w:cstheme="minorHAnsi"/>
          <w:sz w:val="24"/>
          <w:szCs w:val="24"/>
        </w:rPr>
        <w:t>coerción</w:t>
      </w:r>
      <w:r w:rsidRPr="003A1191">
        <w:rPr>
          <w:rFonts w:cstheme="minorHAnsi"/>
          <w:sz w:val="24"/>
          <w:szCs w:val="24"/>
        </w:rPr>
        <w:t>,</w:t>
      </w:r>
      <w:r w:rsidR="00B44855" w:rsidRPr="003A1191">
        <w:rPr>
          <w:rFonts w:cstheme="minorHAnsi"/>
          <w:sz w:val="24"/>
          <w:szCs w:val="24"/>
        </w:rPr>
        <w:t xml:space="preserve"> el análisis debería circunscribirse únicamente a la discusión sobre si la neutralidad del Estado es una cuestión que deba extenderse a todos ellos y sobre qué problemas operativos podrían surgir de reconocerles la posibilidad de llevar símbolos religiosos en el ejercicio de sus funciones.</w:t>
      </w:r>
    </w:p>
    <w:p w14:paraId="63B3F27B" w14:textId="7CDD4DAB" w:rsidR="00570CD5" w:rsidRPr="003A1191" w:rsidRDefault="00570CD5" w:rsidP="00545B53">
      <w:pPr>
        <w:spacing w:line="360" w:lineRule="auto"/>
        <w:ind w:firstLine="708"/>
        <w:jc w:val="both"/>
        <w:rPr>
          <w:rFonts w:cstheme="minorHAnsi"/>
          <w:sz w:val="24"/>
          <w:szCs w:val="24"/>
        </w:rPr>
      </w:pPr>
      <w:r w:rsidRPr="003A1191">
        <w:rPr>
          <w:rFonts w:cstheme="minorHAnsi"/>
          <w:sz w:val="24"/>
          <w:szCs w:val="24"/>
        </w:rPr>
        <w:t xml:space="preserve">Para el caso de los jueces, el principal argumento que se utiliza para mantener la prohibición de que lleven símbolos religiosos es que la justicia, encarnada en la figura del juez, debe ser imparcial. Toda la simbología que rodea a los jueces y tribunales suele aludir a esta exigencia: la ceguera figurativa de la justicia, la balanza que exige su ecuanimidad o las vestimentas que </w:t>
      </w:r>
      <w:r w:rsidR="00933FC7" w:rsidRPr="003A1191">
        <w:rPr>
          <w:rFonts w:cstheme="minorHAnsi"/>
          <w:sz w:val="24"/>
          <w:szCs w:val="24"/>
        </w:rPr>
        <w:t>dan cuenta de su solemnidad.</w:t>
      </w:r>
      <w:r w:rsidR="00560DA7" w:rsidRPr="003A1191">
        <w:rPr>
          <w:rFonts w:cstheme="minorHAnsi"/>
          <w:sz w:val="24"/>
          <w:szCs w:val="24"/>
        </w:rPr>
        <w:t xml:space="preserve"> Hay toda una simbología que nos construye una imagen de referencia sobre su imparcialidad. </w:t>
      </w:r>
      <w:r w:rsidR="008D2571" w:rsidRPr="003A1191">
        <w:rPr>
          <w:rFonts w:cstheme="minorHAnsi"/>
          <w:sz w:val="24"/>
          <w:szCs w:val="24"/>
        </w:rPr>
        <w:t>La</w:t>
      </w:r>
      <w:r w:rsidR="00B33672" w:rsidRPr="003A1191">
        <w:rPr>
          <w:rFonts w:cstheme="minorHAnsi"/>
          <w:sz w:val="24"/>
          <w:szCs w:val="24"/>
        </w:rPr>
        <w:t xml:space="preserve"> </w:t>
      </w:r>
      <w:r w:rsidR="008D2571" w:rsidRPr="003A1191">
        <w:rPr>
          <w:rFonts w:cstheme="minorHAnsi"/>
          <w:sz w:val="24"/>
          <w:szCs w:val="24"/>
        </w:rPr>
        <w:t xml:space="preserve">pregunta que se </w:t>
      </w:r>
      <w:r w:rsidR="00300831" w:rsidRPr="003A1191">
        <w:rPr>
          <w:rFonts w:cstheme="minorHAnsi"/>
          <w:sz w:val="24"/>
          <w:szCs w:val="24"/>
        </w:rPr>
        <w:t>plantea</w:t>
      </w:r>
      <w:r w:rsidR="008D2571" w:rsidRPr="003A1191">
        <w:rPr>
          <w:rFonts w:cstheme="minorHAnsi"/>
          <w:sz w:val="24"/>
          <w:szCs w:val="24"/>
        </w:rPr>
        <w:t xml:space="preserve">, por tanto, es </w:t>
      </w:r>
      <w:r w:rsidR="00300831" w:rsidRPr="003A1191">
        <w:rPr>
          <w:rFonts w:cstheme="minorHAnsi"/>
          <w:sz w:val="24"/>
          <w:szCs w:val="24"/>
        </w:rPr>
        <w:t>hasta qué punto la ostentación de un símbolo religioso podría dañar esa imagen de imparcialidad. Porque un juez no sólo debe ser imparcial, sino parecerlo. Es un requisito fundamental e imprescindible para tener un juicio verdaderamente justo, es decir, un proceso con todas las garantías.</w:t>
      </w:r>
    </w:p>
    <w:p w14:paraId="748AD11E" w14:textId="36111482" w:rsidR="00EE1080" w:rsidRPr="003A1191" w:rsidRDefault="00AF2F9B" w:rsidP="00545B53">
      <w:pPr>
        <w:spacing w:line="360" w:lineRule="auto"/>
        <w:ind w:firstLine="708"/>
        <w:jc w:val="both"/>
        <w:rPr>
          <w:rFonts w:cstheme="minorHAnsi"/>
          <w:sz w:val="24"/>
          <w:szCs w:val="24"/>
        </w:rPr>
      </w:pPr>
      <w:r w:rsidRPr="003A1191">
        <w:rPr>
          <w:rFonts w:cstheme="minorHAnsi"/>
          <w:sz w:val="24"/>
          <w:szCs w:val="24"/>
        </w:rPr>
        <w:t>Para la primera cuestión, un juez debe ser imparcial para ejercer una posición neutral que le ayude a abstraerse de cualquier consideración subjetiva y le libere de prejuicios para resolver el caso jurídico que se le plantea. Todos los jueces gozan</w:t>
      </w:r>
      <w:r w:rsidR="00EE1080" w:rsidRPr="003A1191">
        <w:rPr>
          <w:rFonts w:cstheme="minorHAnsi"/>
          <w:sz w:val="24"/>
          <w:szCs w:val="24"/>
        </w:rPr>
        <w:t>,</w:t>
      </w:r>
      <w:r w:rsidRPr="003A1191">
        <w:rPr>
          <w:rFonts w:cstheme="minorHAnsi"/>
          <w:sz w:val="24"/>
          <w:szCs w:val="24"/>
        </w:rPr>
        <w:t xml:space="preserve"> en principio</w:t>
      </w:r>
      <w:r w:rsidR="00EE1080" w:rsidRPr="003A1191">
        <w:rPr>
          <w:rFonts w:cstheme="minorHAnsi"/>
          <w:sz w:val="24"/>
          <w:szCs w:val="24"/>
        </w:rPr>
        <w:t>,</w:t>
      </w:r>
      <w:r w:rsidRPr="003A1191">
        <w:rPr>
          <w:rFonts w:cstheme="minorHAnsi"/>
          <w:sz w:val="24"/>
          <w:szCs w:val="24"/>
        </w:rPr>
        <w:t xml:space="preserve"> de presunción de imparcialidad, pero todos los ordenamientos jurídicos plantean la opción de proteger los intereses de las partes si dudan de </w:t>
      </w:r>
      <w:r w:rsidR="00741320">
        <w:rPr>
          <w:rFonts w:cstheme="minorHAnsi"/>
          <w:sz w:val="24"/>
          <w:szCs w:val="24"/>
        </w:rPr>
        <w:t>ella</w:t>
      </w:r>
      <w:r w:rsidRPr="003A1191">
        <w:rPr>
          <w:rFonts w:cstheme="minorHAnsi"/>
          <w:sz w:val="24"/>
          <w:szCs w:val="24"/>
        </w:rPr>
        <w:t xml:space="preserve">.  </w:t>
      </w:r>
      <w:r w:rsidR="008B7913" w:rsidRPr="003A1191">
        <w:rPr>
          <w:rFonts w:cstheme="minorHAnsi"/>
          <w:sz w:val="24"/>
          <w:szCs w:val="24"/>
        </w:rPr>
        <w:t xml:space="preserve">En todo caso, las sospechas no deben basarse únicamente en percepciones y debe probarse que existe </w:t>
      </w:r>
      <w:r w:rsidR="008B7913" w:rsidRPr="003A1191">
        <w:rPr>
          <w:rFonts w:cstheme="minorHAnsi"/>
          <w:sz w:val="24"/>
          <w:szCs w:val="24"/>
        </w:rPr>
        <w:lastRenderedPageBreak/>
        <w:t>un interés particular del juez en la causa. Es importante, por tanto, analizar cada caso concreto y determinar, a la luz de los hechos, si las opiniones personales de un juez pueden llegar a influir en el devenir del juicio.</w:t>
      </w:r>
      <w:r w:rsidR="00EE1080" w:rsidRPr="003A1191">
        <w:rPr>
          <w:rFonts w:cstheme="minorHAnsi"/>
          <w:sz w:val="24"/>
          <w:szCs w:val="24"/>
        </w:rPr>
        <w:t xml:space="preserve"> Pero esto no quiere decir que el juez no pueda tener opiniones propias, ni siquiera que tenga creencias o convicciones que le sirvan como guías morales de su vida. La imparcialidad que se le exige al juez no significa que deba ser neutral con respecto a todo. Lo que significa es que el juez debe juzgar los hechos abstrayéndose de sus </w:t>
      </w:r>
      <w:r w:rsidR="00B33672" w:rsidRPr="003A1191">
        <w:rPr>
          <w:rFonts w:cstheme="minorHAnsi"/>
          <w:sz w:val="24"/>
          <w:szCs w:val="24"/>
        </w:rPr>
        <w:t xml:space="preserve">propias </w:t>
      </w:r>
      <w:r w:rsidR="0004176C" w:rsidRPr="003A1191">
        <w:rPr>
          <w:rFonts w:cstheme="minorHAnsi"/>
          <w:sz w:val="24"/>
          <w:szCs w:val="24"/>
        </w:rPr>
        <w:t xml:space="preserve">creencias o convicciones </w:t>
      </w:r>
      <w:r w:rsidR="00EE1080" w:rsidRPr="003A1191">
        <w:rPr>
          <w:rFonts w:cstheme="minorHAnsi"/>
          <w:sz w:val="24"/>
          <w:szCs w:val="24"/>
        </w:rPr>
        <w:t>personales y aplicando únicamente la ley.</w:t>
      </w:r>
      <w:r w:rsidR="0004176C" w:rsidRPr="003A1191">
        <w:rPr>
          <w:rFonts w:cstheme="minorHAnsi"/>
          <w:sz w:val="24"/>
          <w:szCs w:val="24"/>
        </w:rPr>
        <w:t xml:space="preserve"> </w:t>
      </w:r>
      <w:r w:rsidR="00741320">
        <w:rPr>
          <w:rFonts w:cstheme="minorHAnsi"/>
          <w:sz w:val="24"/>
          <w:szCs w:val="24"/>
        </w:rPr>
        <w:t>Pero</w:t>
      </w:r>
      <w:r w:rsidR="003671EE">
        <w:rPr>
          <w:rFonts w:cstheme="minorHAnsi"/>
          <w:sz w:val="24"/>
          <w:szCs w:val="24"/>
        </w:rPr>
        <w:t xml:space="preserve"> no significa</w:t>
      </w:r>
      <w:r w:rsidR="00741320">
        <w:rPr>
          <w:rFonts w:cstheme="minorHAnsi"/>
          <w:sz w:val="24"/>
          <w:szCs w:val="24"/>
        </w:rPr>
        <w:t xml:space="preserve">, por el contrario, </w:t>
      </w:r>
      <w:r w:rsidR="003671EE">
        <w:rPr>
          <w:rFonts w:cstheme="minorHAnsi"/>
          <w:sz w:val="24"/>
          <w:szCs w:val="24"/>
        </w:rPr>
        <w:t xml:space="preserve">que deba dejar de lado sus propias experiencias vitales. De hecho, todas ellas </w:t>
      </w:r>
      <w:r w:rsidR="0004176C" w:rsidRPr="003A1191">
        <w:rPr>
          <w:rFonts w:cstheme="minorHAnsi"/>
          <w:sz w:val="24"/>
          <w:szCs w:val="24"/>
        </w:rPr>
        <w:t xml:space="preserve">le pueden servir para afrontar mejor un caso, </w:t>
      </w:r>
      <w:r w:rsidR="00741320">
        <w:rPr>
          <w:rFonts w:cstheme="minorHAnsi"/>
          <w:sz w:val="24"/>
          <w:szCs w:val="24"/>
        </w:rPr>
        <w:t xml:space="preserve">y </w:t>
      </w:r>
      <w:r w:rsidR="003671EE">
        <w:rPr>
          <w:rFonts w:cstheme="minorHAnsi"/>
          <w:sz w:val="24"/>
          <w:szCs w:val="24"/>
        </w:rPr>
        <w:t>es</w:t>
      </w:r>
      <w:r w:rsidR="00741320">
        <w:rPr>
          <w:rFonts w:cstheme="minorHAnsi"/>
          <w:sz w:val="24"/>
          <w:szCs w:val="24"/>
        </w:rPr>
        <w:t xml:space="preserve"> </w:t>
      </w:r>
      <w:r w:rsidR="0004176C" w:rsidRPr="003A1191">
        <w:rPr>
          <w:rFonts w:cstheme="minorHAnsi"/>
          <w:sz w:val="24"/>
          <w:szCs w:val="24"/>
        </w:rPr>
        <w:t xml:space="preserve">una manera de contribuir a la mejora cualitativa de la justicia. </w:t>
      </w:r>
    </w:p>
    <w:p w14:paraId="3526DF41" w14:textId="6E9C99F2" w:rsidR="00EE1080" w:rsidRPr="003A1191" w:rsidRDefault="00EE1080" w:rsidP="00545B53">
      <w:pPr>
        <w:spacing w:line="360" w:lineRule="auto"/>
        <w:ind w:firstLine="708"/>
        <w:jc w:val="both"/>
        <w:rPr>
          <w:rFonts w:cstheme="minorHAnsi"/>
          <w:sz w:val="24"/>
          <w:szCs w:val="24"/>
        </w:rPr>
      </w:pPr>
      <w:r w:rsidRPr="003A1191">
        <w:rPr>
          <w:rFonts w:cstheme="minorHAnsi"/>
          <w:sz w:val="24"/>
          <w:szCs w:val="24"/>
        </w:rPr>
        <w:t>Por ta</w:t>
      </w:r>
      <w:r w:rsidR="000E1C46" w:rsidRPr="003A1191">
        <w:rPr>
          <w:rFonts w:cstheme="minorHAnsi"/>
          <w:sz w:val="24"/>
          <w:szCs w:val="24"/>
        </w:rPr>
        <w:t>n</w:t>
      </w:r>
      <w:r w:rsidRPr="003A1191">
        <w:rPr>
          <w:rFonts w:cstheme="minorHAnsi"/>
          <w:sz w:val="24"/>
          <w:szCs w:val="24"/>
        </w:rPr>
        <w:t xml:space="preserve">to, no debería parecernos sospechoso que un juez pudiera juzgar un caso concreto portando un símbolo religioso. Los jueces se deben a un juramento </w:t>
      </w:r>
      <w:r w:rsidR="00B33672" w:rsidRPr="003A1191">
        <w:rPr>
          <w:rFonts w:cstheme="minorHAnsi"/>
          <w:sz w:val="24"/>
          <w:szCs w:val="24"/>
        </w:rPr>
        <w:t>ético</w:t>
      </w:r>
      <w:r w:rsidRPr="003A1191">
        <w:rPr>
          <w:rFonts w:cstheme="minorHAnsi"/>
          <w:sz w:val="24"/>
          <w:szCs w:val="24"/>
        </w:rPr>
        <w:t xml:space="preserve"> por el que se comprometen a juzgar todos los casos de forma objetiva y con el límite de la ley</w:t>
      </w:r>
      <w:r w:rsidR="00B33672" w:rsidRPr="003A1191">
        <w:rPr>
          <w:rFonts w:cstheme="minorHAnsi"/>
          <w:sz w:val="24"/>
          <w:szCs w:val="24"/>
        </w:rPr>
        <w:t>. Por lo que no debería ser causa suficiente de recusación de un juez el hecho de que portara un símbolo religioso, por lo mismo que tampoco lo es si una jueza tuviera que juzgar</w:t>
      </w:r>
      <w:r w:rsidR="00D51874">
        <w:rPr>
          <w:rFonts w:cstheme="minorHAnsi"/>
          <w:sz w:val="24"/>
          <w:szCs w:val="24"/>
        </w:rPr>
        <w:t xml:space="preserve"> un caso de violencia de género</w:t>
      </w:r>
      <w:bookmarkStart w:id="0" w:name="_GoBack"/>
      <w:bookmarkEnd w:id="0"/>
      <w:r w:rsidR="00B33672" w:rsidRPr="003A1191">
        <w:rPr>
          <w:rFonts w:cstheme="minorHAnsi"/>
          <w:sz w:val="24"/>
          <w:szCs w:val="24"/>
        </w:rPr>
        <w:t xml:space="preserve">, o un juez negro tuviera que decidir sobre un caso de racismo. En todos estos casos, la apariencia de neutralidad que se le exige a los jueces debe </w:t>
      </w:r>
      <w:r w:rsidR="00CA0027" w:rsidRPr="003A1191">
        <w:rPr>
          <w:rFonts w:cstheme="minorHAnsi"/>
          <w:sz w:val="24"/>
          <w:szCs w:val="24"/>
        </w:rPr>
        <w:t>apoyarse</w:t>
      </w:r>
      <w:r w:rsidR="00B33672" w:rsidRPr="003A1191">
        <w:rPr>
          <w:rFonts w:cstheme="minorHAnsi"/>
          <w:sz w:val="24"/>
          <w:szCs w:val="24"/>
        </w:rPr>
        <w:t xml:space="preserve"> en sus acciones y en los fundamentos de sus decisiones, nunca en la mera apariencia personal.</w:t>
      </w:r>
    </w:p>
    <w:p w14:paraId="1F6B926F" w14:textId="4D04A017" w:rsidR="002142CB" w:rsidRPr="003A1191" w:rsidRDefault="00B33672" w:rsidP="00545B53">
      <w:pPr>
        <w:spacing w:line="360" w:lineRule="auto"/>
        <w:ind w:firstLine="708"/>
        <w:jc w:val="both"/>
        <w:rPr>
          <w:rFonts w:cstheme="minorHAnsi"/>
          <w:sz w:val="24"/>
          <w:szCs w:val="24"/>
        </w:rPr>
      </w:pPr>
      <w:r w:rsidRPr="003A1191">
        <w:rPr>
          <w:rFonts w:cstheme="minorHAnsi"/>
          <w:sz w:val="24"/>
          <w:szCs w:val="24"/>
        </w:rPr>
        <w:t xml:space="preserve">Esto nos lleva a la segunda cuestión que preocupa a los defensores de una laicidad estricta y rígida: la de que el juez no sólo debe ser neutral, sino </w:t>
      </w:r>
      <w:r w:rsidRPr="003A1191">
        <w:rPr>
          <w:rFonts w:cstheme="minorHAnsi"/>
          <w:i/>
          <w:sz w:val="24"/>
          <w:szCs w:val="24"/>
        </w:rPr>
        <w:t>parecerlo</w:t>
      </w:r>
      <w:r w:rsidRPr="003A1191">
        <w:rPr>
          <w:rFonts w:cstheme="minorHAnsi"/>
          <w:sz w:val="24"/>
          <w:szCs w:val="24"/>
        </w:rPr>
        <w:t xml:space="preserve">. </w:t>
      </w:r>
      <w:r w:rsidR="007051E6" w:rsidRPr="003A1191">
        <w:rPr>
          <w:rFonts w:cstheme="minorHAnsi"/>
          <w:sz w:val="24"/>
          <w:szCs w:val="24"/>
        </w:rPr>
        <w:t xml:space="preserve">Este conflicto surge porque se ha naturalizado que un juez no debe ser únicamente imparcial, sino que debe ser percibido como </w:t>
      </w:r>
      <w:r w:rsidR="00CA0027" w:rsidRPr="003A1191">
        <w:rPr>
          <w:rFonts w:cstheme="minorHAnsi"/>
          <w:sz w:val="24"/>
          <w:szCs w:val="24"/>
        </w:rPr>
        <w:t>tal</w:t>
      </w:r>
      <w:r w:rsidR="007051E6" w:rsidRPr="003A1191">
        <w:rPr>
          <w:rFonts w:cstheme="minorHAnsi"/>
          <w:sz w:val="24"/>
          <w:szCs w:val="24"/>
        </w:rPr>
        <w:t xml:space="preserve"> por el resto de la sociedad.</w:t>
      </w:r>
      <w:r w:rsidR="00387ABD" w:rsidRPr="003A1191">
        <w:rPr>
          <w:rFonts w:cstheme="minorHAnsi"/>
          <w:sz w:val="24"/>
          <w:szCs w:val="24"/>
        </w:rPr>
        <w:t xml:space="preserve"> Pero basar la imparcialidad de un juez en su aspecto para lograr una mayor apariencia de neutralidad es, en realidad, una indicación de la poca confianza que demostraría la sociedad hacia el compromiso de los jueces</w:t>
      </w:r>
      <w:r w:rsidR="00907563" w:rsidRPr="003A1191">
        <w:rPr>
          <w:rFonts w:cstheme="minorHAnsi"/>
          <w:sz w:val="24"/>
          <w:szCs w:val="24"/>
        </w:rPr>
        <w:t xml:space="preserve"> </w:t>
      </w:r>
      <w:sdt>
        <w:sdtPr>
          <w:rPr>
            <w:rFonts w:cstheme="minorHAnsi"/>
            <w:sz w:val="24"/>
            <w:szCs w:val="24"/>
          </w:rPr>
          <w:id w:val="2100909758"/>
          <w:citation/>
        </w:sdtPr>
        <w:sdtEndPr/>
        <w:sdtContent>
          <w:r w:rsidR="00907563" w:rsidRPr="003A1191">
            <w:rPr>
              <w:rFonts w:cstheme="minorHAnsi"/>
              <w:sz w:val="24"/>
              <w:szCs w:val="24"/>
            </w:rPr>
            <w:fldChar w:fldCharType="begin"/>
          </w:r>
          <w:r w:rsidR="00907563" w:rsidRPr="003A1191">
            <w:rPr>
              <w:rFonts w:cstheme="minorHAnsi"/>
              <w:sz w:val="24"/>
              <w:szCs w:val="24"/>
            </w:rPr>
            <w:instrText xml:space="preserve">CITATION Hol11 \p 119 \l 3082 </w:instrText>
          </w:r>
          <w:r w:rsidR="00907563" w:rsidRPr="003A1191">
            <w:rPr>
              <w:rFonts w:cstheme="minorHAnsi"/>
              <w:sz w:val="24"/>
              <w:szCs w:val="24"/>
            </w:rPr>
            <w:fldChar w:fldCharType="separate"/>
          </w:r>
          <w:r w:rsidR="00907563" w:rsidRPr="003A1191">
            <w:rPr>
              <w:rFonts w:cstheme="minorHAnsi"/>
              <w:noProof/>
              <w:sz w:val="24"/>
              <w:szCs w:val="24"/>
            </w:rPr>
            <w:t>(Holtug, 2011, p. 119)</w:t>
          </w:r>
          <w:r w:rsidR="00907563" w:rsidRPr="003A1191">
            <w:rPr>
              <w:rFonts w:cstheme="minorHAnsi"/>
              <w:sz w:val="24"/>
              <w:szCs w:val="24"/>
            </w:rPr>
            <w:fldChar w:fldCharType="end"/>
          </w:r>
        </w:sdtContent>
      </w:sdt>
      <w:r w:rsidR="00387ABD" w:rsidRPr="003A1191">
        <w:rPr>
          <w:rFonts w:cstheme="minorHAnsi"/>
          <w:sz w:val="24"/>
          <w:szCs w:val="24"/>
        </w:rPr>
        <w:t>.</w:t>
      </w:r>
      <w:r w:rsidR="00495A58" w:rsidRPr="003A1191">
        <w:rPr>
          <w:rFonts w:cstheme="minorHAnsi"/>
          <w:sz w:val="24"/>
          <w:szCs w:val="24"/>
        </w:rPr>
        <w:t xml:space="preserve"> </w:t>
      </w:r>
      <w:r w:rsidR="002142CB" w:rsidRPr="003A1191">
        <w:rPr>
          <w:rFonts w:cstheme="minorHAnsi"/>
          <w:sz w:val="24"/>
          <w:szCs w:val="24"/>
        </w:rPr>
        <w:t>Si la ciudadanía no es capaz de confiar en la labor y profesionalidad de los jueces porque puedan exhibir ciertas características</w:t>
      </w:r>
      <w:r w:rsidR="008E5A66" w:rsidRPr="003A1191">
        <w:rPr>
          <w:rFonts w:cstheme="minorHAnsi"/>
          <w:sz w:val="24"/>
          <w:szCs w:val="24"/>
        </w:rPr>
        <w:t xml:space="preserve">, la desconfianza social acaba reforzando los estereotipos que precisamente se intentan </w:t>
      </w:r>
      <w:r w:rsidR="00BA4195" w:rsidRPr="003A1191">
        <w:rPr>
          <w:rFonts w:cstheme="minorHAnsi"/>
          <w:sz w:val="24"/>
          <w:szCs w:val="24"/>
        </w:rPr>
        <w:t>combatir</w:t>
      </w:r>
      <w:r w:rsidR="008E5A66" w:rsidRPr="003A1191">
        <w:rPr>
          <w:rFonts w:cstheme="minorHAnsi"/>
          <w:sz w:val="24"/>
          <w:szCs w:val="24"/>
        </w:rPr>
        <w:t xml:space="preserve"> con medidas integradoras como el permiso de exhibir símbolos religiosos a cualquier funcionario.</w:t>
      </w:r>
      <w:r w:rsidR="00BA4195" w:rsidRPr="003A1191">
        <w:rPr>
          <w:rFonts w:cstheme="minorHAnsi"/>
          <w:sz w:val="24"/>
          <w:szCs w:val="24"/>
        </w:rPr>
        <w:t xml:space="preserve"> La única manera de aumentar la confianza y de acabar con los estereotipos es mediante la </w:t>
      </w:r>
      <w:r w:rsidR="000A0A07" w:rsidRPr="003A1191">
        <w:rPr>
          <w:rFonts w:cstheme="minorHAnsi"/>
          <w:sz w:val="24"/>
          <w:szCs w:val="24"/>
        </w:rPr>
        <w:t>implementación</w:t>
      </w:r>
      <w:r w:rsidR="00BA4195" w:rsidRPr="003A1191">
        <w:rPr>
          <w:rFonts w:cstheme="minorHAnsi"/>
          <w:sz w:val="24"/>
          <w:szCs w:val="24"/>
        </w:rPr>
        <w:t xml:space="preserve"> de medidas </w:t>
      </w:r>
      <w:r w:rsidR="00BA4195" w:rsidRPr="003A1191">
        <w:rPr>
          <w:rFonts w:cstheme="minorHAnsi"/>
          <w:sz w:val="24"/>
          <w:szCs w:val="24"/>
        </w:rPr>
        <w:lastRenderedPageBreak/>
        <w:t xml:space="preserve">integradoras que muestren la diversidad étnica y social de toda la población. De esta manera, una vez que la visibilización queda normalizada, es sólo cuestión de tiempo lograr la confianza en el trabajo de los jueces, una vez se comprueben que siguen manteniendo su </w:t>
      </w:r>
      <w:r w:rsidR="000A0A07" w:rsidRPr="003A1191">
        <w:rPr>
          <w:rFonts w:cstheme="minorHAnsi"/>
          <w:sz w:val="24"/>
          <w:szCs w:val="24"/>
        </w:rPr>
        <w:t>imparcialidad</w:t>
      </w:r>
      <w:r w:rsidR="00BA4195" w:rsidRPr="003A1191">
        <w:rPr>
          <w:rFonts w:cstheme="minorHAnsi"/>
          <w:sz w:val="24"/>
          <w:szCs w:val="24"/>
        </w:rPr>
        <w:t xml:space="preserve"> a pesar de su aspecto o apariencia.</w:t>
      </w:r>
      <w:r w:rsidR="004F179A" w:rsidRPr="003A1191">
        <w:rPr>
          <w:rFonts w:cstheme="minorHAnsi"/>
          <w:sz w:val="24"/>
          <w:szCs w:val="24"/>
        </w:rPr>
        <w:t xml:space="preserve"> </w:t>
      </w:r>
    </w:p>
    <w:p w14:paraId="29C1007F" w14:textId="479495D5" w:rsidR="00B82FD6" w:rsidRPr="003A1191" w:rsidRDefault="0004176C" w:rsidP="00545B53">
      <w:pPr>
        <w:spacing w:line="360" w:lineRule="auto"/>
        <w:ind w:firstLine="708"/>
        <w:jc w:val="both"/>
        <w:rPr>
          <w:rFonts w:cstheme="minorHAnsi"/>
          <w:sz w:val="24"/>
          <w:szCs w:val="24"/>
        </w:rPr>
      </w:pPr>
      <w:r w:rsidRPr="003A1191">
        <w:rPr>
          <w:rFonts w:cstheme="minorHAnsi"/>
          <w:sz w:val="24"/>
          <w:szCs w:val="24"/>
        </w:rPr>
        <w:t xml:space="preserve">En el caso de los policías, </w:t>
      </w:r>
      <w:r w:rsidR="00E17CBF" w:rsidRPr="003A1191">
        <w:rPr>
          <w:rFonts w:cstheme="minorHAnsi"/>
          <w:sz w:val="24"/>
          <w:szCs w:val="24"/>
        </w:rPr>
        <w:t xml:space="preserve">el debate sobre su apariencia de neutralidad se torna algo más complicado. A diferencia de los jueces, los códigos de vestimenta oficial están mucho más regulados. Aunque no todos los policías tienen que usar uniforme, ya que muchos trabajan en cuestiones administrativas o llevan a cabo su trabajo de un modo discreto, por parte de la mayoría de la población existe una imagen </w:t>
      </w:r>
      <w:r w:rsidR="00821069" w:rsidRPr="003A1191">
        <w:rPr>
          <w:rFonts w:cstheme="minorHAnsi"/>
          <w:sz w:val="24"/>
          <w:szCs w:val="24"/>
        </w:rPr>
        <w:t xml:space="preserve">muy concreta de cómo son. </w:t>
      </w:r>
      <w:r w:rsidR="000A3576" w:rsidRPr="003A1191">
        <w:rPr>
          <w:rFonts w:cstheme="minorHAnsi"/>
          <w:sz w:val="24"/>
          <w:szCs w:val="24"/>
        </w:rPr>
        <w:t xml:space="preserve">En este caso, la apariencia de neutralidad de los policías está totalmente codificada, y cualquier medida de visualización étnica necesitaría establecer una excepción a la norma. El caso </w:t>
      </w:r>
      <w:r w:rsidR="00F14DD2" w:rsidRPr="003A1191">
        <w:rPr>
          <w:rFonts w:cstheme="minorHAnsi"/>
          <w:sz w:val="24"/>
          <w:szCs w:val="24"/>
        </w:rPr>
        <w:t>más paradigmático fue el de la Policía M</w:t>
      </w:r>
      <w:r w:rsidR="000A3576" w:rsidRPr="003A1191">
        <w:rPr>
          <w:rFonts w:cstheme="minorHAnsi"/>
          <w:sz w:val="24"/>
          <w:szCs w:val="24"/>
        </w:rPr>
        <w:t xml:space="preserve">ontada del Canadá, que en 1990 permitió el uso de turbantes en su uniforme cuando el Tribunal Supremo de Canadá dictaminó que era discriminatorio que a los agentes que fueran </w:t>
      </w:r>
      <w:r w:rsidR="000A3576" w:rsidRPr="003A1191">
        <w:rPr>
          <w:rFonts w:cstheme="minorHAnsi"/>
          <w:i/>
          <w:sz w:val="24"/>
          <w:szCs w:val="24"/>
        </w:rPr>
        <w:t>sij</w:t>
      </w:r>
      <w:r w:rsidR="000A3576" w:rsidRPr="003A1191">
        <w:rPr>
          <w:rFonts w:cstheme="minorHAnsi"/>
          <w:sz w:val="24"/>
          <w:szCs w:val="24"/>
        </w:rPr>
        <w:t xml:space="preserve"> no se les permitiera llevar este complemento.</w:t>
      </w:r>
      <w:r w:rsidR="00F14DD2" w:rsidRPr="003A1191">
        <w:rPr>
          <w:rFonts w:cstheme="minorHAnsi"/>
          <w:sz w:val="24"/>
          <w:szCs w:val="24"/>
        </w:rPr>
        <w:t xml:space="preserve"> También el verano pasado volvieron a ampliarse las excepciones permitiendo el uso del pañuelo o </w:t>
      </w:r>
      <w:r w:rsidR="00F14DD2" w:rsidRPr="003A1191">
        <w:rPr>
          <w:rFonts w:cstheme="minorHAnsi"/>
          <w:i/>
          <w:sz w:val="24"/>
          <w:szCs w:val="24"/>
        </w:rPr>
        <w:t>hiyab</w:t>
      </w:r>
      <w:r w:rsidR="00F14DD2" w:rsidRPr="003A1191">
        <w:rPr>
          <w:rFonts w:cstheme="minorHAnsi"/>
          <w:sz w:val="24"/>
          <w:szCs w:val="24"/>
        </w:rPr>
        <w:t xml:space="preserve"> para todas aquellas policías musulmanas que lo solicitaran</w:t>
      </w:r>
      <w:r w:rsidR="0015683F" w:rsidRPr="003A1191">
        <w:rPr>
          <w:rStyle w:val="Refdenotaalpie"/>
          <w:rFonts w:cstheme="minorHAnsi"/>
          <w:sz w:val="24"/>
          <w:szCs w:val="24"/>
        </w:rPr>
        <w:footnoteReference w:id="19"/>
      </w:r>
      <w:r w:rsidR="00F14DD2" w:rsidRPr="003A1191">
        <w:rPr>
          <w:rFonts w:cstheme="minorHAnsi"/>
          <w:sz w:val="24"/>
          <w:szCs w:val="24"/>
        </w:rPr>
        <w:t xml:space="preserve">. </w:t>
      </w:r>
      <w:r w:rsidR="0015683F" w:rsidRPr="003A1191">
        <w:rPr>
          <w:rFonts w:cstheme="minorHAnsi"/>
          <w:sz w:val="24"/>
          <w:szCs w:val="24"/>
        </w:rPr>
        <w:t xml:space="preserve">Aunque hasta el momento ninguna </w:t>
      </w:r>
      <w:r w:rsidR="00B82FD6" w:rsidRPr="003A1191">
        <w:rPr>
          <w:rFonts w:cstheme="minorHAnsi"/>
          <w:sz w:val="24"/>
          <w:szCs w:val="24"/>
        </w:rPr>
        <w:t>policía</w:t>
      </w:r>
      <w:r w:rsidR="0015683F" w:rsidRPr="003A1191">
        <w:rPr>
          <w:rFonts w:cstheme="minorHAnsi"/>
          <w:sz w:val="24"/>
          <w:szCs w:val="24"/>
        </w:rPr>
        <w:t xml:space="preserve"> lo había solicitado, la medida se adoptaba para facilitar la incorporación de más mujeres al cuerpo de policía federal.</w:t>
      </w:r>
      <w:r w:rsidR="00B82FD6" w:rsidRPr="003A1191">
        <w:rPr>
          <w:rFonts w:cstheme="minorHAnsi"/>
          <w:sz w:val="24"/>
          <w:szCs w:val="24"/>
        </w:rPr>
        <w:t xml:space="preserve"> </w:t>
      </w:r>
    </w:p>
    <w:p w14:paraId="56F0DA4A" w14:textId="77777777" w:rsidR="00857DF1" w:rsidRPr="003A1191" w:rsidRDefault="00B82FD6" w:rsidP="00545B53">
      <w:pPr>
        <w:spacing w:line="360" w:lineRule="auto"/>
        <w:ind w:firstLine="708"/>
        <w:jc w:val="both"/>
        <w:rPr>
          <w:rFonts w:cstheme="minorHAnsi"/>
          <w:sz w:val="24"/>
          <w:szCs w:val="24"/>
        </w:rPr>
      </w:pPr>
      <w:r w:rsidRPr="003A1191">
        <w:rPr>
          <w:rFonts w:cstheme="minorHAnsi"/>
          <w:sz w:val="24"/>
          <w:szCs w:val="24"/>
        </w:rPr>
        <w:t xml:space="preserve">Todas las excepciones a la norma, por tanto, se consiguen únicamente gracias a la actitud flexible de sociedades como la canadiense. Pero una vez se adoptan y se deciden como medidas integradoras, vuelven a surgir dudas sobre los peligros de proselitismo o sus capacidades funcionales. </w:t>
      </w:r>
      <w:r w:rsidR="00954DDE" w:rsidRPr="003A1191">
        <w:rPr>
          <w:rFonts w:cstheme="minorHAnsi"/>
          <w:sz w:val="24"/>
          <w:szCs w:val="24"/>
        </w:rPr>
        <w:t xml:space="preserve">Muchos ciudadanos pueden verse preocupados por recibir instrucciones de una figura de autoridad que porte un signo </w:t>
      </w:r>
      <w:r w:rsidR="004B428B" w:rsidRPr="003A1191">
        <w:rPr>
          <w:rFonts w:cstheme="minorHAnsi"/>
          <w:sz w:val="24"/>
          <w:szCs w:val="24"/>
        </w:rPr>
        <w:t>religioso</w:t>
      </w:r>
      <w:r w:rsidR="00954DDE" w:rsidRPr="003A1191">
        <w:rPr>
          <w:rFonts w:cstheme="minorHAnsi"/>
          <w:sz w:val="24"/>
          <w:szCs w:val="24"/>
        </w:rPr>
        <w:t xml:space="preserve">, y pueden temer que utilicen su posición de influencia para decidir sobre un asunto en base a sus propias creencias. </w:t>
      </w:r>
      <w:r w:rsidR="004B428B" w:rsidRPr="003A1191">
        <w:rPr>
          <w:rFonts w:cstheme="minorHAnsi"/>
          <w:sz w:val="24"/>
          <w:szCs w:val="24"/>
        </w:rPr>
        <w:t xml:space="preserve">Pero no siempre pueden denunciar que se infringe su derecho a la libertad religiosa únicamente porque un policía pueda mostrar un símbolo religioso. Por un lado, porque, aunque tenga una procedencia religiosa, cualquier símbolo religioso que se haya aceptado dentro de los códigos de vestimenta </w:t>
      </w:r>
      <w:r w:rsidR="004B428B" w:rsidRPr="003A1191">
        <w:rPr>
          <w:rFonts w:cstheme="minorHAnsi"/>
          <w:sz w:val="24"/>
          <w:szCs w:val="24"/>
        </w:rPr>
        <w:lastRenderedPageBreak/>
        <w:t xml:space="preserve">no tiene por qué ser un símbolo religioso en sí, sino que simplemente debe considerarse como un complemento más del uniforme. Y por otro, porque nadie puede verse violentado </w:t>
      </w:r>
      <w:r w:rsidR="00AF1941" w:rsidRPr="003A1191">
        <w:rPr>
          <w:rFonts w:cstheme="minorHAnsi"/>
          <w:sz w:val="24"/>
          <w:szCs w:val="24"/>
        </w:rPr>
        <w:t>en sus derechos por un policía que muestre un símbolo religioso si con su acción no trata de imponer u obligar a compartir determinadas creencias o prácticas religiosas.</w:t>
      </w:r>
      <w:r w:rsidR="008B4C2C" w:rsidRPr="003A1191">
        <w:rPr>
          <w:rFonts w:cstheme="minorHAnsi"/>
          <w:sz w:val="24"/>
          <w:szCs w:val="24"/>
        </w:rPr>
        <w:t xml:space="preserve"> </w:t>
      </w:r>
    </w:p>
    <w:p w14:paraId="37FA1699" w14:textId="631FD30F" w:rsidR="00402661" w:rsidRPr="003A1191" w:rsidRDefault="008B4C2C" w:rsidP="00545B53">
      <w:pPr>
        <w:spacing w:line="360" w:lineRule="auto"/>
        <w:ind w:firstLine="708"/>
        <w:jc w:val="both"/>
        <w:rPr>
          <w:rFonts w:cstheme="minorHAnsi"/>
          <w:sz w:val="24"/>
          <w:szCs w:val="24"/>
        </w:rPr>
      </w:pPr>
      <w:r w:rsidRPr="003A1191">
        <w:rPr>
          <w:rFonts w:cstheme="minorHAnsi"/>
          <w:sz w:val="24"/>
          <w:szCs w:val="24"/>
        </w:rPr>
        <w:t xml:space="preserve">Tampoco podría cuestionarse la capacidad funcional de los policías únicamente por portar un signo religioso. La imparcialidad en el ejercicio de sus funciones no depende de la percepción de neutralidad del resto de ciudadanos, </w:t>
      </w:r>
      <w:r w:rsidR="006122A2" w:rsidRPr="003A1191">
        <w:rPr>
          <w:rFonts w:cstheme="minorHAnsi"/>
          <w:sz w:val="24"/>
          <w:szCs w:val="24"/>
        </w:rPr>
        <w:t>sino del ejercicio objetivo de sus funciones. No es posible pensar, por tanto, que la seguridad pueda verse amenazada porque existan determinados miembros de la policía que puedan mostrar algunos símbolos religiosos</w:t>
      </w:r>
      <w:r w:rsidR="00402661" w:rsidRPr="003A1191">
        <w:rPr>
          <w:rFonts w:cstheme="minorHAnsi"/>
          <w:sz w:val="24"/>
          <w:szCs w:val="24"/>
        </w:rPr>
        <w:t xml:space="preserve">, y que ello acarree una dejación en sus funciones. En todo caso, </w:t>
      </w:r>
      <w:r w:rsidR="00BA7373" w:rsidRPr="003A1191">
        <w:rPr>
          <w:rFonts w:cstheme="minorHAnsi"/>
          <w:sz w:val="24"/>
          <w:szCs w:val="24"/>
        </w:rPr>
        <w:t>la diversidad étnica de los cuerpos de seguridad amplía</w:t>
      </w:r>
      <w:r w:rsidR="00402661" w:rsidRPr="003A1191">
        <w:rPr>
          <w:rFonts w:cstheme="minorHAnsi"/>
          <w:sz w:val="24"/>
          <w:szCs w:val="24"/>
        </w:rPr>
        <w:t xml:space="preserve"> la capacidad operativa de sus miembros, que pueden llegar a abarcar un mayor número de problemas generados precisamente por el aumento de la diversidad social.</w:t>
      </w:r>
    </w:p>
    <w:p w14:paraId="0C7F94DB" w14:textId="77777777" w:rsidR="005A283F" w:rsidRPr="003A1191" w:rsidRDefault="00BA7373" w:rsidP="00545B53">
      <w:pPr>
        <w:spacing w:line="360" w:lineRule="auto"/>
        <w:ind w:firstLine="708"/>
        <w:jc w:val="both"/>
        <w:rPr>
          <w:rFonts w:cstheme="minorHAnsi"/>
          <w:sz w:val="24"/>
          <w:szCs w:val="24"/>
        </w:rPr>
      </w:pPr>
      <w:r w:rsidRPr="003A1191">
        <w:rPr>
          <w:rFonts w:cstheme="minorHAnsi"/>
          <w:sz w:val="24"/>
          <w:szCs w:val="24"/>
        </w:rPr>
        <w:t>Y así, por último, en el caso de los funcionarios de prisión, las cuestiones planteadas se repiten de igual modo que en los casos anteriores. Por un lado, por parte de los reclusos puede haber cierto incomodo por tener que recibir la vigilancia y tutela de algunos miembros de las prisiones que muestren signos religioso</w:t>
      </w:r>
      <w:r w:rsidR="00D81FB5" w:rsidRPr="003A1191">
        <w:rPr>
          <w:rFonts w:cstheme="minorHAnsi"/>
          <w:sz w:val="24"/>
          <w:szCs w:val="24"/>
        </w:rPr>
        <w:t>s</w:t>
      </w:r>
      <w:r w:rsidRPr="003A1191">
        <w:rPr>
          <w:rFonts w:cstheme="minorHAnsi"/>
          <w:sz w:val="24"/>
          <w:szCs w:val="24"/>
        </w:rPr>
        <w:t xml:space="preserve"> visibles. Ellos </w:t>
      </w:r>
      <w:r w:rsidR="00D81FB5" w:rsidRPr="003A1191">
        <w:rPr>
          <w:rFonts w:cstheme="minorHAnsi"/>
          <w:sz w:val="24"/>
          <w:szCs w:val="24"/>
        </w:rPr>
        <w:t>pueden</w:t>
      </w:r>
      <w:r w:rsidRPr="003A1191">
        <w:rPr>
          <w:rFonts w:cstheme="minorHAnsi"/>
          <w:sz w:val="24"/>
          <w:szCs w:val="24"/>
        </w:rPr>
        <w:t xml:space="preserve"> pensar que deberían arrogarse a posibles directrices de esos funcionarios dictaminadas por sus creencias, lo que sería una forma de proselitismo y de infracción de su derecho a la libertad religiosa. Pero, de igual modo, no se puede deducir únicamente por una determinada simbología que la actividad funcionarial va a estar regida por las propias creencias</w:t>
      </w:r>
      <w:r w:rsidR="00036B94" w:rsidRPr="003A1191">
        <w:rPr>
          <w:rFonts w:cstheme="minorHAnsi"/>
          <w:sz w:val="24"/>
          <w:szCs w:val="24"/>
        </w:rPr>
        <w:t>. Aunque no se puede negar su autoridad frente a los reclusos, s</w:t>
      </w:r>
      <w:r w:rsidR="00D81FB5" w:rsidRPr="003A1191">
        <w:rPr>
          <w:rFonts w:cstheme="minorHAnsi"/>
          <w:sz w:val="24"/>
          <w:szCs w:val="24"/>
        </w:rPr>
        <w:t xml:space="preserve">e deben analizar las acciones concretas y diarias de los miembros de las prisiones, y determinar si todas ellas se ajustan a las directrices fijadas por la ley. </w:t>
      </w:r>
      <w:r w:rsidR="00036B94" w:rsidRPr="003A1191">
        <w:rPr>
          <w:rFonts w:cstheme="minorHAnsi"/>
          <w:sz w:val="24"/>
          <w:szCs w:val="24"/>
        </w:rPr>
        <w:t xml:space="preserve">Es decir, siempre que la labor de los funcionarios sea la mera vigilancia, seguimiento y apoyo en la futura reinserción, </w:t>
      </w:r>
      <w:r w:rsidR="004F69BA" w:rsidRPr="003A1191">
        <w:rPr>
          <w:rFonts w:cstheme="minorHAnsi"/>
          <w:sz w:val="24"/>
          <w:szCs w:val="24"/>
        </w:rPr>
        <w:t>no podrá</w:t>
      </w:r>
      <w:r w:rsidR="00036B94" w:rsidRPr="003A1191">
        <w:rPr>
          <w:rFonts w:cstheme="minorHAnsi"/>
          <w:sz w:val="24"/>
          <w:szCs w:val="24"/>
        </w:rPr>
        <w:t xml:space="preserve"> cuestionarse la neutralidad de su actividad. </w:t>
      </w:r>
      <w:r w:rsidR="00D81FB5" w:rsidRPr="003A1191">
        <w:rPr>
          <w:rFonts w:cstheme="minorHAnsi"/>
          <w:sz w:val="24"/>
          <w:szCs w:val="24"/>
        </w:rPr>
        <w:t xml:space="preserve">Del mismo modo, tampoco se puede </w:t>
      </w:r>
      <w:r w:rsidR="008850DB" w:rsidRPr="003A1191">
        <w:rPr>
          <w:rFonts w:cstheme="minorHAnsi"/>
          <w:sz w:val="24"/>
          <w:szCs w:val="24"/>
        </w:rPr>
        <w:t xml:space="preserve">cuestionar, por otro lado, las capacidades funcionales de los funcionarios de </w:t>
      </w:r>
      <w:r w:rsidR="00036B94" w:rsidRPr="003A1191">
        <w:rPr>
          <w:rFonts w:cstheme="minorHAnsi"/>
          <w:sz w:val="24"/>
          <w:szCs w:val="24"/>
        </w:rPr>
        <w:t>prisión</w:t>
      </w:r>
      <w:r w:rsidR="008850DB" w:rsidRPr="003A1191">
        <w:rPr>
          <w:rFonts w:cstheme="minorHAnsi"/>
          <w:sz w:val="24"/>
          <w:szCs w:val="24"/>
        </w:rPr>
        <w:t xml:space="preserve"> únicamente p</w:t>
      </w:r>
      <w:r w:rsidR="004F69BA" w:rsidRPr="003A1191">
        <w:rPr>
          <w:rFonts w:cstheme="minorHAnsi"/>
          <w:sz w:val="24"/>
          <w:szCs w:val="24"/>
        </w:rPr>
        <w:t xml:space="preserve">orque porten signos religiosos. </w:t>
      </w:r>
      <w:r w:rsidR="005A283F" w:rsidRPr="003A1191">
        <w:rPr>
          <w:rFonts w:cstheme="minorHAnsi"/>
          <w:sz w:val="24"/>
          <w:szCs w:val="24"/>
        </w:rPr>
        <w:t xml:space="preserve">Es cierto que algunos símbolos religiosos pueden llegar a resultar impactantes para algunos reclusos, pero al igual que en los casos anteriores, la neutralidad en el ejercicio de sus funciones </w:t>
      </w:r>
      <w:r w:rsidR="005A283F" w:rsidRPr="003A1191">
        <w:rPr>
          <w:rFonts w:cstheme="minorHAnsi"/>
          <w:sz w:val="24"/>
          <w:szCs w:val="24"/>
        </w:rPr>
        <w:lastRenderedPageBreak/>
        <w:t>únicamente debería juzgarse mediante criterios de profesionalidad, para lo cual se puede exigir cierto deber de reserva. Así, en vez de impedir su inclusión y visibilidad, la normalización de su presencia en las prisiones ayudaría de igual modo a desarrollar un mayor respeto hacia la diversidad.</w:t>
      </w:r>
    </w:p>
    <w:p w14:paraId="4DA7828D" w14:textId="320EBF97" w:rsidR="00B52750" w:rsidRPr="003A1191" w:rsidRDefault="00B52750" w:rsidP="00545B53">
      <w:pPr>
        <w:pStyle w:val="Prrafodelista"/>
        <w:numPr>
          <w:ilvl w:val="0"/>
          <w:numId w:val="1"/>
        </w:numPr>
        <w:spacing w:line="360" w:lineRule="auto"/>
        <w:jc w:val="both"/>
        <w:rPr>
          <w:rFonts w:cstheme="minorHAnsi"/>
          <w:sz w:val="24"/>
          <w:szCs w:val="24"/>
        </w:rPr>
      </w:pPr>
      <w:r w:rsidRPr="003A1191">
        <w:rPr>
          <w:rFonts w:cstheme="minorHAnsi"/>
          <w:b/>
          <w:sz w:val="24"/>
          <w:szCs w:val="24"/>
        </w:rPr>
        <w:t>Consideraciones finales.</w:t>
      </w:r>
    </w:p>
    <w:p w14:paraId="7AD8CB55" w14:textId="055AAE0A" w:rsidR="00B52750" w:rsidRPr="003A1191" w:rsidRDefault="005C7923" w:rsidP="00545B53">
      <w:pPr>
        <w:spacing w:line="360" w:lineRule="auto"/>
        <w:ind w:firstLine="708"/>
        <w:jc w:val="both"/>
        <w:rPr>
          <w:rFonts w:cstheme="minorHAnsi"/>
          <w:sz w:val="24"/>
          <w:szCs w:val="24"/>
        </w:rPr>
      </w:pPr>
      <w:r w:rsidRPr="003A1191">
        <w:rPr>
          <w:rFonts w:cstheme="minorHAnsi"/>
          <w:sz w:val="24"/>
          <w:szCs w:val="24"/>
        </w:rPr>
        <w:t xml:space="preserve">No puede haber duda cuando afirmamos que </w:t>
      </w:r>
      <w:r w:rsidR="00F5012A" w:rsidRPr="003A1191">
        <w:rPr>
          <w:rFonts w:cstheme="minorHAnsi"/>
          <w:sz w:val="24"/>
          <w:szCs w:val="24"/>
        </w:rPr>
        <w:t>los movimientos migratorios de los últimos decenios han</w:t>
      </w:r>
      <w:r w:rsidRPr="003A1191">
        <w:rPr>
          <w:rFonts w:cstheme="minorHAnsi"/>
          <w:sz w:val="24"/>
          <w:szCs w:val="24"/>
        </w:rPr>
        <w:t xml:space="preserve"> condicionado de manera relevante el origen étnico y social de nuestras sociedades.  </w:t>
      </w:r>
      <w:r w:rsidR="00F5012A" w:rsidRPr="003A1191">
        <w:rPr>
          <w:rFonts w:cstheme="minorHAnsi"/>
          <w:sz w:val="24"/>
          <w:szCs w:val="24"/>
        </w:rPr>
        <w:t>La gestión de la diversidad étnica ha alcanzado cotas de complejidad que exige la confluencia de</w:t>
      </w:r>
      <w:r w:rsidR="009805D5" w:rsidRPr="003A1191">
        <w:rPr>
          <w:rFonts w:cstheme="minorHAnsi"/>
          <w:sz w:val="24"/>
          <w:szCs w:val="24"/>
        </w:rPr>
        <w:t xml:space="preserve"> múltiples perspectivas y soluciones para la convivencia social y la construcción de proyectos comunes. Muchos países se han esforzado en plantar cara a sus problemas sociales </w:t>
      </w:r>
      <w:r w:rsidR="00046BB0" w:rsidRPr="003A1191">
        <w:rPr>
          <w:rFonts w:cstheme="minorHAnsi"/>
          <w:sz w:val="24"/>
          <w:szCs w:val="24"/>
        </w:rPr>
        <w:t>recurriendo a profundos debates institucionales que han dado lugar a interesantes soluciones, pero que también ha</w:t>
      </w:r>
      <w:r w:rsidR="00260501" w:rsidRPr="003A1191">
        <w:rPr>
          <w:rFonts w:cstheme="minorHAnsi"/>
          <w:sz w:val="24"/>
          <w:szCs w:val="24"/>
        </w:rPr>
        <w:t>n</w:t>
      </w:r>
      <w:r w:rsidR="00046BB0" w:rsidRPr="003A1191">
        <w:rPr>
          <w:rFonts w:cstheme="minorHAnsi"/>
          <w:sz w:val="24"/>
          <w:szCs w:val="24"/>
        </w:rPr>
        <w:t xml:space="preserve"> dado lugar a nuevos problemas</w:t>
      </w:r>
      <w:r w:rsidR="00260501" w:rsidRPr="003A1191">
        <w:rPr>
          <w:rFonts w:cstheme="minorHAnsi"/>
          <w:sz w:val="24"/>
          <w:szCs w:val="24"/>
        </w:rPr>
        <w:t>, algunos de ellos latentes hasta entonces</w:t>
      </w:r>
      <w:r w:rsidR="00046BB0" w:rsidRPr="003A1191">
        <w:rPr>
          <w:rFonts w:cstheme="minorHAnsi"/>
          <w:sz w:val="24"/>
          <w:szCs w:val="24"/>
        </w:rPr>
        <w:t>.</w:t>
      </w:r>
    </w:p>
    <w:p w14:paraId="02D37194" w14:textId="4FE09130" w:rsidR="00260501" w:rsidRPr="003A1191" w:rsidRDefault="00260501" w:rsidP="00545B53">
      <w:pPr>
        <w:spacing w:line="360" w:lineRule="auto"/>
        <w:ind w:firstLine="708"/>
        <w:jc w:val="both"/>
        <w:rPr>
          <w:rFonts w:cstheme="minorHAnsi"/>
          <w:sz w:val="24"/>
          <w:szCs w:val="24"/>
        </w:rPr>
      </w:pPr>
      <w:r w:rsidRPr="003A1191">
        <w:rPr>
          <w:rFonts w:cstheme="minorHAnsi"/>
          <w:sz w:val="24"/>
          <w:szCs w:val="24"/>
        </w:rPr>
        <w:t xml:space="preserve">Los esfuerzos de las comisiones para la gestión de los problemas de la diversidad étnica han sido </w:t>
      </w:r>
      <w:r w:rsidR="00A54338" w:rsidRPr="003A1191">
        <w:rPr>
          <w:rFonts w:cstheme="minorHAnsi"/>
          <w:sz w:val="24"/>
          <w:szCs w:val="24"/>
        </w:rPr>
        <w:t>una interesante demostración</w:t>
      </w:r>
      <w:r w:rsidRPr="003A1191">
        <w:rPr>
          <w:rFonts w:cstheme="minorHAnsi"/>
          <w:sz w:val="24"/>
          <w:szCs w:val="24"/>
        </w:rPr>
        <w:t xml:space="preserve"> de </w:t>
      </w:r>
      <w:r w:rsidR="00E72EFE" w:rsidRPr="003A1191">
        <w:rPr>
          <w:rFonts w:cstheme="minorHAnsi"/>
          <w:sz w:val="24"/>
          <w:szCs w:val="24"/>
        </w:rPr>
        <w:t xml:space="preserve">las posibles </w:t>
      </w:r>
      <w:r w:rsidRPr="003A1191">
        <w:rPr>
          <w:rFonts w:cstheme="minorHAnsi"/>
          <w:sz w:val="24"/>
          <w:szCs w:val="24"/>
        </w:rPr>
        <w:t xml:space="preserve">ideas </w:t>
      </w:r>
      <w:r w:rsidR="00E72EFE" w:rsidRPr="003A1191">
        <w:rPr>
          <w:rFonts w:cstheme="minorHAnsi"/>
          <w:sz w:val="24"/>
          <w:szCs w:val="24"/>
        </w:rPr>
        <w:t xml:space="preserve">que se pueden </w:t>
      </w:r>
      <w:r w:rsidR="00A54338" w:rsidRPr="003A1191">
        <w:rPr>
          <w:rFonts w:cstheme="minorHAnsi"/>
          <w:sz w:val="24"/>
          <w:szCs w:val="24"/>
        </w:rPr>
        <w:t>implementar</w:t>
      </w:r>
      <w:r w:rsidR="00E72EFE" w:rsidRPr="003A1191">
        <w:rPr>
          <w:rFonts w:cstheme="minorHAnsi"/>
          <w:sz w:val="24"/>
          <w:szCs w:val="24"/>
        </w:rPr>
        <w:t xml:space="preserve"> en </w:t>
      </w:r>
      <w:r w:rsidR="00A54338" w:rsidRPr="003A1191">
        <w:rPr>
          <w:rFonts w:cstheme="minorHAnsi"/>
          <w:sz w:val="24"/>
          <w:szCs w:val="24"/>
        </w:rPr>
        <w:t>nuestras</w:t>
      </w:r>
      <w:r w:rsidR="00E72EFE" w:rsidRPr="003A1191">
        <w:rPr>
          <w:rFonts w:cstheme="minorHAnsi"/>
          <w:sz w:val="24"/>
          <w:szCs w:val="24"/>
        </w:rPr>
        <w:t xml:space="preserve"> sociedades complejas.</w:t>
      </w:r>
      <w:r w:rsidR="00A54338" w:rsidRPr="003A1191">
        <w:rPr>
          <w:rFonts w:cstheme="minorHAnsi"/>
          <w:sz w:val="24"/>
          <w:szCs w:val="24"/>
        </w:rPr>
        <w:t xml:space="preserve"> </w:t>
      </w:r>
      <w:r w:rsidR="007B33E4" w:rsidRPr="003A1191">
        <w:rPr>
          <w:rFonts w:cstheme="minorHAnsi"/>
          <w:sz w:val="24"/>
          <w:szCs w:val="24"/>
        </w:rPr>
        <w:t>En concreto, l</w:t>
      </w:r>
      <w:r w:rsidR="00A54338" w:rsidRPr="003A1191">
        <w:rPr>
          <w:rFonts w:cstheme="minorHAnsi"/>
          <w:sz w:val="24"/>
          <w:szCs w:val="24"/>
        </w:rPr>
        <w:t xml:space="preserve">os debates en torno al grado de laicismo </w:t>
      </w:r>
      <w:r w:rsidR="007B33E4" w:rsidRPr="003A1191">
        <w:rPr>
          <w:rFonts w:cstheme="minorHAnsi"/>
          <w:sz w:val="24"/>
          <w:szCs w:val="24"/>
        </w:rPr>
        <w:t xml:space="preserve">nos han demostrado que existen múltiples mecanismos para afrontar la manera en la que podemos gestionar la diversidad religiosa, aunque siempre debemos abrazar con cautela cualquier solución a la que se llegue, puesto que la variabilidad de nuestras sociedades sigue estando permanentemente sujetas a las contingencias de un mundo desbocado. </w:t>
      </w:r>
    </w:p>
    <w:p w14:paraId="66CAADE0" w14:textId="374CD387" w:rsidR="00D23EFC" w:rsidRPr="003A1191" w:rsidRDefault="007B33E4" w:rsidP="00545B53">
      <w:pPr>
        <w:spacing w:line="360" w:lineRule="auto"/>
        <w:ind w:firstLine="708"/>
        <w:jc w:val="both"/>
        <w:rPr>
          <w:rFonts w:cstheme="minorHAnsi"/>
          <w:sz w:val="24"/>
          <w:szCs w:val="24"/>
        </w:rPr>
      </w:pPr>
      <w:r w:rsidRPr="003A1191">
        <w:rPr>
          <w:rFonts w:cstheme="minorHAnsi"/>
          <w:sz w:val="24"/>
          <w:szCs w:val="24"/>
        </w:rPr>
        <w:t xml:space="preserve">Las medidas adoptadas en torno a los funcionarios públicos reflejan muchos de los esfuerzos de nuestras sociedades, pero también muchas de sus aprensiones. Resulta relevante comprobar que la </w:t>
      </w:r>
      <w:r w:rsidR="00D23EFC" w:rsidRPr="003A1191">
        <w:rPr>
          <w:rFonts w:cstheme="minorHAnsi"/>
          <w:sz w:val="24"/>
          <w:szCs w:val="24"/>
        </w:rPr>
        <w:t>cuestión</w:t>
      </w:r>
      <w:r w:rsidRPr="003A1191">
        <w:rPr>
          <w:rFonts w:cstheme="minorHAnsi"/>
          <w:sz w:val="24"/>
          <w:szCs w:val="24"/>
        </w:rPr>
        <w:t xml:space="preserve"> del hecho religioso sigue concentrando muchas ansiedades sociales. Pero resulta aún más </w:t>
      </w:r>
      <w:r w:rsidR="00D23EFC" w:rsidRPr="003A1191">
        <w:rPr>
          <w:rFonts w:cstheme="minorHAnsi"/>
          <w:sz w:val="24"/>
          <w:szCs w:val="24"/>
        </w:rPr>
        <w:t>desconcertante</w:t>
      </w:r>
      <w:r w:rsidRPr="003A1191">
        <w:rPr>
          <w:rFonts w:cstheme="minorHAnsi"/>
          <w:sz w:val="24"/>
          <w:szCs w:val="24"/>
        </w:rPr>
        <w:t xml:space="preserve"> observar cómo </w:t>
      </w:r>
      <w:r w:rsidR="00D23EFC" w:rsidRPr="003A1191">
        <w:rPr>
          <w:rFonts w:cstheme="minorHAnsi"/>
          <w:sz w:val="24"/>
          <w:szCs w:val="24"/>
        </w:rPr>
        <w:t>muchas</w:t>
      </w:r>
      <w:r w:rsidRPr="003A1191">
        <w:rPr>
          <w:rFonts w:cstheme="minorHAnsi"/>
          <w:sz w:val="24"/>
          <w:szCs w:val="24"/>
        </w:rPr>
        <w:t xml:space="preserve"> de </w:t>
      </w:r>
      <w:r w:rsidR="00642F20" w:rsidRPr="003A1191">
        <w:rPr>
          <w:rFonts w:cstheme="minorHAnsi"/>
          <w:sz w:val="24"/>
          <w:szCs w:val="24"/>
        </w:rPr>
        <w:t>estas ansiedades</w:t>
      </w:r>
      <w:r w:rsidRPr="003A1191">
        <w:rPr>
          <w:rFonts w:cstheme="minorHAnsi"/>
          <w:sz w:val="24"/>
          <w:szCs w:val="24"/>
        </w:rPr>
        <w:t xml:space="preserve"> no tienen que ver más con la presenc</w:t>
      </w:r>
      <w:r w:rsidR="00642F20" w:rsidRPr="003A1191">
        <w:rPr>
          <w:rFonts w:cstheme="minorHAnsi"/>
          <w:sz w:val="24"/>
          <w:szCs w:val="24"/>
        </w:rPr>
        <w:t>ia religiosa o su visualización que con el</w:t>
      </w:r>
      <w:r w:rsidRPr="003A1191">
        <w:rPr>
          <w:rFonts w:cstheme="minorHAnsi"/>
          <w:sz w:val="24"/>
          <w:szCs w:val="24"/>
        </w:rPr>
        <w:t xml:space="preserve"> miedo a la </w:t>
      </w:r>
      <w:r w:rsidR="00D23EFC" w:rsidRPr="003A1191">
        <w:rPr>
          <w:rFonts w:cstheme="minorHAnsi"/>
          <w:sz w:val="24"/>
          <w:szCs w:val="24"/>
        </w:rPr>
        <w:t>pérdida</w:t>
      </w:r>
      <w:r w:rsidRPr="003A1191">
        <w:rPr>
          <w:rFonts w:cstheme="minorHAnsi"/>
          <w:sz w:val="24"/>
          <w:szCs w:val="24"/>
        </w:rPr>
        <w:t xml:space="preserve"> de las referencias que</w:t>
      </w:r>
      <w:r w:rsidR="00642F20" w:rsidRPr="003A1191">
        <w:rPr>
          <w:rFonts w:cstheme="minorHAnsi"/>
          <w:sz w:val="24"/>
          <w:szCs w:val="24"/>
        </w:rPr>
        <w:t>,</w:t>
      </w:r>
      <w:r w:rsidRPr="003A1191">
        <w:rPr>
          <w:rFonts w:cstheme="minorHAnsi"/>
          <w:sz w:val="24"/>
          <w:szCs w:val="24"/>
        </w:rPr>
        <w:t xml:space="preserve"> de algún modo u otro</w:t>
      </w:r>
      <w:r w:rsidR="00642F20" w:rsidRPr="003A1191">
        <w:rPr>
          <w:rFonts w:cstheme="minorHAnsi"/>
          <w:sz w:val="24"/>
          <w:szCs w:val="24"/>
        </w:rPr>
        <w:t>,</w:t>
      </w:r>
      <w:r w:rsidRPr="003A1191">
        <w:rPr>
          <w:rFonts w:cstheme="minorHAnsi"/>
          <w:sz w:val="24"/>
          <w:szCs w:val="24"/>
        </w:rPr>
        <w:t xml:space="preserve"> se han mitificado como fundacionales.</w:t>
      </w:r>
      <w:r w:rsidR="00D23EFC" w:rsidRPr="003A1191">
        <w:rPr>
          <w:rFonts w:cstheme="minorHAnsi"/>
          <w:sz w:val="24"/>
          <w:szCs w:val="24"/>
        </w:rPr>
        <w:t xml:space="preserve"> En todo caso, todos nosotros debemos comprometernos con una manera desapasionada de abordar estos casos, </w:t>
      </w:r>
      <w:r w:rsidR="00642F20" w:rsidRPr="003A1191">
        <w:rPr>
          <w:rFonts w:cstheme="minorHAnsi"/>
          <w:sz w:val="24"/>
          <w:szCs w:val="24"/>
        </w:rPr>
        <w:t>y resolver todas estas cuestiones de una manera más pragmática.</w:t>
      </w:r>
    </w:p>
    <w:p w14:paraId="6F57D40B" w14:textId="0C766B50" w:rsidR="003F4712" w:rsidRPr="003A1191" w:rsidRDefault="00642F20" w:rsidP="00545B53">
      <w:pPr>
        <w:spacing w:line="360" w:lineRule="auto"/>
        <w:ind w:firstLine="708"/>
        <w:jc w:val="both"/>
        <w:rPr>
          <w:rFonts w:cstheme="minorHAnsi"/>
          <w:sz w:val="24"/>
          <w:szCs w:val="24"/>
        </w:rPr>
      </w:pPr>
      <w:r w:rsidRPr="003A1191">
        <w:rPr>
          <w:rFonts w:cstheme="minorHAnsi"/>
          <w:sz w:val="24"/>
          <w:szCs w:val="24"/>
        </w:rPr>
        <w:lastRenderedPageBreak/>
        <w:t xml:space="preserve">La ostentación de símbolos religiosos por parte de los funcionarios públicos puede resultar al principio desconcertante, pero este tipo de medidas sociales consiguen </w:t>
      </w:r>
      <w:r w:rsidR="00750481" w:rsidRPr="003A1191">
        <w:rPr>
          <w:rFonts w:cstheme="minorHAnsi"/>
          <w:sz w:val="24"/>
          <w:szCs w:val="24"/>
        </w:rPr>
        <w:t xml:space="preserve">normalizar situaciones </w:t>
      </w:r>
      <w:r w:rsidR="003F4712" w:rsidRPr="003A1191">
        <w:rPr>
          <w:rFonts w:cstheme="minorHAnsi"/>
          <w:sz w:val="24"/>
          <w:szCs w:val="24"/>
        </w:rPr>
        <w:t>que, sin un esfuerzo institucional que los apoye, acabarían condenándose a la estigmatización y el ostracismo. Sólo es posible exigir un esfuerzo al entendimiento si todo el mundo nos enfrentamos a la necesidad de comprender la transformación continua a la que estamos condenados.</w:t>
      </w:r>
    </w:p>
    <w:p w14:paraId="35FFA040" w14:textId="3286B683" w:rsidR="00F60C4A" w:rsidRPr="003A1191" w:rsidRDefault="00F60C4A" w:rsidP="005C7923">
      <w:pPr>
        <w:ind w:firstLine="708"/>
        <w:jc w:val="both"/>
        <w:rPr>
          <w:rFonts w:cstheme="minorHAnsi"/>
        </w:rPr>
      </w:pPr>
    </w:p>
    <w:p w14:paraId="75149FA5" w14:textId="57F72B6D" w:rsidR="00F60C4A" w:rsidRPr="003A1191" w:rsidRDefault="00F60C4A" w:rsidP="005C7923">
      <w:pPr>
        <w:ind w:firstLine="708"/>
        <w:jc w:val="both"/>
        <w:rPr>
          <w:rFonts w:cstheme="minorHAnsi"/>
        </w:rPr>
      </w:pPr>
    </w:p>
    <w:p w14:paraId="4049D6FB" w14:textId="013A87EC" w:rsidR="00D11F19" w:rsidRPr="003A1191" w:rsidRDefault="00D11F19" w:rsidP="005C7923">
      <w:pPr>
        <w:ind w:firstLine="708"/>
        <w:jc w:val="both"/>
        <w:rPr>
          <w:rFonts w:cstheme="minorHAnsi"/>
        </w:rPr>
      </w:pPr>
    </w:p>
    <w:p w14:paraId="3D7D12FF" w14:textId="77777777" w:rsidR="00D11F19" w:rsidRPr="003A1191" w:rsidRDefault="00D11F19" w:rsidP="005C7923">
      <w:pPr>
        <w:ind w:firstLine="708"/>
        <w:jc w:val="both"/>
        <w:rPr>
          <w:rFonts w:cstheme="minorHAnsi"/>
        </w:rPr>
      </w:pPr>
    </w:p>
    <w:p w14:paraId="1E840EBC" w14:textId="77777777" w:rsidR="00F60C4A" w:rsidRPr="003A1191" w:rsidRDefault="00F60C4A" w:rsidP="005C7923">
      <w:pPr>
        <w:ind w:firstLine="708"/>
        <w:jc w:val="both"/>
        <w:rPr>
          <w:rFonts w:cstheme="minorHAnsi"/>
        </w:rPr>
      </w:pPr>
    </w:p>
    <w:p w14:paraId="0CDD3E33" w14:textId="0E64F3BF" w:rsidR="00F60C4A" w:rsidRPr="003A1191" w:rsidRDefault="00F60C4A" w:rsidP="00F60C4A">
      <w:pPr>
        <w:jc w:val="both"/>
        <w:rPr>
          <w:rFonts w:cstheme="minorHAnsi"/>
          <w:b/>
        </w:rPr>
      </w:pPr>
      <w:r w:rsidRPr="003A1191">
        <w:rPr>
          <w:rFonts w:cstheme="minorHAnsi"/>
          <w:b/>
        </w:rPr>
        <w:t>Referencias bibliográficas</w:t>
      </w:r>
    </w:p>
    <w:p w14:paraId="500CA3F3" w14:textId="77777777" w:rsidR="00F60C4A" w:rsidRPr="003A1191" w:rsidRDefault="00F60C4A" w:rsidP="00F60C4A">
      <w:pPr>
        <w:jc w:val="both"/>
        <w:rPr>
          <w:rFonts w:cstheme="minorHAnsi"/>
        </w:rPr>
      </w:pPr>
      <w:r w:rsidRPr="003A1191">
        <w:rPr>
          <w:rFonts w:cstheme="minorHAnsi"/>
        </w:rPr>
        <w:fldChar w:fldCharType="begin"/>
      </w:r>
      <w:r w:rsidRPr="003A1191">
        <w:rPr>
          <w:rFonts w:cstheme="minorHAnsi"/>
        </w:rPr>
        <w:instrText xml:space="preserve"> BIBLIOGRAPHY  \l 3082 </w:instrText>
      </w:r>
      <w:r w:rsidRPr="003A1191">
        <w:rPr>
          <w:rFonts w:cstheme="minorHAnsi"/>
        </w:rPr>
        <w:fldChar w:fldCharType="separate"/>
      </w:r>
      <w:r w:rsidRPr="003A1191">
        <w:rPr>
          <w:rFonts w:cstheme="minorHAnsi"/>
        </w:rPr>
        <w:t xml:space="preserve">Bosset, P., 2013. Réflexions d’un juriste sur l’idée d’interdire le port de signes religieux aux agents de l’État. </w:t>
      </w:r>
      <w:r w:rsidRPr="003A1191">
        <w:rPr>
          <w:rFonts w:cstheme="minorHAnsi"/>
          <w:i/>
          <w:iCs/>
        </w:rPr>
        <w:t xml:space="preserve">Vivre ensemble, </w:t>
      </w:r>
      <w:r w:rsidRPr="003A1191">
        <w:rPr>
          <w:rFonts w:cstheme="minorHAnsi"/>
        </w:rPr>
        <w:t>20(70), pp. 1-9.</w:t>
      </w:r>
    </w:p>
    <w:p w14:paraId="0FFA8011" w14:textId="77777777" w:rsidR="00F60C4A" w:rsidRPr="003A1191" w:rsidRDefault="00F60C4A" w:rsidP="00F60C4A">
      <w:pPr>
        <w:jc w:val="both"/>
        <w:rPr>
          <w:rFonts w:cstheme="minorHAnsi"/>
        </w:rPr>
      </w:pPr>
      <w:r w:rsidRPr="003A1191">
        <w:rPr>
          <w:rFonts w:cstheme="minorHAnsi"/>
        </w:rPr>
        <w:t xml:space="preserve">Bouchard, G. &amp; Taylor, C., 2010. </w:t>
      </w:r>
      <w:r w:rsidRPr="003A1191">
        <w:rPr>
          <w:rFonts w:cstheme="minorHAnsi"/>
          <w:i/>
          <w:iCs/>
        </w:rPr>
        <w:t xml:space="preserve">Construir el futuro. El tiempo de la reconciliación, </w:t>
      </w:r>
      <w:r w:rsidRPr="003A1191">
        <w:rPr>
          <w:rFonts w:cstheme="minorHAnsi"/>
        </w:rPr>
        <w:t>Zarautz: Ikuspegi. Observatorio Vasco de Inmigración.</w:t>
      </w:r>
    </w:p>
    <w:p w14:paraId="180FB70A" w14:textId="77777777" w:rsidR="00F60C4A" w:rsidRPr="003A1191" w:rsidRDefault="00F60C4A" w:rsidP="00F60C4A">
      <w:pPr>
        <w:jc w:val="both"/>
        <w:rPr>
          <w:rFonts w:cstheme="minorHAnsi"/>
        </w:rPr>
      </w:pPr>
      <w:r w:rsidRPr="003A1191">
        <w:rPr>
          <w:rFonts w:cstheme="minorHAnsi"/>
        </w:rPr>
        <w:t xml:space="preserve">Elósegui Itxaso, M., 2010a. El modelo de interculturalidad en el informe de la Comisión Bouchard-Taylor para Québec. </w:t>
      </w:r>
      <w:r w:rsidRPr="003A1191">
        <w:rPr>
          <w:rFonts w:cstheme="minorHAnsi"/>
          <w:i/>
          <w:iCs/>
        </w:rPr>
        <w:t xml:space="preserve">Anuario de Derechos Humanos. Nueva Época, </w:t>
      </w:r>
      <w:r w:rsidRPr="003A1191">
        <w:rPr>
          <w:rFonts w:cstheme="minorHAnsi"/>
        </w:rPr>
        <w:t>Volumen 11, pp. 129-164.</w:t>
      </w:r>
    </w:p>
    <w:p w14:paraId="2DEDAA37" w14:textId="77777777" w:rsidR="00F60C4A" w:rsidRPr="003A1191" w:rsidRDefault="00F60C4A" w:rsidP="00F60C4A">
      <w:pPr>
        <w:jc w:val="both"/>
        <w:rPr>
          <w:rFonts w:cstheme="minorHAnsi"/>
        </w:rPr>
      </w:pPr>
      <w:r w:rsidRPr="003A1191">
        <w:rPr>
          <w:rFonts w:cstheme="minorHAnsi"/>
        </w:rPr>
        <w:t xml:space="preserve">Elósegui Itxaso, M., 2010. El concepto de laicidad abierta en el informe de la Comisión Bouchard-Taylor para Québec. </w:t>
      </w:r>
      <w:r w:rsidRPr="003A1191">
        <w:rPr>
          <w:rFonts w:cstheme="minorHAnsi"/>
          <w:i/>
          <w:iCs/>
        </w:rPr>
        <w:t xml:space="preserve">Revista General de Derecho canónico y Derecho Eclesiástico de Estado, </w:t>
      </w:r>
      <w:r w:rsidRPr="003A1191">
        <w:rPr>
          <w:rFonts w:cstheme="minorHAnsi"/>
        </w:rPr>
        <w:t>Issue 23, p. 14.</w:t>
      </w:r>
    </w:p>
    <w:p w14:paraId="11A7C092" w14:textId="77777777" w:rsidR="00F60C4A" w:rsidRPr="003A1191" w:rsidRDefault="00F60C4A" w:rsidP="00F60C4A">
      <w:pPr>
        <w:jc w:val="both"/>
        <w:rPr>
          <w:rFonts w:cstheme="minorHAnsi"/>
        </w:rPr>
      </w:pPr>
      <w:r w:rsidRPr="003A1191">
        <w:rPr>
          <w:rFonts w:cstheme="minorHAnsi"/>
        </w:rPr>
        <w:t xml:space="preserve">Elósegui Itxaso, M., 2012. La laicidad abierta en Charles Taylor y J. Maclure versus las nuevas leyes de neutralidd de los funcionarios públicos en Alemania. En: M. Elósegui Itxaso, ed. </w:t>
      </w:r>
      <w:r w:rsidRPr="003A1191">
        <w:rPr>
          <w:rFonts w:cstheme="minorHAnsi"/>
          <w:i/>
          <w:iCs/>
        </w:rPr>
        <w:t xml:space="preserve">La neutralidad del Estado y el papel de la religión en la esfera pública en Alemania. </w:t>
      </w:r>
      <w:r w:rsidRPr="003A1191">
        <w:rPr>
          <w:rFonts w:cstheme="minorHAnsi"/>
        </w:rPr>
        <w:t>Zaragoza: Fundación Manuel Giménez Abad de Estudios Parlamentarios y del Estado Autonómico, pp. 109-146.</w:t>
      </w:r>
    </w:p>
    <w:p w14:paraId="6B936A8B" w14:textId="77777777" w:rsidR="00F60C4A" w:rsidRPr="003A1191" w:rsidRDefault="00F60C4A" w:rsidP="00F60C4A">
      <w:pPr>
        <w:jc w:val="both"/>
        <w:rPr>
          <w:rFonts w:cstheme="minorHAnsi"/>
        </w:rPr>
      </w:pPr>
      <w:r w:rsidRPr="003A1191">
        <w:rPr>
          <w:rFonts w:cstheme="minorHAnsi"/>
        </w:rPr>
        <w:t xml:space="preserve">Esteban Sánchez, V. &amp; López Sala, A., 2009. La crisis de los ‘acomodos razonables’ en Québec: la Comisión Bouchard-Taylor. </w:t>
      </w:r>
      <w:r w:rsidRPr="003A1191">
        <w:rPr>
          <w:rFonts w:cstheme="minorHAnsi"/>
          <w:i/>
          <w:iCs/>
        </w:rPr>
        <w:t xml:space="preserve">Revista Internacional de Filosofía Política, </w:t>
      </w:r>
      <w:r w:rsidRPr="003A1191">
        <w:rPr>
          <w:rFonts w:cstheme="minorHAnsi"/>
        </w:rPr>
        <w:t>Issue 33, pp. 191-209.</w:t>
      </w:r>
    </w:p>
    <w:p w14:paraId="116B379B" w14:textId="77777777" w:rsidR="00F60C4A" w:rsidRPr="003A1191" w:rsidRDefault="00F60C4A" w:rsidP="00F60C4A">
      <w:pPr>
        <w:jc w:val="both"/>
        <w:rPr>
          <w:rFonts w:cstheme="minorHAnsi"/>
        </w:rPr>
      </w:pPr>
      <w:r w:rsidRPr="003A1191">
        <w:rPr>
          <w:rFonts w:cstheme="minorHAnsi"/>
        </w:rPr>
        <w:t xml:space="preserve">Goode, E. &amp; Yehuda, N. B.-., 1994. Moral Panics: Culture, Politics, and Social Construction. </w:t>
      </w:r>
      <w:r w:rsidRPr="003A1191">
        <w:rPr>
          <w:rFonts w:cstheme="minorHAnsi"/>
          <w:i/>
          <w:iCs/>
        </w:rPr>
        <w:t xml:space="preserve">Annual Review of Sociology, </w:t>
      </w:r>
      <w:r w:rsidRPr="003A1191">
        <w:rPr>
          <w:rFonts w:cstheme="minorHAnsi"/>
        </w:rPr>
        <w:t>Volumen 20, pp. 149-171.</w:t>
      </w:r>
    </w:p>
    <w:p w14:paraId="5940F85E" w14:textId="77777777" w:rsidR="00F60C4A" w:rsidRPr="003A1191" w:rsidRDefault="00F60C4A" w:rsidP="00F60C4A">
      <w:pPr>
        <w:jc w:val="both"/>
        <w:rPr>
          <w:rFonts w:cstheme="minorHAnsi"/>
        </w:rPr>
      </w:pPr>
      <w:r w:rsidRPr="003A1191">
        <w:rPr>
          <w:rFonts w:cstheme="minorHAnsi"/>
        </w:rPr>
        <w:t xml:space="preserve">Holtug, N., 2011. Nationalism, Secularism and Liberal Neutrality: The Danish Case of Judges and Religious Symbols. </w:t>
      </w:r>
      <w:r w:rsidRPr="003A1191">
        <w:rPr>
          <w:rFonts w:cstheme="minorHAnsi"/>
          <w:i/>
          <w:iCs/>
        </w:rPr>
        <w:t xml:space="preserve">Les ateliers de l'éthique / The Ethics Forum. Centre de recherche en éthique de l’Université de Montréal, </w:t>
      </w:r>
      <w:r w:rsidRPr="003A1191">
        <w:rPr>
          <w:rFonts w:cstheme="minorHAnsi"/>
        </w:rPr>
        <w:t>6(2), pp. 107-125.</w:t>
      </w:r>
    </w:p>
    <w:p w14:paraId="2C851DCB" w14:textId="77777777" w:rsidR="00F60C4A" w:rsidRPr="003A1191" w:rsidRDefault="00F60C4A" w:rsidP="00F60C4A">
      <w:pPr>
        <w:jc w:val="both"/>
        <w:rPr>
          <w:rFonts w:cstheme="minorHAnsi"/>
        </w:rPr>
      </w:pPr>
      <w:r w:rsidRPr="003A1191">
        <w:rPr>
          <w:rFonts w:cstheme="minorHAnsi"/>
        </w:rPr>
        <w:t xml:space="preserve">Maclure, J., 2013. Political Secularism: A Sketch. </w:t>
      </w:r>
      <w:r w:rsidRPr="003A1191">
        <w:rPr>
          <w:rFonts w:cstheme="minorHAnsi"/>
          <w:i/>
          <w:iCs/>
        </w:rPr>
        <w:t xml:space="preserve">The Public Management of Religion: From State Building to New Forms of Minorities. From State Building to New Forms of Minorities’ Mobilization, RECODE Working Papers, </w:t>
      </w:r>
      <w:r w:rsidRPr="003A1191">
        <w:rPr>
          <w:rFonts w:cstheme="minorHAnsi"/>
        </w:rPr>
        <w:t>Volumen 16, pp. 1-9.</w:t>
      </w:r>
    </w:p>
    <w:p w14:paraId="09D4C0F4" w14:textId="77777777" w:rsidR="00F60C4A" w:rsidRPr="003A1191" w:rsidRDefault="00F60C4A" w:rsidP="00F60C4A">
      <w:pPr>
        <w:jc w:val="both"/>
        <w:rPr>
          <w:rFonts w:cstheme="minorHAnsi"/>
        </w:rPr>
      </w:pPr>
      <w:r w:rsidRPr="003A1191">
        <w:rPr>
          <w:rFonts w:cstheme="minorHAnsi"/>
        </w:rPr>
        <w:lastRenderedPageBreak/>
        <w:t xml:space="preserve">Maclure, J., 2016. The Meaning and Entailment of the Religious Neutrality of the State: The Case of Public Employees. En: B. L. Berger &amp; R. Moon, edits. </w:t>
      </w:r>
      <w:r w:rsidRPr="003A1191">
        <w:rPr>
          <w:rFonts w:cstheme="minorHAnsi"/>
          <w:i/>
          <w:iCs/>
        </w:rPr>
        <w:t xml:space="preserve">Religion and the Exercise of Public Authority. </w:t>
      </w:r>
      <w:r w:rsidRPr="003A1191">
        <w:rPr>
          <w:rFonts w:cstheme="minorHAnsi"/>
        </w:rPr>
        <w:t>Oxford, Portland: Bloomsbury Publishing, pp. 11-21.</w:t>
      </w:r>
    </w:p>
    <w:p w14:paraId="41FAF9B4" w14:textId="77777777" w:rsidR="00F60C4A" w:rsidRPr="003A1191" w:rsidRDefault="00F60C4A" w:rsidP="00F60C4A">
      <w:pPr>
        <w:jc w:val="both"/>
        <w:rPr>
          <w:rFonts w:cstheme="minorHAnsi"/>
        </w:rPr>
      </w:pPr>
      <w:r w:rsidRPr="003A1191">
        <w:rPr>
          <w:rFonts w:cstheme="minorHAnsi"/>
        </w:rPr>
        <w:t xml:space="preserve">Maclure, J. &amp; Taylor, C., 2011. </w:t>
      </w:r>
      <w:r w:rsidRPr="003A1191">
        <w:rPr>
          <w:rFonts w:cstheme="minorHAnsi"/>
          <w:i/>
          <w:iCs/>
        </w:rPr>
        <w:t xml:space="preserve">Laicidad y libertad de conciencia. </w:t>
      </w:r>
      <w:r w:rsidRPr="003A1191">
        <w:rPr>
          <w:rFonts w:cstheme="minorHAnsi"/>
        </w:rPr>
        <w:t>Madrid: Alianza.</w:t>
      </w:r>
    </w:p>
    <w:p w14:paraId="544A368C" w14:textId="77777777" w:rsidR="00F60C4A" w:rsidRPr="003A1191" w:rsidRDefault="00F60C4A" w:rsidP="00F60C4A">
      <w:pPr>
        <w:jc w:val="both"/>
        <w:rPr>
          <w:rFonts w:cstheme="minorHAnsi"/>
        </w:rPr>
      </w:pPr>
      <w:r w:rsidRPr="003A1191">
        <w:rPr>
          <w:rFonts w:cstheme="minorHAnsi"/>
        </w:rPr>
        <w:t xml:space="preserve">Ruiz Vieytez, E., 2009. Crítica del acomodo razonable como instrumento jurídico del multiculturalismo. </w:t>
      </w:r>
      <w:r w:rsidRPr="003A1191">
        <w:rPr>
          <w:rFonts w:cstheme="minorHAnsi"/>
          <w:i/>
          <w:iCs/>
        </w:rPr>
        <w:t xml:space="preserve">Cuadernos electrónicos de filosofía del derecho, </w:t>
      </w:r>
      <w:r w:rsidRPr="003A1191">
        <w:rPr>
          <w:rFonts w:cstheme="minorHAnsi"/>
        </w:rPr>
        <w:t>Issue 18, pp. 1-22.</w:t>
      </w:r>
    </w:p>
    <w:p w14:paraId="3E1B6FA0" w14:textId="77777777" w:rsidR="00F60C4A" w:rsidRPr="003A1191" w:rsidRDefault="00F60C4A" w:rsidP="00F60C4A">
      <w:pPr>
        <w:jc w:val="both"/>
        <w:rPr>
          <w:rFonts w:cstheme="minorHAnsi"/>
        </w:rPr>
      </w:pPr>
      <w:r w:rsidRPr="003A1191">
        <w:rPr>
          <w:rFonts w:cstheme="minorHAnsi"/>
        </w:rPr>
        <w:t xml:space="preserve">Sauca, J. M. &amp; Wences, I., 2009. Participación ciudadana y diversidad cultural: la Comisión Bouchard-Taylor. </w:t>
      </w:r>
      <w:r w:rsidRPr="003A1191">
        <w:rPr>
          <w:rFonts w:cstheme="minorHAnsi"/>
          <w:i/>
          <w:iCs/>
        </w:rPr>
        <w:t xml:space="preserve">Andamios, </w:t>
      </w:r>
      <w:r w:rsidRPr="003A1191">
        <w:rPr>
          <w:rFonts w:cstheme="minorHAnsi"/>
        </w:rPr>
        <w:t>5(10), pp. 9-37.</w:t>
      </w:r>
    </w:p>
    <w:p w14:paraId="3D963401" w14:textId="77777777" w:rsidR="00F60C4A" w:rsidRPr="003A1191" w:rsidRDefault="00F60C4A" w:rsidP="00F60C4A">
      <w:pPr>
        <w:jc w:val="both"/>
        <w:rPr>
          <w:rFonts w:cstheme="minorHAnsi"/>
        </w:rPr>
      </w:pPr>
      <w:r w:rsidRPr="003A1191">
        <w:rPr>
          <w:rFonts w:cstheme="minorHAnsi"/>
        </w:rPr>
        <w:t xml:space="preserve">Toscano Méndez, M., 2010. La laicidad abierta. El Rapport Bouchard-Taylor y el régimen de laicidad de Québec. </w:t>
      </w:r>
      <w:r w:rsidRPr="003A1191">
        <w:rPr>
          <w:rFonts w:cstheme="minorHAnsi"/>
          <w:i/>
          <w:iCs/>
        </w:rPr>
        <w:t xml:space="preserve">Laguna: Revista de filosofía, </w:t>
      </w:r>
      <w:r w:rsidRPr="003A1191">
        <w:rPr>
          <w:rFonts w:cstheme="minorHAnsi"/>
        </w:rPr>
        <w:t>Issue 26, pp. 95-108.</w:t>
      </w:r>
    </w:p>
    <w:p w14:paraId="4655CCE6" w14:textId="77777777" w:rsidR="00F60C4A" w:rsidRPr="003A1191" w:rsidRDefault="00F60C4A" w:rsidP="00F60C4A">
      <w:pPr>
        <w:jc w:val="both"/>
        <w:rPr>
          <w:rFonts w:cstheme="minorHAnsi"/>
        </w:rPr>
      </w:pPr>
      <w:r w:rsidRPr="003A1191">
        <w:rPr>
          <w:rFonts w:cstheme="minorHAnsi"/>
        </w:rPr>
        <w:t xml:space="preserve">Wences, I., 2015. Diversidad cultural y acomodos razonables. Una lectura desde la no dominación. </w:t>
      </w:r>
      <w:r w:rsidRPr="003A1191">
        <w:rPr>
          <w:rFonts w:cstheme="minorHAnsi"/>
          <w:i/>
          <w:iCs/>
        </w:rPr>
        <w:t xml:space="preserve">Foro Interno, </w:t>
      </w:r>
      <w:r w:rsidRPr="003A1191">
        <w:rPr>
          <w:rFonts w:cstheme="minorHAnsi"/>
        </w:rPr>
        <w:t>Issue 15, pp. 39-67.</w:t>
      </w:r>
    </w:p>
    <w:p w14:paraId="55624D03" w14:textId="6118080A" w:rsidR="00D72055" w:rsidRPr="003A1191" w:rsidRDefault="00F60C4A" w:rsidP="00852615">
      <w:pPr>
        <w:jc w:val="both"/>
        <w:rPr>
          <w:rFonts w:cstheme="minorHAnsi"/>
        </w:rPr>
      </w:pPr>
      <w:r w:rsidRPr="003A1191">
        <w:rPr>
          <w:rFonts w:cstheme="minorHAnsi"/>
        </w:rPr>
        <w:fldChar w:fldCharType="end"/>
      </w:r>
    </w:p>
    <w:sectPr w:rsidR="00D72055" w:rsidRPr="003A1191">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851784" w14:textId="77777777" w:rsidR="0055543C" w:rsidRDefault="0055543C" w:rsidP="00CA38AB">
      <w:pPr>
        <w:spacing w:after="0" w:line="240" w:lineRule="auto"/>
      </w:pPr>
      <w:r>
        <w:separator/>
      </w:r>
    </w:p>
  </w:endnote>
  <w:endnote w:type="continuationSeparator" w:id="0">
    <w:p w14:paraId="4D0B7CEE" w14:textId="77777777" w:rsidR="0055543C" w:rsidRDefault="0055543C" w:rsidP="00CA38AB">
      <w:pPr>
        <w:spacing w:after="0" w:line="240" w:lineRule="auto"/>
      </w:pPr>
      <w:r>
        <w:continuationSeparator/>
      </w:r>
    </w:p>
  </w:endnote>
  <w:endnote w:type="continuationNotice" w:id="1">
    <w:p w14:paraId="7FD718BF" w14:textId="77777777" w:rsidR="0033668F" w:rsidRDefault="003366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3224112"/>
      <w:docPartObj>
        <w:docPartGallery w:val="Page Numbers (Bottom of Page)"/>
        <w:docPartUnique/>
      </w:docPartObj>
    </w:sdtPr>
    <w:sdtEndPr/>
    <w:sdtContent>
      <w:p w14:paraId="56E079D3" w14:textId="6994A640" w:rsidR="001C6444" w:rsidRDefault="001C6444">
        <w:pPr>
          <w:pStyle w:val="Piedepgina"/>
          <w:jc w:val="right"/>
        </w:pPr>
        <w:r>
          <w:fldChar w:fldCharType="begin"/>
        </w:r>
        <w:r>
          <w:instrText>PAGE   \* MERGEFORMAT</w:instrText>
        </w:r>
        <w:r>
          <w:fldChar w:fldCharType="separate"/>
        </w:r>
        <w:r w:rsidR="00D51874">
          <w:rPr>
            <w:noProof/>
          </w:rPr>
          <w:t>20</w:t>
        </w:r>
        <w:r>
          <w:fldChar w:fldCharType="end"/>
        </w:r>
      </w:p>
    </w:sdtContent>
  </w:sdt>
  <w:p w14:paraId="448A253E" w14:textId="77777777" w:rsidR="001C6444" w:rsidRDefault="001C64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5D19B8" w14:textId="77777777" w:rsidR="0055543C" w:rsidRDefault="0055543C" w:rsidP="00CA38AB">
      <w:pPr>
        <w:spacing w:after="0" w:line="240" w:lineRule="auto"/>
      </w:pPr>
      <w:r>
        <w:separator/>
      </w:r>
    </w:p>
  </w:footnote>
  <w:footnote w:type="continuationSeparator" w:id="0">
    <w:p w14:paraId="3D667F86" w14:textId="77777777" w:rsidR="0055543C" w:rsidRDefault="0055543C" w:rsidP="00CA38AB">
      <w:pPr>
        <w:spacing w:after="0" w:line="240" w:lineRule="auto"/>
      </w:pPr>
      <w:r>
        <w:continuationSeparator/>
      </w:r>
    </w:p>
  </w:footnote>
  <w:footnote w:type="continuationNotice" w:id="1">
    <w:p w14:paraId="5DD8893E" w14:textId="77777777" w:rsidR="0033668F" w:rsidRDefault="0033668F">
      <w:pPr>
        <w:spacing w:after="0" w:line="240" w:lineRule="auto"/>
      </w:pPr>
    </w:p>
  </w:footnote>
  <w:footnote w:id="2">
    <w:p w14:paraId="1DADAF0B" w14:textId="77777777" w:rsidR="003B4EE7" w:rsidRDefault="003B4EE7" w:rsidP="003B4EE7">
      <w:pPr>
        <w:pStyle w:val="Textonotapie"/>
      </w:pPr>
      <w:r>
        <w:rPr>
          <w:rStyle w:val="Refdenotaalpie"/>
        </w:rPr>
        <w:footnoteRef/>
      </w:r>
      <w:r>
        <w:t xml:space="preserve"> La noticia puede consultarse en una </w:t>
      </w:r>
      <w:hyperlink r:id="rId1" w:history="1">
        <w:r w:rsidRPr="00CA38AB">
          <w:rPr>
            <w:rStyle w:val="Hipervnculo"/>
          </w:rPr>
          <w:t>noticia</w:t>
        </w:r>
      </w:hyperlink>
      <w:r>
        <w:t xml:space="preserve"> de El País de 31 de enero de 2017 y del periódico El Mundo en una </w:t>
      </w:r>
      <w:hyperlink r:id="rId2" w:history="1">
        <w:r w:rsidRPr="00CA38AB">
          <w:rPr>
            <w:rStyle w:val="Hipervnculo"/>
          </w:rPr>
          <w:t>noticia</w:t>
        </w:r>
      </w:hyperlink>
      <w:r>
        <w:t xml:space="preserve"> de 31 de enero de 2017. Para un pequeño perfil del autor del atentado, consultar </w:t>
      </w:r>
      <w:hyperlink r:id="rId3" w:history="1">
        <w:r w:rsidRPr="00CA38AB">
          <w:rPr>
            <w:rStyle w:val="Hipervnculo"/>
          </w:rPr>
          <w:t>noticia</w:t>
        </w:r>
      </w:hyperlink>
      <w:r>
        <w:t xml:space="preserve"> de ABC de 30 de enero de 2017.</w:t>
      </w:r>
    </w:p>
  </w:footnote>
  <w:footnote w:id="3">
    <w:p w14:paraId="2B20EEDF" w14:textId="77777777" w:rsidR="003B4EE7" w:rsidRDefault="003B4EE7" w:rsidP="003B4EE7">
      <w:pPr>
        <w:pStyle w:val="Textonotapie"/>
      </w:pPr>
      <w:r>
        <w:rPr>
          <w:rStyle w:val="Refdenotaalpie"/>
        </w:rPr>
        <w:footnoteRef/>
      </w:r>
      <w:r>
        <w:t xml:space="preserve"> </w:t>
      </w:r>
      <w:r w:rsidRPr="00E90FDA">
        <w:t>"Quiero decir unas palabras a nuestros compatriotas de Quebec de confesión musulmana. Estamos con vosotros. Estáis en casa, sois bienvenidos a vuestro hogar. Somos todos quebequeses"</w:t>
      </w:r>
      <w:r>
        <w:t xml:space="preserve">. La noticia puede consultarse en este </w:t>
      </w:r>
      <w:hyperlink r:id="rId4" w:history="1">
        <w:r w:rsidRPr="00D2470E">
          <w:rPr>
            <w:rStyle w:val="Hipervnculo"/>
          </w:rPr>
          <w:t>enlace</w:t>
        </w:r>
      </w:hyperlink>
      <w:r>
        <w:t>.</w:t>
      </w:r>
    </w:p>
  </w:footnote>
  <w:footnote w:id="4">
    <w:p w14:paraId="2978AB7E" w14:textId="77777777" w:rsidR="003B4EE7" w:rsidRDefault="003B4EE7" w:rsidP="003B4EE7">
      <w:pPr>
        <w:pStyle w:val="Textonotapie"/>
      </w:pPr>
      <w:r>
        <w:rPr>
          <w:rStyle w:val="Refdenotaalpie"/>
        </w:rPr>
        <w:footnoteRef/>
      </w:r>
      <w:r>
        <w:t xml:space="preserve"> Las noticias sobre estos ataques terroristas pueden consultarse en los siguientes enlaces: para el de Ottawa, </w:t>
      </w:r>
      <w:hyperlink r:id="rId5" w:history="1">
        <w:r w:rsidRPr="00441FCE">
          <w:rPr>
            <w:rStyle w:val="Hipervnculo"/>
          </w:rPr>
          <w:t>noticia</w:t>
        </w:r>
      </w:hyperlink>
      <w:r>
        <w:t xml:space="preserve"> de El País de 23 de octubre de 2014; para el del atropello en Quebec, </w:t>
      </w:r>
      <w:hyperlink r:id="rId6" w:history="1">
        <w:r w:rsidRPr="00441FCE">
          <w:rPr>
            <w:rStyle w:val="Hipervnculo"/>
          </w:rPr>
          <w:t>noticia</w:t>
        </w:r>
      </w:hyperlink>
      <w:r>
        <w:t xml:space="preserve"> de 22 de octubre de 2014; y para el de Toronto, </w:t>
      </w:r>
      <w:hyperlink r:id="rId7" w:history="1">
        <w:r w:rsidRPr="00441FCE">
          <w:rPr>
            <w:rStyle w:val="Hipervnculo"/>
          </w:rPr>
          <w:t>noticia</w:t>
        </w:r>
      </w:hyperlink>
      <w:r>
        <w:t xml:space="preserve"> de El País de 4 de junio de 2006.</w:t>
      </w:r>
    </w:p>
  </w:footnote>
  <w:footnote w:id="5">
    <w:p w14:paraId="65CE481F" w14:textId="718983AC" w:rsidR="0055543C" w:rsidRDefault="0055543C">
      <w:pPr>
        <w:pStyle w:val="Textonotapie"/>
      </w:pPr>
      <w:r>
        <w:rPr>
          <w:rStyle w:val="Refdenotaalpie"/>
        </w:rPr>
        <w:footnoteRef/>
      </w:r>
      <w:r>
        <w:t xml:space="preserve"> Las declaraciones de Taylor fueron publicadas en una </w:t>
      </w:r>
      <w:hyperlink r:id="rId8" w:history="1">
        <w:r w:rsidRPr="00E616D5">
          <w:rPr>
            <w:rStyle w:val="Hipervnculo"/>
          </w:rPr>
          <w:t>columna</w:t>
        </w:r>
      </w:hyperlink>
      <w:r>
        <w:t xml:space="preserve"> de opinión del periódico La Presse de 14 de febrero de 2017.</w:t>
      </w:r>
    </w:p>
  </w:footnote>
  <w:footnote w:id="6">
    <w:p w14:paraId="6122C4C6" w14:textId="2F09D723" w:rsidR="0055543C" w:rsidRDefault="0055543C" w:rsidP="00087A2A">
      <w:pPr>
        <w:pStyle w:val="Textonotapie"/>
      </w:pPr>
      <w:r>
        <w:rPr>
          <w:rStyle w:val="Refdenotaalpie"/>
        </w:rPr>
        <w:footnoteRef/>
      </w:r>
      <w:r>
        <w:t xml:space="preserve"> El informe final de la comisión puede consultarse en la web del Ministerios del Consejo Ejecutivo de Quebec en el siguiente </w:t>
      </w:r>
      <w:hyperlink r:id="rId9" w:history="1">
        <w:r w:rsidRPr="00087A2A">
          <w:rPr>
            <w:rStyle w:val="Hipervnculo"/>
          </w:rPr>
          <w:t>enlace</w:t>
        </w:r>
      </w:hyperlink>
      <w:r>
        <w:t>.</w:t>
      </w:r>
    </w:p>
  </w:footnote>
  <w:footnote w:id="7">
    <w:p w14:paraId="4A3476F7" w14:textId="1839ED13" w:rsidR="00B200CE" w:rsidRPr="00B200CE" w:rsidRDefault="00B200CE">
      <w:pPr>
        <w:pStyle w:val="Textonotapie"/>
      </w:pPr>
      <w:r>
        <w:rPr>
          <w:rStyle w:val="Refdenotaalpie"/>
        </w:rPr>
        <w:footnoteRef/>
      </w:r>
      <w:r>
        <w:t xml:space="preserve"> El caso más sonado fue el de una niña musulmana de un equipo de fútbol femenino que quiso jugar con el </w:t>
      </w:r>
      <w:r>
        <w:rPr>
          <w:i/>
        </w:rPr>
        <w:t>hiyab</w:t>
      </w:r>
      <w:r>
        <w:t xml:space="preserve">. La </w:t>
      </w:r>
      <w:hyperlink r:id="rId10" w:history="1">
        <w:r w:rsidRPr="00B200CE">
          <w:rPr>
            <w:rStyle w:val="Hipervnculo"/>
          </w:rPr>
          <w:t>noticia</w:t>
        </w:r>
      </w:hyperlink>
      <w:r>
        <w:t xml:space="preserve"> fue publicada el 28 de febrero de 2007 en CBC News, la cadena pública canadiense.</w:t>
      </w:r>
      <w:r w:rsidR="006975E4">
        <w:t xml:space="preserve"> Otros casos pueden consultarse en </w:t>
      </w:r>
      <w:r w:rsidR="006975E4">
        <w:rPr>
          <w:noProof/>
        </w:rPr>
        <w:t xml:space="preserve">Sauca &amp; Wences </w:t>
      </w:r>
      <w:sdt>
        <w:sdtPr>
          <w:rPr>
            <w:noProof/>
          </w:rPr>
          <w:id w:val="-172335931"/>
          <w:citation/>
        </w:sdtPr>
        <w:sdtEndPr/>
        <w:sdtContent>
          <w:r w:rsidR="006975E4">
            <w:rPr>
              <w:noProof/>
            </w:rPr>
            <w:fldChar w:fldCharType="begin"/>
          </w:r>
          <w:r w:rsidR="006975E4">
            <w:rPr>
              <w:noProof/>
            </w:rPr>
            <w:instrText xml:space="preserve">CITATION Sau09 \p 20-23 \n  \l 3082 </w:instrText>
          </w:r>
          <w:r w:rsidR="006975E4">
            <w:rPr>
              <w:noProof/>
            </w:rPr>
            <w:fldChar w:fldCharType="separate"/>
          </w:r>
          <w:r w:rsidR="006975E4" w:rsidRPr="006975E4">
            <w:rPr>
              <w:noProof/>
            </w:rPr>
            <w:t>(2009, pp. 20-23)</w:t>
          </w:r>
          <w:r w:rsidR="006975E4">
            <w:rPr>
              <w:noProof/>
            </w:rPr>
            <w:fldChar w:fldCharType="end"/>
          </w:r>
        </w:sdtContent>
      </w:sdt>
      <w:r w:rsidR="006975E4">
        <w:rPr>
          <w:noProof/>
        </w:rPr>
        <w:t>.</w:t>
      </w:r>
    </w:p>
  </w:footnote>
  <w:footnote w:id="8">
    <w:p w14:paraId="2B88F92F" w14:textId="61DB9F01" w:rsidR="0055543C" w:rsidRDefault="0055543C">
      <w:pPr>
        <w:pStyle w:val="Textonotapie"/>
      </w:pPr>
      <w:r>
        <w:rPr>
          <w:rStyle w:val="Refdenotaalpie"/>
        </w:rPr>
        <w:footnoteRef/>
      </w:r>
      <w:r>
        <w:t xml:space="preserve"> L</w:t>
      </w:r>
      <w:r w:rsidRPr="00111DA7">
        <w:t>as cartas de Derechos Humanos y Libertades de Québec de 1975 y la Carta Constitucional Canadiense de 1982,</w:t>
      </w:r>
      <w:r>
        <w:t xml:space="preserve"> </w:t>
      </w:r>
      <w:r w:rsidRPr="00111DA7">
        <w:t xml:space="preserve">la carta de la lengua francesa y la política de integración fijada en la </w:t>
      </w:r>
      <w:r w:rsidRPr="00111DA7">
        <w:rPr>
          <w:i/>
        </w:rPr>
        <w:t>Québecois-Each and every One</w:t>
      </w:r>
      <w:r w:rsidRPr="00111DA7">
        <w:t xml:space="preserve"> (Action Plan for the Cultural Communities) de 1981, donde se utiliza el término de “comunidad cultural”, y  el “Enoncé de politi</w:t>
      </w:r>
      <w:r w:rsidRPr="00111DA7">
        <w:softHyphen/>
        <w:t>que en matière d’immigration et d’intégration” adoptado en 1990, y que propone “un contrato mo</w:t>
      </w:r>
      <w:r w:rsidRPr="00111DA7">
        <w:softHyphen/>
        <w:t xml:space="preserve">ral” en un espíritu de reciprocidad entre la sociedad de acogida y los recién llegados </w:t>
      </w:r>
      <w:sdt>
        <w:sdtPr>
          <w:id w:val="1677688609"/>
          <w:citation/>
        </w:sdtPr>
        <w:sdtEndPr/>
        <w:sdtContent>
          <w:r>
            <w:fldChar w:fldCharType="begin"/>
          </w:r>
          <w:r>
            <w:instrText xml:space="preserve">CITATION Eló0a \p 142-143 \l 3082 </w:instrText>
          </w:r>
          <w:r>
            <w:fldChar w:fldCharType="separate"/>
          </w:r>
          <w:r w:rsidRPr="00111DA7">
            <w:rPr>
              <w:noProof/>
            </w:rPr>
            <w:t>(Elósegui Itxaso, 2010a, pp. 142-143)</w:t>
          </w:r>
          <w:r>
            <w:fldChar w:fldCharType="end"/>
          </w:r>
        </w:sdtContent>
      </w:sdt>
      <w:r w:rsidRPr="00111DA7">
        <w:t>.</w:t>
      </w:r>
    </w:p>
  </w:footnote>
  <w:footnote w:id="9">
    <w:p w14:paraId="5F8267BB" w14:textId="5CB35D30" w:rsidR="0055543C" w:rsidRPr="00223585" w:rsidRDefault="0055543C" w:rsidP="00223585">
      <w:pPr>
        <w:pStyle w:val="Textonotapie"/>
      </w:pPr>
      <w:r>
        <w:rPr>
          <w:rStyle w:val="Refdenotaalpie"/>
        </w:rPr>
        <w:footnoteRef/>
      </w:r>
      <w:r>
        <w:t xml:space="preserve"> En Francia también tuvo lugar una comisión para la reflexión sobre las exigencias concretas que se derivan </w:t>
      </w:r>
      <w:r w:rsidRPr="00223585">
        <w:t>de la aplicación de los principios de la laicidad en los servicios públicos, el mundo laboral y, más concretamente, en la escuela</w:t>
      </w:r>
      <w:r>
        <w:t xml:space="preserve">. Como resultado de dicha comisión se elaboró un informe, conocido como “Informe Stasi”, que sirvió de base para la aprobación, el </w:t>
      </w:r>
      <w:r w:rsidRPr="00223585">
        <w:t>4 de marzo de 2004</w:t>
      </w:r>
      <w:r>
        <w:t>, de la ley francesa que regulan el uso de signos o prendas de vestir que puedan manifestar una pertenencia religiosa en los espacios públicos, con especial atención a la educación. En esencia, la Comisión Stasi se decidió por un consenso republicano sobre el laicismo que prohíbe cualquier prenda o signo religioso en la escuela. Esta visión republicana del laicismo</w:t>
      </w:r>
      <w:r w:rsidRPr="00CC506A">
        <w:t xml:space="preserve"> </w:t>
      </w:r>
      <w:r>
        <w:t xml:space="preserve">significaría, en definitiva, apoyar un laicismo de carácter rígido o estricto. </w:t>
      </w:r>
    </w:p>
  </w:footnote>
  <w:footnote w:id="10">
    <w:p w14:paraId="2A4D750D" w14:textId="378FF3E6" w:rsidR="007837F3" w:rsidRDefault="007837F3">
      <w:pPr>
        <w:pStyle w:val="Textonotapie"/>
      </w:pPr>
      <w:r>
        <w:rPr>
          <w:rStyle w:val="Refdenotaalpie"/>
        </w:rPr>
        <w:footnoteRef/>
      </w:r>
      <w:r>
        <w:t xml:space="preserve"> Cfr. nota 4.</w:t>
      </w:r>
    </w:p>
  </w:footnote>
  <w:footnote w:id="11">
    <w:p w14:paraId="4750FF86" w14:textId="23551CDF" w:rsidR="00C55BDF" w:rsidRDefault="00C55BDF">
      <w:pPr>
        <w:pStyle w:val="Textonotapie"/>
      </w:pPr>
      <w:r>
        <w:rPr>
          <w:rStyle w:val="Refdenotaalpie"/>
        </w:rPr>
        <w:footnoteRef/>
      </w:r>
      <w:r>
        <w:t xml:space="preserve"> En un </w:t>
      </w:r>
      <w:hyperlink r:id="rId11" w:history="1">
        <w:r w:rsidRPr="00C55BDF">
          <w:rPr>
            <w:rStyle w:val="Hipervnculo"/>
          </w:rPr>
          <w:t>artículo</w:t>
        </w:r>
      </w:hyperlink>
      <w:r>
        <w:t xml:space="preserve"> de The Guardian publicado el 31 de enero de 2017 </w:t>
      </w:r>
      <w:r w:rsidR="002A39A7">
        <w:t xml:space="preserve">consideraban que el ataque contra el Centro Cultural Islámico de Quebec venía precedido de muchos episodios de repulsa contra la comunidad musulmana francocanadiense y subrayaban que el aumento de la islamofobia era la principal explicación del atentado. Esta explicación también la comparte </w:t>
      </w:r>
      <w:r w:rsidR="002A39A7" w:rsidRPr="002A39A7">
        <w:t>Safiah Chowdhury</w:t>
      </w:r>
      <w:r w:rsidR="002A39A7">
        <w:t xml:space="preserve">, representante de la comunidad musulmana canadiense, en una </w:t>
      </w:r>
      <w:hyperlink r:id="rId12" w:history="1">
        <w:r w:rsidR="002A39A7" w:rsidRPr="00DA2496">
          <w:rPr>
            <w:rStyle w:val="Hipervnculo"/>
          </w:rPr>
          <w:t>columna</w:t>
        </w:r>
      </w:hyperlink>
      <w:r w:rsidR="002A39A7">
        <w:t xml:space="preserve"> de opinión publicada en la web de Aljazeera el 1 de febrero de 2017.</w:t>
      </w:r>
    </w:p>
  </w:footnote>
  <w:footnote w:id="12">
    <w:p w14:paraId="33607A9D" w14:textId="059A2AC5" w:rsidR="004608F4" w:rsidRDefault="004608F4">
      <w:pPr>
        <w:pStyle w:val="Textonotapie"/>
      </w:pPr>
      <w:r>
        <w:rPr>
          <w:rStyle w:val="Refdenotaalpie"/>
        </w:rPr>
        <w:footnoteRef/>
      </w:r>
      <w:r>
        <w:t xml:space="preserve"> La Carta </w:t>
      </w:r>
      <w:r w:rsidR="00BF5B52">
        <w:t>(</w:t>
      </w:r>
      <w:r w:rsidR="004A2CF6">
        <w:t xml:space="preserve">Bill 60) </w:t>
      </w:r>
      <w:r>
        <w:t xml:space="preserve">puede consultarse en el siguiente </w:t>
      </w:r>
      <w:hyperlink r:id="rId13" w:history="1">
        <w:r w:rsidRPr="004608F4">
          <w:rPr>
            <w:rStyle w:val="Hipervnculo"/>
          </w:rPr>
          <w:t>enlace</w:t>
        </w:r>
      </w:hyperlink>
      <w:r>
        <w:t>.</w:t>
      </w:r>
    </w:p>
  </w:footnote>
  <w:footnote w:id="13">
    <w:p w14:paraId="412B5535" w14:textId="2F1D615B" w:rsidR="006232E6" w:rsidRDefault="006232E6">
      <w:pPr>
        <w:pStyle w:val="Textonotapie"/>
      </w:pPr>
      <w:r>
        <w:rPr>
          <w:rStyle w:val="Refdenotaalpie"/>
        </w:rPr>
        <w:footnoteRef/>
      </w:r>
      <w:r>
        <w:t xml:space="preserve"> </w:t>
      </w:r>
      <w:r w:rsidR="005B2D42">
        <w:t xml:space="preserve">Existe un artículo muy interesante sobre la polémica que suscita la medida en The Atlantic, en una </w:t>
      </w:r>
      <w:hyperlink r:id="rId14" w:history="1">
        <w:r w:rsidR="005B2D42" w:rsidRPr="005B2D42">
          <w:rPr>
            <w:rStyle w:val="Hipervnculo"/>
          </w:rPr>
          <w:t>noticia</w:t>
        </w:r>
      </w:hyperlink>
      <w:r w:rsidR="005B2D42">
        <w:t xml:space="preserve"> publicada el 23 de enero de 2014.</w:t>
      </w:r>
    </w:p>
  </w:footnote>
  <w:footnote w:id="14">
    <w:p w14:paraId="58422F1C" w14:textId="5FFE5F0E" w:rsidR="00BC4456" w:rsidRDefault="00BC4456">
      <w:pPr>
        <w:pStyle w:val="Textonotapie"/>
      </w:pPr>
      <w:r>
        <w:rPr>
          <w:rStyle w:val="Refdenotaalpie"/>
        </w:rPr>
        <w:footnoteRef/>
      </w:r>
      <w:r>
        <w:t xml:space="preserve"> El debate sobre la Carta de Valores y la polémica del Q puede consultarse en una </w:t>
      </w:r>
      <w:hyperlink r:id="rId15" w:history="1">
        <w:r w:rsidRPr="00BC4456">
          <w:rPr>
            <w:rStyle w:val="Hipervnculo"/>
          </w:rPr>
          <w:t>noticia</w:t>
        </w:r>
      </w:hyperlink>
      <w:r>
        <w:t xml:space="preserve"> de El País de 24 de febrero de 2014.</w:t>
      </w:r>
    </w:p>
  </w:footnote>
  <w:footnote w:id="15">
    <w:p w14:paraId="181F94AE" w14:textId="2E229DD1" w:rsidR="00156864" w:rsidRPr="00156864" w:rsidRDefault="00156864">
      <w:pPr>
        <w:pStyle w:val="Textonotapie"/>
      </w:pPr>
      <w:r>
        <w:rPr>
          <w:rStyle w:val="Refdenotaalpie"/>
        </w:rPr>
        <w:footnoteRef/>
      </w:r>
      <w:r>
        <w:t xml:space="preserve"> Un caso polémico fue grabado en un autobús urbano de Montreal. En el vídeo se observa cómo un individuo increpa a una mujer musulmana vestida con el </w:t>
      </w:r>
      <w:r>
        <w:rPr>
          <w:i/>
        </w:rPr>
        <w:t>hijab</w:t>
      </w:r>
      <w:r>
        <w:t xml:space="preserve"> a quien acusa de no integrarse. No fue el único caso que se dio durante esos días. La web relaciona estos casos con el ambiente generado con la discusión y aprobación de la Carta de Valores. La </w:t>
      </w:r>
      <w:hyperlink r:id="rId16" w:history="1">
        <w:r w:rsidRPr="00156864">
          <w:rPr>
            <w:rStyle w:val="Hipervnculo"/>
          </w:rPr>
          <w:t>noticia</w:t>
        </w:r>
      </w:hyperlink>
      <w:r>
        <w:t xml:space="preserve"> puede consultarse en NM Noticias Montreal, una web de noticias sobre la ciudad en español, y está publicada el 17 de septiembre de 2013.</w:t>
      </w:r>
    </w:p>
  </w:footnote>
  <w:footnote w:id="16">
    <w:p w14:paraId="68077FCF" w14:textId="750FAC81" w:rsidR="00101246" w:rsidRDefault="00101246">
      <w:pPr>
        <w:pStyle w:val="Textonotapie"/>
      </w:pPr>
      <w:r>
        <w:rPr>
          <w:rStyle w:val="Refdenotaalpie"/>
        </w:rPr>
        <w:footnoteRef/>
      </w:r>
      <w:r>
        <w:t xml:space="preserve"> En unas declaraciones posteriores, Jocelyn Maclure apoyaba a Taylor y explicaba que su postura ya la defendieron en el libro que publicaron juntos. El apoyo de Jocelyn Maclure a Taylor puede verse en el siguiente </w:t>
      </w:r>
      <w:hyperlink r:id="rId17" w:history="1">
        <w:r w:rsidRPr="00101246">
          <w:rPr>
            <w:rStyle w:val="Hipervnculo"/>
          </w:rPr>
          <w:t>blog</w:t>
        </w:r>
      </w:hyperlink>
      <w:r>
        <w:t>.</w:t>
      </w:r>
    </w:p>
  </w:footnote>
  <w:footnote w:id="17">
    <w:p w14:paraId="59B32ED6" w14:textId="10AEC19C" w:rsidR="005C40AE" w:rsidRDefault="005C40AE">
      <w:pPr>
        <w:pStyle w:val="Textonotapie"/>
      </w:pPr>
      <w:r>
        <w:rPr>
          <w:rStyle w:val="Refdenotaalpie"/>
        </w:rPr>
        <w:footnoteRef/>
      </w:r>
      <w:r>
        <w:t xml:space="preserve"> La postura de Bouchard ante las declaraciones de Taylor pueden consultarse en una </w:t>
      </w:r>
      <w:hyperlink r:id="rId18" w:history="1">
        <w:r w:rsidRPr="005C40AE">
          <w:rPr>
            <w:rStyle w:val="Hipervnculo"/>
          </w:rPr>
          <w:t>noticia</w:t>
        </w:r>
      </w:hyperlink>
      <w:r>
        <w:t xml:space="preserve"> del periódico Le Devoir publicada el 17 de febrero de 2017.</w:t>
      </w:r>
      <w:r w:rsidR="00670668">
        <w:t xml:space="preserve"> También pueden consultarse sus declaraciones en la web de Radio Canadá Internacional, en una </w:t>
      </w:r>
      <w:hyperlink r:id="rId19" w:history="1">
        <w:r w:rsidR="00670668" w:rsidRPr="00670668">
          <w:rPr>
            <w:rStyle w:val="Hipervnculo"/>
          </w:rPr>
          <w:t>noticia</w:t>
        </w:r>
      </w:hyperlink>
      <w:r w:rsidR="00670668">
        <w:t xml:space="preserve"> de 17 de febrero de 2017.</w:t>
      </w:r>
    </w:p>
  </w:footnote>
  <w:footnote w:id="18">
    <w:p w14:paraId="3172816E" w14:textId="7726F1F7" w:rsidR="00CC3B16" w:rsidRDefault="00CC3B16">
      <w:pPr>
        <w:pStyle w:val="Textonotapie"/>
      </w:pPr>
      <w:r>
        <w:rPr>
          <w:rStyle w:val="Refdenotaalpie"/>
        </w:rPr>
        <w:footnoteRef/>
      </w:r>
      <w:r>
        <w:t xml:space="preserve"> Las intenciones del primer minitro  </w:t>
      </w:r>
      <w:r w:rsidRPr="00CC3B16">
        <w:t>Philippe Couillard</w:t>
      </w:r>
      <w:r>
        <w:t xml:space="preserve"> puede consultarse en la web de NM Noticias, en una </w:t>
      </w:r>
      <w:hyperlink r:id="rId20" w:history="1">
        <w:r w:rsidRPr="00CC3B16">
          <w:rPr>
            <w:rStyle w:val="Hipervnculo"/>
          </w:rPr>
          <w:t>noticia</w:t>
        </w:r>
      </w:hyperlink>
      <w:r>
        <w:t xml:space="preserve"> publicada el 15 de febrero de 2017.</w:t>
      </w:r>
    </w:p>
  </w:footnote>
  <w:footnote w:id="19">
    <w:p w14:paraId="28198041" w14:textId="17351B83" w:rsidR="0015683F" w:rsidRDefault="0015683F">
      <w:pPr>
        <w:pStyle w:val="Textonotapie"/>
      </w:pPr>
      <w:r>
        <w:rPr>
          <w:rStyle w:val="Refdenotaalpie"/>
        </w:rPr>
        <w:footnoteRef/>
      </w:r>
      <w:r>
        <w:t xml:space="preserve"> La </w:t>
      </w:r>
      <w:hyperlink r:id="rId21" w:history="1">
        <w:r w:rsidRPr="0015683F">
          <w:rPr>
            <w:rStyle w:val="Hipervnculo"/>
          </w:rPr>
          <w:t>noticia</w:t>
        </w:r>
      </w:hyperlink>
      <w:r>
        <w:t xml:space="preserve"> puede consultarse en La Vanguardia, en una publicación de 23 de agosto de 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E2622"/>
    <w:multiLevelType w:val="hybridMultilevel"/>
    <w:tmpl w:val="B82CE140"/>
    <w:lvl w:ilvl="0" w:tplc="7D24495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655FD4"/>
    <w:multiLevelType w:val="hybridMultilevel"/>
    <w:tmpl w:val="68CE3A92"/>
    <w:lvl w:ilvl="0" w:tplc="BD0E6530">
      <w:start w:val="4"/>
      <w:numFmt w:val="bullet"/>
      <w:lvlText w:val="-"/>
      <w:lvlJc w:val="left"/>
      <w:pPr>
        <w:ind w:left="1068" w:hanging="360"/>
      </w:pPr>
      <w:rPr>
        <w:rFonts w:ascii="Calibri" w:eastAsiaTheme="minorHAns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CF006EC"/>
    <w:multiLevelType w:val="hybridMultilevel"/>
    <w:tmpl w:val="28B871F4"/>
    <w:lvl w:ilvl="0" w:tplc="533A718A">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3166784"/>
    <w:multiLevelType w:val="hybridMultilevel"/>
    <w:tmpl w:val="B5749170"/>
    <w:lvl w:ilvl="0" w:tplc="13C238BA">
      <w:numFmt w:val="bullet"/>
      <w:lvlText w:val="-"/>
      <w:lvlJc w:val="left"/>
      <w:pPr>
        <w:ind w:left="1068" w:hanging="360"/>
      </w:pPr>
      <w:rPr>
        <w:rFonts w:ascii="Calibri" w:eastAsiaTheme="minorHAns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69663870"/>
    <w:multiLevelType w:val="hybridMultilevel"/>
    <w:tmpl w:val="244CF2F2"/>
    <w:lvl w:ilvl="0" w:tplc="305A7B8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E5A0407"/>
    <w:multiLevelType w:val="hybridMultilevel"/>
    <w:tmpl w:val="D32E30FA"/>
    <w:lvl w:ilvl="0" w:tplc="38A225A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0"/>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C71"/>
    <w:rsid w:val="000027CB"/>
    <w:rsid w:val="00010222"/>
    <w:rsid w:val="00012E68"/>
    <w:rsid w:val="000132D8"/>
    <w:rsid w:val="00014075"/>
    <w:rsid w:val="00021FA3"/>
    <w:rsid w:val="00036B94"/>
    <w:rsid w:val="00040278"/>
    <w:rsid w:val="0004176C"/>
    <w:rsid w:val="00046BB0"/>
    <w:rsid w:val="000479EB"/>
    <w:rsid w:val="00051C3C"/>
    <w:rsid w:val="0005271C"/>
    <w:rsid w:val="000529D4"/>
    <w:rsid w:val="000564C1"/>
    <w:rsid w:val="00070A1A"/>
    <w:rsid w:val="00075287"/>
    <w:rsid w:val="00076951"/>
    <w:rsid w:val="000770F2"/>
    <w:rsid w:val="00087A2A"/>
    <w:rsid w:val="00090954"/>
    <w:rsid w:val="000920AA"/>
    <w:rsid w:val="00094454"/>
    <w:rsid w:val="000A0A07"/>
    <w:rsid w:val="000A1246"/>
    <w:rsid w:val="000A3576"/>
    <w:rsid w:val="000A59A2"/>
    <w:rsid w:val="000B4BD8"/>
    <w:rsid w:val="000D257D"/>
    <w:rsid w:val="000D5177"/>
    <w:rsid w:val="000D6480"/>
    <w:rsid w:val="000E1C46"/>
    <w:rsid w:val="00101246"/>
    <w:rsid w:val="00104820"/>
    <w:rsid w:val="00111DA7"/>
    <w:rsid w:val="001128E1"/>
    <w:rsid w:val="001143B8"/>
    <w:rsid w:val="00134D44"/>
    <w:rsid w:val="0013501C"/>
    <w:rsid w:val="00136432"/>
    <w:rsid w:val="001407A0"/>
    <w:rsid w:val="00144D29"/>
    <w:rsid w:val="001552BC"/>
    <w:rsid w:val="0015683F"/>
    <w:rsid w:val="00156864"/>
    <w:rsid w:val="00174562"/>
    <w:rsid w:val="0018204E"/>
    <w:rsid w:val="00193B44"/>
    <w:rsid w:val="001A58FB"/>
    <w:rsid w:val="001A7B08"/>
    <w:rsid w:val="001B46D9"/>
    <w:rsid w:val="001B5892"/>
    <w:rsid w:val="001C2BBB"/>
    <w:rsid w:val="001C5272"/>
    <w:rsid w:val="001C6444"/>
    <w:rsid w:val="001D1D4D"/>
    <w:rsid w:val="001E1848"/>
    <w:rsid w:val="001F5251"/>
    <w:rsid w:val="00205B01"/>
    <w:rsid w:val="00205EC8"/>
    <w:rsid w:val="002066E6"/>
    <w:rsid w:val="00210027"/>
    <w:rsid w:val="002106DA"/>
    <w:rsid w:val="00213620"/>
    <w:rsid w:val="002142CB"/>
    <w:rsid w:val="00215D56"/>
    <w:rsid w:val="002201A5"/>
    <w:rsid w:val="00223585"/>
    <w:rsid w:val="00233DC8"/>
    <w:rsid w:val="00233E2F"/>
    <w:rsid w:val="00255D3E"/>
    <w:rsid w:val="00260501"/>
    <w:rsid w:val="00274ED0"/>
    <w:rsid w:val="00290AFC"/>
    <w:rsid w:val="002932ED"/>
    <w:rsid w:val="002938C9"/>
    <w:rsid w:val="002A39A7"/>
    <w:rsid w:val="002B3B6E"/>
    <w:rsid w:val="002B4CD9"/>
    <w:rsid w:val="002B5412"/>
    <w:rsid w:val="002B6EDD"/>
    <w:rsid w:val="002C4483"/>
    <w:rsid w:val="002C5794"/>
    <w:rsid w:val="002E6CB2"/>
    <w:rsid w:val="00300831"/>
    <w:rsid w:val="00301081"/>
    <w:rsid w:val="00303819"/>
    <w:rsid w:val="00311DAA"/>
    <w:rsid w:val="00327595"/>
    <w:rsid w:val="00331F76"/>
    <w:rsid w:val="0033366A"/>
    <w:rsid w:val="0033668F"/>
    <w:rsid w:val="003372A2"/>
    <w:rsid w:val="00337BC6"/>
    <w:rsid w:val="00341252"/>
    <w:rsid w:val="00352754"/>
    <w:rsid w:val="003671EE"/>
    <w:rsid w:val="0037365E"/>
    <w:rsid w:val="0037389C"/>
    <w:rsid w:val="00380AF0"/>
    <w:rsid w:val="00382458"/>
    <w:rsid w:val="00387ABD"/>
    <w:rsid w:val="003A1191"/>
    <w:rsid w:val="003A4E7C"/>
    <w:rsid w:val="003A6120"/>
    <w:rsid w:val="003B0556"/>
    <w:rsid w:val="003B4EE7"/>
    <w:rsid w:val="003C1BD6"/>
    <w:rsid w:val="003D4EAA"/>
    <w:rsid w:val="003D5E6B"/>
    <w:rsid w:val="003F1778"/>
    <w:rsid w:val="003F18AC"/>
    <w:rsid w:val="003F4712"/>
    <w:rsid w:val="003F4767"/>
    <w:rsid w:val="00402661"/>
    <w:rsid w:val="00406932"/>
    <w:rsid w:val="00415D11"/>
    <w:rsid w:val="00421DB0"/>
    <w:rsid w:val="00424E42"/>
    <w:rsid w:val="004270E2"/>
    <w:rsid w:val="004354B3"/>
    <w:rsid w:val="00436509"/>
    <w:rsid w:val="004365AA"/>
    <w:rsid w:val="00441875"/>
    <w:rsid w:val="00441FCE"/>
    <w:rsid w:val="004531CE"/>
    <w:rsid w:val="00456FBD"/>
    <w:rsid w:val="00457EF9"/>
    <w:rsid w:val="00460770"/>
    <w:rsid w:val="004608F4"/>
    <w:rsid w:val="004723F8"/>
    <w:rsid w:val="004946F0"/>
    <w:rsid w:val="00495A58"/>
    <w:rsid w:val="004A14AA"/>
    <w:rsid w:val="004A2CF6"/>
    <w:rsid w:val="004A3FA8"/>
    <w:rsid w:val="004B0E90"/>
    <w:rsid w:val="004B428B"/>
    <w:rsid w:val="004C6BAE"/>
    <w:rsid w:val="004D1DEC"/>
    <w:rsid w:val="004E2AE2"/>
    <w:rsid w:val="004F179A"/>
    <w:rsid w:val="004F69BA"/>
    <w:rsid w:val="005126EB"/>
    <w:rsid w:val="00515F34"/>
    <w:rsid w:val="005339CC"/>
    <w:rsid w:val="00533F5E"/>
    <w:rsid w:val="00545B53"/>
    <w:rsid w:val="0055543C"/>
    <w:rsid w:val="00557B34"/>
    <w:rsid w:val="00560DA7"/>
    <w:rsid w:val="00564B8A"/>
    <w:rsid w:val="00570946"/>
    <w:rsid w:val="00570CD5"/>
    <w:rsid w:val="00571343"/>
    <w:rsid w:val="0057195C"/>
    <w:rsid w:val="00582216"/>
    <w:rsid w:val="00585731"/>
    <w:rsid w:val="00595C75"/>
    <w:rsid w:val="005A283F"/>
    <w:rsid w:val="005B23C9"/>
    <w:rsid w:val="005B2D42"/>
    <w:rsid w:val="005B593F"/>
    <w:rsid w:val="005C40AE"/>
    <w:rsid w:val="005C7923"/>
    <w:rsid w:val="005D1706"/>
    <w:rsid w:val="005D64FD"/>
    <w:rsid w:val="005E34B4"/>
    <w:rsid w:val="005E5247"/>
    <w:rsid w:val="005E7B8A"/>
    <w:rsid w:val="005F0640"/>
    <w:rsid w:val="0060095C"/>
    <w:rsid w:val="006108D3"/>
    <w:rsid w:val="006122A2"/>
    <w:rsid w:val="00615AEA"/>
    <w:rsid w:val="006232E6"/>
    <w:rsid w:val="006274DC"/>
    <w:rsid w:val="00642F20"/>
    <w:rsid w:val="00646983"/>
    <w:rsid w:val="00661989"/>
    <w:rsid w:val="00662658"/>
    <w:rsid w:val="006644AF"/>
    <w:rsid w:val="00670668"/>
    <w:rsid w:val="00671AE6"/>
    <w:rsid w:val="00671F81"/>
    <w:rsid w:val="00672FE3"/>
    <w:rsid w:val="00674CE8"/>
    <w:rsid w:val="006813F5"/>
    <w:rsid w:val="00687470"/>
    <w:rsid w:val="006938D8"/>
    <w:rsid w:val="006975E4"/>
    <w:rsid w:val="00697C78"/>
    <w:rsid w:val="006B22B8"/>
    <w:rsid w:val="006B49E8"/>
    <w:rsid w:val="006B5D37"/>
    <w:rsid w:val="006C4851"/>
    <w:rsid w:val="006D2AF0"/>
    <w:rsid w:val="006E2FE8"/>
    <w:rsid w:val="006F4C7E"/>
    <w:rsid w:val="007051E6"/>
    <w:rsid w:val="00741320"/>
    <w:rsid w:val="00750481"/>
    <w:rsid w:val="00766EDA"/>
    <w:rsid w:val="00773EEF"/>
    <w:rsid w:val="00783058"/>
    <w:rsid w:val="007837F3"/>
    <w:rsid w:val="00787A07"/>
    <w:rsid w:val="00794879"/>
    <w:rsid w:val="00794E46"/>
    <w:rsid w:val="007B1D34"/>
    <w:rsid w:val="007B2C94"/>
    <w:rsid w:val="007B33E4"/>
    <w:rsid w:val="007B39E7"/>
    <w:rsid w:val="007D42DA"/>
    <w:rsid w:val="007D5425"/>
    <w:rsid w:val="008062F4"/>
    <w:rsid w:val="00820275"/>
    <w:rsid w:val="00821069"/>
    <w:rsid w:val="0082608B"/>
    <w:rsid w:val="008475B0"/>
    <w:rsid w:val="00847E8D"/>
    <w:rsid w:val="00852615"/>
    <w:rsid w:val="008533AE"/>
    <w:rsid w:val="00857DF1"/>
    <w:rsid w:val="00860BE3"/>
    <w:rsid w:val="00867073"/>
    <w:rsid w:val="00870BF1"/>
    <w:rsid w:val="008850DB"/>
    <w:rsid w:val="008903C7"/>
    <w:rsid w:val="008B0057"/>
    <w:rsid w:val="008B0096"/>
    <w:rsid w:val="008B30BF"/>
    <w:rsid w:val="008B4C2C"/>
    <w:rsid w:val="008B7913"/>
    <w:rsid w:val="008C267A"/>
    <w:rsid w:val="008C3D9A"/>
    <w:rsid w:val="008D057B"/>
    <w:rsid w:val="008D2571"/>
    <w:rsid w:val="008E2D72"/>
    <w:rsid w:val="008E5A66"/>
    <w:rsid w:val="008F6CEE"/>
    <w:rsid w:val="00900796"/>
    <w:rsid w:val="009054B4"/>
    <w:rsid w:val="00907563"/>
    <w:rsid w:val="00922656"/>
    <w:rsid w:val="00932CAA"/>
    <w:rsid w:val="00933FC7"/>
    <w:rsid w:val="009363A3"/>
    <w:rsid w:val="0093723F"/>
    <w:rsid w:val="0095051C"/>
    <w:rsid w:val="00954DDE"/>
    <w:rsid w:val="009579D7"/>
    <w:rsid w:val="00974CF9"/>
    <w:rsid w:val="00980043"/>
    <w:rsid w:val="009805D5"/>
    <w:rsid w:val="00980C30"/>
    <w:rsid w:val="00997E77"/>
    <w:rsid w:val="009A1351"/>
    <w:rsid w:val="009A3344"/>
    <w:rsid w:val="009A345A"/>
    <w:rsid w:val="009C1360"/>
    <w:rsid w:val="009D781B"/>
    <w:rsid w:val="009F13C5"/>
    <w:rsid w:val="009F152A"/>
    <w:rsid w:val="009F1678"/>
    <w:rsid w:val="00A16150"/>
    <w:rsid w:val="00A25512"/>
    <w:rsid w:val="00A34C1C"/>
    <w:rsid w:val="00A43B34"/>
    <w:rsid w:val="00A44C6D"/>
    <w:rsid w:val="00A45102"/>
    <w:rsid w:val="00A45C7E"/>
    <w:rsid w:val="00A54338"/>
    <w:rsid w:val="00A555B4"/>
    <w:rsid w:val="00A57CFC"/>
    <w:rsid w:val="00A60D18"/>
    <w:rsid w:val="00A709F2"/>
    <w:rsid w:val="00A84D8C"/>
    <w:rsid w:val="00A91881"/>
    <w:rsid w:val="00AA0B87"/>
    <w:rsid w:val="00AA6043"/>
    <w:rsid w:val="00AB2A7D"/>
    <w:rsid w:val="00AC08DC"/>
    <w:rsid w:val="00AC683A"/>
    <w:rsid w:val="00AC7E9D"/>
    <w:rsid w:val="00AD4DA0"/>
    <w:rsid w:val="00AE61A8"/>
    <w:rsid w:val="00AF1941"/>
    <w:rsid w:val="00AF2F9B"/>
    <w:rsid w:val="00B0229C"/>
    <w:rsid w:val="00B03AE1"/>
    <w:rsid w:val="00B07634"/>
    <w:rsid w:val="00B200CE"/>
    <w:rsid w:val="00B241E4"/>
    <w:rsid w:val="00B33672"/>
    <w:rsid w:val="00B34677"/>
    <w:rsid w:val="00B41341"/>
    <w:rsid w:val="00B44855"/>
    <w:rsid w:val="00B52750"/>
    <w:rsid w:val="00B56C71"/>
    <w:rsid w:val="00B57F7B"/>
    <w:rsid w:val="00B67238"/>
    <w:rsid w:val="00B761C1"/>
    <w:rsid w:val="00B82FD6"/>
    <w:rsid w:val="00BA4195"/>
    <w:rsid w:val="00BA5943"/>
    <w:rsid w:val="00BA7373"/>
    <w:rsid w:val="00BB1947"/>
    <w:rsid w:val="00BB1CC8"/>
    <w:rsid w:val="00BB38FB"/>
    <w:rsid w:val="00BB5798"/>
    <w:rsid w:val="00BB7971"/>
    <w:rsid w:val="00BB7D43"/>
    <w:rsid w:val="00BC4456"/>
    <w:rsid w:val="00BD0BC2"/>
    <w:rsid w:val="00BD206F"/>
    <w:rsid w:val="00BE016A"/>
    <w:rsid w:val="00BE5046"/>
    <w:rsid w:val="00BF0955"/>
    <w:rsid w:val="00BF3CA3"/>
    <w:rsid w:val="00BF5B52"/>
    <w:rsid w:val="00C25911"/>
    <w:rsid w:val="00C264B5"/>
    <w:rsid w:val="00C30DD7"/>
    <w:rsid w:val="00C47947"/>
    <w:rsid w:val="00C47A1E"/>
    <w:rsid w:val="00C555E5"/>
    <w:rsid w:val="00C55BDF"/>
    <w:rsid w:val="00C600BA"/>
    <w:rsid w:val="00C66439"/>
    <w:rsid w:val="00C71E1D"/>
    <w:rsid w:val="00C7308C"/>
    <w:rsid w:val="00C9086B"/>
    <w:rsid w:val="00CA0027"/>
    <w:rsid w:val="00CA1030"/>
    <w:rsid w:val="00CA38AB"/>
    <w:rsid w:val="00CC3B16"/>
    <w:rsid w:val="00CC48E2"/>
    <w:rsid w:val="00CC506A"/>
    <w:rsid w:val="00CD1E35"/>
    <w:rsid w:val="00CD6671"/>
    <w:rsid w:val="00CE1CB5"/>
    <w:rsid w:val="00CE28D0"/>
    <w:rsid w:val="00CE43E7"/>
    <w:rsid w:val="00D067FD"/>
    <w:rsid w:val="00D11F19"/>
    <w:rsid w:val="00D15712"/>
    <w:rsid w:val="00D16CBC"/>
    <w:rsid w:val="00D23EFC"/>
    <w:rsid w:val="00D2470E"/>
    <w:rsid w:val="00D25068"/>
    <w:rsid w:val="00D253BE"/>
    <w:rsid w:val="00D36A08"/>
    <w:rsid w:val="00D43966"/>
    <w:rsid w:val="00D51874"/>
    <w:rsid w:val="00D631D4"/>
    <w:rsid w:val="00D64874"/>
    <w:rsid w:val="00D6768A"/>
    <w:rsid w:val="00D72055"/>
    <w:rsid w:val="00D81FB5"/>
    <w:rsid w:val="00D934DD"/>
    <w:rsid w:val="00DA2496"/>
    <w:rsid w:val="00DB2F6C"/>
    <w:rsid w:val="00DB3C0D"/>
    <w:rsid w:val="00DC7441"/>
    <w:rsid w:val="00DE0149"/>
    <w:rsid w:val="00DE6949"/>
    <w:rsid w:val="00DF4EF1"/>
    <w:rsid w:val="00DF763F"/>
    <w:rsid w:val="00E0056A"/>
    <w:rsid w:val="00E11EF1"/>
    <w:rsid w:val="00E179DE"/>
    <w:rsid w:val="00E17CBF"/>
    <w:rsid w:val="00E238B3"/>
    <w:rsid w:val="00E31CA9"/>
    <w:rsid w:val="00E320FC"/>
    <w:rsid w:val="00E5187A"/>
    <w:rsid w:val="00E553F1"/>
    <w:rsid w:val="00E616D5"/>
    <w:rsid w:val="00E61FB9"/>
    <w:rsid w:val="00E70639"/>
    <w:rsid w:val="00E72EFE"/>
    <w:rsid w:val="00E767D5"/>
    <w:rsid w:val="00E77671"/>
    <w:rsid w:val="00E83F64"/>
    <w:rsid w:val="00E90FDA"/>
    <w:rsid w:val="00E9395D"/>
    <w:rsid w:val="00E954BE"/>
    <w:rsid w:val="00E95C11"/>
    <w:rsid w:val="00EA3B74"/>
    <w:rsid w:val="00EB309D"/>
    <w:rsid w:val="00EB4CDB"/>
    <w:rsid w:val="00EC7698"/>
    <w:rsid w:val="00ED157E"/>
    <w:rsid w:val="00ED2487"/>
    <w:rsid w:val="00EE1080"/>
    <w:rsid w:val="00EE285B"/>
    <w:rsid w:val="00EE2906"/>
    <w:rsid w:val="00EF167B"/>
    <w:rsid w:val="00F00CED"/>
    <w:rsid w:val="00F14DD2"/>
    <w:rsid w:val="00F23478"/>
    <w:rsid w:val="00F3562B"/>
    <w:rsid w:val="00F5012A"/>
    <w:rsid w:val="00F51F0A"/>
    <w:rsid w:val="00F5284C"/>
    <w:rsid w:val="00F5322C"/>
    <w:rsid w:val="00F5422B"/>
    <w:rsid w:val="00F56549"/>
    <w:rsid w:val="00F60C4A"/>
    <w:rsid w:val="00F62C36"/>
    <w:rsid w:val="00F6620C"/>
    <w:rsid w:val="00F70230"/>
    <w:rsid w:val="00F83B8F"/>
    <w:rsid w:val="00F923D5"/>
    <w:rsid w:val="00F939BB"/>
    <w:rsid w:val="00F960D5"/>
    <w:rsid w:val="00FB2004"/>
    <w:rsid w:val="00FC26DE"/>
    <w:rsid w:val="00FC614C"/>
    <w:rsid w:val="00FD4C2C"/>
    <w:rsid w:val="00FD72CE"/>
    <w:rsid w:val="00FE31F4"/>
    <w:rsid w:val="00FE35F5"/>
    <w:rsid w:val="00FE5AE8"/>
    <w:rsid w:val="00FF3744"/>
    <w:rsid w:val="00FF67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DCA7A"/>
  <w15:chartTrackingRefBased/>
  <w15:docId w15:val="{352BE683-F9CE-44C4-AE12-2DFDC7DA3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1FC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basedOn w:val="Fuentedeprrafopredeter"/>
    <w:unhideWhenUsed/>
    <w:rsid w:val="000564C1"/>
    <w:rPr>
      <w:position w:val="0"/>
      <w:vertAlign w:val="superscript"/>
    </w:rPr>
  </w:style>
  <w:style w:type="paragraph" w:styleId="Prrafodelista">
    <w:name w:val="List Paragraph"/>
    <w:basedOn w:val="Normal"/>
    <w:uiPriority w:val="34"/>
    <w:qFormat/>
    <w:rsid w:val="00B56C71"/>
    <w:pPr>
      <w:ind w:left="720"/>
      <w:contextualSpacing/>
    </w:pPr>
  </w:style>
  <w:style w:type="paragraph" w:styleId="Textodeglobo">
    <w:name w:val="Balloon Text"/>
    <w:basedOn w:val="Normal"/>
    <w:link w:val="TextodegloboCar"/>
    <w:uiPriority w:val="99"/>
    <w:semiHidden/>
    <w:unhideWhenUsed/>
    <w:rsid w:val="005D170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D1706"/>
    <w:rPr>
      <w:rFonts w:ascii="Segoe UI" w:hAnsi="Segoe UI" w:cs="Segoe UI"/>
      <w:sz w:val="18"/>
      <w:szCs w:val="18"/>
    </w:rPr>
  </w:style>
  <w:style w:type="character" w:styleId="Hipervnculo">
    <w:name w:val="Hyperlink"/>
    <w:basedOn w:val="Fuentedeprrafopredeter"/>
    <w:uiPriority w:val="99"/>
    <w:unhideWhenUsed/>
    <w:rsid w:val="00E5187A"/>
    <w:rPr>
      <w:color w:val="0563C1" w:themeColor="hyperlink"/>
      <w:u w:val="single"/>
    </w:rPr>
  </w:style>
  <w:style w:type="paragraph" w:styleId="Textonotapie">
    <w:name w:val="footnote text"/>
    <w:basedOn w:val="Normal"/>
    <w:link w:val="TextonotapieCar"/>
    <w:uiPriority w:val="99"/>
    <w:unhideWhenUsed/>
    <w:rsid w:val="00E954BE"/>
    <w:pPr>
      <w:spacing w:after="0" w:line="240" w:lineRule="auto"/>
      <w:jc w:val="both"/>
    </w:pPr>
    <w:rPr>
      <w:sz w:val="20"/>
      <w:szCs w:val="20"/>
    </w:rPr>
  </w:style>
  <w:style w:type="character" w:customStyle="1" w:styleId="TextonotapieCar">
    <w:name w:val="Texto nota pie Car"/>
    <w:basedOn w:val="Fuentedeprrafopredeter"/>
    <w:link w:val="Textonotapie"/>
    <w:uiPriority w:val="99"/>
    <w:rsid w:val="00E954BE"/>
    <w:rPr>
      <w:sz w:val="20"/>
      <w:szCs w:val="20"/>
    </w:rPr>
  </w:style>
  <w:style w:type="character" w:styleId="Hipervnculovisitado">
    <w:name w:val="FollowedHyperlink"/>
    <w:basedOn w:val="Fuentedeprrafopredeter"/>
    <w:uiPriority w:val="99"/>
    <w:semiHidden/>
    <w:unhideWhenUsed/>
    <w:rsid w:val="00441FCE"/>
    <w:rPr>
      <w:color w:val="954F72" w:themeColor="followedHyperlink"/>
      <w:u w:val="single"/>
    </w:rPr>
  </w:style>
  <w:style w:type="paragraph" w:styleId="Encabezado">
    <w:name w:val="header"/>
    <w:basedOn w:val="Normal"/>
    <w:link w:val="EncabezadoCar"/>
    <w:uiPriority w:val="99"/>
    <w:unhideWhenUsed/>
    <w:rsid w:val="0033668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3668F"/>
  </w:style>
  <w:style w:type="paragraph" w:styleId="Piedepgina">
    <w:name w:val="footer"/>
    <w:basedOn w:val="Normal"/>
    <w:link w:val="PiedepginaCar"/>
    <w:uiPriority w:val="99"/>
    <w:unhideWhenUsed/>
    <w:rsid w:val="0033668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3668F"/>
  </w:style>
  <w:style w:type="paragraph" w:styleId="Revisin">
    <w:name w:val="Revision"/>
    <w:hidden/>
    <w:uiPriority w:val="99"/>
    <w:semiHidden/>
    <w:rsid w:val="00DB3C0D"/>
    <w:pPr>
      <w:spacing w:after="0" w:line="240" w:lineRule="auto"/>
    </w:pPr>
  </w:style>
  <w:style w:type="paragraph" w:styleId="Bibliografa">
    <w:name w:val="Bibliography"/>
    <w:basedOn w:val="Normal"/>
    <w:next w:val="Normal"/>
    <w:uiPriority w:val="37"/>
    <w:unhideWhenUsed/>
    <w:rsid w:val="00615A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51117">
      <w:bodyDiv w:val="1"/>
      <w:marLeft w:val="0"/>
      <w:marRight w:val="0"/>
      <w:marTop w:val="0"/>
      <w:marBottom w:val="0"/>
      <w:divBdr>
        <w:top w:val="none" w:sz="0" w:space="0" w:color="auto"/>
        <w:left w:val="none" w:sz="0" w:space="0" w:color="auto"/>
        <w:bottom w:val="none" w:sz="0" w:space="0" w:color="auto"/>
        <w:right w:val="none" w:sz="0" w:space="0" w:color="auto"/>
      </w:divBdr>
    </w:div>
    <w:div w:id="28192433">
      <w:bodyDiv w:val="1"/>
      <w:marLeft w:val="0"/>
      <w:marRight w:val="0"/>
      <w:marTop w:val="0"/>
      <w:marBottom w:val="0"/>
      <w:divBdr>
        <w:top w:val="none" w:sz="0" w:space="0" w:color="auto"/>
        <w:left w:val="none" w:sz="0" w:space="0" w:color="auto"/>
        <w:bottom w:val="none" w:sz="0" w:space="0" w:color="auto"/>
        <w:right w:val="none" w:sz="0" w:space="0" w:color="auto"/>
      </w:divBdr>
    </w:div>
    <w:div w:id="58410415">
      <w:bodyDiv w:val="1"/>
      <w:marLeft w:val="0"/>
      <w:marRight w:val="0"/>
      <w:marTop w:val="0"/>
      <w:marBottom w:val="0"/>
      <w:divBdr>
        <w:top w:val="none" w:sz="0" w:space="0" w:color="auto"/>
        <w:left w:val="none" w:sz="0" w:space="0" w:color="auto"/>
        <w:bottom w:val="none" w:sz="0" w:space="0" w:color="auto"/>
        <w:right w:val="none" w:sz="0" w:space="0" w:color="auto"/>
      </w:divBdr>
    </w:div>
    <w:div w:id="146358056">
      <w:bodyDiv w:val="1"/>
      <w:marLeft w:val="0"/>
      <w:marRight w:val="0"/>
      <w:marTop w:val="0"/>
      <w:marBottom w:val="0"/>
      <w:divBdr>
        <w:top w:val="none" w:sz="0" w:space="0" w:color="auto"/>
        <w:left w:val="none" w:sz="0" w:space="0" w:color="auto"/>
        <w:bottom w:val="none" w:sz="0" w:space="0" w:color="auto"/>
        <w:right w:val="none" w:sz="0" w:space="0" w:color="auto"/>
      </w:divBdr>
    </w:div>
    <w:div w:id="170531314">
      <w:bodyDiv w:val="1"/>
      <w:marLeft w:val="0"/>
      <w:marRight w:val="0"/>
      <w:marTop w:val="0"/>
      <w:marBottom w:val="0"/>
      <w:divBdr>
        <w:top w:val="none" w:sz="0" w:space="0" w:color="auto"/>
        <w:left w:val="none" w:sz="0" w:space="0" w:color="auto"/>
        <w:bottom w:val="none" w:sz="0" w:space="0" w:color="auto"/>
        <w:right w:val="none" w:sz="0" w:space="0" w:color="auto"/>
      </w:divBdr>
    </w:div>
    <w:div w:id="217938514">
      <w:bodyDiv w:val="1"/>
      <w:marLeft w:val="0"/>
      <w:marRight w:val="0"/>
      <w:marTop w:val="0"/>
      <w:marBottom w:val="0"/>
      <w:divBdr>
        <w:top w:val="none" w:sz="0" w:space="0" w:color="auto"/>
        <w:left w:val="none" w:sz="0" w:space="0" w:color="auto"/>
        <w:bottom w:val="none" w:sz="0" w:space="0" w:color="auto"/>
        <w:right w:val="none" w:sz="0" w:space="0" w:color="auto"/>
      </w:divBdr>
    </w:div>
    <w:div w:id="237253444">
      <w:bodyDiv w:val="1"/>
      <w:marLeft w:val="0"/>
      <w:marRight w:val="0"/>
      <w:marTop w:val="0"/>
      <w:marBottom w:val="0"/>
      <w:divBdr>
        <w:top w:val="none" w:sz="0" w:space="0" w:color="auto"/>
        <w:left w:val="none" w:sz="0" w:space="0" w:color="auto"/>
        <w:bottom w:val="none" w:sz="0" w:space="0" w:color="auto"/>
        <w:right w:val="none" w:sz="0" w:space="0" w:color="auto"/>
      </w:divBdr>
    </w:div>
    <w:div w:id="249895126">
      <w:bodyDiv w:val="1"/>
      <w:marLeft w:val="0"/>
      <w:marRight w:val="0"/>
      <w:marTop w:val="0"/>
      <w:marBottom w:val="0"/>
      <w:divBdr>
        <w:top w:val="none" w:sz="0" w:space="0" w:color="auto"/>
        <w:left w:val="none" w:sz="0" w:space="0" w:color="auto"/>
        <w:bottom w:val="none" w:sz="0" w:space="0" w:color="auto"/>
        <w:right w:val="none" w:sz="0" w:space="0" w:color="auto"/>
      </w:divBdr>
    </w:div>
    <w:div w:id="267667864">
      <w:bodyDiv w:val="1"/>
      <w:marLeft w:val="0"/>
      <w:marRight w:val="0"/>
      <w:marTop w:val="0"/>
      <w:marBottom w:val="0"/>
      <w:divBdr>
        <w:top w:val="none" w:sz="0" w:space="0" w:color="auto"/>
        <w:left w:val="none" w:sz="0" w:space="0" w:color="auto"/>
        <w:bottom w:val="none" w:sz="0" w:space="0" w:color="auto"/>
        <w:right w:val="none" w:sz="0" w:space="0" w:color="auto"/>
      </w:divBdr>
    </w:div>
    <w:div w:id="323971078">
      <w:bodyDiv w:val="1"/>
      <w:marLeft w:val="0"/>
      <w:marRight w:val="0"/>
      <w:marTop w:val="0"/>
      <w:marBottom w:val="0"/>
      <w:divBdr>
        <w:top w:val="none" w:sz="0" w:space="0" w:color="auto"/>
        <w:left w:val="none" w:sz="0" w:space="0" w:color="auto"/>
        <w:bottom w:val="none" w:sz="0" w:space="0" w:color="auto"/>
        <w:right w:val="none" w:sz="0" w:space="0" w:color="auto"/>
      </w:divBdr>
    </w:div>
    <w:div w:id="427771006">
      <w:bodyDiv w:val="1"/>
      <w:marLeft w:val="0"/>
      <w:marRight w:val="0"/>
      <w:marTop w:val="0"/>
      <w:marBottom w:val="0"/>
      <w:divBdr>
        <w:top w:val="none" w:sz="0" w:space="0" w:color="auto"/>
        <w:left w:val="none" w:sz="0" w:space="0" w:color="auto"/>
        <w:bottom w:val="none" w:sz="0" w:space="0" w:color="auto"/>
        <w:right w:val="none" w:sz="0" w:space="0" w:color="auto"/>
      </w:divBdr>
    </w:div>
    <w:div w:id="454560878">
      <w:bodyDiv w:val="1"/>
      <w:marLeft w:val="0"/>
      <w:marRight w:val="0"/>
      <w:marTop w:val="0"/>
      <w:marBottom w:val="0"/>
      <w:divBdr>
        <w:top w:val="none" w:sz="0" w:space="0" w:color="auto"/>
        <w:left w:val="none" w:sz="0" w:space="0" w:color="auto"/>
        <w:bottom w:val="none" w:sz="0" w:space="0" w:color="auto"/>
        <w:right w:val="none" w:sz="0" w:space="0" w:color="auto"/>
      </w:divBdr>
    </w:div>
    <w:div w:id="517626441">
      <w:bodyDiv w:val="1"/>
      <w:marLeft w:val="0"/>
      <w:marRight w:val="0"/>
      <w:marTop w:val="0"/>
      <w:marBottom w:val="0"/>
      <w:divBdr>
        <w:top w:val="none" w:sz="0" w:space="0" w:color="auto"/>
        <w:left w:val="none" w:sz="0" w:space="0" w:color="auto"/>
        <w:bottom w:val="none" w:sz="0" w:space="0" w:color="auto"/>
        <w:right w:val="none" w:sz="0" w:space="0" w:color="auto"/>
      </w:divBdr>
    </w:div>
    <w:div w:id="656764642">
      <w:bodyDiv w:val="1"/>
      <w:marLeft w:val="0"/>
      <w:marRight w:val="0"/>
      <w:marTop w:val="0"/>
      <w:marBottom w:val="0"/>
      <w:divBdr>
        <w:top w:val="none" w:sz="0" w:space="0" w:color="auto"/>
        <w:left w:val="none" w:sz="0" w:space="0" w:color="auto"/>
        <w:bottom w:val="none" w:sz="0" w:space="0" w:color="auto"/>
        <w:right w:val="none" w:sz="0" w:space="0" w:color="auto"/>
      </w:divBdr>
    </w:div>
    <w:div w:id="723405293">
      <w:bodyDiv w:val="1"/>
      <w:marLeft w:val="0"/>
      <w:marRight w:val="0"/>
      <w:marTop w:val="0"/>
      <w:marBottom w:val="0"/>
      <w:divBdr>
        <w:top w:val="none" w:sz="0" w:space="0" w:color="auto"/>
        <w:left w:val="none" w:sz="0" w:space="0" w:color="auto"/>
        <w:bottom w:val="none" w:sz="0" w:space="0" w:color="auto"/>
        <w:right w:val="none" w:sz="0" w:space="0" w:color="auto"/>
      </w:divBdr>
    </w:div>
    <w:div w:id="761991345">
      <w:bodyDiv w:val="1"/>
      <w:marLeft w:val="0"/>
      <w:marRight w:val="0"/>
      <w:marTop w:val="0"/>
      <w:marBottom w:val="0"/>
      <w:divBdr>
        <w:top w:val="none" w:sz="0" w:space="0" w:color="auto"/>
        <w:left w:val="none" w:sz="0" w:space="0" w:color="auto"/>
        <w:bottom w:val="none" w:sz="0" w:space="0" w:color="auto"/>
        <w:right w:val="none" w:sz="0" w:space="0" w:color="auto"/>
      </w:divBdr>
    </w:div>
    <w:div w:id="814833568">
      <w:bodyDiv w:val="1"/>
      <w:marLeft w:val="0"/>
      <w:marRight w:val="0"/>
      <w:marTop w:val="0"/>
      <w:marBottom w:val="0"/>
      <w:divBdr>
        <w:top w:val="none" w:sz="0" w:space="0" w:color="auto"/>
        <w:left w:val="none" w:sz="0" w:space="0" w:color="auto"/>
        <w:bottom w:val="none" w:sz="0" w:space="0" w:color="auto"/>
        <w:right w:val="none" w:sz="0" w:space="0" w:color="auto"/>
      </w:divBdr>
    </w:div>
    <w:div w:id="826364711">
      <w:bodyDiv w:val="1"/>
      <w:marLeft w:val="0"/>
      <w:marRight w:val="0"/>
      <w:marTop w:val="0"/>
      <w:marBottom w:val="0"/>
      <w:divBdr>
        <w:top w:val="none" w:sz="0" w:space="0" w:color="auto"/>
        <w:left w:val="none" w:sz="0" w:space="0" w:color="auto"/>
        <w:bottom w:val="none" w:sz="0" w:space="0" w:color="auto"/>
        <w:right w:val="none" w:sz="0" w:space="0" w:color="auto"/>
      </w:divBdr>
    </w:div>
    <w:div w:id="838161501">
      <w:bodyDiv w:val="1"/>
      <w:marLeft w:val="0"/>
      <w:marRight w:val="0"/>
      <w:marTop w:val="0"/>
      <w:marBottom w:val="0"/>
      <w:divBdr>
        <w:top w:val="none" w:sz="0" w:space="0" w:color="auto"/>
        <w:left w:val="none" w:sz="0" w:space="0" w:color="auto"/>
        <w:bottom w:val="none" w:sz="0" w:space="0" w:color="auto"/>
        <w:right w:val="none" w:sz="0" w:space="0" w:color="auto"/>
      </w:divBdr>
    </w:div>
    <w:div w:id="847986710">
      <w:bodyDiv w:val="1"/>
      <w:marLeft w:val="0"/>
      <w:marRight w:val="0"/>
      <w:marTop w:val="0"/>
      <w:marBottom w:val="0"/>
      <w:divBdr>
        <w:top w:val="none" w:sz="0" w:space="0" w:color="auto"/>
        <w:left w:val="none" w:sz="0" w:space="0" w:color="auto"/>
        <w:bottom w:val="none" w:sz="0" w:space="0" w:color="auto"/>
        <w:right w:val="none" w:sz="0" w:space="0" w:color="auto"/>
      </w:divBdr>
    </w:div>
    <w:div w:id="920523441">
      <w:bodyDiv w:val="1"/>
      <w:marLeft w:val="0"/>
      <w:marRight w:val="0"/>
      <w:marTop w:val="0"/>
      <w:marBottom w:val="0"/>
      <w:divBdr>
        <w:top w:val="none" w:sz="0" w:space="0" w:color="auto"/>
        <w:left w:val="none" w:sz="0" w:space="0" w:color="auto"/>
        <w:bottom w:val="none" w:sz="0" w:space="0" w:color="auto"/>
        <w:right w:val="none" w:sz="0" w:space="0" w:color="auto"/>
      </w:divBdr>
    </w:div>
    <w:div w:id="948857974">
      <w:bodyDiv w:val="1"/>
      <w:marLeft w:val="0"/>
      <w:marRight w:val="0"/>
      <w:marTop w:val="0"/>
      <w:marBottom w:val="0"/>
      <w:divBdr>
        <w:top w:val="none" w:sz="0" w:space="0" w:color="auto"/>
        <w:left w:val="none" w:sz="0" w:space="0" w:color="auto"/>
        <w:bottom w:val="none" w:sz="0" w:space="0" w:color="auto"/>
        <w:right w:val="none" w:sz="0" w:space="0" w:color="auto"/>
      </w:divBdr>
    </w:div>
    <w:div w:id="1070612708">
      <w:bodyDiv w:val="1"/>
      <w:marLeft w:val="0"/>
      <w:marRight w:val="0"/>
      <w:marTop w:val="0"/>
      <w:marBottom w:val="0"/>
      <w:divBdr>
        <w:top w:val="none" w:sz="0" w:space="0" w:color="auto"/>
        <w:left w:val="none" w:sz="0" w:space="0" w:color="auto"/>
        <w:bottom w:val="none" w:sz="0" w:space="0" w:color="auto"/>
        <w:right w:val="none" w:sz="0" w:space="0" w:color="auto"/>
      </w:divBdr>
    </w:div>
    <w:div w:id="1117873727">
      <w:bodyDiv w:val="1"/>
      <w:marLeft w:val="0"/>
      <w:marRight w:val="0"/>
      <w:marTop w:val="0"/>
      <w:marBottom w:val="0"/>
      <w:divBdr>
        <w:top w:val="none" w:sz="0" w:space="0" w:color="auto"/>
        <w:left w:val="none" w:sz="0" w:space="0" w:color="auto"/>
        <w:bottom w:val="none" w:sz="0" w:space="0" w:color="auto"/>
        <w:right w:val="none" w:sz="0" w:space="0" w:color="auto"/>
      </w:divBdr>
    </w:div>
    <w:div w:id="1143893501">
      <w:bodyDiv w:val="1"/>
      <w:marLeft w:val="0"/>
      <w:marRight w:val="0"/>
      <w:marTop w:val="0"/>
      <w:marBottom w:val="0"/>
      <w:divBdr>
        <w:top w:val="none" w:sz="0" w:space="0" w:color="auto"/>
        <w:left w:val="none" w:sz="0" w:space="0" w:color="auto"/>
        <w:bottom w:val="none" w:sz="0" w:space="0" w:color="auto"/>
        <w:right w:val="none" w:sz="0" w:space="0" w:color="auto"/>
      </w:divBdr>
    </w:div>
    <w:div w:id="1177420568">
      <w:bodyDiv w:val="1"/>
      <w:marLeft w:val="0"/>
      <w:marRight w:val="0"/>
      <w:marTop w:val="0"/>
      <w:marBottom w:val="0"/>
      <w:divBdr>
        <w:top w:val="none" w:sz="0" w:space="0" w:color="auto"/>
        <w:left w:val="none" w:sz="0" w:space="0" w:color="auto"/>
        <w:bottom w:val="none" w:sz="0" w:space="0" w:color="auto"/>
        <w:right w:val="none" w:sz="0" w:space="0" w:color="auto"/>
      </w:divBdr>
    </w:div>
    <w:div w:id="1217397427">
      <w:bodyDiv w:val="1"/>
      <w:marLeft w:val="0"/>
      <w:marRight w:val="0"/>
      <w:marTop w:val="0"/>
      <w:marBottom w:val="0"/>
      <w:divBdr>
        <w:top w:val="none" w:sz="0" w:space="0" w:color="auto"/>
        <w:left w:val="none" w:sz="0" w:space="0" w:color="auto"/>
        <w:bottom w:val="none" w:sz="0" w:space="0" w:color="auto"/>
        <w:right w:val="none" w:sz="0" w:space="0" w:color="auto"/>
      </w:divBdr>
    </w:div>
    <w:div w:id="1276712474">
      <w:bodyDiv w:val="1"/>
      <w:marLeft w:val="0"/>
      <w:marRight w:val="0"/>
      <w:marTop w:val="0"/>
      <w:marBottom w:val="0"/>
      <w:divBdr>
        <w:top w:val="none" w:sz="0" w:space="0" w:color="auto"/>
        <w:left w:val="none" w:sz="0" w:space="0" w:color="auto"/>
        <w:bottom w:val="none" w:sz="0" w:space="0" w:color="auto"/>
        <w:right w:val="none" w:sz="0" w:space="0" w:color="auto"/>
      </w:divBdr>
    </w:div>
    <w:div w:id="1283683341">
      <w:bodyDiv w:val="1"/>
      <w:marLeft w:val="0"/>
      <w:marRight w:val="0"/>
      <w:marTop w:val="0"/>
      <w:marBottom w:val="0"/>
      <w:divBdr>
        <w:top w:val="none" w:sz="0" w:space="0" w:color="auto"/>
        <w:left w:val="none" w:sz="0" w:space="0" w:color="auto"/>
        <w:bottom w:val="none" w:sz="0" w:space="0" w:color="auto"/>
        <w:right w:val="none" w:sz="0" w:space="0" w:color="auto"/>
      </w:divBdr>
    </w:div>
    <w:div w:id="1294289418">
      <w:bodyDiv w:val="1"/>
      <w:marLeft w:val="0"/>
      <w:marRight w:val="0"/>
      <w:marTop w:val="0"/>
      <w:marBottom w:val="0"/>
      <w:divBdr>
        <w:top w:val="none" w:sz="0" w:space="0" w:color="auto"/>
        <w:left w:val="none" w:sz="0" w:space="0" w:color="auto"/>
        <w:bottom w:val="none" w:sz="0" w:space="0" w:color="auto"/>
        <w:right w:val="none" w:sz="0" w:space="0" w:color="auto"/>
      </w:divBdr>
    </w:div>
    <w:div w:id="1337273201">
      <w:bodyDiv w:val="1"/>
      <w:marLeft w:val="0"/>
      <w:marRight w:val="0"/>
      <w:marTop w:val="0"/>
      <w:marBottom w:val="0"/>
      <w:divBdr>
        <w:top w:val="none" w:sz="0" w:space="0" w:color="auto"/>
        <w:left w:val="none" w:sz="0" w:space="0" w:color="auto"/>
        <w:bottom w:val="none" w:sz="0" w:space="0" w:color="auto"/>
        <w:right w:val="none" w:sz="0" w:space="0" w:color="auto"/>
      </w:divBdr>
    </w:div>
    <w:div w:id="1369840839">
      <w:bodyDiv w:val="1"/>
      <w:marLeft w:val="0"/>
      <w:marRight w:val="0"/>
      <w:marTop w:val="0"/>
      <w:marBottom w:val="0"/>
      <w:divBdr>
        <w:top w:val="none" w:sz="0" w:space="0" w:color="auto"/>
        <w:left w:val="none" w:sz="0" w:space="0" w:color="auto"/>
        <w:bottom w:val="none" w:sz="0" w:space="0" w:color="auto"/>
        <w:right w:val="none" w:sz="0" w:space="0" w:color="auto"/>
      </w:divBdr>
    </w:div>
    <w:div w:id="1427190826">
      <w:bodyDiv w:val="1"/>
      <w:marLeft w:val="0"/>
      <w:marRight w:val="0"/>
      <w:marTop w:val="0"/>
      <w:marBottom w:val="0"/>
      <w:divBdr>
        <w:top w:val="none" w:sz="0" w:space="0" w:color="auto"/>
        <w:left w:val="none" w:sz="0" w:space="0" w:color="auto"/>
        <w:bottom w:val="none" w:sz="0" w:space="0" w:color="auto"/>
        <w:right w:val="none" w:sz="0" w:space="0" w:color="auto"/>
      </w:divBdr>
    </w:div>
    <w:div w:id="1429620720">
      <w:bodyDiv w:val="1"/>
      <w:marLeft w:val="0"/>
      <w:marRight w:val="0"/>
      <w:marTop w:val="0"/>
      <w:marBottom w:val="0"/>
      <w:divBdr>
        <w:top w:val="none" w:sz="0" w:space="0" w:color="auto"/>
        <w:left w:val="none" w:sz="0" w:space="0" w:color="auto"/>
        <w:bottom w:val="none" w:sz="0" w:space="0" w:color="auto"/>
        <w:right w:val="none" w:sz="0" w:space="0" w:color="auto"/>
      </w:divBdr>
    </w:div>
    <w:div w:id="1511066568">
      <w:bodyDiv w:val="1"/>
      <w:marLeft w:val="0"/>
      <w:marRight w:val="0"/>
      <w:marTop w:val="0"/>
      <w:marBottom w:val="0"/>
      <w:divBdr>
        <w:top w:val="none" w:sz="0" w:space="0" w:color="auto"/>
        <w:left w:val="none" w:sz="0" w:space="0" w:color="auto"/>
        <w:bottom w:val="none" w:sz="0" w:space="0" w:color="auto"/>
        <w:right w:val="none" w:sz="0" w:space="0" w:color="auto"/>
      </w:divBdr>
    </w:div>
    <w:div w:id="1541556640">
      <w:bodyDiv w:val="1"/>
      <w:marLeft w:val="0"/>
      <w:marRight w:val="0"/>
      <w:marTop w:val="0"/>
      <w:marBottom w:val="0"/>
      <w:divBdr>
        <w:top w:val="none" w:sz="0" w:space="0" w:color="auto"/>
        <w:left w:val="none" w:sz="0" w:space="0" w:color="auto"/>
        <w:bottom w:val="none" w:sz="0" w:space="0" w:color="auto"/>
        <w:right w:val="none" w:sz="0" w:space="0" w:color="auto"/>
      </w:divBdr>
    </w:div>
    <w:div w:id="1580286707">
      <w:bodyDiv w:val="1"/>
      <w:marLeft w:val="0"/>
      <w:marRight w:val="0"/>
      <w:marTop w:val="0"/>
      <w:marBottom w:val="0"/>
      <w:divBdr>
        <w:top w:val="none" w:sz="0" w:space="0" w:color="auto"/>
        <w:left w:val="none" w:sz="0" w:space="0" w:color="auto"/>
        <w:bottom w:val="none" w:sz="0" w:space="0" w:color="auto"/>
        <w:right w:val="none" w:sz="0" w:space="0" w:color="auto"/>
      </w:divBdr>
    </w:div>
    <w:div w:id="1588733817">
      <w:bodyDiv w:val="1"/>
      <w:marLeft w:val="0"/>
      <w:marRight w:val="0"/>
      <w:marTop w:val="0"/>
      <w:marBottom w:val="0"/>
      <w:divBdr>
        <w:top w:val="none" w:sz="0" w:space="0" w:color="auto"/>
        <w:left w:val="none" w:sz="0" w:space="0" w:color="auto"/>
        <w:bottom w:val="none" w:sz="0" w:space="0" w:color="auto"/>
        <w:right w:val="none" w:sz="0" w:space="0" w:color="auto"/>
      </w:divBdr>
    </w:div>
    <w:div w:id="1593734256">
      <w:bodyDiv w:val="1"/>
      <w:marLeft w:val="0"/>
      <w:marRight w:val="0"/>
      <w:marTop w:val="0"/>
      <w:marBottom w:val="0"/>
      <w:divBdr>
        <w:top w:val="none" w:sz="0" w:space="0" w:color="auto"/>
        <w:left w:val="none" w:sz="0" w:space="0" w:color="auto"/>
        <w:bottom w:val="none" w:sz="0" w:space="0" w:color="auto"/>
        <w:right w:val="none" w:sz="0" w:space="0" w:color="auto"/>
      </w:divBdr>
    </w:div>
    <w:div w:id="1607927159">
      <w:bodyDiv w:val="1"/>
      <w:marLeft w:val="0"/>
      <w:marRight w:val="0"/>
      <w:marTop w:val="0"/>
      <w:marBottom w:val="0"/>
      <w:divBdr>
        <w:top w:val="none" w:sz="0" w:space="0" w:color="auto"/>
        <w:left w:val="none" w:sz="0" w:space="0" w:color="auto"/>
        <w:bottom w:val="none" w:sz="0" w:space="0" w:color="auto"/>
        <w:right w:val="none" w:sz="0" w:space="0" w:color="auto"/>
      </w:divBdr>
    </w:div>
    <w:div w:id="1660038020">
      <w:bodyDiv w:val="1"/>
      <w:marLeft w:val="0"/>
      <w:marRight w:val="0"/>
      <w:marTop w:val="0"/>
      <w:marBottom w:val="0"/>
      <w:divBdr>
        <w:top w:val="none" w:sz="0" w:space="0" w:color="auto"/>
        <w:left w:val="none" w:sz="0" w:space="0" w:color="auto"/>
        <w:bottom w:val="none" w:sz="0" w:space="0" w:color="auto"/>
        <w:right w:val="none" w:sz="0" w:space="0" w:color="auto"/>
      </w:divBdr>
    </w:div>
    <w:div w:id="1660842553">
      <w:bodyDiv w:val="1"/>
      <w:marLeft w:val="0"/>
      <w:marRight w:val="0"/>
      <w:marTop w:val="0"/>
      <w:marBottom w:val="0"/>
      <w:divBdr>
        <w:top w:val="none" w:sz="0" w:space="0" w:color="auto"/>
        <w:left w:val="none" w:sz="0" w:space="0" w:color="auto"/>
        <w:bottom w:val="none" w:sz="0" w:space="0" w:color="auto"/>
        <w:right w:val="none" w:sz="0" w:space="0" w:color="auto"/>
      </w:divBdr>
    </w:div>
    <w:div w:id="1682508086">
      <w:bodyDiv w:val="1"/>
      <w:marLeft w:val="0"/>
      <w:marRight w:val="0"/>
      <w:marTop w:val="0"/>
      <w:marBottom w:val="0"/>
      <w:divBdr>
        <w:top w:val="none" w:sz="0" w:space="0" w:color="auto"/>
        <w:left w:val="none" w:sz="0" w:space="0" w:color="auto"/>
        <w:bottom w:val="none" w:sz="0" w:space="0" w:color="auto"/>
        <w:right w:val="none" w:sz="0" w:space="0" w:color="auto"/>
      </w:divBdr>
    </w:div>
    <w:div w:id="1691251958">
      <w:bodyDiv w:val="1"/>
      <w:marLeft w:val="0"/>
      <w:marRight w:val="0"/>
      <w:marTop w:val="0"/>
      <w:marBottom w:val="0"/>
      <w:divBdr>
        <w:top w:val="none" w:sz="0" w:space="0" w:color="auto"/>
        <w:left w:val="none" w:sz="0" w:space="0" w:color="auto"/>
        <w:bottom w:val="none" w:sz="0" w:space="0" w:color="auto"/>
        <w:right w:val="none" w:sz="0" w:space="0" w:color="auto"/>
      </w:divBdr>
    </w:div>
    <w:div w:id="1714620858">
      <w:bodyDiv w:val="1"/>
      <w:marLeft w:val="0"/>
      <w:marRight w:val="0"/>
      <w:marTop w:val="0"/>
      <w:marBottom w:val="0"/>
      <w:divBdr>
        <w:top w:val="none" w:sz="0" w:space="0" w:color="auto"/>
        <w:left w:val="none" w:sz="0" w:space="0" w:color="auto"/>
        <w:bottom w:val="none" w:sz="0" w:space="0" w:color="auto"/>
        <w:right w:val="none" w:sz="0" w:space="0" w:color="auto"/>
      </w:divBdr>
    </w:div>
    <w:div w:id="1729305657">
      <w:bodyDiv w:val="1"/>
      <w:marLeft w:val="0"/>
      <w:marRight w:val="0"/>
      <w:marTop w:val="0"/>
      <w:marBottom w:val="0"/>
      <w:divBdr>
        <w:top w:val="none" w:sz="0" w:space="0" w:color="auto"/>
        <w:left w:val="none" w:sz="0" w:space="0" w:color="auto"/>
        <w:bottom w:val="none" w:sz="0" w:space="0" w:color="auto"/>
        <w:right w:val="none" w:sz="0" w:space="0" w:color="auto"/>
      </w:divBdr>
    </w:div>
    <w:div w:id="1845703360">
      <w:bodyDiv w:val="1"/>
      <w:marLeft w:val="0"/>
      <w:marRight w:val="0"/>
      <w:marTop w:val="0"/>
      <w:marBottom w:val="0"/>
      <w:divBdr>
        <w:top w:val="none" w:sz="0" w:space="0" w:color="auto"/>
        <w:left w:val="none" w:sz="0" w:space="0" w:color="auto"/>
        <w:bottom w:val="none" w:sz="0" w:space="0" w:color="auto"/>
        <w:right w:val="none" w:sz="0" w:space="0" w:color="auto"/>
      </w:divBdr>
    </w:div>
    <w:div w:id="1872957910">
      <w:bodyDiv w:val="1"/>
      <w:marLeft w:val="0"/>
      <w:marRight w:val="0"/>
      <w:marTop w:val="0"/>
      <w:marBottom w:val="0"/>
      <w:divBdr>
        <w:top w:val="none" w:sz="0" w:space="0" w:color="auto"/>
        <w:left w:val="none" w:sz="0" w:space="0" w:color="auto"/>
        <w:bottom w:val="none" w:sz="0" w:space="0" w:color="auto"/>
        <w:right w:val="none" w:sz="0" w:space="0" w:color="auto"/>
      </w:divBdr>
    </w:div>
    <w:div w:id="1928612272">
      <w:bodyDiv w:val="1"/>
      <w:marLeft w:val="0"/>
      <w:marRight w:val="0"/>
      <w:marTop w:val="0"/>
      <w:marBottom w:val="0"/>
      <w:divBdr>
        <w:top w:val="none" w:sz="0" w:space="0" w:color="auto"/>
        <w:left w:val="none" w:sz="0" w:space="0" w:color="auto"/>
        <w:bottom w:val="none" w:sz="0" w:space="0" w:color="auto"/>
        <w:right w:val="none" w:sz="0" w:space="0" w:color="auto"/>
      </w:divBdr>
    </w:div>
    <w:div w:id="1950819026">
      <w:bodyDiv w:val="1"/>
      <w:marLeft w:val="0"/>
      <w:marRight w:val="0"/>
      <w:marTop w:val="0"/>
      <w:marBottom w:val="0"/>
      <w:divBdr>
        <w:top w:val="none" w:sz="0" w:space="0" w:color="auto"/>
        <w:left w:val="none" w:sz="0" w:space="0" w:color="auto"/>
        <w:bottom w:val="none" w:sz="0" w:space="0" w:color="auto"/>
        <w:right w:val="none" w:sz="0" w:space="0" w:color="auto"/>
      </w:divBdr>
    </w:div>
    <w:div w:id="1962804206">
      <w:bodyDiv w:val="1"/>
      <w:marLeft w:val="0"/>
      <w:marRight w:val="0"/>
      <w:marTop w:val="0"/>
      <w:marBottom w:val="0"/>
      <w:divBdr>
        <w:top w:val="none" w:sz="0" w:space="0" w:color="auto"/>
        <w:left w:val="none" w:sz="0" w:space="0" w:color="auto"/>
        <w:bottom w:val="none" w:sz="0" w:space="0" w:color="auto"/>
        <w:right w:val="none" w:sz="0" w:space="0" w:color="auto"/>
      </w:divBdr>
    </w:div>
    <w:div w:id="1977253663">
      <w:bodyDiv w:val="1"/>
      <w:marLeft w:val="0"/>
      <w:marRight w:val="0"/>
      <w:marTop w:val="0"/>
      <w:marBottom w:val="0"/>
      <w:divBdr>
        <w:top w:val="none" w:sz="0" w:space="0" w:color="auto"/>
        <w:left w:val="none" w:sz="0" w:space="0" w:color="auto"/>
        <w:bottom w:val="none" w:sz="0" w:space="0" w:color="auto"/>
        <w:right w:val="none" w:sz="0" w:space="0" w:color="auto"/>
      </w:divBdr>
    </w:div>
    <w:div w:id="1997302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ristian.backenkohler@uam.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plus.lapresse.ca/screens/36c5c72e-28b9-49df-ba29-514fc56d647a%7CpUtyV30bPPsb.html" TargetMode="External"/><Relationship Id="rId13" Type="http://schemas.openxmlformats.org/officeDocument/2006/relationships/hyperlink" Target="http://www.assnat.qc.ca/en/travaux-parlementaires/projets-loi/projet-loi-60-40-1.html" TargetMode="External"/><Relationship Id="rId18" Type="http://schemas.openxmlformats.org/officeDocument/2006/relationships/hyperlink" Target="http://www.ledevoir.com/societe/actualites-en-societe/491886/bouchard-et-taylor-desormais-divises" TargetMode="External"/><Relationship Id="rId3" Type="http://schemas.openxmlformats.org/officeDocument/2006/relationships/hyperlink" Target="http://www.abc.es/internacional/abci-menos-cinco-muertos-tras-tiroteo-mezquita-quebec-201701300325_noticia.html" TargetMode="External"/><Relationship Id="rId21" Type="http://schemas.openxmlformats.org/officeDocument/2006/relationships/hyperlink" Target="http://www.lavanguardia.com/vida/20160823/404159464554/la-policia-montada-de-canada-autoriza-a-las-agentes-usar-el-hiyab.html" TargetMode="External"/><Relationship Id="rId7" Type="http://schemas.openxmlformats.org/officeDocument/2006/relationships/hyperlink" Target="http://elpais.com/diario/2006/06/04/internacional/1149372003_850215.html" TargetMode="External"/><Relationship Id="rId12" Type="http://schemas.openxmlformats.org/officeDocument/2006/relationships/hyperlink" Target="http://www.aljazeera.com/indepth/opinion/2017/02/quebec-mosque-shooting-happened-170201075600344.html" TargetMode="External"/><Relationship Id="rId17" Type="http://schemas.openxmlformats.org/officeDocument/2006/relationships/hyperlink" Target="http://induecourse.ca/comprendre-le-compromis-bouchard-taylor/" TargetMode="External"/><Relationship Id="rId2" Type="http://schemas.openxmlformats.org/officeDocument/2006/relationships/hyperlink" Target="http://www.elmundo.es/internacional/2017/01/30/588f73ac268e3eb1768b45f7.html" TargetMode="External"/><Relationship Id="rId16" Type="http://schemas.openxmlformats.org/officeDocument/2006/relationships/hyperlink" Target="http://nmnoticias.ca/111328/charte-video-agresion-autobus-montreal-mujer-musulmana/" TargetMode="External"/><Relationship Id="rId20" Type="http://schemas.openxmlformats.org/officeDocument/2006/relationships/hyperlink" Target="http://nmnoticias.ca/180415/quebec-prohibir-velos-turbantes-figuras-de-autoridad-quebec/" TargetMode="External"/><Relationship Id="rId1" Type="http://schemas.openxmlformats.org/officeDocument/2006/relationships/hyperlink" Target="http://internacional.elpais.com/internacional/2017/01/30/actualidad/1485745242_048891.html" TargetMode="External"/><Relationship Id="rId6" Type="http://schemas.openxmlformats.org/officeDocument/2006/relationships/hyperlink" Target="http://internacional.elpais.com/internacional/2014/10/21/actualidad/1413913719_345649.html" TargetMode="External"/><Relationship Id="rId11" Type="http://schemas.openxmlformats.org/officeDocument/2006/relationships/hyperlink" Target="https://www.theguardian.com/world/2017/jan/31/quebec-city-mosque-shooting-canada-far-right-politics" TargetMode="External"/><Relationship Id="rId5" Type="http://schemas.openxmlformats.org/officeDocument/2006/relationships/hyperlink" Target="http://internacional.elpais.com/internacional/2014/10/22/actualidad/1413987469_517627.html" TargetMode="External"/><Relationship Id="rId15" Type="http://schemas.openxmlformats.org/officeDocument/2006/relationships/hyperlink" Target="http://internacional.elpais.com/internacional/2014/02/24/actualidad/1393260784_382637.html" TargetMode="External"/><Relationship Id="rId10" Type="http://schemas.openxmlformats.org/officeDocument/2006/relationships/hyperlink" Target="http://www.cbc.ca/news/canada/international-soccer-body-to-discuss-quebec-hijab-ban-1.686998" TargetMode="External"/><Relationship Id="rId19" Type="http://schemas.openxmlformats.org/officeDocument/2006/relationships/hyperlink" Target="http://www.rcinet.ca/es/2017/02/17/el-otro-copresidente-de-la-comision-bouchard-taylor-se-mantiene-firme-en-su-posicion/" TargetMode="External"/><Relationship Id="rId4" Type="http://schemas.openxmlformats.org/officeDocument/2006/relationships/hyperlink" Target="http://ici.radio-canada.ca/nouvelle/1013902/attentat-a-quebec-tout-le-monde-a-ete-atteint-philippe-couillard" TargetMode="External"/><Relationship Id="rId9" Type="http://schemas.openxmlformats.org/officeDocument/2006/relationships/hyperlink" Target="https://www.mce.gouv.qc.ca/publications/CCPARDC/rapport-final-integral-fr.pdf" TargetMode="External"/><Relationship Id="rId14" Type="http://schemas.openxmlformats.org/officeDocument/2006/relationships/hyperlink" Target="https://www.theatlantic.com/international/archive/2014/01/the-dangerous-logic-of-quebecs-charter-of-values/28327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Tos10</b:Tag>
    <b:SourceType>JournalArticle</b:SourceType>
    <b:Guid>{04C1D676-E8D5-498E-BB93-5BC28F357363}</b:Guid>
    <b:Author>
      <b:Author>
        <b:NameList>
          <b:Person>
            <b:Last>Toscano Méndez</b:Last>
            <b:First>Manuel</b:First>
          </b:Person>
        </b:NameList>
      </b:Author>
    </b:Author>
    <b:Title>La laicidad abierta. El Rapport Bouchard-Taylor y el régimen de laicidad de Québec</b:Title>
    <b:JournalName>Laguna: Revista de filosofía</b:JournalName>
    <b:Year>2010</b:Year>
    <b:Pages>95-108</b:Pages>
    <b:Issue>26</b:Issue>
    <b:RefOrder>3</b:RefOrder>
  </b:Source>
  <b:Source>
    <b:Tag>Eló10</b:Tag>
    <b:SourceType>JournalArticle</b:SourceType>
    <b:Guid>{70913DD6-D443-4AB1-ABF7-164A2AD0C7A2}</b:Guid>
    <b:Author>
      <b:Author>
        <b:NameList>
          <b:Person>
            <b:Last>Elósegui Itxaso</b:Last>
            <b:First>María</b:First>
          </b:Person>
        </b:NameList>
      </b:Author>
    </b:Author>
    <b:Title>El concepto de laicidad abierta en el informe de la Comisión Bouchard-Taylor para Québec</b:Title>
    <b:JournalName>Revista General de Derecho canónico y Derecho Eclesiástico de Estado</b:JournalName>
    <b:Year>2010</b:Year>
    <b:Pages>14</b:Pages>
    <b:Issue>23</b:Issue>
    <b:RefOrder>7</b:RefOrder>
  </b:Source>
  <b:Source>
    <b:Tag>Est09</b:Tag>
    <b:SourceType>JournalArticle</b:SourceType>
    <b:Guid>{4901601A-BF8F-4EB8-B02B-489757D2E2BE}</b:Guid>
    <b:Author>
      <b:Author>
        <b:NameList>
          <b:Person>
            <b:Last>Esteban Sánchez</b:Last>
            <b:First>Valeriano</b:First>
          </b:Person>
          <b:Person>
            <b:Last>López Sala</b:Last>
            <b:First>Ana</b:First>
          </b:Person>
        </b:NameList>
      </b:Author>
    </b:Author>
    <b:Title>La crisis de los ‘acomodos razonables’ en Québec: la Comisión Bouchard-Taylor</b:Title>
    <b:JournalName>Revista Internacional de Filosofía Política</b:JournalName>
    <b:Year>2009</b:Year>
    <b:Pages>191-209</b:Pages>
    <b:Issue>33</b:Issue>
    <b:RefOrder>2</b:RefOrder>
  </b:Source>
  <b:Source>
    <b:Tag>Goo94</b:Tag>
    <b:SourceType>JournalArticle</b:SourceType>
    <b:Guid>{C9E6D676-AB8C-4F1B-A9AC-19497D53AE8F}</b:Guid>
    <b:Title>Moral Panics: Culture, Politics, and Social Construction</b:Title>
    <b:Year>1994</b:Year>
    <b:Author>
      <b:Author>
        <b:NameList>
          <b:Person>
            <b:Last>Goode</b:Last>
            <b:First>E.</b:First>
          </b:Person>
          <b:Person>
            <b:Last>Yehuda</b:Last>
            <b:First>N.</b:First>
            <b:Middle>Ben-</b:Middle>
          </b:Person>
        </b:NameList>
      </b:Author>
    </b:Author>
    <b:JournalName>Annual Review of Sociology</b:JournalName>
    <b:Pages>149-171</b:Pages>
    <b:Volume>20</b:Volume>
    <b:RefOrder>1</b:RefOrder>
  </b:Source>
  <b:Source>
    <b:Tag>Rui091</b:Tag>
    <b:SourceType>JournalArticle</b:SourceType>
    <b:Guid>{CFBEB175-E90B-4316-B314-F3B2C138AE8B}</b:Guid>
    <b:Author>
      <b:Author>
        <b:NameList>
          <b:Person>
            <b:Last>Ruiz Vieytez</b:Last>
            <b:First>Eduardo</b:First>
          </b:Person>
        </b:NameList>
      </b:Author>
    </b:Author>
    <b:Title>Crítica del acomodo razonable como instrumento jurídico del multiculturalismo</b:Title>
    <b:JournalName>Cuadernos electrónicos de filosofía del derecho</b:JournalName>
    <b:Year>2009</b:Year>
    <b:Pages>1-22</b:Pages>
    <b:Issue>18</b:Issue>
    <b:RefOrder>12</b:RefOrder>
  </b:Source>
  <b:Source>
    <b:Tag>Eló0a</b:Tag>
    <b:SourceType>JournalArticle</b:SourceType>
    <b:Guid>{A7EC874F-34E2-42CA-8786-7F7AF139D8CE}</b:Guid>
    <b:Author>
      <b:Author>
        <b:NameList>
          <b:Person>
            <b:Last>Elósegui Itxaso</b:Last>
            <b:First>María</b:First>
          </b:Person>
        </b:NameList>
      </b:Author>
    </b:Author>
    <b:Title>El modelo de interculturalidad en el informe de la Comisión Bouchard-Taylor para Québec</b:Title>
    <b:JournalName>Anuario de Derechos Humanos. Nueva Época</b:JournalName>
    <b:Year>2010a</b:Year>
    <b:Pages>129-164</b:Pages>
    <b:Volume>11</b:Volume>
    <b:RefOrder>6</b:RefOrder>
  </b:Source>
  <b:Source>
    <b:Tag>Wen15</b:Tag>
    <b:SourceType>JournalArticle</b:SourceType>
    <b:Guid>{D829F63A-540C-4AD6-9262-6FF315BB1368}</b:Guid>
    <b:Author>
      <b:Author>
        <b:NameList>
          <b:Person>
            <b:Last>Wences</b:Last>
            <b:First>Isabel</b:First>
          </b:Person>
        </b:NameList>
      </b:Author>
    </b:Author>
    <b:Title>Diversidad cultural y acomodos razonables. Una lectura desde la no dominación</b:Title>
    <b:JournalName>Foro Interno</b:JournalName>
    <b:Year>2015</b:Year>
    <b:Pages>39-67</b:Pages>
    <b:Issue>15</b:Issue>
    <b:RefOrder>4</b:RefOrder>
  </b:Source>
  <b:Source>
    <b:Tag>Bou10</b:Tag>
    <b:SourceType>Report</b:SourceType>
    <b:Guid>{C4D331F4-EC0F-479E-BCA2-70E2D5C825E8}</b:Guid>
    <b:Author>
      <b:Author>
        <b:NameList>
          <b:Person>
            <b:Last>Bouchard</b:Last>
            <b:First>Gérard</b:First>
          </b:Person>
          <b:Person>
            <b:Last>Taylor</b:Last>
            <b:First>Charles</b:First>
          </b:Person>
        </b:NameList>
      </b:Author>
    </b:Author>
    <b:Title>Construir el futuro. El tiempo de la reconciliación</b:Title>
    <b:Year>2010</b:Year>
    <b:City>Zarautz</b:City>
    <b:Publisher>Ikuspegi. Observatorio Vasco de Inmigración</b:Publisher>
    <b:RefOrder>5</b:RefOrder>
  </b:Source>
  <b:Source>
    <b:Tag>Eló12</b:Tag>
    <b:SourceType>BookSection</b:SourceType>
    <b:Guid>{CB624BF1-2130-4889-825C-325BAFBD3DAD}</b:Guid>
    <b:Author>
      <b:Author>
        <b:NameList>
          <b:Person>
            <b:Last>Elósegui Itxaso</b:Last>
            <b:First>María</b:First>
          </b:Person>
        </b:NameList>
      </b:Author>
      <b:Editor>
        <b:NameList>
          <b:Person>
            <b:Last>Elósegui Itxaso</b:Last>
            <b:First>María</b:First>
          </b:Person>
        </b:NameList>
      </b:Editor>
    </b:Author>
    <b:Title>La laicidad abierta en Charles Taylor y J. Maclure versus las nuevas leyes de neutralidd de los funcionarios públicos en Alemania</b:Title>
    <b:Year>2012</b:Year>
    <b:Pages>109-146</b:Pages>
    <b:BookTitle>La neutralidad del Estado y el papel de la religión en la esfera pública en Alemania</b:BookTitle>
    <b:City>Zaragoza</b:City>
    <b:Publisher>Fundación Manuel Giménez Abad de Estudios Parlamentarios y del Estado Autonómico</b:Publisher>
    <b:RefOrder>9</b:RefOrder>
  </b:Source>
  <b:Source>
    <b:Tag>Mac11</b:Tag>
    <b:SourceType>Book</b:SourceType>
    <b:Guid>{2A67E837-ED03-4B20-8167-1D30233B598A}</b:Guid>
    <b:Title>Laicidad y libertad de conciencia</b:Title>
    <b:Year>2011</b:Year>
    <b:City>Madrid</b:City>
    <b:Publisher>Alianza</b:Publisher>
    <b:Author>
      <b:Author>
        <b:NameList>
          <b:Person>
            <b:Last>Maclure</b:Last>
            <b:First>Jocelyn</b:First>
          </b:Person>
          <b:Person>
            <b:Last>Taylor</b:Last>
            <b:First>Charles</b:First>
          </b:Person>
        </b:NameList>
      </b:Author>
    </b:Author>
    <b:RefOrder>8</b:RefOrder>
  </b:Source>
  <b:Source>
    <b:Tag>Sau09</b:Tag>
    <b:SourceType>JournalArticle</b:SourceType>
    <b:Guid>{F6403F80-0FE4-4CA9-8B0F-9CD6D45358BE}</b:Guid>
    <b:Title>Participación ciudadana y diversidad cultural: la Comisión Bouchard-Taylor</b:Title>
    <b:Year>2009</b:Year>
    <b:Author>
      <b:Author>
        <b:NameList>
          <b:Person>
            <b:Last>Sauca</b:Last>
            <b:First>José</b:First>
            <b:Middle>María</b:Middle>
          </b:Person>
          <b:Person>
            <b:Last>Wences</b:Last>
            <b:First>Isabel</b:First>
          </b:Person>
        </b:NameList>
      </b:Author>
    </b:Author>
    <b:JournalName>Andamios</b:JournalName>
    <b:Pages>9-37</b:Pages>
    <b:Volume>5</b:Volume>
    <b:Issue>10</b:Issue>
    <b:RefOrder>13</b:RefOrder>
  </b:Source>
  <b:Source>
    <b:Tag>Bos13</b:Tag>
    <b:SourceType>JournalArticle</b:SourceType>
    <b:Guid>{5202A0A2-E71E-4DCE-B49A-469E2F172A4B}</b:Guid>
    <b:Author>
      <b:Author>
        <b:NameList>
          <b:Person>
            <b:Last>Bosset</b:Last>
            <b:First>Pierre</b:First>
          </b:Person>
        </b:NameList>
      </b:Author>
    </b:Author>
    <b:Title>Réflexions d’un juriste sur l’idée d’interdire le port de signes religieux aux agents de l’État</b:Title>
    <b:JournalName>Vivre ensemble</b:JournalName>
    <b:Year>2013</b:Year>
    <b:Pages>1-9</b:Pages>
    <b:Volume>20</b:Volume>
    <b:Issue>70</b:Issue>
    <b:RefOrder>14</b:RefOrder>
  </b:Source>
  <b:Source>
    <b:Tag>Mac131</b:Tag>
    <b:SourceType>JournalArticle</b:SourceType>
    <b:Guid>{6FA84985-B28C-4F8C-BFC6-B18323438FEE}</b:Guid>
    <b:Author>
      <b:Author>
        <b:NameList>
          <b:Person>
            <b:Last>Maclure</b:Last>
            <b:First>Jocelyn</b:First>
          </b:Person>
        </b:NameList>
      </b:Author>
    </b:Author>
    <b:Title>Political Secularism: A Sketch</b:Title>
    <b:JournalName>The Public Management of Religion: From State Building to New Forms of Minorities. From State Building to New Forms of Minorities’ Mobilization, RECODE Working Papers</b:JournalName>
    <b:Year>2013</b:Year>
    <b:Pages>1-9</b:Pages>
    <b:Volume>16</b:Volume>
    <b:RefOrder>15</b:RefOrder>
  </b:Source>
  <b:Source>
    <b:Tag>Mac16</b:Tag>
    <b:SourceType>BookSection</b:SourceType>
    <b:Guid>{77205FDF-E447-4503-9A59-E866D605EB5E}</b:Guid>
    <b:Title>The Meaning and Entailment of the Religious Neutrality of the State: The Case of Public Employees</b:Title>
    <b:Year>2016</b:Year>
    <b:Pages>11-21</b:Pages>
    <b:Author>
      <b:Author>
        <b:NameList>
          <b:Person>
            <b:Last>Maclure</b:Last>
            <b:First>Jocelyn</b:First>
          </b:Person>
        </b:NameList>
      </b:Author>
      <b:Editor>
        <b:NameList>
          <b:Person>
            <b:Last>Berger</b:Last>
            <b:First>Benjamin</b:First>
            <b:Middle>L.</b:Middle>
          </b:Person>
          <b:Person>
            <b:Last>Moon</b:Last>
            <b:First>Richard</b:First>
          </b:Person>
        </b:NameList>
      </b:Editor>
    </b:Author>
    <b:BookTitle>Religion and the Exercise of Public Authority</b:BookTitle>
    <b:City>Oxford, Portland</b:City>
    <b:Publisher>Bloomsbury Publishing</b:Publisher>
    <b:RefOrder>10</b:RefOrder>
  </b:Source>
  <b:Source>
    <b:Tag>Hol11</b:Tag>
    <b:SourceType>JournalArticle</b:SourceType>
    <b:Guid>{3DFF54BF-9453-4A80-A97C-8D7BA57B8E9E}</b:Guid>
    <b:Title>Nationalism, Secularism and Liberal Neutrality: The Danish Case of Judges and Religious Symbols</b:Title>
    <b:Year>2011</b:Year>
    <b:Pages>107-125</b:Pages>
    <b:Author>
      <b:Author>
        <b:NameList>
          <b:Person>
            <b:Last>Holtug</b:Last>
            <b:First>Nils</b:First>
          </b:Person>
        </b:NameList>
      </b:Author>
    </b:Author>
    <b:JournalName>Les ateliers de l'éthique / The Ethics Forum. Centre de recherche en éthique de l’Université de Montréal</b:JournalName>
    <b:Volume>6</b:Volume>
    <b:Issue>2</b:Issue>
    <b:RefOrder>11</b:RefOrder>
  </b:Source>
</b:Sources>
</file>

<file path=customXml/itemProps1.xml><?xml version="1.0" encoding="utf-8"?>
<ds:datastoreItem xmlns:ds="http://schemas.openxmlformats.org/officeDocument/2006/customXml" ds:itemID="{9F7FD9FE-CDBA-43A2-8D06-C67561F81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3069</TotalTime>
  <Pages>25</Pages>
  <Words>8860</Words>
  <Characters>48733</Characters>
  <Application>Microsoft Office Word</Application>
  <DocSecurity>0</DocSecurity>
  <Lines>406</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Backenköhler</dc:creator>
  <cp:keywords/>
  <dc:description/>
  <cp:lastModifiedBy>Christian Backenköhler</cp:lastModifiedBy>
  <cp:revision>332</cp:revision>
  <cp:lastPrinted>2017-06-30T01:46:00Z</cp:lastPrinted>
  <dcterms:created xsi:type="dcterms:W3CDTF">2017-06-11T15:45:00Z</dcterms:created>
  <dcterms:modified xsi:type="dcterms:W3CDTF">2017-07-05T17:35:00Z</dcterms:modified>
</cp:coreProperties>
</file>