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0AD0B5" w14:textId="77777777" w:rsidR="00530EF3" w:rsidRPr="00F600BE" w:rsidRDefault="00530EF3" w:rsidP="00C45DE6">
      <w:pPr>
        <w:spacing w:after="0" w:line="240" w:lineRule="auto"/>
        <w:jc w:val="center"/>
        <w:rPr>
          <w:rFonts w:ascii="Times New Roman" w:hAnsi="Times New Roman"/>
          <w:sz w:val="32"/>
          <w:szCs w:val="32"/>
        </w:rPr>
      </w:pPr>
      <w:bookmarkStart w:id="0" w:name="_GoBack"/>
      <w:r w:rsidRPr="00F600BE">
        <w:rPr>
          <w:rFonts w:ascii="Times New Roman" w:hAnsi="Times New Roman"/>
          <w:sz w:val="32"/>
          <w:szCs w:val="32"/>
        </w:rPr>
        <w:t>Between Justice and Politics.</w:t>
      </w:r>
    </w:p>
    <w:p w14:paraId="21F56D59" w14:textId="21BB2101" w:rsidR="00530EF3" w:rsidRPr="00F600BE" w:rsidRDefault="001C627A" w:rsidP="00C45DE6">
      <w:pPr>
        <w:spacing w:after="0" w:line="240" w:lineRule="auto"/>
        <w:jc w:val="center"/>
        <w:rPr>
          <w:rFonts w:ascii="Times New Roman" w:hAnsi="Times New Roman"/>
          <w:sz w:val="32"/>
          <w:szCs w:val="32"/>
        </w:rPr>
      </w:pPr>
      <w:r>
        <w:rPr>
          <w:rFonts w:ascii="Times New Roman" w:hAnsi="Times New Roman"/>
          <w:sz w:val="32"/>
          <w:szCs w:val="32"/>
        </w:rPr>
        <w:t xml:space="preserve"> The R</w:t>
      </w:r>
      <w:r w:rsidR="00530EF3" w:rsidRPr="00F600BE">
        <w:rPr>
          <w:rFonts w:ascii="Times New Roman" w:hAnsi="Times New Roman"/>
          <w:sz w:val="32"/>
          <w:szCs w:val="32"/>
        </w:rPr>
        <w:t xml:space="preserve">ole of the Spanish Constitutional Court in </w:t>
      </w:r>
    </w:p>
    <w:p w14:paraId="5F70AEA5" w14:textId="77777777" w:rsidR="00530EF3" w:rsidRPr="00F600BE" w:rsidRDefault="00530EF3" w:rsidP="00C45DE6">
      <w:pPr>
        <w:spacing w:after="0" w:line="240" w:lineRule="auto"/>
        <w:jc w:val="center"/>
        <w:rPr>
          <w:rFonts w:ascii="Times New Roman" w:hAnsi="Times New Roman"/>
          <w:sz w:val="32"/>
          <w:szCs w:val="32"/>
        </w:rPr>
      </w:pPr>
      <w:r w:rsidRPr="00F600BE">
        <w:rPr>
          <w:rFonts w:ascii="Times New Roman" w:hAnsi="Times New Roman"/>
          <w:sz w:val="32"/>
          <w:szCs w:val="32"/>
        </w:rPr>
        <w:t>the State of Autonomies (1980–2014)</w:t>
      </w:r>
    </w:p>
    <w:p w14:paraId="00E8DC71" w14:textId="77777777" w:rsidR="00530EF3" w:rsidRPr="00F600BE" w:rsidRDefault="00530EF3" w:rsidP="00C45DE6">
      <w:pPr>
        <w:spacing w:after="0" w:line="240" w:lineRule="auto"/>
        <w:jc w:val="center"/>
        <w:rPr>
          <w:rFonts w:ascii="Times New Roman" w:hAnsi="Times New Roman"/>
          <w:sz w:val="32"/>
          <w:szCs w:val="32"/>
        </w:rPr>
      </w:pPr>
    </w:p>
    <w:p w14:paraId="005D8F21" w14:textId="77777777" w:rsidR="00530EF3" w:rsidRPr="00F600BE" w:rsidRDefault="00530EF3" w:rsidP="00C45DE6">
      <w:pPr>
        <w:spacing w:after="0" w:line="240" w:lineRule="auto"/>
        <w:jc w:val="both"/>
        <w:rPr>
          <w:rFonts w:ascii="Times New Roman" w:hAnsi="Times New Roman"/>
          <w:b/>
          <w:sz w:val="20"/>
          <w:szCs w:val="20"/>
        </w:rPr>
      </w:pPr>
      <w:r w:rsidRPr="00F600BE">
        <w:rPr>
          <w:rFonts w:ascii="Times New Roman" w:hAnsi="Times New Roman"/>
          <w:b/>
          <w:sz w:val="20"/>
          <w:szCs w:val="20"/>
        </w:rPr>
        <w:t>Abstract</w:t>
      </w:r>
    </w:p>
    <w:p w14:paraId="2048A1AF" w14:textId="77777777" w:rsidR="00530EF3" w:rsidRPr="00F600BE" w:rsidRDefault="00530EF3" w:rsidP="00C45DE6">
      <w:pPr>
        <w:spacing w:after="0" w:line="240" w:lineRule="auto"/>
        <w:jc w:val="both"/>
        <w:rPr>
          <w:rFonts w:ascii="Times New Roman" w:hAnsi="Times New Roman"/>
          <w:sz w:val="20"/>
          <w:szCs w:val="20"/>
        </w:rPr>
      </w:pPr>
    </w:p>
    <w:p w14:paraId="1D6F7A7F" w14:textId="50B903DD" w:rsidR="00530EF3" w:rsidRPr="00F600BE" w:rsidRDefault="00530EF3" w:rsidP="00C45DE6">
      <w:pPr>
        <w:spacing w:after="0" w:line="240" w:lineRule="auto"/>
        <w:jc w:val="both"/>
        <w:rPr>
          <w:rFonts w:ascii="Times New Roman" w:hAnsi="Times New Roman"/>
          <w:sz w:val="20"/>
          <w:szCs w:val="20"/>
        </w:rPr>
      </w:pPr>
      <w:r w:rsidRPr="00F600BE">
        <w:rPr>
          <w:rFonts w:ascii="Times New Roman" w:hAnsi="Times New Roman"/>
          <w:sz w:val="20"/>
          <w:szCs w:val="20"/>
        </w:rPr>
        <w:t>This study focuses on the role of the Spanish Constitutional Court in the state of autonomies from 1980 to 2014. Firstly, it demonstrates that the Court profoundly shaped the contours of the devolutio</w:t>
      </w:r>
      <w:r w:rsidR="00BF2A28">
        <w:rPr>
          <w:rFonts w:ascii="Times New Roman" w:hAnsi="Times New Roman"/>
          <w:sz w:val="20"/>
          <w:szCs w:val="20"/>
        </w:rPr>
        <w:t>n process through a dynamic of judicialization</w:t>
      </w:r>
      <w:r w:rsidRPr="00F600BE">
        <w:rPr>
          <w:rFonts w:ascii="Times New Roman" w:hAnsi="Times New Roman"/>
          <w:sz w:val="20"/>
          <w:szCs w:val="20"/>
        </w:rPr>
        <w:t>. Secondly, this research analyses the politicisation process of constitutional justice by territorial actors. This dynamic led to the quasi-paralysation of the Constitutional Court from 2008 to 2012 through</w:t>
      </w:r>
      <w:r w:rsidR="00426F50">
        <w:rPr>
          <w:rFonts w:ascii="Times New Roman" w:hAnsi="Times New Roman"/>
          <w:sz w:val="20"/>
          <w:szCs w:val="20"/>
        </w:rPr>
        <w:t xml:space="preserve"> the ruling of the </w:t>
      </w:r>
      <w:r w:rsidRPr="00F600BE">
        <w:rPr>
          <w:rFonts w:ascii="Times New Roman" w:hAnsi="Times New Roman"/>
          <w:sz w:val="20"/>
          <w:szCs w:val="20"/>
        </w:rPr>
        <w:t>reform of the Catalan statute. This article concludes the Cour</w:t>
      </w:r>
      <w:r w:rsidR="00BF2A28">
        <w:rPr>
          <w:rFonts w:ascii="Times New Roman" w:hAnsi="Times New Roman"/>
          <w:sz w:val="20"/>
          <w:szCs w:val="20"/>
        </w:rPr>
        <w:t>t can be best interpreted as a “trustee”</w:t>
      </w:r>
      <w:r w:rsidRPr="006E2A10">
        <w:t xml:space="preserve"> </w:t>
      </w:r>
      <w:r w:rsidRPr="00F600BE">
        <w:rPr>
          <w:rFonts w:ascii="Times New Roman" w:hAnsi="Times New Roman"/>
          <w:sz w:val="20"/>
          <w:szCs w:val="20"/>
        </w:rPr>
        <w:t xml:space="preserve">aspiring to remain an independent arbiter within a framework lacking alternative fora for regulating intergovernmental relations. </w:t>
      </w:r>
    </w:p>
    <w:p w14:paraId="222A1321" w14:textId="77777777" w:rsidR="00C32396" w:rsidRDefault="00C32396" w:rsidP="00C45DE6">
      <w:pPr>
        <w:spacing w:line="240" w:lineRule="auto"/>
        <w:rPr>
          <w:rFonts w:ascii="Times New Roman" w:hAnsi="Times New Roman"/>
          <w:b/>
          <w:sz w:val="24"/>
          <w:szCs w:val="24"/>
        </w:rPr>
      </w:pPr>
    </w:p>
    <w:p w14:paraId="58BB25E3" w14:textId="0A52B658" w:rsidR="00530EF3" w:rsidRPr="00F600BE" w:rsidRDefault="00530EF3" w:rsidP="00C45DE6">
      <w:pPr>
        <w:spacing w:line="240" w:lineRule="auto"/>
        <w:rPr>
          <w:rFonts w:ascii="Times New Roman" w:hAnsi="Times New Roman"/>
          <w:b/>
          <w:sz w:val="24"/>
          <w:szCs w:val="24"/>
        </w:rPr>
      </w:pPr>
      <w:r w:rsidRPr="00F600BE">
        <w:rPr>
          <w:rFonts w:ascii="Times New Roman" w:hAnsi="Times New Roman"/>
          <w:b/>
          <w:sz w:val="24"/>
          <w:szCs w:val="24"/>
        </w:rPr>
        <w:br w:type="page"/>
      </w:r>
    </w:p>
    <w:p w14:paraId="1EA967CF" w14:textId="77777777" w:rsidR="00530EF3" w:rsidRPr="001C627A" w:rsidRDefault="00530EF3" w:rsidP="00C45DE6">
      <w:pPr>
        <w:spacing w:after="0" w:line="240" w:lineRule="auto"/>
        <w:jc w:val="center"/>
        <w:rPr>
          <w:rFonts w:ascii="Times New Roman" w:hAnsi="Times New Roman"/>
          <w:caps/>
          <w:sz w:val="24"/>
          <w:szCs w:val="24"/>
        </w:rPr>
      </w:pPr>
      <w:r w:rsidRPr="001C627A">
        <w:rPr>
          <w:rFonts w:ascii="Times New Roman" w:hAnsi="Times New Roman"/>
          <w:caps/>
          <w:sz w:val="24"/>
          <w:szCs w:val="24"/>
        </w:rPr>
        <w:lastRenderedPageBreak/>
        <w:t>Introduction</w:t>
      </w:r>
    </w:p>
    <w:p w14:paraId="64002AB7" w14:textId="77777777" w:rsidR="00530EF3" w:rsidRPr="00F600BE" w:rsidRDefault="00530EF3" w:rsidP="00C45DE6">
      <w:pPr>
        <w:spacing w:after="0" w:line="240" w:lineRule="auto"/>
        <w:jc w:val="both"/>
        <w:rPr>
          <w:rFonts w:ascii="Times New Roman" w:hAnsi="Times New Roman"/>
          <w:sz w:val="24"/>
          <w:szCs w:val="24"/>
        </w:rPr>
      </w:pPr>
    </w:p>
    <w:p w14:paraId="7573A95C" w14:textId="77777777" w:rsidR="00530EF3" w:rsidRPr="00F600BE" w:rsidRDefault="00530EF3" w:rsidP="00C45DE6">
      <w:pPr>
        <w:spacing w:after="0" w:line="240" w:lineRule="auto"/>
        <w:jc w:val="both"/>
        <w:rPr>
          <w:rFonts w:ascii="Times New Roman" w:hAnsi="Times New Roman"/>
          <w:sz w:val="24"/>
          <w:szCs w:val="24"/>
        </w:rPr>
      </w:pPr>
      <w:r w:rsidRPr="00F600BE">
        <w:rPr>
          <w:rFonts w:ascii="Times New Roman" w:hAnsi="Times New Roman"/>
          <w:sz w:val="24"/>
          <w:szCs w:val="24"/>
        </w:rPr>
        <w:t>In recent years, the decisions adopted by the Spanish Constitutional Court (</w:t>
      </w:r>
      <w:r w:rsidRPr="00F600BE">
        <w:rPr>
          <w:rFonts w:ascii="Times New Roman" w:hAnsi="Times New Roman"/>
          <w:i/>
          <w:sz w:val="24"/>
          <w:szCs w:val="24"/>
        </w:rPr>
        <w:t>Tribunal Constitucional</w:t>
      </w:r>
      <w:r w:rsidRPr="00F600BE">
        <w:rPr>
          <w:rFonts w:ascii="Times New Roman" w:hAnsi="Times New Roman"/>
          <w:sz w:val="24"/>
          <w:szCs w:val="24"/>
        </w:rPr>
        <w:t xml:space="preserve">) in the field of centre-periphery relations have provoked significant popular reactions – especially in Catalonia. For instance, on 9 July 2010, thousands of people demonstrated in Barcelona against </w:t>
      </w:r>
      <w:r w:rsidR="00426F50">
        <w:rPr>
          <w:rFonts w:ascii="Times New Roman" w:hAnsi="Times New Roman"/>
          <w:sz w:val="24"/>
          <w:szCs w:val="24"/>
        </w:rPr>
        <w:t>the ruling of</w:t>
      </w:r>
      <w:r w:rsidRPr="00F600BE">
        <w:rPr>
          <w:rFonts w:ascii="Times New Roman" w:hAnsi="Times New Roman"/>
          <w:sz w:val="24"/>
          <w:szCs w:val="24"/>
        </w:rPr>
        <w:t xml:space="preserve"> the Court concerning the new statute of Catalonia (Lázaro 2010). Later, on 11 September 2014, protesters campaigned against the </w:t>
      </w:r>
      <w:r w:rsidR="00426F50">
        <w:rPr>
          <w:rFonts w:ascii="Times New Roman" w:hAnsi="Times New Roman"/>
          <w:sz w:val="24"/>
          <w:szCs w:val="24"/>
        </w:rPr>
        <w:t>verdict</w:t>
      </w:r>
      <w:r w:rsidRPr="00F600BE">
        <w:rPr>
          <w:rFonts w:ascii="Times New Roman" w:hAnsi="Times New Roman"/>
          <w:sz w:val="24"/>
          <w:szCs w:val="24"/>
        </w:rPr>
        <w:t xml:space="preserve"> of the </w:t>
      </w:r>
      <w:r w:rsidRPr="00F600BE">
        <w:rPr>
          <w:rFonts w:ascii="Times New Roman" w:hAnsi="Times New Roman"/>
          <w:i/>
          <w:sz w:val="24"/>
          <w:szCs w:val="24"/>
        </w:rPr>
        <w:t xml:space="preserve">Tribunal </w:t>
      </w:r>
      <w:r w:rsidRPr="00F600BE">
        <w:rPr>
          <w:rFonts w:ascii="Times New Roman" w:hAnsi="Times New Roman"/>
          <w:sz w:val="24"/>
          <w:szCs w:val="24"/>
        </w:rPr>
        <w:t xml:space="preserve">adopted on 14 March 2014 restricting the right to organise a referendum of independence in Catalonia (Maiol 2014). </w:t>
      </w:r>
    </w:p>
    <w:p w14:paraId="71352A6D" w14:textId="2189A1A1"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Those massive rallies demonstrated that the Constitutional Court was a central actor in the territorial politics in Spain. But they also indicated that a significant part of the Catalan population considered the Court to be an institution driven by political interests that favour centralism.</w:t>
      </w:r>
      <w:r w:rsidRPr="00F600BE">
        <w:t xml:space="preserve"> </w:t>
      </w:r>
      <w:r w:rsidRPr="00F600BE">
        <w:rPr>
          <w:rFonts w:ascii="Times New Roman" w:hAnsi="Times New Roman"/>
          <w:sz w:val="24"/>
          <w:szCs w:val="24"/>
        </w:rPr>
        <w:t>Consequently, those two readings seem to contradict the official vision of the Court as an impartial guardian of the Constitution.</w:t>
      </w:r>
      <w:r w:rsidR="00426F50">
        <w:rPr>
          <w:rFonts w:ascii="Times New Roman" w:hAnsi="Times New Roman"/>
          <w:sz w:val="24"/>
          <w:szCs w:val="24"/>
        </w:rPr>
        <w:t xml:space="preserve"> This situation raises the question of what the current role of the Constitutional Court is with</w:t>
      </w:r>
      <w:r w:rsidR="00BF2A28">
        <w:rPr>
          <w:rFonts w:ascii="Times New Roman" w:hAnsi="Times New Roman"/>
          <w:sz w:val="24"/>
          <w:szCs w:val="24"/>
        </w:rPr>
        <w:t xml:space="preserve"> respect to the Spanish “state of autonomies”</w:t>
      </w:r>
      <w:r w:rsidR="00426F50">
        <w:rPr>
          <w:rFonts w:ascii="Times New Roman" w:hAnsi="Times New Roman"/>
          <w:sz w:val="24"/>
          <w:szCs w:val="24"/>
        </w:rPr>
        <w:t>. In order to address this question,</w:t>
      </w:r>
      <w:r w:rsidRPr="00F600BE">
        <w:rPr>
          <w:rFonts w:ascii="Times New Roman" w:hAnsi="Times New Roman"/>
          <w:sz w:val="24"/>
          <w:szCs w:val="24"/>
        </w:rPr>
        <w:t xml:space="preserve"> this article focuses on the two constitutive dimensions of the Court’s role (Ferejohn 2002). On the one hand, the Court can be considered as a policy-shaper of the laws adopted by the executive and the legislature in the field of territorial governance; this evolution is part of a process of judicialisation of territorial politics. On the other hand, the role of the Court must be understood in the broader context of the political pressures exerted by territorial actors on magistrates, that is, the dynamic of the politicisation of constitutional justice. </w:t>
      </w:r>
    </w:p>
    <w:p w14:paraId="1FA9891E" w14:textId="23AF3C79"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The study of constitutional courts in federal and decentralised countries constitutes a consolidated strand in the literature on comparative federalism. This issue has been explored extensively in Germany through the study of the Federal Constitutional Court (Benz 2017), in Australia with the High Court (</w:t>
      </w:r>
      <w:r w:rsidR="007D3B83">
        <w:rPr>
          <w:rFonts w:ascii="Times New Roman" w:hAnsi="Times New Roman"/>
          <w:sz w:val="24"/>
          <w:szCs w:val="24"/>
        </w:rPr>
        <w:t xml:space="preserve">Selway </w:t>
      </w:r>
      <w:r w:rsidR="00BF2A28">
        <w:rPr>
          <w:rFonts w:ascii="Times New Roman" w:hAnsi="Times New Roman"/>
          <w:sz w:val="24"/>
          <w:szCs w:val="24"/>
        </w:rPr>
        <w:t>and</w:t>
      </w:r>
      <w:r w:rsidR="007D3B83">
        <w:rPr>
          <w:rFonts w:ascii="Times New Roman" w:hAnsi="Times New Roman"/>
          <w:sz w:val="24"/>
          <w:szCs w:val="24"/>
        </w:rPr>
        <w:t xml:space="preserve"> Williams 2005</w:t>
      </w:r>
      <w:r w:rsidR="007F5F91">
        <w:rPr>
          <w:rFonts w:ascii="Times New Roman" w:hAnsi="Times New Roman"/>
          <w:sz w:val="24"/>
          <w:szCs w:val="24"/>
        </w:rPr>
        <w:t>) and in Canada (Schertzer 2013</w:t>
      </w:r>
      <w:r w:rsidRPr="00F600BE">
        <w:rPr>
          <w:rFonts w:ascii="Times New Roman" w:hAnsi="Times New Roman"/>
          <w:sz w:val="24"/>
          <w:szCs w:val="24"/>
        </w:rPr>
        <w:t xml:space="preserve">) and the United States with their respective supreme courts (Banks </w:t>
      </w:r>
      <w:r w:rsidR="00BF2A28">
        <w:rPr>
          <w:rFonts w:ascii="Times New Roman" w:hAnsi="Times New Roman"/>
          <w:sz w:val="24"/>
          <w:szCs w:val="24"/>
        </w:rPr>
        <w:t>and</w:t>
      </w:r>
      <w:r w:rsidRPr="00F600BE">
        <w:rPr>
          <w:rFonts w:ascii="Times New Roman" w:hAnsi="Times New Roman"/>
          <w:sz w:val="24"/>
          <w:szCs w:val="24"/>
        </w:rPr>
        <w:t xml:space="preserve"> Blakeman 2012). In Spain, the nexus between the Constitutional Court and territorial politics has caught the attention of public law specialists since its creation (García de Enterría 1982; Alonso García 1984; </w:t>
      </w:r>
      <w:r w:rsidR="00DF3945" w:rsidRPr="00DF3945">
        <w:rPr>
          <w:rFonts w:ascii="Times New Roman" w:hAnsi="Times New Roman"/>
          <w:sz w:val="24"/>
          <w:szCs w:val="24"/>
        </w:rPr>
        <w:t>Borrajo Iniesta</w:t>
      </w:r>
      <w:r w:rsidR="00DF3945">
        <w:rPr>
          <w:rFonts w:ascii="Times New Roman" w:hAnsi="Times New Roman"/>
          <w:sz w:val="24"/>
          <w:szCs w:val="24"/>
        </w:rPr>
        <w:t xml:space="preserve"> </w:t>
      </w:r>
      <w:r w:rsidR="00DF3945" w:rsidRPr="00DF3945">
        <w:rPr>
          <w:rFonts w:ascii="Times New Roman" w:hAnsi="Times New Roman"/>
          <w:sz w:val="24"/>
          <w:szCs w:val="24"/>
        </w:rPr>
        <w:t>2004</w:t>
      </w:r>
      <w:r w:rsidRPr="00F600BE">
        <w:rPr>
          <w:rFonts w:ascii="Times New Roman" w:hAnsi="Times New Roman"/>
          <w:sz w:val="24"/>
          <w:szCs w:val="24"/>
        </w:rPr>
        <w:t xml:space="preserve">), but it has been relatively ignored by political scientists. </w:t>
      </w:r>
    </w:p>
    <w:p w14:paraId="45FDFE91" w14:textId="77777777"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 xml:space="preserve">This literature gap has been partially filled by a set of recent studies. On the one hand, some authors have focused on the drivers of the intergovernmental litigations handled by the Court. Sala (2010, 2014) demonstrated that regional and central governments modified their strategy of litigation according to the composition of the Court or their past successes in a given policy area. Sala concluded that the central government was favoured by the rulings of the constitutional judges when it tackled an area where it had won in the past, and when the justices were known for their lack of regional sensibility (Sala 2011). From a more institutionalist perspective, Rodríguez, Harguindéguy and Sánchez (2017) have shown the importance of parliamentarian equilibriums for explaining the rise of intergovernmental conflicts before the Constitutional Court. </w:t>
      </w:r>
    </w:p>
    <w:p w14:paraId="3C1BE322" w14:textId="77777777"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On the other hand, some scholars have attempted to identify the variables explaining the Court’s decisions on a series of issues since the late 1980s (del Castillo 1987). Drawing on agency theory, Garoupa,</w:t>
      </w:r>
      <w:r w:rsidRPr="00F600BE">
        <w:t xml:space="preserve"> </w:t>
      </w:r>
      <w:r w:rsidRPr="00F600BE">
        <w:rPr>
          <w:rFonts w:ascii="Times New Roman" w:hAnsi="Times New Roman"/>
          <w:sz w:val="24"/>
          <w:szCs w:val="24"/>
        </w:rPr>
        <w:t xml:space="preserve">Gómez and Grembi (2013) argued that the Court’s preferences could neither be framed as the pure application of the law, nor as the simple result of pressures exerted by political parties on the justices. Other elements like peer pressure, the search for consensus, and the aim to increase the legitimacy of the Court mattered in the decision-making process. In the same vein, López Laborda, Rodrigo and Sanz Arcega (2016) aimed to identify the drivers of the Constitutional Court’s decisions on conflicts of competence opposing the Spanish central government and the autonomous </w:t>
      </w:r>
      <w:r w:rsidRPr="00F600BE">
        <w:rPr>
          <w:rFonts w:ascii="Times New Roman" w:hAnsi="Times New Roman"/>
          <w:sz w:val="24"/>
          <w:szCs w:val="24"/>
        </w:rPr>
        <w:lastRenderedPageBreak/>
        <w:t xml:space="preserve">communities. They concluded that the Spanish Constitutional Court was not a simple instrument used by the central government against the Spanish regions. </w:t>
      </w:r>
    </w:p>
    <w:p w14:paraId="14E55CC1" w14:textId="77777777"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 xml:space="preserve">All these studies have helped to shed light on the evolution of constitutional justice in the field of territorial governance in Spain, but they also had some limitations. From a methodological viewpoint, the quantitative treatment of centre-periphery litigations says little about the importance of some of them. For instance, the conflict over the 2006 regional statute of Catalonia was far more relevant for territorial governance than the 2016 controversy concerning the competence over bullfighting shows. Consequently, a more qualitative and fine-grained view is needed for understanding the ambivalent role of the Court within the state of autonomies, and its importance in the Spanish devolution process. </w:t>
      </w:r>
    </w:p>
    <w:p w14:paraId="3E2423F1" w14:textId="1B0F60BA"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In order to provide such a perspective, this study was conducted from March 2015 to June 2016. Firstly, it consisted in collecting the academic publications and official reports dealing with the Constitutional Court in order to elaborate descriptive statistics about the main trends of constitutional justice in Spain from 1980 to 2014. Then, a series of 30 interviews were undertaken with civil servants (constitutional judges and members of the Ministry of Finance and Public Administration</w:t>
      </w:r>
      <w:r w:rsidR="00D001DE">
        <w:rPr>
          <w:rFonts w:ascii="Times New Roman" w:hAnsi="Times New Roman"/>
          <w:sz w:val="24"/>
          <w:szCs w:val="24"/>
        </w:rPr>
        <w:t xml:space="preserve"> –</w:t>
      </w:r>
      <w:r w:rsidR="00D001DE" w:rsidRPr="00D001DE">
        <w:t xml:space="preserve"> </w:t>
      </w:r>
      <w:r w:rsidR="00D001DE" w:rsidRPr="00D001DE">
        <w:rPr>
          <w:rFonts w:ascii="Times New Roman" w:hAnsi="Times New Roman"/>
          <w:i/>
          <w:sz w:val="24"/>
          <w:szCs w:val="24"/>
        </w:rPr>
        <w:t xml:space="preserve">Ministerio de Hacienda y Administraciones Públicas </w:t>
      </w:r>
      <w:r w:rsidR="00D001DE" w:rsidRPr="00D001DE">
        <w:rPr>
          <w:rFonts w:ascii="Times New Roman" w:hAnsi="Times New Roman"/>
          <w:sz w:val="24"/>
          <w:szCs w:val="24"/>
        </w:rPr>
        <w:t>or MINHAP</w:t>
      </w:r>
      <w:r w:rsidRPr="00F600BE">
        <w:rPr>
          <w:rFonts w:ascii="Times New Roman" w:hAnsi="Times New Roman"/>
          <w:sz w:val="24"/>
          <w:szCs w:val="24"/>
        </w:rPr>
        <w:t>), politicians (at the state and regional levels), and</w:t>
      </w:r>
      <w:r w:rsidR="00426F50">
        <w:rPr>
          <w:rFonts w:ascii="Times New Roman" w:hAnsi="Times New Roman"/>
          <w:sz w:val="24"/>
          <w:szCs w:val="24"/>
        </w:rPr>
        <w:t xml:space="preserve"> practitioners (a</w:t>
      </w:r>
      <w:r w:rsidRPr="00F600BE">
        <w:rPr>
          <w:rFonts w:ascii="Times New Roman" w:hAnsi="Times New Roman"/>
          <w:sz w:val="24"/>
          <w:szCs w:val="24"/>
        </w:rPr>
        <w:t xml:space="preserve">cademic experts and journalists). Those interviews lasted between 40 minutes and one hour and focussed on the role of the Constitutional Court, its problems of politicisation, the impact of its rulings and the behaviour of political actors. </w:t>
      </w:r>
    </w:p>
    <w:p w14:paraId="0B83A780" w14:textId="77777777"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This paper is divided into three sections. The first centres on the creation of the Constitutional Court and its specific role within the Spanish quasi-federal system. The second section tackles the activity of the Court in territorial politics. Finally, the question of how federal issues affect the Court is addressed in section three before the paper concludes.</w:t>
      </w:r>
    </w:p>
    <w:p w14:paraId="54BD8FE6" w14:textId="77777777" w:rsidR="00530EF3" w:rsidRPr="00F600BE" w:rsidRDefault="00530EF3" w:rsidP="00C45DE6">
      <w:pPr>
        <w:spacing w:after="0" w:line="240" w:lineRule="auto"/>
        <w:jc w:val="both"/>
        <w:rPr>
          <w:rFonts w:ascii="Times New Roman" w:hAnsi="Times New Roman"/>
          <w:sz w:val="24"/>
          <w:szCs w:val="24"/>
          <w:highlight w:val="yellow"/>
        </w:rPr>
      </w:pPr>
    </w:p>
    <w:p w14:paraId="07463F74" w14:textId="77777777" w:rsidR="00530EF3" w:rsidRPr="00F600BE" w:rsidRDefault="00530EF3" w:rsidP="00C45DE6">
      <w:pPr>
        <w:spacing w:after="0" w:line="240" w:lineRule="auto"/>
        <w:ind w:firstLine="397"/>
        <w:jc w:val="both"/>
        <w:rPr>
          <w:rFonts w:ascii="Times New Roman" w:hAnsi="Times New Roman"/>
          <w:sz w:val="24"/>
          <w:szCs w:val="24"/>
          <w:highlight w:val="yellow"/>
        </w:rPr>
      </w:pPr>
    </w:p>
    <w:p w14:paraId="2CFCF0E6" w14:textId="194AD06D" w:rsidR="00530EF3" w:rsidRPr="001C627A" w:rsidRDefault="00530EF3" w:rsidP="00C45DE6">
      <w:pPr>
        <w:spacing w:after="0" w:line="240" w:lineRule="auto"/>
        <w:jc w:val="center"/>
        <w:rPr>
          <w:rFonts w:ascii="Times New Roman" w:hAnsi="Times New Roman"/>
          <w:caps/>
          <w:sz w:val="24"/>
          <w:szCs w:val="24"/>
        </w:rPr>
      </w:pPr>
      <w:r w:rsidRPr="001C627A">
        <w:rPr>
          <w:rFonts w:ascii="Times New Roman" w:hAnsi="Times New Roman"/>
          <w:caps/>
          <w:sz w:val="24"/>
          <w:szCs w:val="24"/>
        </w:rPr>
        <w:t>The Relevance of the Court for Territorial Issues</w:t>
      </w:r>
    </w:p>
    <w:p w14:paraId="7EB28463" w14:textId="77777777" w:rsidR="00530EF3" w:rsidRPr="00F600BE" w:rsidRDefault="00530EF3" w:rsidP="00C45DE6">
      <w:pPr>
        <w:spacing w:after="0" w:line="240" w:lineRule="auto"/>
        <w:jc w:val="both"/>
        <w:rPr>
          <w:rFonts w:ascii="Times New Roman" w:hAnsi="Times New Roman"/>
          <w:sz w:val="24"/>
          <w:szCs w:val="24"/>
        </w:rPr>
      </w:pPr>
    </w:p>
    <w:p w14:paraId="218DCC31" w14:textId="4A2A3BA4" w:rsidR="00530EF3" w:rsidRPr="00F600BE" w:rsidRDefault="00AE7EC0" w:rsidP="00C45DE6">
      <w:pPr>
        <w:spacing w:after="0" w:line="240" w:lineRule="auto"/>
        <w:jc w:val="both"/>
        <w:rPr>
          <w:rFonts w:ascii="Times New Roman" w:hAnsi="Times New Roman"/>
          <w:i/>
          <w:sz w:val="24"/>
          <w:szCs w:val="24"/>
        </w:rPr>
      </w:pPr>
      <w:r>
        <w:rPr>
          <w:rFonts w:ascii="Times New Roman" w:hAnsi="Times New Roman"/>
          <w:i/>
          <w:sz w:val="24"/>
          <w:szCs w:val="24"/>
        </w:rPr>
        <w:t>A Spanish adaptation of the Kelsenian m</w:t>
      </w:r>
      <w:r w:rsidR="00530EF3" w:rsidRPr="00F600BE">
        <w:rPr>
          <w:rFonts w:ascii="Times New Roman" w:hAnsi="Times New Roman"/>
          <w:i/>
          <w:sz w:val="24"/>
          <w:szCs w:val="24"/>
        </w:rPr>
        <w:t>odel</w:t>
      </w:r>
    </w:p>
    <w:p w14:paraId="57DF41F3" w14:textId="77777777" w:rsidR="00530EF3" w:rsidRPr="00F600BE" w:rsidRDefault="00530EF3" w:rsidP="00C45DE6">
      <w:pPr>
        <w:spacing w:after="0" w:line="240" w:lineRule="auto"/>
        <w:jc w:val="both"/>
        <w:rPr>
          <w:rFonts w:ascii="Times New Roman" w:hAnsi="Times New Roman"/>
          <w:sz w:val="24"/>
          <w:szCs w:val="24"/>
        </w:rPr>
      </w:pPr>
    </w:p>
    <w:p w14:paraId="2AF1F26D" w14:textId="77777777" w:rsidR="00530EF3" w:rsidRPr="00F600BE" w:rsidRDefault="00530EF3" w:rsidP="00C45DE6">
      <w:pPr>
        <w:spacing w:after="0" w:line="240" w:lineRule="auto"/>
        <w:jc w:val="both"/>
        <w:rPr>
          <w:rFonts w:ascii="Times New Roman" w:hAnsi="Times New Roman"/>
          <w:sz w:val="24"/>
          <w:szCs w:val="24"/>
        </w:rPr>
      </w:pPr>
      <w:r w:rsidRPr="00F600BE">
        <w:rPr>
          <w:rFonts w:ascii="Times New Roman" w:hAnsi="Times New Roman"/>
          <w:sz w:val="24"/>
          <w:szCs w:val="24"/>
        </w:rPr>
        <w:t xml:space="preserve">After 40 years of Francoism, the parallel rise of decentralisation and the need to regulate territorial politics quickly converted the Spanish Constitutional Court into a pivotal actor in intergovernmental relations. Drawing on the Kelsenian tradition, Spanish constitutionalists adopted a model of concentrated judicial review: the </w:t>
      </w:r>
      <w:r w:rsidRPr="00F600BE">
        <w:rPr>
          <w:rFonts w:ascii="Times New Roman" w:hAnsi="Times New Roman"/>
          <w:i/>
          <w:sz w:val="24"/>
          <w:szCs w:val="24"/>
        </w:rPr>
        <w:t>Tribunal</w:t>
      </w:r>
      <w:r w:rsidRPr="00F600BE">
        <w:rPr>
          <w:rFonts w:ascii="Times New Roman" w:hAnsi="Times New Roman"/>
          <w:sz w:val="24"/>
          <w:szCs w:val="24"/>
        </w:rPr>
        <w:t xml:space="preserve"> represents the highest body in the field of constitutional law and it is independent from judicial power.</w:t>
      </w:r>
      <w:r w:rsidRPr="00F600BE">
        <w:rPr>
          <w:rStyle w:val="Refdenotaalfinal"/>
          <w:rFonts w:ascii="Times New Roman" w:hAnsi="Times New Roman"/>
          <w:sz w:val="24"/>
          <w:szCs w:val="24"/>
        </w:rPr>
        <w:endnoteReference w:id="1"/>
      </w:r>
      <w:r w:rsidRPr="00F600BE">
        <w:rPr>
          <w:rFonts w:ascii="Times New Roman" w:hAnsi="Times New Roman"/>
          <w:sz w:val="24"/>
          <w:szCs w:val="24"/>
        </w:rPr>
        <w:t xml:space="preserve"> It holds a monopoly on the interpretation of the Constitution; it must examine every petition, and its decisions cannot be appealed. This Court is ruled by constitutional articles 159 to 165 and by the 3 October 1979 Organic Law (</w:t>
      </w:r>
      <w:r w:rsidRPr="00F600BE">
        <w:rPr>
          <w:rFonts w:ascii="Times New Roman" w:hAnsi="Times New Roman"/>
          <w:i/>
          <w:sz w:val="24"/>
          <w:szCs w:val="24"/>
        </w:rPr>
        <w:t>Ley Orgánica del Tribunal Constitucional</w:t>
      </w:r>
      <w:r w:rsidRPr="00F600BE">
        <w:rPr>
          <w:rFonts w:ascii="Times New Roman" w:hAnsi="Times New Roman"/>
          <w:sz w:val="24"/>
          <w:szCs w:val="24"/>
        </w:rPr>
        <w:t>, LOTC) (Elvira Perales 2013).</w:t>
      </w:r>
    </w:p>
    <w:p w14:paraId="1EEE0FB3" w14:textId="4B6819EC"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The Spanish Constitutional Court includes 12 magistrates. All of them must be experienced jurists. The justices are elected for a single nine-year mandate, and four of them are replaced every three years. Four candidates are proposed by the Congress (by a majority of three-fifths); four are proposed by the Senate (also by a majority of three-fifths) among the candidates presented by the regional parliaments; two candidates are proposed by the cabinet; and two are proposed by a majority of three-fifths of the General Council of Judicial Power (</w:t>
      </w:r>
      <w:r w:rsidRPr="00F600BE">
        <w:rPr>
          <w:rFonts w:ascii="Times New Roman" w:hAnsi="Times New Roman"/>
          <w:i/>
          <w:sz w:val="24"/>
          <w:szCs w:val="24"/>
        </w:rPr>
        <w:t>Consejo General del Poder Judicial</w:t>
      </w:r>
      <w:r w:rsidRPr="00F600BE">
        <w:rPr>
          <w:rFonts w:ascii="Times New Roman" w:hAnsi="Times New Roman"/>
          <w:sz w:val="24"/>
          <w:szCs w:val="24"/>
        </w:rPr>
        <w:t xml:space="preserve">). The president is chosen among the four senior justices; he/she sets the agenda of the Court and has the last word </w:t>
      </w:r>
      <w:r w:rsidRPr="00F600BE">
        <w:rPr>
          <w:rFonts w:ascii="Times New Roman" w:hAnsi="Times New Roman"/>
          <w:sz w:val="24"/>
          <w:szCs w:val="24"/>
        </w:rPr>
        <w:lastRenderedPageBreak/>
        <w:t xml:space="preserve">in case of a tie. </w:t>
      </w:r>
      <w:r w:rsidR="00142A74">
        <w:rPr>
          <w:rFonts w:ascii="Times New Roman" w:hAnsi="Times New Roman"/>
          <w:sz w:val="24"/>
          <w:szCs w:val="24"/>
        </w:rPr>
        <w:t xml:space="preserve">At least eight judges have to be present on the court </w:t>
      </w:r>
      <w:r w:rsidRPr="00F600BE">
        <w:rPr>
          <w:rFonts w:ascii="Times New Roman" w:hAnsi="Times New Roman"/>
          <w:sz w:val="24"/>
          <w:szCs w:val="24"/>
        </w:rPr>
        <w:t>for a decision to be reached (LOTC 1979).</w:t>
      </w:r>
    </w:p>
    <w:p w14:paraId="2DDD002C" w14:textId="464594E7"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 xml:space="preserve">An important difference separates Spain from France and Italy (Sala 2010). Actually – just as in Germany and Belgium – the access to the Constitutional Court is open to a wide range of plaintiffs in Spain. Ordinary judges, the ombudsman, regional parliaments (through their president), the state legislatures (50 deputies or senators), central and regional governments and even individuals (through the </w:t>
      </w:r>
      <w:r w:rsidRPr="00F600BE">
        <w:rPr>
          <w:rFonts w:ascii="Times New Roman" w:hAnsi="Times New Roman"/>
          <w:i/>
          <w:sz w:val="24"/>
          <w:szCs w:val="24"/>
        </w:rPr>
        <w:t>amparo</w:t>
      </w:r>
      <w:r w:rsidRPr="00F600BE">
        <w:rPr>
          <w:rFonts w:ascii="Times New Roman" w:hAnsi="Times New Roman"/>
          <w:sz w:val="24"/>
          <w:szCs w:val="24"/>
        </w:rPr>
        <w:t xml:space="preserve"> procedure), can initiate the constitutional review procedure. However, articles 162.2 and 161.2 (Spanish Constitution 1978) and the 1979 organic law give central and regional governments easier access to the Constitutional Court compared to the rest of the actors in the field of territorial issues. Nevertheless, the central government can challenge any decision adopted by the regional governments, while regional governments must demonstrate that the central government did not respect the division of competences. Furthermore, the central government can suspend any regional regulation if necessary. Finally, regional governments need to file a </w:t>
      </w:r>
      <w:r w:rsidRPr="00F600BE">
        <w:rPr>
          <w:rFonts w:ascii="Times New Roman" w:hAnsi="Times New Roman"/>
          <w:i/>
          <w:sz w:val="24"/>
          <w:szCs w:val="24"/>
        </w:rPr>
        <w:t>requerimento</w:t>
      </w:r>
      <w:r w:rsidRPr="00F600BE">
        <w:rPr>
          <w:rFonts w:ascii="Times New Roman" w:hAnsi="Times New Roman"/>
          <w:sz w:val="24"/>
          <w:szCs w:val="24"/>
        </w:rPr>
        <w:t xml:space="preserve"> (request) before to contest a decision adopted by the Spanish government. </w:t>
      </w:r>
    </w:p>
    <w:p w14:paraId="125C7007" w14:textId="64D00CB8" w:rsidR="00530EF3" w:rsidRPr="00F600BE" w:rsidRDefault="00530EF3" w:rsidP="00C45DE6">
      <w:pPr>
        <w:spacing w:after="0" w:line="240" w:lineRule="auto"/>
        <w:ind w:firstLine="397"/>
        <w:jc w:val="both"/>
        <w:rPr>
          <w:sz w:val="24"/>
          <w:szCs w:val="24"/>
        </w:rPr>
      </w:pPr>
      <w:r w:rsidRPr="00F600BE">
        <w:rPr>
          <w:rFonts w:ascii="Times New Roman" w:hAnsi="Times New Roman"/>
          <w:sz w:val="24"/>
          <w:szCs w:val="24"/>
        </w:rPr>
        <w:t xml:space="preserve">There are two basic proceedings for centre-periphery litigations in Spain: the </w:t>
      </w:r>
      <w:r w:rsidRPr="00F600BE">
        <w:rPr>
          <w:rFonts w:ascii="Times New Roman" w:hAnsi="Times New Roman"/>
          <w:i/>
          <w:sz w:val="24"/>
          <w:szCs w:val="24"/>
        </w:rPr>
        <w:t xml:space="preserve">recursos de inconstitucionalidad </w:t>
      </w:r>
      <w:r w:rsidRPr="00F600BE">
        <w:rPr>
          <w:rFonts w:ascii="Times New Roman" w:hAnsi="Times New Roman"/>
          <w:sz w:val="24"/>
          <w:szCs w:val="24"/>
        </w:rPr>
        <w:t xml:space="preserve">(complaints of unconstitutionality) and the </w:t>
      </w:r>
      <w:r w:rsidRPr="00F600BE">
        <w:rPr>
          <w:rFonts w:ascii="Times New Roman" w:hAnsi="Times New Roman"/>
          <w:i/>
          <w:sz w:val="24"/>
          <w:szCs w:val="24"/>
        </w:rPr>
        <w:t>conflictos de competencias</w:t>
      </w:r>
      <w:r w:rsidRPr="00F600BE">
        <w:rPr>
          <w:rFonts w:ascii="Times New Roman" w:hAnsi="Times New Roman"/>
          <w:sz w:val="24"/>
          <w:szCs w:val="24"/>
        </w:rPr>
        <w:t xml:space="preserve"> (conflicts of competences). The former occurs when a regional or central administration challenges a law because</w:t>
      </w:r>
      <w:r w:rsidR="00FE0C02">
        <w:rPr>
          <w:rFonts w:ascii="Times New Roman" w:hAnsi="Times New Roman"/>
          <w:sz w:val="24"/>
          <w:szCs w:val="24"/>
        </w:rPr>
        <w:t xml:space="preserve"> it believes that the act is not consistent with the</w:t>
      </w:r>
      <w:r w:rsidRPr="00F600BE">
        <w:rPr>
          <w:rFonts w:ascii="Times New Roman" w:hAnsi="Times New Roman"/>
          <w:sz w:val="24"/>
          <w:szCs w:val="24"/>
        </w:rPr>
        <w:t xml:space="preserve"> principles of the Constitution. The latter happens when regional and central administrations contest the sharing of powers in a given policy area. Theoretically speaking, regional and central executives can be involved in other types of litigation, like the infrequent negative conflicts of competences (</w:t>
      </w:r>
      <w:r w:rsidRPr="00F600BE">
        <w:rPr>
          <w:rFonts w:ascii="Times New Roman" w:hAnsi="Times New Roman"/>
          <w:i/>
          <w:sz w:val="24"/>
          <w:szCs w:val="24"/>
        </w:rPr>
        <w:t>conflictos negativos de competencias</w:t>
      </w:r>
      <w:r w:rsidRPr="00F600BE">
        <w:rPr>
          <w:rFonts w:ascii="Times New Roman" w:hAnsi="Times New Roman"/>
          <w:sz w:val="24"/>
          <w:szCs w:val="24"/>
        </w:rPr>
        <w:t>) or the prior review of constitutionality (</w:t>
      </w:r>
      <w:r w:rsidRPr="00F600BE">
        <w:rPr>
          <w:rFonts w:ascii="Times New Roman" w:hAnsi="Times New Roman"/>
          <w:i/>
          <w:sz w:val="24"/>
          <w:szCs w:val="24"/>
        </w:rPr>
        <w:t>control previo de constitucionalidad</w:t>
      </w:r>
      <w:r w:rsidRPr="00F600BE">
        <w:rPr>
          <w:rFonts w:ascii="Times New Roman" w:hAnsi="Times New Roman"/>
          <w:sz w:val="24"/>
          <w:szCs w:val="24"/>
        </w:rPr>
        <w:t xml:space="preserve">) that disappeared in 1985 (Fernández Farreres 2005). </w:t>
      </w:r>
    </w:p>
    <w:p w14:paraId="7F42806D" w14:textId="77777777" w:rsidR="00530EF3" w:rsidRPr="00F600BE" w:rsidRDefault="00530EF3" w:rsidP="00C45DE6">
      <w:pPr>
        <w:spacing w:after="0" w:line="240" w:lineRule="auto"/>
        <w:ind w:firstLine="397"/>
        <w:jc w:val="both"/>
        <w:rPr>
          <w:rFonts w:ascii="Times New Roman" w:hAnsi="Times New Roman"/>
          <w:sz w:val="24"/>
          <w:szCs w:val="24"/>
        </w:rPr>
      </w:pPr>
    </w:p>
    <w:p w14:paraId="3545C52B" w14:textId="4D34D07F" w:rsidR="00530EF3" w:rsidRPr="00F600BE" w:rsidRDefault="00AE7EC0" w:rsidP="00C45DE6">
      <w:pPr>
        <w:spacing w:after="0" w:line="240" w:lineRule="auto"/>
        <w:jc w:val="both"/>
        <w:rPr>
          <w:rFonts w:ascii="Times New Roman" w:hAnsi="Times New Roman"/>
          <w:i/>
          <w:sz w:val="24"/>
          <w:szCs w:val="24"/>
        </w:rPr>
      </w:pPr>
      <w:r>
        <w:rPr>
          <w:rFonts w:ascii="Times New Roman" w:hAnsi="Times New Roman"/>
          <w:i/>
          <w:sz w:val="24"/>
          <w:szCs w:val="24"/>
        </w:rPr>
        <w:t>An o</w:t>
      </w:r>
      <w:r w:rsidR="00530EF3" w:rsidRPr="00F600BE">
        <w:rPr>
          <w:rFonts w:ascii="Times New Roman" w:hAnsi="Times New Roman"/>
          <w:i/>
          <w:sz w:val="24"/>
          <w:szCs w:val="24"/>
        </w:rPr>
        <w:t xml:space="preserve">rdinary </w:t>
      </w:r>
      <w:r>
        <w:rPr>
          <w:rFonts w:ascii="Times New Roman" w:hAnsi="Times New Roman"/>
          <w:i/>
          <w:sz w:val="24"/>
          <w:szCs w:val="24"/>
        </w:rPr>
        <w:t>court for territorial i</w:t>
      </w:r>
      <w:r w:rsidR="005A7F9B">
        <w:rPr>
          <w:rFonts w:ascii="Times New Roman" w:hAnsi="Times New Roman"/>
          <w:i/>
          <w:sz w:val="24"/>
          <w:szCs w:val="24"/>
        </w:rPr>
        <w:t>ssues?</w:t>
      </w:r>
    </w:p>
    <w:p w14:paraId="50A9C7EE" w14:textId="77777777" w:rsidR="00530EF3" w:rsidRPr="00F600BE" w:rsidRDefault="00530EF3" w:rsidP="00C45DE6">
      <w:pPr>
        <w:spacing w:after="0" w:line="240" w:lineRule="auto"/>
        <w:jc w:val="both"/>
        <w:rPr>
          <w:rFonts w:ascii="Times New Roman" w:hAnsi="Times New Roman"/>
          <w:sz w:val="24"/>
          <w:szCs w:val="24"/>
          <w:highlight w:val="yellow"/>
        </w:rPr>
      </w:pPr>
    </w:p>
    <w:p w14:paraId="1C67CFFA" w14:textId="77777777" w:rsidR="00530EF3" w:rsidRPr="00F600BE" w:rsidRDefault="00530EF3" w:rsidP="00C45DE6">
      <w:pPr>
        <w:spacing w:after="0" w:line="240" w:lineRule="auto"/>
        <w:jc w:val="both"/>
        <w:rPr>
          <w:rFonts w:ascii="Times New Roman" w:hAnsi="Times New Roman"/>
          <w:sz w:val="24"/>
          <w:szCs w:val="24"/>
        </w:rPr>
      </w:pPr>
      <w:r w:rsidRPr="00F600BE">
        <w:rPr>
          <w:rFonts w:ascii="Times New Roman" w:hAnsi="Times New Roman"/>
          <w:sz w:val="24"/>
          <w:szCs w:val="24"/>
        </w:rPr>
        <w:t xml:space="preserve">The Spanish Constitutional Court was initially conceived by constitutionalists as the last step for regulating intergovernmental conflicts. Alternative institutions were supposed to prevent the rise of territorial litigations through institutional arrangements. Nevertheless, since the beginning of democracy, the </w:t>
      </w:r>
      <w:r w:rsidRPr="00F600BE">
        <w:rPr>
          <w:rFonts w:ascii="Times New Roman" w:hAnsi="Times New Roman"/>
          <w:i/>
          <w:sz w:val="24"/>
          <w:szCs w:val="24"/>
        </w:rPr>
        <w:t>Tribunal</w:t>
      </w:r>
      <w:r w:rsidRPr="00F600BE">
        <w:rPr>
          <w:rFonts w:ascii="Times New Roman" w:hAnsi="Times New Roman"/>
          <w:sz w:val="24"/>
          <w:szCs w:val="24"/>
        </w:rPr>
        <w:t xml:space="preserve"> is used as an ordinary court of last-resort for channelling centre-periphery tensions (Gordillo Pérez 2007). The central position of the Court in the field of territorial governance relies on three related dynamics. </w:t>
      </w:r>
    </w:p>
    <w:p w14:paraId="55A26D7B" w14:textId="5F26AC55"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Firstly, in the late-1990s Agranoff and Ramos Gallarin (1997) showed that intergovernmental relations in Spain were mostly vertical; that is, they principally focused on the central cabinet and its regional counterparts as the main actors of the ter</w:t>
      </w:r>
      <w:r w:rsidR="00BF2A28">
        <w:rPr>
          <w:rFonts w:ascii="Times New Roman" w:hAnsi="Times New Roman"/>
          <w:sz w:val="24"/>
          <w:szCs w:val="24"/>
        </w:rPr>
        <w:t>ritorial system. Consequently: “</w:t>
      </w:r>
      <w:r w:rsidRPr="00F600BE">
        <w:rPr>
          <w:rFonts w:ascii="Times New Roman" w:hAnsi="Times New Roman"/>
          <w:sz w:val="24"/>
          <w:szCs w:val="24"/>
        </w:rPr>
        <w:t>Horizontal relations among regional governmen</w:t>
      </w:r>
      <w:r w:rsidR="00BF2A28">
        <w:rPr>
          <w:rFonts w:ascii="Times New Roman" w:hAnsi="Times New Roman"/>
          <w:sz w:val="24"/>
          <w:szCs w:val="24"/>
        </w:rPr>
        <w:t>ts are practically non-existent”</w:t>
      </w:r>
      <w:r w:rsidRPr="00F600BE">
        <w:rPr>
          <w:rFonts w:ascii="Times New Roman" w:hAnsi="Times New Roman"/>
          <w:sz w:val="24"/>
          <w:szCs w:val="24"/>
        </w:rPr>
        <w:t xml:space="preserve"> (interview with a top-level civil servant, Madrid, October 2015). According to Arbós Marín </w:t>
      </w:r>
      <w:r w:rsidRPr="00F600BE">
        <w:rPr>
          <w:rFonts w:ascii="Times New Roman" w:hAnsi="Times New Roman"/>
          <w:iCs/>
          <w:sz w:val="24"/>
          <w:szCs w:val="24"/>
        </w:rPr>
        <w:t>et al</w:t>
      </w:r>
      <w:r w:rsidRPr="00F600BE">
        <w:rPr>
          <w:rFonts w:ascii="Times New Roman" w:hAnsi="Times New Roman"/>
          <w:sz w:val="24"/>
          <w:szCs w:val="24"/>
        </w:rPr>
        <w:t xml:space="preserve">. (2009) this configuration can be best explained by the lack of autonomy of Spanish regions in the field of transregional projects. Actually, the implementation of transregional ventures in Spain must be approved by the Senate to come into effect and state control disincentives the common operations among autonomous communities. </w:t>
      </w:r>
    </w:p>
    <w:p w14:paraId="534EE259" w14:textId="780A953E"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Likewise, Spanish intergovernmental relations are also predominantly bilateral. Despite the creation of sectorial conferences (</w:t>
      </w:r>
      <w:r w:rsidRPr="00F600BE">
        <w:rPr>
          <w:rFonts w:ascii="Times New Roman" w:hAnsi="Times New Roman"/>
          <w:i/>
          <w:sz w:val="24"/>
          <w:szCs w:val="24"/>
        </w:rPr>
        <w:t>conferencias sectoriales</w:t>
      </w:r>
      <w:r w:rsidRPr="00F600BE">
        <w:rPr>
          <w:rFonts w:ascii="Times New Roman" w:hAnsi="Times New Roman"/>
          <w:sz w:val="24"/>
          <w:szCs w:val="24"/>
        </w:rPr>
        <w:t xml:space="preserve">) in 1983 – and the conference of presidents in 2004 – these meetings between central and regional ministers still lack a real power of decision-making. Moreover, sectorial conferences are convened by central state’s representatives and can only adopt symbolic agreements with no binding </w:t>
      </w:r>
      <w:r w:rsidRPr="00F600BE">
        <w:rPr>
          <w:rFonts w:ascii="Times New Roman" w:hAnsi="Times New Roman"/>
          <w:sz w:val="24"/>
          <w:szCs w:val="24"/>
        </w:rPr>
        <w:lastRenderedPageBreak/>
        <w:t xml:space="preserve">effects. This explains the survival of a series of two-sided administrative mechanisms, such as the bilateral conferences, especially when the collaborating tiers are governed by the same political party (León </w:t>
      </w:r>
      <w:r w:rsidR="00BF2A28">
        <w:rPr>
          <w:rFonts w:ascii="Times New Roman" w:hAnsi="Times New Roman"/>
          <w:sz w:val="24"/>
          <w:szCs w:val="24"/>
        </w:rPr>
        <w:t>and</w:t>
      </w:r>
      <w:r w:rsidRPr="00F600BE">
        <w:rPr>
          <w:rFonts w:ascii="Times New Roman" w:hAnsi="Times New Roman"/>
          <w:sz w:val="24"/>
          <w:szCs w:val="24"/>
        </w:rPr>
        <w:t xml:space="preserve"> Ferrín Pereira 2011). </w:t>
      </w:r>
    </w:p>
    <w:p w14:paraId="144E41EF" w14:textId="489B7E77"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 xml:space="preserve">Lastly, intergovernmental relations in Spain suffer from a lack of institutionalisation (Aja </w:t>
      </w:r>
      <w:r w:rsidR="00BF2A28">
        <w:rPr>
          <w:rFonts w:ascii="Times New Roman" w:hAnsi="Times New Roman"/>
          <w:sz w:val="24"/>
          <w:szCs w:val="24"/>
        </w:rPr>
        <w:t>and</w:t>
      </w:r>
      <w:r w:rsidRPr="00F600BE">
        <w:rPr>
          <w:rFonts w:ascii="Times New Roman" w:hAnsi="Times New Roman"/>
          <w:sz w:val="24"/>
          <w:szCs w:val="24"/>
        </w:rPr>
        <w:t xml:space="preserve"> Colino 2014). The most visible aspect is the lack of a federal senate, as is found in Germany. The current Spanish upper house (</w:t>
      </w:r>
      <w:r w:rsidRPr="00F600BE">
        <w:rPr>
          <w:rFonts w:ascii="Times New Roman" w:hAnsi="Times New Roman"/>
          <w:i/>
          <w:sz w:val="24"/>
          <w:szCs w:val="24"/>
        </w:rPr>
        <w:t>Senado</w:t>
      </w:r>
      <w:r w:rsidRPr="00F600BE">
        <w:rPr>
          <w:rFonts w:ascii="Times New Roman" w:hAnsi="Times New Roman"/>
          <w:sz w:val="24"/>
          <w:szCs w:val="24"/>
        </w:rPr>
        <w:t xml:space="preserve">) faces two limitations for channelling territorial interests. The first problem is related to its composition, since the </w:t>
      </w:r>
      <w:r w:rsidRPr="00F600BE">
        <w:rPr>
          <w:rFonts w:ascii="Times New Roman" w:hAnsi="Times New Roman"/>
          <w:i/>
          <w:sz w:val="24"/>
          <w:szCs w:val="24"/>
        </w:rPr>
        <w:t>Senado</w:t>
      </w:r>
      <w:r w:rsidRPr="00F600BE">
        <w:rPr>
          <w:rFonts w:ascii="Times New Roman" w:hAnsi="Times New Roman"/>
          <w:sz w:val="24"/>
          <w:szCs w:val="24"/>
        </w:rPr>
        <w:t xml:space="preserve"> includes representatives elected in a variety of circumscriptions like cities (Ceuta and Melilla), provinces and autonomous communities. The second main limitation is the absence of any real veto power, since the </w:t>
      </w:r>
      <w:r w:rsidRPr="00F600BE">
        <w:rPr>
          <w:rFonts w:ascii="Times New Roman" w:hAnsi="Times New Roman"/>
          <w:i/>
          <w:sz w:val="24"/>
          <w:szCs w:val="24"/>
        </w:rPr>
        <w:t>Senado</w:t>
      </w:r>
      <w:r w:rsidRPr="00F600BE">
        <w:rPr>
          <w:rFonts w:ascii="Times New Roman" w:hAnsi="Times New Roman"/>
          <w:sz w:val="24"/>
          <w:szCs w:val="24"/>
        </w:rPr>
        <w:t xml:space="preserve"> cannot block the Congress (</w:t>
      </w:r>
      <w:r w:rsidRPr="00F600BE">
        <w:rPr>
          <w:rFonts w:ascii="Times New Roman" w:hAnsi="Times New Roman"/>
          <w:i/>
          <w:sz w:val="24"/>
          <w:szCs w:val="24"/>
        </w:rPr>
        <w:t>Congreso</w:t>
      </w:r>
      <w:r w:rsidRPr="00F600BE">
        <w:rPr>
          <w:rFonts w:ascii="Times New Roman" w:hAnsi="Times New Roman"/>
          <w:sz w:val="24"/>
          <w:szCs w:val="24"/>
        </w:rPr>
        <w:t xml:space="preserve">) and cabinet’s bills. For these reasons, the Congress has become the central forum for intergovernmental negotiations between state-wide and region-wide parties (Harguindéguy, Coller </w:t>
      </w:r>
      <w:r w:rsidR="00BF2A28">
        <w:rPr>
          <w:rFonts w:ascii="Times New Roman" w:hAnsi="Times New Roman"/>
          <w:sz w:val="24"/>
          <w:szCs w:val="24"/>
        </w:rPr>
        <w:t>and</w:t>
      </w:r>
      <w:r w:rsidRPr="00F600BE">
        <w:rPr>
          <w:rFonts w:ascii="Times New Roman" w:hAnsi="Times New Roman"/>
          <w:sz w:val="24"/>
          <w:szCs w:val="24"/>
        </w:rPr>
        <w:t xml:space="preserve"> Cole 2017). Alternatively, territorial issue</w:t>
      </w:r>
      <w:r w:rsidR="00BF2A28">
        <w:rPr>
          <w:rFonts w:ascii="Times New Roman" w:hAnsi="Times New Roman"/>
          <w:sz w:val="24"/>
          <w:szCs w:val="24"/>
        </w:rPr>
        <w:t>s have also been progressively judicialised</w:t>
      </w:r>
      <w:r w:rsidRPr="00F600BE">
        <w:rPr>
          <w:rFonts w:ascii="Times New Roman" w:hAnsi="Times New Roman"/>
          <w:sz w:val="24"/>
          <w:szCs w:val="24"/>
        </w:rPr>
        <w:t xml:space="preserve"> through the Constitutional Court, as will be demonstrated </w:t>
      </w:r>
      <w:r w:rsidR="00FE0C02">
        <w:rPr>
          <w:rFonts w:ascii="Times New Roman" w:hAnsi="Times New Roman"/>
          <w:sz w:val="24"/>
          <w:szCs w:val="24"/>
        </w:rPr>
        <w:t xml:space="preserve">in </w:t>
      </w:r>
      <w:r w:rsidRPr="00F600BE">
        <w:rPr>
          <w:rFonts w:ascii="Times New Roman" w:hAnsi="Times New Roman"/>
          <w:sz w:val="24"/>
          <w:szCs w:val="24"/>
        </w:rPr>
        <w:t xml:space="preserve">the next section. </w:t>
      </w:r>
    </w:p>
    <w:p w14:paraId="194419E2" w14:textId="77777777" w:rsidR="00530EF3" w:rsidRPr="00F600BE" w:rsidRDefault="00530EF3" w:rsidP="00C45DE6">
      <w:pPr>
        <w:spacing w:after="0" w:line="240" w:lineRule="auto"/>
        <w:jc w:val="both"/>
        <w:rPr>
          <w:rFonts w:ascii="Times New Roman" w:hAnsi="Times New Roman"/>
          <w:sz w:val="24"/>
          <w:szCs w:val="24"/>
        </w:rPr>
      </w:pPr>
    </w:p>
    <w:p w14:paraId="64A1C572" w14:textId="77777777" w:rsidR="00530EF3" w:rsidRPr="00F600BE" w:rsidRDefault="00530EF3" w:rsidP="00C45DE6">
      <w:pPr>
        <w:spacing w:after="0" w:line="240" w:lineRule="auto"/>
        <w:jc w:val="both"/>
        <w:rPr>
          <w:rFonts w:ascii="Times New Roman" w:hAnsi="Times New Roman"/>
          <w:sz w:val="24"/>
          <w:szCs w:val="24"/>
        </w:rPr>
      </w:pPr>
    </w:p>
    <w:p w14:paraId="2D209828" w14:textId="662AB039" w:rsidR="00530EF3" w:rsidRPr="001C627A" w:rsidRDefault="00530EF3" w:rsidP="00C45DE6">
      <w:pPr>
        <w:spacing w:after="0" w:line="240" w:lineRule="auto"/>
        <w:jc w:val="center"/>
        <w:rPr>
          <w:rFonts w:ascii="Times New Roman" w:hAnsi="Times New Roman"/>
          <w:caps/>
          <w:sz w:val="24"/>
          <w:szCs w:val="24"/>
        </w:rPr>
      </w:pPr>
      <w:r w:rsidRPr="001C627A">
        <w:rPr>
          <w:rFonts w:ascii="Times New Roman" w:hAnsi="Times New Roman"/>
          <w:caps/>
          <w:sz w:val="24"/>
          <w:szCs w:val="24"/>
        </w:rPr>
        <w:t>The Judicialisation of Territorial Politics</w:t>
      </w:r>
    </w:p>
    <w:p w14:paraId="567A0607" w14:textId="77777777" w:rsidR="00530EF3" w:rsidRPr="00F600BE" w:rsidRDefault="00530EF3" w:rsidP="00C45DE6">
      <w:pPr>
        <w:spacing w:after="0" w:line="240" w:lineRule="auto"/>
        <w:jc w:val="both"/>
        <w:rPr>
          <w:rFonts w:ascii="Times New Roman" w:hAnsi="Times New Roman"/>
          <w:sz w:val="24"/>
          <w:szCs w:val="24"/>
        </w:rPr>
      </w:pPr>
    </w:p>
    <w:p w14:paraId="22463008" w14:textId="41EB0C78" w:rsidR="00530EF3" w:rsidRPr="00F600BE" w:rsidRDefault="00AE7EC0" w:rsidP="00C45DE6">
      <w:pPr>
        <w:spacing w:after="0" w:line="240" w:lineRule="auto"/>
        <w:jc w:val="both"/>
        <w:rPr>
          <w:rFonts w:ascii="Times New Roman" w:hAnsi="Times New Roman"/>
          <w:i/>
          <w:sz w:val="24"/>
          <w:szCs w:val="24"/>
        </w:rPr>
      </w:pPr>
      <w:r>
        <w:rPr>
          <w:rFonts w:ascii="Times New Roman" w:hAnsi="Times New Roman"/>
          <w:i/>
          <w:sz w:val="24"/>
          <w:szCs w:val="24"/>
        </w:rPr>
        <w:t>The regulation of intergovernmental c</w:t>
      </w:r>
      <w:r w:rsidR="00530EF3" w:rsidRPr="00F600BE">
        <w:rPr>
          <w:rFonts w:ascii="Times New Roman" w:hAnsi="Times New Roman"/>
          <w:i/>
          <w:sz w:val="24"/>
          <w:szCs w:val="24"/>
        </w:rPr>
        <w:t>onflicts</w:t>
      </w:r>
    </w:p>
    <w:p w14:paraId="79AD758D" w14:textId="77777777" w:rsidR="00530EF3" w:rsidRPr="00F600BE" w:rsidRDefault="00530EF3" w:rsidP="00C45DE6">
      <w:pPr>
        <w:spacing w:after="0" w:line="240" w:lineRule="auto"/>
        <w:jc w:val="both"/>
        <w:rPr>
          <w:rFonts w:ascii="Times New Roman" w:hAnsi="Times New Roman"/>
          <w:sz w:val="24"/>
          <w:szCs w:val="24"/>
        </w:rPr>
      </w:pPr>
    </w:p>
    <w:p w14:paraId="0E83897A" w14:textId="4FE1D25E" w:rsidR="00530EF3" w:rsidRPr="00F600BE" w:rsidRDefault="00530EF3" w:rsidP="00C45DE6">
      <w:pPr>
        <w:spacing w:after="0" w:line="240" w:lineRule="auto"/>
        <w:jc w:val="both"/>
        <w:rPr>
          <w:rFonts w:ascii="Times New Roman" w:hAnsi="Times New Roman"/>
          <w:i/>
          <w:sz w:val="24"/>
          <w:szCs w:val="24"/>
        </w:rPr>
      </w:pPr>
      <w:r w:rsidRPr="00F600BE">
        <w:rPr>
          <w:rFonts w:ascii="Times New Roman" w:hAnsi="Times New Roman"/>
          <w:sz w:val="24"/>
          <w:szCs w:val="24"/>
        </w:rPr>
        <w:t>Judicialisation has been define</w:t>
      </w:r>
      <w:r w:rsidR="00BF2A28">
        <w:rPr>
          <w:rFonts w:ascii="Times New Roman" w:hAnsi="Times New Roman"/>
          <w:sz w:val="24"/>
          <w:szCs w:val="24"/>
        </w:rPr>
        <w:t>d by Hirschl (2011, p. 121) as “</w:t>
      </w:r>
      <w:r w:rsidRPr="00F600BE">
        <w:rPr>
          <w:rFonts w:ascii="Times New Roman" w:hAnsi="Times New Roman"/>
          <w:sz w:val="24"/>
          <w:szCs w:val="24"/>
        </w:rPr>
        <w:t>[…] the reliance on courts and judicial means for addressing core moral predicaments, public policy questio</w:t>
      </w:r>
      <w:r w:rsidR="00BF2A28">
        <w:rPr>
          <w:rFonts w:ascii="Times New Roman" w:hAnsi="Times New Roman"/>
          <w:sz w:val="24"/>
          <w:szCs w:val="24"/>
        </w:rPr>
        <w:t>ns, and political controversies”</w:t>
      </w:r>
      <w:r w:rsidRPr="00F600BE">
        <w:rPr>
          <w:rFonts w:ascii="Times New Roman" w:hAnsi="Times New Roman"/>
          <w:sz w:val="24"/>
          <w:szCs w:val="24"/>
        </w:rPr>
        <w:t>. As such, the judicialisation of territorial politics is not something that is specific to Spain; it also affects other countries like Colombia o</w:t>
      </w:r>
      <w:r w:rsidR="002A6C62">
        <w:rPr>
          <w:rFonts w:ascii="Times New Roman" w:hAnsi="Times New Roman"/>
          <w:sz w:val="24"/>
          <w:szCs w:val="24"/>
        </w:rPr>
        <w:t>r Braz</w:t>
      </w:r>
      <w:r w:rsidR="002A6C62" w:rsidRPr="00F600BE">
        <w:rPr>
          <w:rFonts w:ascii="Times New Roman" w:hAnsi="Times New Roman"/>
          <w:sz w:val="24"/>
          <w:szCs w:val="24"/>
        </w:rPr>
        <w:t>il</w:t>
      </w:r>
      <w:r w:rsidRPr="00F600BE">
        <w:rPr>
          <w:rFonts w:ascii="Times New Roman" w:hAnsi="Times New Roman"/>
          <w:sz w:val="24"/>
          <w:szCs w:val="24"/>
        </w:rPr>
        <w:t xml:space="preserve"> (Ferreira do Vale 2013).</w:t>
      </w:r>
      <w:r w:rsidRPr="00F600BE">
        <w:rPr>
          <w:rStyle w:val="Refdenotaalfinal"/>
          <w:rFonts w:ascii="Times New Roman" w:hAnsi="Times New Roman"/>
          <w:sz w:val="24"/>
          <w:szCs w:val="24"/>
        </w:rPr>
        <w:endnoteReference w:id="2"/>
      </w:r>
      <w:r w:rsidRPr="00F600BE">
        <w:rPr>
          <w:rFonts w:ascii="Times New Roman" w:hAnsi="Times New Roman"/>
          <w:sz w:val="24"/>
          <w:szCs w:val="24"/>
        </w:rPr>
        <w:t xml:space="preserve"> In Spain, the MAP-LEXTER dataset allows this dynamic to be analysed from a quantitative viewpoint through the study of all the litigation between autonomous communities and the central government presented before the Constitutional Court between 1980 and 2014 (N=1,624).</w:t>
      </w:r>
      <w:r w:rsidRPr="00F600BE">
        <w:rPr>
          <w:rStyle w:val="Refdenotaalfinal"/>
          <w:rFonts w:ascii="Times New Roman" w:hAnsi="Times New Roman"/>
          <w:sz w:val="24"/>
          <w:szCs w:val="24"/>
        </w:rPr>
        <w:endnoteReference w:id="3"/>
      </w:r>
      <w:r w:rsidRPr="00F600BE">
        <w:rPr>
          <w:rFonts w:ascii="Times New Roman" w:hAnsi="Times New Roman"/>
          <w:sz w:val="24"/>
          <w:szCs w:val="24"/>
        </w:rPr>
        <w:t xml:space="preserve"> The examination of MAP-LEXTER demonstrates that the Constitutional Court has been a relevant player in the field of territorial governance since the very beginning of the state of autonomies.</w:t>
      </w:r>
    </w:p>
    <w:p w14:paraId="673DCC7C" w14:textId="5125B0A9"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 xml:space="preserve">Firstly, it can be observed that autonomous communities adopted proactive behaviour, since they litigated two times as many times as the central government (66.50 </w:t>
      </w:r>
      <w:r w:rsidR="001C627A">
        <w:rPr>
          <w:rFonts w:ascii="Times New Roman" w:hAnsi="Times New Roman"/>
          <w:sz w:val="24"/>
          <w:szCs w:val="24"/>
        </w:rPr>
        <w:t>percent</w:t>
      </w:r>
      <w:r w:rsidRPr="00F600BE">
        <w:rPr>
          <w:rFonts w:ascii="Times New Roman" w:hAnsi="Times New Roman"/>
          <w:sz w:val="24"/>
          <w:szCs w:val="24"/>
        </w:rPr>
        <w:t xml:space="preserve"> and 33.50 </w:t>
      </w:r>
      <w:r w:rsidR="001C627A">
        <w:rPr>
          <w:rFonts w:ascii="Times New Roman" w:hAnsi="Times New Roman"/>
          <w:sz w:val="24"/>
          <w:szCs w:val="24"/>
        </w:rPr>
        <w:t>percent</w:t>
      </w:r>
      <w:r w:rsidRPr="00F600BE">
        <w:rPr>
          <w:rFonts w:ascii="Times New Roman" w:hAnsi="Times New Roman"/>
          <w:sz w:val="24"/>
          <w:szCs w:val="24"/>
        </w:rPr>
        <w:t xml:space="preserve">, respectively). The data also show that the litigants tended to use the actions of unconstitutionality and the conflicts of competences in equal proportion (51.5 </w:t>
      </w:r>
      <w:r w:rsidR="001C627A">
        <w:rPr>
          <w:rFonts w:ascii="Times New Roman" w:hAnsi="Times New Roman"/>
          <w:sz w:val="24"/>
          <w:szCs w:val="24"/>
        </w:rPr>
        <w:t>percent</w:t>
      </w:r>
      <w:r w:rsidRPr="00F600BE">
        <w:rPr>
          <w:rFonts w:ascii="Times New Roman" w:hAnsi="Times New Roman"/>
          <w:sz w:val="24"/>
          <w:szCs w:val="24"/>
        </w:rPr>
        <w:t xml:space="preserve"> and 48.5 </w:t>
      </w:r>
      <w:r w:rsidR="001C627A">
        <w:rPr>
          <w:rFonts w:ascii="Times New Roman" w:hAnsi="Times New Roman"/>
          <w:sz w:val="24"/>
          <w:szCs w:val="24"/>
        </w:rPr>
        <w:t>percent</w:t>
      </w:r>
      <w:r w:rsidRPr="00F600BE">
        <w:rPr>
          <w:rFonts w:ascii="Times New Roman" w:hAnsi="Times New Roman"/>
          <w:sz w:val="24"/>
          <w:szCs w:val="24"/>
        </w:rPr>
        <w:t xml:space="preserve">, respectively). Nevertheless, only 65 </w:t>
      </w:r>
      <w:r w:rsidR="001C627A">
        <w:rPr>
          <w:rFonts w:ascii="Times New Roman" w:hAnsi="Times New Roman"/>
          <w:sz w:val="24"/>
          <w:szCs w:val="24"/>
        </w:rPr>
        <w:t>percent</w:t>
      </w:r>
      <w:r w:rsidRPr="00F600BE">
        <w:rPr>
          <w:rFonts w:ascii="Times New Roman" w:hAnsi="Times New Roman"/>
          <w:sz w:val="24"/>
          <w:szCs w:val="24"/>
        </w:rPr>
        <w:t xml:space="preserve"> of the total litigations handled by the Court produced a ruling. The remaining 35 </w:t>
      </w:r>
      <w:r w:rsidR="001C627A">
        <w:rPr>
          <w:rFonts w:ascii="Times New Roman" w:hAnsi="Times New Roman"/>
          <w:sz w:val="24"/>
          <w:szCs w:val="24"/>
        </w:rPr>
        <w:t>percent</w:t>
      </w:r>
      <w:r w:rsidRPr="00F600BE">
        <w:rPr>
          <w:rFonts w:ascii="Times New Roman" w:hAnsi="Times New Roman"/>
          <w:sz w:val="24"/>
          <w:szCs w:val="24"/>
        </w:rPr>
        <w:t xml:space="preserve"> were annulated by the Court or withdrawn by the plaintiffs. Lastly, it is worth noting that the Constitutional Court has been predominantly favourable to the interests of autonomous communities during the 1980–2014 period. By way of evidence, regional governments won totally or partially 62.6 </w:t>
      </w:r>
      <w:r w:rsidR="001C627A">
        <w:rPr>
          <w:rFonts w:ascii="Times New Roman" w:hAnsi="Times New Roman"/>
          <w:sz w:val="24"/>
          <w:szCs w:val="24"/>
        </w:rPr>
        <w:t>percent</w:t>
      </w:r>
      <w:r w:rsidRPr="00F600BE">
        <w:rPr>
          <w:rFonts w:ascii="Times New Roman" w:hAnsi="Times New Roman"/>
          <w:sz w:val="24"/>
          <w:szCs w:val="24"/>
        </w:rPr>
        <w:t xml:space="preserve"> of the complaints they presented, while the central administration won 43.7 </w:t>
      </w:r>
      <w:r w:rsidR="001C627A">
        <w:rPr>
          <w:rFonts w:ascii="Times New Roman" w:hAnsi="Times New Roman"/>
          <w:sz w:val="24"/>
          <w:szCs w:val="24"/>
        </w:rPr>
        <w:t>percent</w:t>
      </w:r>
      <w:r w:rsidRPr="00F600BE">
        <w:rPr>
          <w:rFonts w:ascii="Times New Roman" w:hAnsi="Times New Roman"/>
          <w:sz w:val="24"/>
          <w:szCs w:val="24"/>
        </w:rPr>
        <w:t xml:space="preserve"> of its own litigations (Table 1).</w:t>
      </w:r>
    </w:p>
    <w:p w14:paraId="48DA8F9B" w14:textId="77777777" w:rsidR="00530EF3" w:rsidRPr="00F600BE" w:rsidRDefault="00530EF3" w:rsidP="00C45DE6">
      <w:pPr>
        <w:spacing w:after="0" w:line="240" w:lineRule="auto"/>
        <w:rPr>
          <w:rFonts w:ascii="Times New Roman" w:hAnsi="Times New Roman"/>
          <w:sz w:val="20"/>
          <w:szCs w:val="20"/>
        </w:rPr>
      </w:pPr>
    </w:p>
    <w:p w14:paraId="03C40FFE" w14:textId="77777777" w:rsidR="00530EF3" w:rsidRPr="00F600BE" w:rsidRDefault="00530EF3" w:rsidP="00C45DE6">
      <w:pPr>
        <w:spacing w:after="0" w:line="240" w:lineRule="auto"/>
        <w:rPr>
          <w:rFonts w:ascii="Times New Roman" w:hAnsi="Times New Roman"/>
          <w:sz w:val="20"/>
          <w:szCs w:val="20"/>
        </w:rPr>
      </w:pPr>
    </w:p>
    <w:p w14:paraId="13A63F38" w14:textId="15D42207" w:rsidR="00530EF3" w:rsidRPr="00F600BE" w:rsidRDefault="003C5D4B" w:rsidP="00C45DE6">
      <w:pPr>
        <w:spacing w:after="0" w:line="240" w:lineRule="auto"/>
        <w:jc w:val="center"/>
        <w:rPr>
          <w:rFonts w:ascii="Times New Roman" w:hAnsi="Times New Roman"/>
          <w:sz w:val="20"/>
          <w:szCs w:val="20"/>
        </w:rPr>
      </w:pPr>
      <w:r>
        <w:rPr>
          <w:rFonts w:ascii="Times New Roman" w:hAnsi="Times New Roman"/>
          <w:sz w:val="20"/>
          <w:szCs w:val="20"/>
        </w:rPr>
        <w:t>Table 1 about here</w:t>
      </w:r>
    </w:p>
    <w:p w14:paraId="6BD406CE" w14:textId="77777777" w:rsidR="00530EF3" w:rsidRPr="00F600BE" w:rsidRDefault="00530EF3" w:rsidP="00C45DE6">
      <w:pPr>
        <w:spacing w:after="0" w:line="240" w:lineRule="auto"/>
        <w:rPr>
          <w:rFonts w:ascii="Times New Roman" w:hAnsi="Times New Roman"/>
          <w:sz w:val="20"/>
          <w:szCs w:val="20"/>
        </w:rPr>
      </w:pPr>
    </w:p>
    <w:p w14:paraId="40160745" w14:textId="77777777" w:rsidR="00530EF3" w:rsidRPr="00F600BE" w:rsidRDefault="00530EF3" w:rsidP="00C45DE6">
      <w:pPr>
        <w:spacing w:after="0" w:line="240" w:lineRule="auto"/>
        <w:rPr>
          <w:rFonts w:ascii="Times New Roman" w:hAnsi="Times New Roman"/>
          <w:sz w:val="20"/>
          <w:szCs w:val="20"/>
        </w:rPr>
      </w:pPr>
    </w:p>
    <w:p w14:paraId="2821B46A" w14:textId="77777777" w:rsidR="00530EF3" w:rsidRPr="00F600BE" w:rsidRDefault="00530EF3" w:rsidP="00C45DE6">
      <w:pPr>
        <w:spacing w:after="0" w:line="240" w:lineRule="auto"/>
        <w:rPr>
          <w:rFonts w:ascii="Times New Roman" w:hAnsi="Times New Roman"/>
          <w:sz w:val="20"/>
          <w:szCs w:val="20"/>
        </w:rPr>
      </w:pPr>
    </w:p>
    <w:p w14:paraId="301311E3" w14:textId="77777777" w:rsidR="00530EF3" w:rsidRPr="00F600BE" w:rsidRDefault="00530EF3" w:rsidP="00C45DE6">
      <w:pPr>
        <w:spacing w:after="0" w:line="240" w:lineRule="auto"/>
        <w:rPr>
          <w:rFonts w:ascii="Times New Roman" w:hAnsi="Times New Roman"/>
          <w:sz w:val="20"/>
          <w:szCs w:val="20"/>
        </w:rPr>
      </w:pPr>
    </w:p>
    <w:p w14:paraId="66A200F6" w14:textId="77777777" w:rsidR="00530EF3" w:rsidRPr="00F600BE" w:rsidRDefault="00530EF3" w:rsidP="00C45DE6">
      <w:pPr>
        <w:spacing w:after="0" w:line="240" w:lineRule="auto"/>
        <w:rPr>
          <w:rFonts w:ascii="Times New Roman" w:hAnsi="Times New Roman"/>
          <w:sz w:val="20"/>
          <w:szCs w:val="20"/>
        </w:rPr>
      </w:pPr>
    </w:p>
    <w:p w14:paraId="700BD2DA" w14:textId="77777777" w:rsidR="00530EF3" w:rsidRPr="00F600BE" w:rsidRDefault="00530EF3" w:rsidP="00C45DE6">
      <w:pPr>
        <w:spacing w:after="0" w:line="240" w:lineRule="auto"/>
        <w:rPr>
          <w:rFonts w:ascii="Times New Roman" w:hAnsi="Times New Roman"/>
          <w:sz w:val="20"/>
          <w:szCs w:val="20"/>
        </w:rPr>
      </w:pPr>
    </w:p>
    <w:p w14:paraId="10A4EE35" w14:textId="77777777" w:rsidR="00530EF3" w:rsidRPr="00F600BE" w:rsidRDefault="00530EF3" w:rsidP="00C45DE6">
      <w:pPr>
        <w:spacing w:after="0" w:line="240" w:lineRule="auto"/>
        <w:rPr>
          <w:rFonts w:ascii="Times New Roman" w:hAnsi="Times New Roman"/>
          <w:sz w:val="20"/>
          <w:szCs w:val="20"/>
        </w:rPr>
      </w:pPr>
    </w:p>
    <w:p w14:paraId="758CA6F9" w14:textId="26FC6550"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lastRenderedPageBreak/>
        <w:t xml:space="preserve">Secondly, the MAP-LEXTER dataset puts to the fore the relevance of some policy areas of contention for the autonomous communities, like agriculture, the economy or industry. Actually, the conflicts dealing with the division of fiscal incomes </w:t>
      </w:r>
      <w:r>
        <w:rPr>
          <w:rFonts w:ascii="Times New Roman" w:hAnsi="Times New Roman"/>
          <w:sz w:val="24"/>
          <w:szCs w:val="24"/>
        </w:rPr>
        <w:t>from</w:t>
      </w:r>
      <w:r w:rsidRPr="00F600BE">
        <w:rPr>
          <w:rFonts w:ascii="Times New Roman" w:hAnsi="Times New Roman"/>
          <w:sz w:val="24"/>
          <w:szCs w:val="24"/>
        </w:rPr>
        <w:t xml:space="preserve"> gambling or the management of rivers are frequent. From another perspecti</w:t>
      </w:r>
      <w:r w:rsidR="00B64B7C">
        <w:rPr>
          <w:rFonts w:ascii="Times New Roman" w:hAnsi="Times New Roman"/>
          <w:sz w:val="24"/>
          <w:szCs w:val="24"/>
        </w:rPr>
        <w:t>ve, shared competences such as “</w:t>
      </w:r>
      <w:r w:rsidRPr="00F600BE">
        <w:rPr>
          <w:rFonts w:ascii="Times New Roman" w:hAnsi="Times New Roman"/>
          <w:sz w:val="24"/>
          <w:szCs w:val="24"/>
        </w:rPr>
        <w:t>Agricul</w:t>
      </w:r>
      <w:r w:rsidR="00B64B7C">
        <w:rPr>
          <w:rFonts w:ascii="Times New Roman" w:hAnsi="Times New Roman"/>
          <w:sz w:val="24"/>
          <w:szCs w:val="24"/>
        </w:rPr>
        <w:t>ture, food and environment” or “Economy and competitiveness”</w:t>
      </w:r>
      <w:r w:rsidRPr="00F600BE">
        <w:rPr>
          <w:rFonts w:ascii="Times New Roman" w:hAnsi="Times New Roman"/>
          <w:sz w:val="24"/>
          <w:szCs w:val="24"/>
        </w:rPr>
        <w:t xml:space="preserve"> cause a h</w:t>
      </w:r>
      <w:r w:rsidR="00B64B7C">
        <w:rPr>
          <w:rFonts w:ascii="Times New Roman" w:hAnsi="Times New Roman"/>
          <w:sz w:val="24"/>
          <w:szCs w:val="24"/>
        </w:rPr>
        <w:t>igher number of conflicts than “Defence” and “</w:t>
      </w:r>
      <w:r w:rsidRPr="00F600BE">
        <w:rPr>
          <w:rFonts w:ascii="Times New Roman" w:hAnsi="Times New Roman"/>
          <w:sz w:val="24"/>
          <w:szCs w:val="24"/>
        </w:rPr>
        <w:t>Foreign affairs and cooperation</w:t>
      </w:r>
      <w:r w:rsidR="00B64B7C">
        <w:rPr>
          <w:rFonts w:ascii="Times New Roman" w:hAnsi="Times New Roman"/>
          <w:sz w:val="24"/>
          <w:szCs w:val="24"/>
        </w:rPr>
        <w:t>”</w:t>
      </w:r>
      <w:r w:rsidRPr="00F600BE">
        <w:rPr>
          <w:rFonts w:ascii="Times New Roman" w:hAnsi="Times New Roman"/>
          <w:sz w:val="24"/>
          <w:szCs w:val="24"/>
        </w:rPr>
        <w:t xml:space="preserve"> that are entirely controlled by the central government. As stressed by an academic expert interv</w:t>
      </w:r>
      <w:r w:rsidR="001F5311">
        <w:rPr>
          <w:rFonts w:ascii="Times New Roman" w:hAnsi="Times New Roman"/>
          <w:sz w:val="24"/>
          <w:szCs w:val="24"/>
        </w:rPr>
        <w:t xml:space="preserve">iewed in Madrid in October 2015: </w:t>
      </w:r>
      <w:r w:rsidR="00B64B7C">
        <w:rPr>
          <w:rFonts w:ascii="Times New Roman" w:hAnsi="Times New Roman"/>
          <w:sz w:val="24"/>
          <w:szCs w:val="24"/>
        </w:rPr>
        <w:t>“</w:t>
      </w:r>
      <w:r w:rsidRPr="00F600BE">
        <w:rPr>
          <w:rFonts w:ascii="Times New Roman" w:hAnsi="Times New Roman"/>
          <w:sz w:val="24"/>
          <w:szCs w:val="24"/>
        </w:rPr>
        <w:t xml:space="preserve">the fuzzy sharing of competences established by articles 148 and 149 in the 1978 Constitution </w:t>
      </w:r>
      <w:r w:rsidR="00B64B7C">
        <w:rPr>
          <w:rFonts w:ascii="Times New Roman" w:hAnsi="Times New Roman"/>
          <w:sz w:val="24"/>
          <w:szCs w:val="24"/>
        </w:rPr>
        <w:t>favours this kind of opposition”</w:t>
      </w:r>
      <w:r w:rsidRPr="00F600BE">
        <w:rPr>
          <w:rFonts w:ascii="Times New Roman" w:hAnsi="Times New Roman"/>
          <w:sz w:val="24"/>
          <w:szCs w:val="24"/>
        </w:rPr>
        <w:t xml:space="preserve"> (Figure 1).</w:t>
      </w:r>
    </w:p>
    <w:p w14:paraId="2FEEA1F5" w14:textId="21C7DFDF" w:rsidR="00530EF3" w:rsidRPr="007C29F1" w:rsidRDefault="00530EF3" w:rsidP="00C45DE6">
      <w:pPr>
        <w:spacing w:after="0" w:line="240" w:lineRule="auto"/>
        <w:ind w:firstLine="397"/>
        <w:jc w:val="both"/>
        <w:rPr>
          <w:rFonts w:ascii="Times New Roman" w:hAnsi="Times New Roman"/>
          <w:sz w:val="20"/>
          <w:szCs w:val="20"/>
        </w:rPr>
      </w:pPr>
    </w:p>
    <w:p w14:paraId="0BE42D08" w14:textId="77777777" w:rsidR="007C29F1" w:rsidRPr="007C29F1" w:rsidRDefault="007C29F1" w:rsidP="00C45DE6">
      <w:pPr>
        <w:spacing w:after="0" w:line="240" w:lineRule="auto"/>
        <w:ind w:firstLine="397"/>
        <w:jc w:val="both"/>
        <w:rPr>
          <w:rFonts w:ascii="Times New Roman" w:hAnsi="Times New Roman"/>
          <w:sz w:val="20"/>
          <w:szCs w:val="20"/>
        </w:rPr>
      </w:pPr>
    </w:p>
    <w:p w14:paraId="0E681E80" w14:textId="067A21C6" w:rsidR="00530EF3" w:rsidRPr="007C29F1" w:rsidRDefault="007C29F1" w:rsidP="00C45DE6">
      <w:pPr>
        <w:spacing w:after="0" w:line="240" w:lineRule="auto"/>
        <w:jc w:val="center"/>
        <w:rPr>
          <w:rFonts w:ascii="Times New Roman" w:hAnsi="Times New Roman"/>
          <w:iCs/>
          <w:color w:val="000000"/>
          <w:sz w:val="20"/>
          <w:szCs w:val="20"/>
        </w:rPr>
      </w:pPr>
      <w:r w:rsidRPr="007C29F1">
        <w:rPr>
          <w:rFonts w:ascii="Times New Roman" w:hAnsi="Times New Roman"/>
          <w:iCs/>
          <w:color w:val="000000"/>
          <w:sz w:val="20"/>
          <w:szCs w:val="20"/>
        </w:rPr>
        <w:t>Figure 1 about here</w:t>
      </w:r>
    </w:p>
    <w:p w14:paraId="166E5537" w14:textId="4BA0362A" w:rsidR="007C29F1" w:rsidRPr="007C29F1" w:rsidRDefault="007C29F1" w:rsidP="00C45DE6">
      <w:pPr>
        <w:spacing w:after="0" w:line="240" w:lineRule="auto"/>
        <w:jc w:val="center"/>
        <w:rPr>
          <w:rFonts w:ascii="Times New Roman" w:hAnsi="Times New Roman"/>
          <w:iCs/>
          <w:color w:val="000000"/>
          <w:sz w:val="20"/>
          <w:szCs w:val="20"/>
          <w:highlight w:val="yellow"/>
        </w:rPr>
      </w:pPr>
    </w:p>
    <w:p w14:paraId="5C4AD42E" w14:textId="77777777" w:rsidR="007C29F1" w:rsidRPr="007C29F1" w:rsidRDefault="007C29F1" w:rsidP="00C45DE6">
      <w:pPr>
        <w:spacing w:after="0" w:line="240" w:lineRule="auto"/>
        <w:jc w:val="center"/>
        <w:rPr>
          <w:rFonts w:ascii="Times New Roman" w:hAnsi="Times New Roman"/>
          <w:iCs/>
          <w:color w:val="000000"/>
          <w:sz w:val="20"/>
          <w:szCs w:val="20"/>
          <w:highlight w:val="yellow"/>
        </w:rPr>
      </w:pPr>
    </w:p>
    <w:p w14:paraId="4B66C0EF" w14:textId="4E0CCF40"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Thirdly, the data show that intergovernmental conflicts followed a cyclical dynamic between 1980 and 2014. Obviously, those cycles of contention are difficult to synthesise because of the several issues tackled by the Constitutional Court. Nevertheless, certain trends can be observed (Aragón Reyes 2006). Acco</w:t>
      </w:r>
      <w:r w:rsidR="0069000E">
        <w:rPr>
          <w:rFonts w:ascii="Times New Roman" w:hAnsi="Times New Roman"/>
          <w:sz w:val="24"/>
          <w:szCs w:val="24"/>
        </w:rPr>
        <w:t>rding to one of the interviewed magistrates</w:t>
      </w:r>
      <w:r w:rsidR="00B64B7C">
        <w:rPr>
          <w:rFonts w:ascii="Times New Roman" w:hAnsi="Times New Roman"/>
          <w:sz w:val="24"/>
          <w:szCs w:val="24"/>
        </w:rPr>
        <w:t xml:space="preserve"> (Barcelona, November 2015): “</w:t>
      </w:r>
      <w:r w:rsidRPr="00F600BE">
        <w:rPr>
          <w:rFonts w:ascii="Times New Roman" w:hAnsi="Times New Roman"/>
          <w:sz w:val="24"/>
          <w:szCs w:val="24"/>
        </w:rPr>
        <w:t xml:space="preserve">[…] the first period (1980–91) corresponds to the launching of the state of autonomies. Regional governments had to find their place in this brand-new territorial model. </w:t>
      </w:r>
      <w:r w:rsidR="00B64B7C">
        <w:rPr>
          <w:rFonts w:ascii="Times New Roman" w:hAnsi="Times New Roman"/>
          <w:sz w:val="24"/>
          <w:szCs w:val="24"/>
        </w:rPr>
        <w:t>This provoked several conflicts”. Later: “</w:t>
      </w:r>
      <w:r w:rsidRPr="00F600BE">
        <w:rPr>
          <w:rFonts w:ascii="Times New Roman" w:hAnsi="Times New Roman"/>
          <w:sz w:val="24"/>
          <w:szCs w:val="24"/>
        </w:rPr>
        <w:t xml:space="preserve">The adoption of the Second Autonomous Pacts in 1992 softened the situation temporarily, but the alternation of majorities produced new conflicts of competences during the second part because of the renegotiation of </w:t>
      </w:r>
      <w:r w:rsidR="00B64B7C">
        <w:rPr>
          <w:rFonts w:ascii="Times New Roman" w:hAnsi="Times New Roman"/>
          <w:sz w:val="24"/>
          <w:szCs w:val="24"/>
        </w:rPr>
        <w:t>autonomous statutes (1992–2008)”. Finally: “</w:t>
      </w:r>
      <w:r w:rsidRPr="00F600BE">
        <w:rPr>
          <w:rFonts w:ascii="Times New Roman" w:hAnsi="Times New Roman"/>
          <w:sz w:val="24"/>
          <w:szCs w:val="24"/>
        </w:rPr>
        <w:t xml:space="preserve">[...] the budgetary cuts and the absolute majority of Conservatives left no choice to the regional governments who needed to defend their self-competences </w:t>
      </w:r>
      <w:r w:rsidR="00B64B7C">
        <w:rPr>
          <w:rFonts w:ascii="Times New Roman" w:hAnsi="Times New Roman"/>
          <w:sz w:val="24"/>
          <w:szCs w:val="24"/>
        </w:rPr>
        <w:t>before the Constitutional Court”</w:t>
      </w:r>
      <w:r w:rsidRPr="00F600BE">
        <w:rPr>
          <w:rFonts w:ascii="Times New Roman" w:hAnsi="Times New Roman"/>
          <w:sz w:val="24"/>
          <w:szCs w:val="24"/>
        </w:rPr>
        <w:t xml:space="preserve"> (Figure 2). </w:t>
      </w:r>
    </w:p>
    <w:p w14:paraId="76BE353F" w14:textId="07380A94" w:rsidR="00530EF3" w:rsidRDefault="00530EF3" w:rsidP="00C45DE6">
      <w:pPr>
        <w:numPr>
          <w:ilvl w:val="1"/>
          <w:numId w:val="0"/>
        </w:numPr>
        <w:spacing w:after="0" w:line="240" w:lineRule="auto"/>
        <w:rPr>
          <w:rFonts w:ascii="Times New Roman" w:hAnsi="Times New Roman"/>
          <w:iCs/>
          <w:color w:val="000000"/>
          <w:spacing w:val="15"/>
          <w:sz w:val="20"/>
          <w:szCs w:val="20"/>
          <w:highlight w:val="yellow"/>
        </w:rPr>
      </w:pPr>
    </w:p>
    <w:p w14:paraId="0BFA81BF" w14:textId="1ABDF7C2" w:rsidR="007C29F1" w:rsidRDefault="007C29F1" w:rsidP="00C45DE6">
      <w:pPr>
        <w:numPr>
          <w:ilvl w:val="1"/>
          <w:numId w:val="0"/>
        </w:numPr>
        <w:spacing w:after="0" w:line="240" w:lineRule="auto"/>
        <w:rPr>
          <w:rFonts w:ascii="Times New Roman" w:hAnsi="Times New Roman"/>
          <w:iCs/>
          <w:color w:val="000000"/>
          <w:spacing w:val="15"/>
          <w:sz w:val="20"/>
          <w:szCs w:val="20"/>
          <w:highlight w:val="yellow"/>
        </w:rPr>
      </w:pPr>
    </w:p>
    <w:p w14:paraId="04D692F0" w14:textId="0A2611B9" w:rsidR="007C29F1" w:rsidRPr="007C29F1" w:rsidRDefault="007C29F1" w:rsidP="00C45DE6">
      <w:pPr>
        <w:numPr>
          <w:ilvl w:val="1"/>
          <w:numId w:val="0"/>
        </w:numPr>
        <w:spacing w:after="0" w:line="240" w:lineRule="auto"/>
        <w:jc w:val="center"/>
        <w:rPr>
          <w:rFonts w:ascii="Times New Roman" w:hAnsi="Times New Roman"/>
          <w:iCs/>
          <w:color w:val="000000"/>
          <w:spacing w:val="15"/>
          <w:sz w:val="20"/>
          <w:szCs w:val="20"/>
        </w:rPr>
      </w:pPr>
      <w:r w:rsidRPr="007C29F1">
        <w:rPr>
          <w:rFonts w:ascii="Times New Roman" w:hAnsi="Times New Roman"/>
          <w:iCs/>
          <w:color w:val="000000"/>
          <w:spacing w:val="15"/>
          <w:sz w:val="20"/>
          <w:szCs w:val="20"/>
        </w:rPr>
        <w:t>Figure 2 about here</w:t>
      </w:r>
    </w:p>
    <w:p w14:paraId="342C18BE" w14:textId="71828CB8" w:rsidR="007C29F1" w:rsidRDefault="007C29F1" w:rsidP="00C45DE6">
      <w:pPr>
        <w:numPr>
          <w:ilvl w:val="1"/>
          <w:numId w:val="0"/>
        </w:numPr>
        <w:spacing w:after="0" w:line="240" w:lineRule="auto"/>
        <w:rPr>
          <w:rFonts w:ascii="Times New Roman" w:hAnsi="Times New Roman"/>
          <w:iCs/>
          <w:color w:val="000000"/>
          <w:spacing w:val="15"/>
          <w:sz w:val="20"/>
          <w:szCs w:val="20"/>
          <w:highlight w:val="yellow"/>
        </w:rPr>
      </w:pPr>
    </w:p>
    <w:p w14:paraId="385D569F" w14:textId="77777777" w:rsidR="007C29F1" w:rsidRPr="007C29F1" w:rsidRDefault="007C29F1" w:rsidP="00C45DE6">
      <w:pPr>
        <w:numPr>
          <w:ilvl w:val="1"/>
          <w:numId w:val="0"/>
        </w:numPr>
        <w:spacing w:after="0" w:line="240" w:lineRule="auto"/>
        <w:rPr>
          <w:rFonts w:ascii="Times New Roman" w:hAnsi="Times New Roman"/>
          <w:iCs/>
          <w:color w:val="000000"/>
          <w:spacing w:val="15"/>
          <w:sz w:val="20"/>
          <w:szCs w:val="20"/>
          <w:highlight w:val="yellow"/>
        </w:rPr>
      </w:pPr>
    </w:p>
    <w:p w14:paraId="7A0D996F" w14:textId="59253BED" w:rsidR="00530EF3" w:rsidRPr="00F600BE" w:rsidRDefault="00530EF3" w:rsidP="00C45DE6">
      <w:pPr>
        <w:spacing w:after="0" w:line="240" w:lineRule="auto"/>
        <w:ind w:firstLine="397"/>
        <w:jc w:val="both"/>
      </w:pPr>
      <w:r w:rsidRPr="00F600BE">
        <w:rPr>
          <w:rFonts w:ascii="Times New Roman" w:hAnsi="Times New Roman"/>
          <w:sz w:val="24"/>
          <w:szCs w:val="24"/>
        </w:rPr>
        <w:t xml:space="preserve">Lastly, the MAP-LEXTER dataset reveals that the levels of intergovernmental contention evolved greatly from one region to the other. At the top of the ranking Catalonia accumulates 33.2 </w:t>
      </w:r>
      <w:r w:rsidR="001C627A">
        <w:rPr>
          <w:rFonts w:ascii="Times New Roman" w:hAnsi="Times New Roman"/>
          <w:sz w:val="24"/>
          <w:szCs w:val="24"/>
        </w:rPr>
        <w:t>percent</w:t>
      </w:r>
      <w:r w:rsidRPr="00F600BE">
        <w:rPr>
          <w:rFonts w:ascii="Times New Roman" w:hAnsi="Times New Roman"/>
          <w:sz w:val="24"/>
          <w:szCs w:val="24"/>
        </w:rPr>
        <w:t xml:space="preserve"> of all litigations, followed by a group of front-runners constituted by the Basque Country (16.9), Galicia (7.9) and Andalusia (7.7).</w:t>
      </w:r>
      <w:r w:rsidRPr="00F600BE">
        <w:rPr>
          <w:rStyle w:val="Refdenotaalfinal"/>
          <w:rFonts w:ascii="Times New Roman" w:hAnsi="Times New Roman"/>
          <w:sz w:val="24"/>
          <w:szCs w:val="24"/>
        </w:rPr>
        <w:endnoteReference w:id="4"/>
      </w:r>
      <w:r w:rsidRPr="00F600BE">
        <w:rPr>
          <w:rFonts w:ascii="Times New Roman" w:hAnsi="Times New Roman"/>
          <w:sz w:val="24"/>
          <w:szCs w:val="24"/>
        </w:rPr>
        <w:t xml:space="preserve"> The rest of the regions represent between 0.8 and 5.4 </w:t>
      </w:r>
      <w:r w:rsidR="001C627A">
        <w:rPr>
          <w:rFonts w:ascii="Times New Roman" w:hAnsi="Times New Roman"/>
          <w:sz w:val="24"/>
          <w:szCs w:val="24"/>
        </w:rPr>
        <w:t>percent</w:t>
      </w:r>
      <w:r w:rsidRPr="00F600BE">
        <w:rPr>
          <w:rFonts w:ascii="Times New Roman" w:hAnsi="Times New Roman"/>
          <w:sz w:val="24"/>
          <w:szCs w:val="24"/>
        </w:rPr>
        <w:t xml:space="preserve"> of the total challenges. To put it another way, the autonomous communities ruled by the article 151 (viz. those which benefitted from an advanced statute of autonomy before the others) are more conflictive than the rest, dat</w:t>
      </w:r>
      <w:r w:rsidR="00B64B7C">
        <w:rPr>
          <w:rFonts w:ascii="Times New Roman" w:hAnsi="Times New Roman"/>
          <w:sz w:val="24"/>
          <w:szCs w:val="24"/>
        </w:rPr>
        <w:t>a that can be explained by the “</w:t>
      </w:r>
      <w:r w:rsidRPr="00F600BE">
        <w:rPr>
          <w:rFonts w:ascii="Times New Roman" w:hAnsi="Times New Roman"/>
          <w:sz w:val="24"/>
          <w:szCs w:val="24"/>
        </w:rPr>
        <w:t xml:space="preserve">strategy of contention adopted by regional </w:t>
      </w:r>
      <w:r w:rsidR="0069000E">
        <w:rPr>
          <w:rFonts w:ascii="Times New Roman" w:hAnsi="Times New Roman"/>
          <w:sz w:val="24"/>
          <w:szCs w:val="24"/>
        </w:rPr>
        <w:t xml:space="preserve">administrations in order to defend their self-rule </w:t>
      </w:r>
      <w:r w:rsidRPr="00F600BE">
        <w:rPr>
          <w:rFonts w:ascii="Times New Roman" w:hAnsi="Times New Roman"/>
          <w:sz w:val="24"/>
          <w:szCs w:val="24"/>
        </w:rPr>
        <w:t>capacity</w:t>
      </w:r>
      <w:r w:rsidR="00B64B7C">
        <w:rPr>
          <w:rFonts w:ascii="Times New Roman" w:hAnsi="Times New Roman"/>
          <w:sz w:val="24"/>
          <w:szCs w:val="24"/>
        </w:rPr>
        <w:t>”</w:t>
      </w:r>
      <w:r w:rsidRPr="00F600BE">
        <w:rPr>
          <w:rFonts w:ascii="Times New Roman" w:hAnsi="Times New Roman"/>
          <w:sz w:val="24"/>
          <w:szCs w:val="24"/>
        </w:rPr>
        <w:t xml:space="preserve"> (expert interviewed in Barcelona, November 2015) (Table 2). </w:t>
      </w:r>
    </w:p>
    <w:p w14:paraId="2100EC01" w14:textId="3D3FFD1B" w:rsidR="00530EF3" w:rsidRPr="007C29F1" w:rsidRDefault="00530EF3" w:rsidP="00C45DE6">
      <w:pPr>
        <w:spacing w:after="0" w:line="240" w:lineRule="auto"/>
        <w:ind w:firstLine="397"/>
        <w:jc w:val="both"/>
        <w:rPr>
          <w:rFonts w:ascii="Times New Roman" w:hAnsi="Times New Roman"/>
          <w:sz w:val="20"/>
          <w:szCs w:val="20"/>
        </w:rPr>
      </w:pPr>
    </w:p>
    <w:p w14:paraId="5ADDDA8F" w14:textId="0C16936B" w:rsidR="007C29F1" w:rsidRPr="007C29F1" w:rsidRDefault="007C29F1" w:rsidP="00C45DE6">
      <w:pPr>
        <w:spacing w:after="0" w:line="240" w:lineRule="auto"/>
        <w:ind w:firstLine="397"/>
        <w:jc w:val="both"/>
        <w:rPr>
          <w:rFonts w:ascii="Times New Roman" w:hAnsi="Times New Roman"/>
          <w:sz w:val="20"/>
          <w:szCs w:val="20"/>
        </w:rPr>
      </w:pPr>
    </w:p>
    <w:p w14:paraId="59221FD3" w14:textId="7CF86EF2" w:rsidR="007C29F1" w:rsidRDefault="007C29F1" w:rsidP="00C45DE6">
      <w:pPr>
        <w:spacing w:after="0" w:line="240" w:lineRule="auto"/>
        <w:jc w:val="center"/>
        <w:rPr>
          <w:rFonts w:ascii="Times New Roman" w:hAnsi="Times New Roman"/>
          <w:sz w:val="20"/>
          <w:szCs w:val="20"/>
        </w:rPr>
      </w:pPr>
      <w:r>
        <w:rPr>
          <w:rFonts w:ascii="Times New Roman" w:hAnsi="Times New Roman"/>
          <w:sz w:val="20"/>
          <w:szCs w:val="20"/>
        </w:rPr>
        <w:t>Table 2 about here</w:t>
      </w:r>
    </w:p>
    <w:p w14:paraId="61C52EBA" w14:textId="649E764D" w:rsidR="007C29F1" w:rsidRDefault="007C29F1" w:rsidP="00C45DE6">
      <w:pPr>
        <w:spacing w:after="0" w:line="240" w:lineRule="auto"/>
        <w:jc w:val="center"/>
        <w:rPr>
          <w:rFonts w:ascii="Times New Roman" w:hAnsi="Times New Roman"/>
          <w:sz w:val="20"/>
          <w:szCs w:val="20"/>
        </w:rPr>
      </w:pPr>
    </w:p>
    <w:p w14:paraId="2E2D54EB" w14:textId="77777777" w:rsidR="007C29F1" w:rsidRPr="007C29F1" w:rsidRDefault="007C29F1" w:rsidP="00C45DE6">
      <w:pPr>
        <w:spacing w:after="0" w:line="240" w:lineRule="auto"/>
        <w:jc w:val="center"/>
        <w:rPr>
          <w:rFonts w:ascii="Times New Roman" w:hAnsi="Times New Roman"/>
          <w:sz w:val="20"/>
          <w:szCs w:val="20"/>
        </w:rPr>
      </w:pPr>
    </w:p>
    <w:p w14:paraId="3B6AA054" w14:textId="48F60CAE" w:rsidR="00530EF3" w:rsidRPr="00F600BE" w:rsidRDefault="004C2AC6" w:rsidP="00C45DE6">
      <w:pPr>
        <w:spacing w:after="0" w:line="240" w:lineRule="auto"/>
        <w:jc w:val="both"/>
        <w:rPr>
          <w:rFonts w:ascii="Times New Roman" w:hAnsi="Times New Roman"/>
          <w:i/>
          <w:sz w:val="24"/>
          <w:szCs w:val="24"/>
        </w:rPr>
      </w:pPr>
      <w:r>
        <w:rPr>
          <w:rFonts w:ascii="Times New Roman" w:hAnsi="Times New Roman"/>
          <w:i/>
          <w:sz w:val="24"/>
          <w:szCs w:val="24"/>
        </w:rPr>
        <w:t xml:space="preserve">Shaping </w:t>
      </w:r>
      <w:r w:rsidR="00AE7EC0">
        <w:rPr>
          <w:rFonts w:ascii="Times New Roman" w:hAnsi="Times New Roman"/>
          <w:i/>
          <w:sz w:val="24"/>
          <w:szCs w:val="24"/>
        </w:rPr>
        <w:t>territorial i</w:t>
      </w:r>
      <w:r w:rsidR="00530EF3" w:rsidRPr="00F600BE">
        <w:rPr>
          <w:rFonts w:ascii="Times New Roman" w:hAnsi="Times New Roman"/>
          <w:i/>
          <w:sz w:val="24"/>
          <w:szCs w:val="24"/>
        </w:rPr>
        <w:t xml:space="preserve">ssues </w:t>
      </w:r>
      <w:r>
        <w:rPr>
          <w:rFonts w:ascii="Times New Roman" w:hAnsi="Times New Roman"/>
          <w:i/>
          <w:sz w:val="24"/>
          <w:szCs w:val="24"/>
        </w:rPr>
        <w:t>through the constitutional review</w:t>
      </w:r>
    </w:p>
    <w:p w14:paraId="049598AD" w14:textId="77777777" w:rsidR="00530EF3" w:rsidRPr="00F600BE" w:rsidRDefault="00530EF3" w:rsidP="00C45DE6">
      <w:pPr>
        <w:spacing w:after="0" w:line="240" w:lineRule="auto"/>
        <w:jc w:val="both"/>
        <w:rPr>
          <w:rFonts w:ascii="Times New Roman" w:hAnsi="Times New Roman"/>
          <w:sz w:val="24"/>
          <w:szCs w:val="24"/>
        </w:rPr>
      </w:pPr>
    </w:p>
    <w:p w14:paraId="7A0ED65F" w14:textId="022CA07D" w:rsidR="00530EF3" w:rsidRPr="00F600BE" w:rsidRDefault="00530EF3" w:rsidP="00C45DE6">
      <w:pPr>
        <w:spacing w:after="0" w:line="240" w:lineRule="auto"/>
        <w:jc w:val="both"/>
        <w:rPr>
          <w:rFonts w:ascii="Times New Roman" w:hAnsi="Times New Roman"/>
          <w:sz w:val="24"/>
          <w:szCs w:val="24"/>
        </w:rPr>
      </w:pPr>
      <w:r w:rsidRPr="00F600BE">
        <w:rPr>
          <w:rFonts w:ascii="Times New Roman" w:hAnsi="Times New Roman"/>
          <w:sz w:val="24"/>
          <w:szCs w:val="24"/>
        </w:rPr>
        <w:t xml:space="preserve">Beyond the quantitative perspective, the Spanish territorial system has been profoundly shaped by the jurisprudence of the Constitutional Court. The relevance of the constitutional review can be interpreted as a side-effect of the process of democratisation. </w:t>
      </w:r>
      <w:r w:rsidRPr="00F600BE">
        <w:rPr>
          <w:rFonts w:ascii="Times New Roman" w:hAnsi="Times New Roman"/>
          <w:sz w:val="24"/>
          <w:szCs w:val="24"/>
        </w:rPr>
        <w:lastRenderedPageBreak/>
        <w:t xml:space="preserve">In 1978, the complex process of the adoption of the Constitution allowed a text to be produced with solid statements (like the articles about political and civil liberties) along with vague principles (like those dealing with the federal organisation of the state). </w:t>
      </w:r>
      <w:r w:rsidR="006D24F9">
        <w:rPr>
          <w:rFonts w:ascii="Times New Roman" w:hAnsi="Times New Roman"/>
          <w:sz w:val="24"/>
          <w:szCs w:val="24"/>
        </w:rPr>
        <w:t xml:space="preserve">Moreover, </w:t>
      </w:r>
      <w:r w:rsidR="00922563">
        <w:rPr>
          <w:rFonts w:ascii="Times New Roman" w:hAnsi="Times New Roman"/>
          <w:sz w:val="24"/>
          <w:szCs w:val="24"/>
        </w:rPr>
        <w:t>reforming</w:t>
      </w:r>
      <w:r w:rsidR="006D24F9">
        <w:rPr>
          <w:rFonts w:ascii="Times New Roman" w:hAnsi="Times New Roman"/>
          <w:sz w:val="24"/>
          <w:szCs w:val="24"/>
        </w:rPr>
        <w:t xml:space="preserve"> the constitution </w:t>
      </w:r>
      <w:r w:rsidR="00922563">
        <w:rPr>
          <w:rFonts w:ascii="Times New Roman" w:hAnsi="Times New Roman"/>
          <w:sz w:val="24"/>
          <w:szCs w:val="24"/>
        </w:rPr>
        <w:t>requires a super majority</w:t>
      </w:r>
      <w:r w:rsidR="006D24F9">
        <w:rPr>
          <w:rFonts w:ascii="Times New Roman" w:hAnsi="Times New Roman"/>
          <w:sz w:val="24"/>
          <w:szCs w:val="24"/>
        </w:rPr>
        <w:t xml:space="preserve"> </w:t>
      </w:r>
      <w:r w:rsidR="00922563">
        <w:rPr>
          <w:rFonts w:ascii="Times New Roman" w:hAnsi="Times New Roman"/>
          <w:sz w:val="24"/>
          <w:szCs w:val="24"/>
        </w:rPr>
        <w:t xml:space="preserve">in the Congress and the Senate. </w:t>
      </w:r>
      <w:r w:rsidRPr="00F600BE">
        <w:rPr>
          <w:rFonts w:ascii="Times New Roman" w:hAnsi="Times New Roman"/>
          <w:sz w:val="24"/>
          <w:szCs w:val="24"/>
        </w:rPr>
        <w:t xml:space="preserve">Consequently, the </w:t>
      </w:r>
      <w:r w:rsidRPr="00F600BE">
        <w:rPr>
          <w:rFonts w:ascii="Times New Roman" w:hAnsi="Times New Roman"/>
          <w:i/>
          <w:sz w:val="24"/>
          <w:szCs w:val="24"/>
        </w:rPr>
        <w:t>Tribunal</w:t>
      </w:r>
      <w:r w:rsidRPr="00F600BE">
        <w:rPr>
          <w:rFonts w:ascii="Times New Roman" w:hAnsi="Times New Roman"/>
          <w:sz w:val="24"/>
          <w:szCs w:val="24"/>
        </w:rPr>
        <w:t xml:space="preserve"> has been frequently asked to clarify some aspects of the Constitution. Though it is impossible to summarise the whole constitutional jurisprudence in territorial politics, it is important to stress the four main areas of contention that have caught the attention of justices (Tribunal Constitucional 2016).</w:t>
      </w:r>
    </w:p>
    <w:p w14:paraId="2642FD30" w14:textId="77777777"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 xml:space="preserve">First of all, the </w:t>
      </w:r>
      <w:r w:rsidRPr="00F600BE">
        <w:rPr>
          <w:rFonts w:ascii="Times New Roman" w:hAnsi="Times New Roman"/>
          <w:i/>
          <w:sz w:val="24"/>
          <w:szCs w:val="24"/>
        </w:rPr>
        <w:t>Tribunal</w:t>
      </w:r>
      <w:r w:rsidRPr="00F600BE">
        <w:rPr>
          <w:rFonts w:ascii="Times New Roman" w:hAnsi="Times New Roman"/>
          <w:sz w:val="24"/>
          <w:szCs w:val="24"/>
        </w:rPr>
        <w:t xml:space="preserve"> made an effort to clarify the Spanish legal order with respect to regional legislation. Indeed, the Court affirmed that regional autonomy and sovereignty were two different concepts (ruling 4/1981). It also proclaimed the unity of the legal order (ruling 4/1982) and that regional autonomy was political, not administrative (</w:t>
      </w:r>
      <w:r>
        <w:rPr>
          <w:rFonts w:ascii="Times New Roman" w:hAnsi="Times New Roman"/>
          <w:sz w:val="24"/>
          <w:szCs w:val="24"/>
        </w:rPr>
        <w:t>ruling</w:t>
      </w:r>
      <w:r w:rsidRPr="00F600BE">
        <w:rPr>
          <w:rFonts w:ascii="Times New Roman" w:hAnsi="Times New Roman"/>
          <w:sz w:val="24"/>
          <w:szCs w:val="24"/>
        </w:rPr>
        <w:t xml:space="preserve"> 25/1985). Therefore, Spanish autonomous communities’ historical rights were guaranteed within the framework of the 1978 Constitution (ruling 76/1988). By the same token, the Court insisted on the constitutional exigence of solidarity and loyalty between territorial actors (ruling 64/1990) (Aragón Reyes 2000). </w:t>
      </w:r>
    </w:p>
    <w:p w14:paraId="72F7EBE2" w14:textId="71B99D85"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Secondly, the prevalence of state legislation was then counterbalanced by the fundamental ruling on the LOAPA (</w:t>
      </w:r>
      <w:r w:rsidRPr="00F600BE">
        <w:rPr>
          <w:rFonts w:ascii="Times New Roman" w:hAnsi="Times New Roman"/>
          <w:i/>
          <w:sz w:val="24"/>
          <w:szCs w:val="24"/>
        </w:rPr>
        <w:t>Ley Orgánica de Armonización del Proceso Autonómico</w:t>
      </w:r>
      <w:r w:rsidRPr="00F600BE">
        <w:rPr>
          <w:rFonts w:ascii="Times New Roman" w:hAnsi="Times New Roman"/>
          <w:sz w:val="24"/>
          <w:szCs w:val="24"/>
        </w:rPr>
        <w:t>, Organic Law for Harmonising the Autonomous Process). In 1981, the Union of the Democratic Centre along with the So</w:t>
      </w:r>
      <w:r w:rsidR="00B64B7C">
        <w:rPr>
          <w:rFonts w:ascii="Times New Roman" w:hAnsi="Times New Roman"/>
          <w:sz w:val="24"/>
          <w:szCs w:val="24"/>
        </w:rPr>
        <w:t>cialist Party signed the first Pact for autonomy</w:t>
      </w:r>
      <w:r w:rsidRPr="00F600BE">
        <w:rPr>
          <w:rFonts w:ascii="Times New Roman" w:hAnsi="Times New Roman"/>
          <w:sz w:val="24"/>
          <w:szCs w:val="24"/>
        </w:rPr>
        <w:t xml:space="preserve"> and aimed to re-equilibrate the competences between Spanish regions. That decision was contested by the Basque and Catalan governments, who defended their right to establish their own regional legal orders. Through ruling 76/1983, the constitutional justices finally forbid the central cabinet from modifying the sharing of power established by the Constitution and the regional statutes of autonomy (since</w:t>
      </w:r>
      <w:r w:rsidR="00CE11C4">
        <w:rPr>
          <w:rFonts w:ascii="Times New Roman" w:hAnsi="Times New Roman"/>
          <w:sz w:val="24"/>
          <w:szCs w:val="24"/>
        </w:rPr>
        <w:t xml:space="preserve"> both constitute the so-called “bloc of constitutionality”</w:t>
      </w:r>
      <w:r w:rsidRPr="00F600BE">
        <w:rPr>
          <w:rFonts w:ascii="Times New Roman" w:hAnsi="Times New Roman"/>
          <w:sz w:val="24"/>
          <w:szCs w:val="24"/>
        </w:rPr>
        <w:t>) through a simple law. By doing so, this ruling preserved the distinction between constituted and constituent powers and guaranteed the autonomy of the regions (reaffirmed by ruling 137/1986) (Fernández Farreres 2005).</w:t>
      </w:r>
    </w:p>
    <w:p w14:paraId="2C2127F3" w14:textId="051580F4"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Thirdly, the sharing of policy areas between central and regional administrations has been more complicated to define because of the vague division established by articles 149 and 159 of the Constitution. According to the Court, the central state does not have a monopoly on shared competences; it has, rather, the role of policy-framer (ruling 173/1998). More than a strict relationship of prevalence, state institutions are supposed to collaborate with autonomous communities in order to ensure the good operation of public services (</w:t>
      </w:r>
      <w:r>
        <w:rPr>
          <w:rFonts w:ascii="Times New Roman" w:hAnsi="Times New Roman"/>
          <w:sz w:val="24"/>
          <w:szCs w:val="24"/>
        </w:rPr>
        <w:t>ruling</w:t>
      </w:r>
      <w:r w:rsidRPr="00F600BE">
        <w:rPr>
          <w:rFonts w:ascii="Times New Roman" w:hAnsi="Times New Roman"/>
          <w:sz w:val="24"/>
          <w:szCs w:val="24"/>
        </w:rPr>
        <w:t xml:space="preserve"> 81/1997). One of the last developments in this field has been the reactivation of the debate about the legitimacy of the central government imposing European regulations concerning budget stability on the autonomous communities after the 2008 financial crisis. Though the Court recognised the autonomy of regions in their own areas of competence vis-à-vis the European legislation </w:t>
      </w:r>
      <w:r w:rsidRPr="006E2A10">
        <w:t>(</w:t>
      </w:r>
      <w:r w:rsidRPr="00F600BE">
        <w:rPr>
          <w:rFonts w:ascii="Times New Roman" w:hAnsi="Times New Roman"/>
          <w:sz w:val="24"/>
          <w:szCs w:val="24"/>
        </w:rPr>
        <w:t>ruling 252/1988), it also gave the power to the central government to check the compliance of those norms (ruling 252/1988). This statement had been put forth previously in 2001 (ruling 62/2001) to guarantee the budgetary equilibrium of public accounts, and had been reaffirmed in 2011 (ruling 134/2011) (de la Quadra-Salcedo Janini 2013).</w:t>
      </w:r>
    </w:p>
    <w:p w14:paraId="0F067005" w14:textId="7BC8EE6A"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Fourthly, one of the most famous aspects of the jurisprudence of the Constitutional Court has been the set of decisions dealing with the right to self-determination of minorities. Despite the Catalan case that has recently occupied the attention of mass media</w:t>
      </w:r>
      <w:r w:rsidR="00CE11C4">
        <w:rPr>
          <w:rFonts w:ascii="Times New Roman" w:hAnsi="Times New Roman"/>
          <w:sz w:val="24"/>
          <w:szCs w:val="24"/>
        </w:rPr>
        <w:t>, the first antecedent was the Ibarretxe Plan</w:t>
      </w:r>
      <w:r w:rsidRPr="00F600BE">
        <w:rPr>
          <w:rFonts w:ascii="Times New Roman" w:hAnsi="Times New Roman"/>
          <w:sz w:val="24"/>
          <w:szCs w:val="24"/>
        </w:rPr>
        <w:t xml:space="preserve"> (</w:t>
      </w:r>
      <w:r w:rsidRPr="00F600BE">
        <w:rPr>
          <w:rFonts w:ascii="Times New Roman" w:hAnsi="Times New Roman"/>
          <w:i/>
          <w:sz w:val="24"/>
          <w:szCs w:val="24"/>
        </w:rPr>
        <w:t>Propuesta de Estatuto Político de la Comunidad de Euskadi</w:t>
      </w:r>
      <w:r w:rsidRPr="00F600BE">
        <w:rPr>
          <w:rFonts w:ascii="Times New Roman" w:hAnsi="Times New Roman"/>
          <w:sz w:val="24"/>
          <w:szCs w:val="24"/>
        </w:rPr>
        <w:t>). In 2003, the Basque Parliament adopted a bill in order to convert the Basque Country into an associated state to Spain. After a series of harsh discussions with the Constitutional Court, the Basque</w:t>
      </w:r>
      <w:r w:rsidR="00922563">
        <w:rPr>
          <w:rFonts w:ascii="Times New Roman" w:hAnsi="Times New Roman"/>
          <w:sz w:val="24"/>
          <w:szCs w:val="24"/>
        </w:rPr>
        <w:t xml:space="preserve"> regional law 9/2008 was adopted for organising</w:t>
      </w:r>
      <w:r w:rsidRPr="00F600BE">
        <w:rPr>
          <w:rFonts w:ascii="Times New Roman" w:hAnsi="Times New Roman"/>
          <w:sz w:val="24"/>
          <w:szCs w:val="24"/>
        </w:rPr>
        <w:t xml:space="preserve"> </w:t>
      </w:r>
      <w:r w:rsidRPr="00F600BE">
        <w:rPr>
          <w:rFonts w:ascii="Times New Roman" w:hAnsi="Times New Roman"/>
          <w:sz w:val="24"/>
          <w:szCs w:val="24"/>
        </w:rPr>
        <w:lastRenderedPageBreak/>
        <w:t xml:space="preserve">a referendum about the implementation of the plan. This project was immediately blocked by the constitutional magistrates through ruling 103/2008. The Court argued that this particular use of a referendum was the central state’s competence and that regional referendums were limited to regional competences, and cannot unilaterally modify the Spanish political-territorial model (Aguado Renedo 2011). </w:t>
      </w:r>
    </w:p>
    <w:p w14:paraId="05042206" w14:textId="15493CFC"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After this episode, the centre-periphery tensions moved to Catalonia. In September 2005, the party coalition that led the Catalan government (</w:t>
      </w:r>
      <w:r w:rsidRPr="00F600BE">
        <w:rPr>
          <w:rFonts w:ascii="Times New Roman" w:hAnsi="Times New Roman"/>
          <w:i/>
          <w:sz w:val="24"/>
          <w:szCs w:val="24"/>
        </w:rPr>
        <w:t>Generalitat</w:t>
      </w:r>
      <w:r w:rsidRPr="00F600BE">
        <w:rPr>
          <w:rFonts w:ascii="Times New Roman" w:hAnsi="Times New Roman"/>
          <w:sz w:val="24"/>
          <w:szCs w:val="24"/>
        </w:rPr>
        <w:t xml:space="preserve">) proposed to modify the 1979 statute adopted during the transition to democracy. After an internal debate between the three partners leading the Catalan executive (Party of Socialists of Catalonia – </w:t>
      </w:r>
      <w:r w:rsidRPr="00F600BE">
        <w:rPr>
          <w:rFonts w:ascii="Times New Roman" w:hAnsi="Times New Roman"/>
          <w:i/>
          <w:sz w:val="24"/>
          <w:szCs w:val="24"/>
        </w:rPr>
        <w:t>Partit del Socialistes de Catalunya</w:t>
      </w:r>
      <w:r w:rsidRPr="00F600BE">
        <w:rPr>
          <w:rFonts w:ascii="Times New Roman" w:hAnsi="Times New Roman"/>
          <w:sz w:val="24"/>
          <w:szCs w:val="24"/>
        </w:rPr>
        <w:t xml:space="preserve"> –, Republican Left of Catalonia – </w:t>
      </w:r>
      <w:r w:rsidRPr="00F600BE">
        <w:rPr>
          <w:rFonts w:ascii="Times New Roman" w:hAnsi="Times New Roman"/>
          <w:i/>
          <w:sz w:val="24"/>
          <w:szCs w:val="24"/>
        </w:rPr>
        <w:t>Esquerra Republicana de Catalunya</w:t>
      </w:r>
      <w:r w:rsidRPr="00F600BE">
        <w:rPr>
          <w:rFonts w:ascii="Times New Roman" w:hAnsi="Times New Roman"/>
          <w:sz w:val="24"/>
          <w:szCs w:val="24"/>
        </w:rPr>
        <w:t xml:space="preserve"> –, Initiative for Catalonia – </w:t>
      </w:r>
      <w:r w:rsidRPr="00F600BE">
        <w:rPr>
          <w:rFonts w:ascii="Times New Roman" w:hAnsi="Times New Roman"/>
          <w:i/>
          <w:sz w:val="24"/>
          <w:szCs w:val="24"/>
        </w:rPr>
        <w:t>Iniciativa per Catalunya</w:t>
      </w:r>
      <w:r w:rsidRPr="00F600BE">
        <w:rPr>
          <w:rFonts w:ascii="Times New Roman" w:hAnsi="Times New Roman"/>
          <w:sz w:val="24"/>
          <w:szCs w:val="24"/>
        </w:rPr>
        <w:t xml:space="preserve">), a first draft was sent to the Spanish </w:t>
      </w:r>
      <w:r w:rsidRPr="00F600BE">
        <w:rPr>
          <w:rFonts w:ascii="Times New Roman" w:hAnsi="Times New Roman"/>
          <w:i/>
          <w:sz w:val="24"/>
          <w:szCs w:val="24"/>
        </w:rPr>
        <w:t>Cortes</w:t>
      </w:r>
      <w:r w:rsidRPr="00F600BE">
        <w:rPr>
          <w:rFonts w:ascii="Times New Roman" w:hAnsi="Times New Roman"/>
          <w:sz w:val="24"/>
          <w:szCs w:val="24"/>
        </w:rPr>
        <w:t xml:space="preserve"> (Parliament) in November 2005. The Congress and the Senate – both controlled by the PSOE (</w:t>
      </w:r>
      <w:r w:rsidRPr="00F600BE">
        <w:rPr>
          <w:rFonts w:ascii="Times New Roman" w:hAnsi="Times New Roman"/>
          <w:i/>
          <w:sz w:val="24"/>
          <w:szCs w:val="24"/>
        </w:rPr>
        <w:t>Partido Socialista Obrero Español</w:t>
      </w:r>
      <w:r w:rsidRPr="00F600BE">
        <w:rPr>
          <w:rFonts w:ascii="Times New Roman" w:hAnsi="Times New Roman"/>
          <w:sz w:val="24"/>
          <w:szCs w:val="24"/>
        </w:rPr>
        <w:t>, Spanish Socialist Workers’ Party) – ratified the new draft. The statute was finally ap</w:t>
      </w:r>
      <w:r w:rsidR="001C627A">
        <w:rPr>
          <w:rFonts w:ascii="Times New Roman" w:hAnsi="Times New Roman"/>
          <w:sz w:val="24"/>
          <w:szCs w:val="24"/>
        </w:rPr>
        <w:t>proved through referendum by 74 percent</w:t>
      </w:r>
      <w:r w:rsidRPr="00F600BE">
        <w:rPr>
          <w:rFonts w:ascii="Times New Roman" w:hAnsi="Times New Roman"/>
          <w:sz w:val="24"/>
          <w:szCs w:val="24"/>
        </w:rPr>
        <w:t xml:space="preserve"> of Catalan voters</w:t>
      </w:r>
      <w:r w:rsidR="001C627A">
        <w:rPr>
          <w:rFonts w:ascii="Times New Roman" w:hAnsi="Times New Roman"/>
          <w:sz w:val="24"/>
          <w:szCs w:val="24"/>
        </w:rPr>
        <w:t xml:space="preserve"> (with a voter turnout of 49.41 percent</w:t>
      </w:r>
      <w:r w:rsidRPr="00F600BE">
        <w:rPr>
          <w:rFonts w:ascii="Times New Roman" w:hAnsi="Times New Roman"/>
          <w:sz w:val="24"/>
          <w:szCs w:val="24"/>
        </w:rPr>
        <w:t xml:space="preserve">) on 18 June 2006 (Keating </w:t>
      </w:r>
      <w:r w:rsidR="00BF2A28">
        <w:rPr>
          <w:rFonts w:ascii="Times New Roman" w:hAnsi="Times New Roman"/>
          <w:sz w:val="24"/>
          <w:szCs w:val="24"/>
        </w:rPr>
        <w:t>and</w:t>
      </w:r>
      <w:r w:rsidRPr="00F600BE">
        <w:rPr>
          <w:rFonts w:ascii="Times New Roman" w:hAnsi="Times New Roman"/>
          <w:sz w:val="24"/>
          <w:szCs w:val="24"/>
        </w:rPr>
        <w:t xml:space="preserve"> Wilson 2009). </w:t>
      </w:r>
    </w:p>
    <w:p w14:paraId="0A99E81F" w14:textId="4C20A110"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Nevertheless, on 31 July the PP</w:t>
      </w:r>
      <w:r w:rsidR="00B120F1">
        <w:rPr>
          <w:rFonts w:ascii="Times New Roman" w:hAnsi="Times New Roman"/>
          <w:sz w:val="24"/>
          <w:szCs w:val="24"/>
        </w:rPr>
        <w:t xml:space="preserve"> </w:t>
      </w:r>
      <w:r w:rsidR="00B120F1" w:rsidRPr="00F600BE">
        <w:rPr>
          <w:rFonts w:ascii="Times New Roman" w:hAnsi="Times New Roman"/>
          <w:sz w:val="24"/>
          <w:szCs w:val="24"/>
        </w:rPr>
        <w:t xml:space="preserve">(People’s Party, </w:t>
      </w:r>
      <w:r w:rsidR="00B120F1" w:rsidRPr="00F600BE">
        <w:rPr>
          <w:rFonts w:ascii="Times New Roman" w:hAnsi="Times New Roman"/>
          <w:i/>
          <w:sz w:val="24"/>
          <w:szCs w:val="24"/>
        </w:rPr>
        <w:t>Partido Popular</w:t>
      </w:r>
      <w:r w:rsidR="00B120F1" w:rsidRPr="00F600BE">
        <w:rPr>
          <w:rFonts w:ascii="Times New Roman" w:hAnsi="Times New Roman"/>
          <w:sz w:val="24"/>
          <w:szCs w:val="24"/>
        </w:rPr>
        <w:t>)</w:t>
      </w:r>
      <w:r w:rsidRPr="00F600BE">
        <w:rPr>
          <w:rFonts w:ascii="Times New Roman" w:hAnsi="Times New Roman"/>
          <w:sz w:val="24"/>
          <w:szCs w:val="24"/>
        </w:rPr>
        <w:t xml:space="preserve"> challenged 128 out of the 233 statute’s articles before the Constitutional Court (case 8045-2006). This litigation was followed by six additional petitions formulated by the ombudsman and six regional governments (Aragon, Balears, Valencian Community, Murcia and La Rioja). After four years of controversies, the Court published its decision on 28 June 2010 </w:t>
      </w:r>
      <w:r w:rsidR="005500A6">
        <w:rPr>
          <w:rFonts w:ascii="Times New Roman" w:hAnsi="Times New Roman"/>
          <w:sz w:val="24"/>
          <w:szCs w:val="24"/>
        </w:rPr>
        <w:t>(ruling 31</w:t>
      </w:r>
      <w:r w:rsidRPr="00F600BE">
        <w:rPr>
          <w:rFonts w:ascii="Times New Roman" w:hAnsi="Times New Roman"/>
          <w:sz w:val="24"/>
          <w:szCs w:val="24"/>
        </w:rPr>
        <w:t>/2010). The constitutional justices accepted most of the original proposal but 14 articles were declared unconstitutional and 27 were extensively modified. Those articles dealt with the concept of the Catalan nation, the fiscal relationship between Catalonia and Spain, the status of the Catalan language, and the nature of the Spanish quasi-federalism. As expected, this decision was highly controversial since the Constitutional Court was asked to set the limits of the decentralisation policy (</w:t>
      </w:r>
      <w:r w:rsidR="00A43321">
        <w:rPr>
          <w:rFonts w:ascii="Times New Roman" w:hAnsi="Times New Roman"/>
          <w:sz w:val="24"/>
          <w:szCs w:val="24"/>
        </w:rPr>
        <w:t>Colino</w:t>
      </w:r>
      <w:r w:rsidRPr="00F600BE">
        <w:rPr>
          <w:rFonts w:ascii="Times New Roman" w:hAnsi="Times New Roman"/>
          <w:sz w:val="24"/>
          <w:szCs w:val="24"/>
        </w:rPr>
        <w:t xml:space="preserve"> 2009). </w:t>
      </w:r>
    </w:p>
    <w:p w14:paraId="4D6A999E" w14:textId="0882D554"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The blocked reform of Catalonia’s new statute also motivated the organisation of a referendum on independence. On 23 January 2013, th</w:t>
      </w:r>
      <w:r w:rsidR="00CE11C4">
        <w:rPr>
          <w:rFonts w:ascii="Times New Roman" w:hAnsi="Times New Roman"/>
          <w:sz w:val="24"/>
          <w:szCs w:val="24"/>
        </w:rPr>
        <w:t xml:space="preserve">e Catalan Parliament adopted a </w:t>
      </w:r>
      <w:r w:rsidRPr="00F600BE">
        <w:rPr>
          <w:rFonts w:ascii="Times New Roman" w:hAnsi="Times New Roman"/>
          <w:sz w:val="24"/>
          <w:szCs w:val="24"/>
        </w:rPr>
        <w:t>Declaration of Sove</w:t>
      </w:r>
      <w:r w:rsidR="00CE11C4">
        <w:rPr>
          <w:rFonts w:ascii="Times New Roman" w:hAnsi="Times New Roman"/>
          <w:sz w:val="24"/>
          <w:szCs w:val="24"/>
        </w:rPr>
        <w:t>reignty and the Right to Decide</w:t>
      </w:r>
      <w:r w:rsidR="001C7953">
        <w:rPr>
          <w:rFonts w:ascii="Times New Roman" w:hAnsi="Times New Roman"/>
          <w:sz w:val="24"/>
          <w:szCs w:val="24"/>
        </w:rPr>
        <w:t xml:space="preserve"> (</w:t>
      </w:r>
      <w:r w:rsidR="001C7953" w:rsidRPr="001C7953">
        <w:rPr>
          <w:rFonts w:ascii="Times New Roman" w:hAnsi="Times New Roman"/>
          <w:i/>
          <w:sz w:val="24"/>
          <w:szCs w:val="24"/>
        </w:rPr>
        <w:t xml:space="preserve">Declaración de soberanía y </w:t>
      </w:r>
      <w:r w:rsidR="00E51739">
        <w:rPr>
          <w:rFonts w:ascii="Times New Roman" w:hAnsi="Times New Roman"/>
          <w:i/>
          <w:sz w:val="24"/>
          <w:szCs w:val="24"/>
        </w:rPr>
        <w:t>del derecho a decidir</w:t>
      </w:r>
      <w:r w:rsidR="001C7953">
        <w:rPr>
          <w:rFonts w:ascii="Times New Roman" w:hAnsi="Times New Roman"/>
          <w:sz w:val="24"/>
          <w:szCs w:val="24"/>
        </w:rPr>
        <w:t>)</w:t>
      </w:r>
      <w:r w:rsidRPr="00F600BE">
        <w:rPr>
          <w:rFonts w:ascii="Times New Roman" w:hAnsi="Times New Roman"/>
          <w:sz w:val="24"/>
          <w:szCs w:val="24"/>
        </w:rPr>
        <w:t>. This declaration was immediately suspended and declared void, but the Court opened the door to a future consultation under certain conditions (ruling 42/2014). On 27 September 2014, the Catalan Government adop</w:t>
      </w:r>
      <w:r w:rsidR="00CE11C4">
        <w:rPr>
          <w:rFonts w:ascii="Times New Roman" w:hAnsi="Times New Roman"/>
          <w:sz w:val="24"/>
          <w:szCs w:val="24"/>
        </w:rPr>
        <w:t xml:space="preserve">ted a decree for organising an Alternative Consultation </w:t>
      </w:r>
      <w:r w:rsidRPr="00F600BE">
        <w:rPr>
          <w:rFonts w:ascii="Times New Roman" w:hAnsi="Times New Roman"/>
          <w:sz w:val="24"/>
          <w:szCs w:val="24"/>
        </w:rPr>
        <w:t>(</w:t>
      </w:r>
      <w:r w:rsidRPr="00F600BE">
        <w:rPr>
          <w:rFonts w:ascii="Times New Roman" w:hAnsi="Times New Roman"/>
          <w:i/>
          <w:sz w:val="24"/>
          <w:szCs w:val="24"/>
        </w:rPr>
        <w:t>consulta alternativa</w:t>
      </w:r>
      <w:r w:rsidRPr="00F600BE">
        <w:rPr>
          <w:rFonts w:ascii="Times New Roman" w:hAnsi="Times New Roman"/>
          <w:sz w:val="24"/>
          <w:szCs w:val="24"/>
        </w:rPr>
        <w:t xml:space="preserve">, since the concept of referendum was definitely banned for legal reasons). This consultation was suspended by the Constitutional Court on 13 October 2014. But the Catalan Government riposted by planning another poll (now titled </w:t>
      </w:r>
      <w:r w:rsidRPr="00F600BE">
        <w:rPr>
          <w:rFonts w:ascii="Times New Roman" w:hAnsi="Times New Roman"/>
          <w:i/>
          <w:sz w:val="24"/>
          <w:szCs w:val="24"/>
        </w:rPr>
        <w:t>Proceso participativo sobre el futuro político de Cataluña</w:t>
      </w:r>
      <w:r w:rsidR="00D95787">
        <w:rPr>
          <w:rFonts w:ascii="Times New Roman" w:hAnsi="Times New Roman"/>
          <w:sz w:val="24"/>
          <w:szCs w:val="24"/>
        </w:rPr>
        <w:t>, Participative Process on the Political Future of Catalonia</w:t>
      </w:r>
      <w:r w:rsidRPr="00F600BE">
        <w:rPr>
          <w:rFonts w:ascii="Times New Roman" w:hAnsi="Times New Roman"/>
          <w:sz w:val="24"/>
          <w:szCs w:val="24"/>
        </w:rPr>
        <w:t>) on 9 November 2014. Once again, the Court halted the procedur</w:t>
      </w:r>
      <w:r w:rsidR="00CE11C4">
        <w:rPr>
          <w:rFonts w:ascii="Times New Roman" w:hAnsi="Times New Roman"/>
          <w:sz w:val="24"/>
          <w:szCs w:val="24"/>
        </w:rPr>
        <w:t>e. On 11 June 2015, the whole Participative Process</w:t>
      </w:r>
      <w:r w:rsidRPr="00F600BE">
        <w:rPr>
          <w:rFonts w:ascii="Times New Roman" w:hAnsi="Times New Roman"/>
          <w:sz w:val="24"/>
          <w:szCs w:val="24"/>
        </w:rPr>
        <w:t xml:space="preserve"> was declared unconstitutional by the </w:t>
      </w:r>
      <w:r w:rsidRPr="00F600BE">
        <w:rPr>
          <w:rFonts w:ascii="Times New Roman" w:hAnsi="Times New Roman"/>
          <w:i/>
          <w:sz w:val="24"/>
          <w:szCs w:val="24"/>
        </w:rPr>
        <w:t xml:space="preserve">Tribunal </w:t>
      </w:r>
      <w:r w:rsidRPr="00F600BE">
        <w:rPr>
          <w:rFonts w:ascii="Times New Roman" w:hAnsi="Times New Roman"/>
          <w:sz w:val="24"/>
          <w:szCs w:val="24"/>
        </w:rPr>
        <w:t>(ruling 31/2015) (Solozábal Echavarría 2015). As will be stressed the next section, those last constitutional developments in Catalonia also constituted a breaking point for the Constitutional Court in terms of politicisation.</w:t>
      </w:r>
    </w:p>
    <w:p w14:paraId="0D94309F" w14:textId="77777777" w:rsidR="00530EF3" w:rsidRPr="006E2A10" w:rsidRDefault="00530EF3" w:rsidP="00C45DE6">
      <w:pPr>
        <w:spacing w:after="0" w:line="240" w:lineRule="auto"/>
        <w:jc w:val="both"/>
        <w:rPr>
          <w:rFonts w:ascii="Times New Roman" w:hAnsi="Times New Roman"/>
          <w:sz w:val="24"/>
          <w:szCs w:val="24"/>
        </w:rPr>
      </w:pPr>
    </w:p>
    <w:p w14:paraId="0919FEA9" w14:textId="143C8D96" w:rsidR="00530EF3" w:rsidRDefault="00530EF3" w:rsidP="00C45DE6">
      <w:pPr>
        <w:spacing w:after="0" w:line="240" w:lineRule="auto"/>
        <w:jc w:val="both"/>
        <w:rPr>
          <w:rFonts w:ascii="Times New Roman" w:hAnsi="Times New Roman"/>
          <w:sz w:val="24"/>
          <w:szCs w:val="24"/>
        </w:rPr>
      </w:pPr>
    </w:p>
    <w:p w14:paraId="72107101" w14:textId="7BCC386F" w:rsidR="007C29F1" w:rsidRDefault="007C29F1" w:rsidP="00C45DE6">
      <w:pPr>
        <w:spacing w:after="0" w:line="240" w:lineRule="auto"/>
        <w:jc w:val="both"/>
        <w:rPr>
          <w:rFonts w:ascii="Times New Roman" w:hAnsi="Times New Roman"/>
          <w:sz w:val="24"/>
          <w:szCs w:val="24"/>
        </w:rPr>
      </w:pPr>
    </w:p>
    <w:p w14:paraId="649DEAF1" w14:textId="194AF9B1" w:rsidR="007C29F1" w:rsidRDefault="007C29F1" w:rsidP="00C45DE6">
      <w:pPr>
        <w:spacing w:after="0" w:line="240" w:lineRule="auto"/>
        <w:jc w:val="both"/>
        <w:rPr>
          <w:rFonts w:ascii="Times New Roman" w:hAnsi="Times New Roman"/>
          <w:sz w:val="24"/>
          <w:szCs w:val="24"/>
        </w:rPr>
      </w:pPr>
    </w:p>
    <w:p w14:paraId="6C59C27B" w14:textId="4A86D7F4" w:rsidR="007C29F1" w:rsidRDefault="007C29F1" w:rsidP="00C45DE6">
      <w:pPr>
        <w:spacing w:after="0" w:line="240" w:lineRule="auto"/>
        <w:jc w:val="both"/>
        <w:rPr>
          <w:rFonts w:ascii="Times New Roman" w:hAnsi="Times New Roman"/>
          <w:sz w:val="24"/>
          <w:szCs w:val="24"/>
        </w:rPr>
      </w:pPr>
    </w:p>
    <w:p w14:paraId="32177B71" w14:textId="49E762AF" w:rsidR="007C29F1" w:rsidRDefault="007C29F1" w:rsidP="00C45DE6">
      <w:pPr>
        <w:spacing w:after="0" w:line="240" w:lineRule="auto"/>
        <w:jc w:val="both"/>
        <w:rPr>
          <w:rFonts w:ascii="Times New Roman" w:hAnsi="Times New Roman"/>
          <w:sz w:val="24"/>
          <w:szCs w:val="24"/>
        </w:rPr>
      </w:pPr>
    </w:p>
    <w:p w14:paraId="4CC1BC19" w14:textId="77777777" w:rsidR="007C29F1" w:rsidRPr="00F600BE" w:rsidRDefault="007C29F1" w:rsidP="00C45DE6">
      <w:pPr>
        <w:spacing w:after="0" w:line="240" w:lineRule="auto"/>
        <w:jc w:val="both"/>
        <w:rPr>
          <w:rFonts w:ascii="Times New Roman" w:hAnsi="Times New Roman"/>
          <w:sz w:val="24"/>
          <w:szCs w:val="24"/>
        </w:rPr>
      </w:pPr>
    </w:p>
    <w:p w14:paraId="454B4407" w14:textId="77777777" w:rsidR="00530EF3" w:rsidRPr="001C627A" w:rsidRDefault="00530EF3" w:rsidP="00C45DE6">
      <w:pPr>
        <w:spacing w:after="0" w:line="240" w:lineRule="auto"/>
        <w:jc w:val="center"/>
        <w:rPr>
          <w:rFonts w:ascii="Times New Roman" w:hAnsi="Times New Roman"/>
          <w:caps/>
          <w:sz w:val="24"/>
          <w:szCs w:val="24"/>
        </w:rPr>
      </w:pPr>
      <w:r w:rsidRPr="001C627A">
        <w:rPr>
          <w:rFonts w:ascii="Times New Roman" w:hAnsi="Times New Roman"/>
          <w:caps/>
          <w:sz w:val="24"/>
          <w:szCs w:val="24"/>
        </w:rPr>
        <w:lastRenderedPageBreak/>
        <w:t>Territorial Politics as a Source of Politicisation</w:t>
      </w:r>
    </w:p>
    <w:p w14:paraId="737DA7F1" w14:textId="77777777" w:rsidR="00530EF3" w:rsidRPr="00F600BE" w:rsidRDefault="00530EF3" w:rsidP="00C45DE6">
      <w:pPr>
        <w:spacing w:after="0" w:line="240" w:lineRule="auto"/>
        <w:jc w:val="both"/>
        <w:rPr>
          <w:rFonts w:ascii="Times New Roman" w:hAnsi="Times New Roman"/>
          <w:b/>
          <w:sz w:val="24"/>
          <w:szCs w:val="24"/>
        </w:rPr>
      </w:pPr>
    </w:p>
    <w:p w14:paraId="36A0BBDE" w14:textId="014317BB" w:rsidR="00530EF3" w:rsidRPr="00F600BE" w:rsidRDefault="00AE7EC0" w:rsidP="00C45DE6">
      <w:pPr>
        <w:spacing w:after="0" w:line="240" w:lineRule="auto"/>
        <w:jc w:val="both"/>
        <w:rPr>
          <w:rFonts w:ascii="Times New Roman" w:hAnsi="Times New Roman"/>
          <w:i/>
          <w:sz w:val="24"/>
          <w:szCs w:val="24"/>
        </w:rPr>
      </w:pPr>
      <w:r>
        <w:rPr>
          <w:rFonts w:ascii="Times New Roman" w:hAnsi="Times New Roman"/>
          <w:i/>
          <w:sz w:val="24"/>
          <w:szCs w:val="24"/>
        </w:rPr>
        <w:t>Politicisation and contested l</w:t>
      </w:r>
      <w:r w:rsidR="00530EF3" w:rsidRPr="00F600BE">
        <w:rPr>
          <w:rFonts w:ascii="Times New Roman" w:hAnsi="Times New Roman"/>
          <w:i/>
          <w:sz w:val="24"/>
          <w:szCs w:val="24"/>
        </w:rPr>
        <w:t>egitimacy</w:t>
      </w:r>
    </w:p>
    <w:p w14:paraId="4F53FC1A" w14:textId="77777777" w:rsidR="00530EF3" w:rsidRPr="00F600BE" w:rsidRDefault="00530EF3" w:rsidP="00C45DE6">
      <w:pPr>
        <w:spacing w:after="0" w:line="240" w:lineRule="auto"/>
        <w:jc w:val="both"/>
        <w:rPr>
          <w:rFonts w:ascii="Times New Roman" w:hAnsi="Times New Roman"/>
          <w:i/>
          <w:sz w:val="24"/>
          <w:szCs w:val="24"/>
        </w:rPr>
      </w:pPr>
    </w:p>
    <w:p w14:paraId="63FB6415" w14:textId="206F3C1A" w:rsidR="00530EF3" w:rsidRPr="00F600BE" w:rsidRDefault="00530EF3" w:rsidP="00C45DE6">
      <w:pPr>
        <w:spacing w:after="0" w:line="240" w:lineRule="auto"/>
        <w:jc w:val="both"/>
        <w:rPr>
          <w:rFonts w:ascii="Times New Roman" w:hAnsi="Times New Roman"/>
          <w:sz w:val="24"/>
          <w:szCs w:val="24"/>
        </w:rPr>
      </w:pPr>
      <w:r w:rsidRPr="00F600BE">
        <w:rPr>
          <w:rFonts w:ascii="Times New Roman" w:hAnsi="Times New Roman"/>
          <w:sz w:val="24"/>
          <w:szCs w:val="24"/>
        </w:rPr>
        <w:t>According to the definition of Hein and Ewert (2014, p. 38) the term poli</w:t>
      </w:r>
      <w:r w:rsidR="00CE11C4">
        <w:rPr>
          <w:rFonts w:ascii="Times New Roman" w:hAnsi="Times New Roman"/>
          <w:sz w:val="24"/>
          <w:szCs w:val="24"/>
        </w:rPr>
        <w:t>ticisation exclusively denotes “</w:t>
      </w:r>
      <w:r w:rsidRPr="00F600BE">
        <w:rPr>
          <w:rFonts w:ascii="Times New Roman" w:hAnsi="Times New Roman"/>
          <w:sz w:val="24"/>
          <w:szCs w:val="24"/>
        </w:rPr>
        <w:t>[…] direct and indirect influences on constitutional court decisions (i.e. the court in general, the trials, the judges, and t</w:t>
      </w:r>
      <w:r w:rsidR="00CE11C4">
        <w:rPr>
          <w:rFonts w:ascii="Times New Roman" w:hAnsi="Times New Roman"/>
          <w:sz w:val="24"/>
          <w:szCs w:val="24"/>
        </w:rPr>
        <w:t>he decision-making process)”</w:t>
      </w:r>
      <w:r w:rsidRPr="00F600BE">
        <w:rPr>
          <w:rFonts w:ascii="Times New Roman" w:hAnsi="Times New Roman"/>
          <w:sz w:val="24"/>
          <w:szCs w:val="24"/>
        </w:rPr>
        <w:t>. The scientific literature has demonstrated on several occasions that the politicisation of constitutional courts is inevitable, and that the Spanish case was all but an exception (Miley 2008). Though article 159.5 of the Const</w:t>
      </w:r>
      <w:r w:rsidR="00CE11C4">
        <w:rPr>
          <w:rFonts w:ascii="Times New Roman" w:hAnsi="Times New Roman"/>
          <w:sz w:val="24"/>
          <w:szCs w:val="24"/>
        </w:rPr>
        <w:t>itution states that the “</w:t>
      </w:r>
      <w:r w:rsidRPr="00F600BE">
        <w:rPr>
          <w:rFonts w:ascii="Times New Roman" w:hAnsi="Times New Roman"/>
          <w:sz w:val="24"/>
          <w:szCs w:val="24"/>
        </w:rPr>
        <w:t>members of the Constitutional Court must be independent</w:t>
      </w:r>
      <w:r w:rsidR="00CE11C4">
        <w:rPr>
          <w:rFonts w:ascii="Times New Roman" w:hAnsi="Times New Roman"/>
          <w:sz w:val="24"/>
          <w:szCs w:val="24"/>
        </w:rPr>
        <w:t>”</w:t>
      </w:r>
      <w:r w:rsidRPr="00F600BE">
        <w:rPr>
          <w:rFonts w:ascii="Times New Roman" w:hAnsi="Times New Roman"/>
          <w:sz w:val="24"/>
          <w:szCs w:val="24"/>
        </w:rPr>
        <w:t>, and article 22 of the LOCT affirms that constitutional judges sh</w:t>
      </w:r>
      <w:r w:rsidR="00CE11C4">
        <w:rPr>
          <w:rFonts w:ascii="Times New Roman" w:hAnsi="Times New Roman"/>
          <w:sz w:val="24"/>
          <w:szCs w:val="24"/>
        </w:rPr>
        <w:t>ould respect the principles of “</w:t>
      </w:r>
      <w:r w:rsidRPr="00F600BE">
        <w:rPr>
          <w:rFonts w:ascii="Times New Roman" w:hAnsi="Times New Roman"/>
          <w:sz w:val="24"/>
          <w:szCs w:val="24"/>
        </w:rPr>
        <w:t>impartiality and dignity</w:t>
      </w:r>
      <w:r w:rsidR="00CE11C4">
        <w:rPr>
          <w:rFonts w:ascii="Times New Roman" w:hAnsi="Times New Roman"/>
          <w:sz w:val="24"/>
          <w:szCs w:val="24"/>
        </w:rPr>
        <w:t>”</w:t>
      </w:r>
      <w:r w:rsidRPr="00F600BE">
        <w:rPr>
          <w:rFonts w:ascii="Times New Roman" w:hAnsi="Times New Roman"/>
          <w:sz w:val="24"/>
          <w:szCs w:val="24"/>
        </w:rPr>
        <w:t>, the control of the Spanish Constitutional Court represents a crucial issue for the political parties since they want to prevent their own policies from being vetoed.</w:t>
      </w:r>
    </w:p>
    <w:p w14:paraId="3E3B7663" w14:textId="1A23F8CC"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As said previously, the selection of constitutional justices depends on four institutions: the cabinet, the Congress, the Senate and the General Council of Judicial Power. As in other countries like France, Germany or Italy, this rule logically supposes a certain level of control by the political parties over the composition of the Court. The presence of the PP and the PSOE is particularly visible through their parliamentary majorities in the Parliament and the cabinet. But the politicisation of the General Council of Judicial Powe</w:t>
      </w:r>
      <w:r w:rsidR="00CE11C4">
        <w:rPr>
          <w:rFonts w:ascii="Times New Roman" w:hAnsi="Times New Roman"/>
          <w:sz w:val="24"/>
          <w:szCs w:val="24"/>
        </w:rPr>
        <w:t>r is also perceptible through: “</w:t>
      </w:r>
      <w:r w:rsidRPr="00F600BE">
        <w:rPr>
          <w:rFonts w:ascii="Times New Roman" w:hAnsi="Times New Roman"/>
          <w:sz w:val="24"/>
          <w:szCs w:val="24"/>
        </w:rPr>
        <w:t xml:space="preserve">[…] the affiliation of its members to the main associations of magistrates: the progressive </w:t>
      </w:r>
      <w:r w:rsidRPr="00F600BE">
        <w:rPr>
          <w:rFonts w:ascii="Times New Roman" w:hAnsi="Times New Roman"/>
          <w:i/>
          <w:sz w:val="24"/>
          <w:szCs w:val="24"/>
        </w:rPr>
        <w:t>Jueces para la Democracia</w:t>
      </w:r>
      <w:r w:rsidRPr="00F600BE">
        <w:rPr>
          <w:rFonts w:ascii="Times New Roman" w:hAnsi="Times New Roman"/>
          <w:sz w:val="24"/>
          <w:szCs w:val="24"/>
        </w:rPr>
        <w:t xml:space="preserve">, the conservative </w:t>
      </w:r>
      <w:r w:rsidRPr="00F600BE">
        <w:rPr>
          <w:rFonts w:ascii="Times New Roman" w:hAnsi="Times New Roman"/>
          <w:i/>
          <w:sz w:val="24"/>
          <w:szCs w:val="24"/>
        </w:rPr>
        <w:t>Asociación Profesional de la Magistratura</w:t>
      </w:r>
      <w:r w:rsidRPr="00F600BE">
        <w:rPr>
          <w:rFonts w:ascii="Times New Roman" w:hAnsi="Times New Roman"/>
          <w:sz w:val="24"/>
          <w:szCs w:val="24"/>
        </w:rPr>
        <w:t xml:space="preserve"> and the more neutral </w:t>
      </w:r>
      <w:r w:rsidRPr="00F600BE">
        <w:rPr>
          <w:rFonts w:ascii="Times New Roman" w:hAnsi="Times New Roman"/>
          <w:i/>
          <w:sz w:val="24"/>
          <w:szCs w:val="24"/>
        </w:rPr>
        <w:t>Asociación Francisco de Vitoria</w:t>
      </w:r>
      <w:r w:rsidR="00CE11C4">
        <w:rPr>
          <w:rFonts w:ascii="Times New Roman" w:hAnsi="Times New Roman"/>
          <w:sz w:val="24"/>
          <w:szCs w:val="24"/>
        </w:rPr>
        <w:t>”</w:t>
      </w:r>
      <w:r w:rsidRPr="00F600BE">
        <w:rPr>
          <w:rFonts w:ascii="Times New Roman" w:hAnsi="Times New Roman"/>
          <w:sz w:val="24"/>
          <w:szCs w:val="24"/>
        </w:rPr>
        <w:t xml:space="preserve"> (interview with a top-level civil servant, Madrid, October 2015).</w:t>
      </w:r>
    </w:p>
    <w:p w14:paraId="0A397801" w14:textId="77777777"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Although the PP and the PSOE control the process of selection of constitutional justices, Basque and Catalan nationalist parties have had their say at certain points. The Basque Nationalist Party (</w:t>
      </w:r>
      <w:r w:rsidRPr="00F600BE">
        <w:rPr>
          <w:rFonts w:ascii="Times New Roman" w:hAnsi="Times New Roman"/>
          <w:i/>
          <w:sz w:val="24"/>
          <w:szCs w:val="24"/>
        </w:rPr>
        <w:t>Partido Nacionalista Vasco</w:t>
      </w:r>
      <w:r w:rsidRPr="00F600BE">
        <w:rPr>
          <w:rFonts w:ascii="Times New Roman" w:hAnsi="Times New Roman"/>
          <w:sz w:val="24"/>
          <w:szCs w:val="24"/>
        </w:rPr>
        <w:t>) and the Catalan nationalists of Convergence and Union (</w:t>
      </w:r>
      <w:r w:rsidRPr="00F600BE">
        <w:rPr>
          <w:rFonts w:ascii="Times New Roman" w:hAnsi="Times New Roman"/>
          <w:i/>
          <w:sz w:val="24"/>
          <w:szCs w:val="24"/>
        </w:rPr>
        <w:t>Convergència i Unió</w:t>
      </w:r>
      <w:r w:rsidRPr="00F600BE">
        <w:rPr>
          <w:rFonts w:ascii="Times New Roman" w:hAnsi="Times New Roman"/>
          <w:sz w:val="24"/>
          <w:szCs w:val="24"/>
        </w:rPr>
        <w:t xml:space="preserve">) have sometimes participated in the choice of the justices appointed by the Congress (in 1992, 2010 or 2012, for instance, and always in collaboration with the PSOE). Moreover, the 2007 organic law modified the process of appointment of constitutional justices by the Senate. It allowed regional parliaments to propose two candidates each to the upper chamber (Sánchez Barrilao 2009). </w:t>
      </w:r>
    </w:p>
    <w:p w14:paraId="59BD6F24" w14:textId="61020C84"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 xml:space="preserve">Conservatives and progressives have run the Court for 15 years each (Table 3) with variable degrees of politicisation. For the first 30 years, the pressure from political parties shaped the contours of Spanish constitutional justice without blocking its normal operation. Indeed, from 1980 to 1985 the Constitutional Court was controlled by a majority of conservative magistrates appointed by the </w:t>
      </w:r>
      <w:r w:rsidRPr="00F600BE">
        <w:rPr>
          <w:rFonts w:ascii="Times New Roman" w:hAnsi="Times New Roman"/>
          <w:i/>
          <w:sz w:val="24"/>
          <w:szCs w:val="24"/>
        </w:rPr>
        <w:t>Unión del Centro Democrático</w:t>
      </w:r>
      <w:r w:rsidRPr="00F600BE">
        <w:rPr>
          <w:rFonts w:ascii="Times New Roman" w:hAnsi="Times New Roman"/>
          <w:sz w:val="24"/>
          <w:szCs w:val="24"/>
        </w:rPr>
        <w:t xml:space="preserve"> –Adolfo Suárez’s political party. </w:t>
      </w:r>
      <w:r w:rsidR="00667754">
        <w:rPr>
          <w:rFonts w:ascii="Times New Roman" w:hAnsi="Times New Roman"/>
          <w:sz w:val="24"/>
          <w:szCs w:val="24"/>
        </w:rPr>
        <w:t>I</w:t>
      </w:r>
      <w:r w:rsidRPr="00F600BE">
        <w:rPr>
          <w:rFonts w:ascii="Times New Roman" w:hAnsi="Times New Roman"/>
          <w:sz w:val="24"/>
          <w:szCs w:val="24"/>
        </w:rPr>
        <w:t>n 1986</w:t>
      </w:r>
      <w:r w:rsidR="00667754">
        <w:rPr>
          <w:rFonts w:ascii="Times New Roman" w:hAnsi="Times New Roman"/>
          <w:sz w:val="24"/>
          <w:szCs w:val="24"/>
        </w:rPr>
        <w:t>,</w:t>
      </w:r>
      <w:r w:rsidRPr="00F600BE">
        <w:rPr>
          <w:rFonts w:ascii="Times New Roman" w:hAnsi="Times New Roman"/>
          <w:sz w:val="24"/>
          <w:szCs w:val="24"/>
        </w:rPr>
        <w:t xml:space="preserve"> </w:t>
      </w:r>
      <w:r w:rsidR="00667754">
        <w:rPr>
          <w:rFonts w:ascii="Times New Roman" w:hAnsi="Times New Roman"/>
          <w:sz w:val="24"/>
          <w:szCs w:val="24"/>
        </w:rPr>
        <w:t>the PSOE of Felipe González</w:t>
      </w:r>
      <w:r w:rsidRPr="00F600BE">
        <w:rPr>
          <w:rFonts w:ascii="Times New Roman" w:hAnsi="Times New Roman"/>
          <w:sz w:val="24"/>
          <w:szCs w:val="24"/>
        </w:rPr>
        <w:t xml:space="preserve"> imposed the presence of progressive judges until 2000. In 2000, the new appointments made by the PP cabinet gave the majority to the conservatives until 2008.</w:t>
      </w:r>
      <w:r w:rsidRPr="00F600BE">
        <w:rPr>
          <w:rStyle w:val="Refdenotaalfinal"/>
          <w:rFonts w:ascii="Times New Roman" w:hAnsi="Times New Roman"/>
          <w:sz w:val="24"/>
          <w:szCs w:val="24"/>
        </w:rPr>
        <w:endnoteReference w:id="5"/>
      </w:r>
      <w:r w:rsidRPr="00F600BE">
        <w:rPr>
          <w:rFonts w:ascii="Times New Roman" w:hAnsi="Times New Roman"/>
          <w:sz w:val="24"/>
          <w:szCs w:val="24"/>
        </w:rPr>
        <w:t xml:space="preserve"> The degree of politicisation increased dramatically during </w:t>
      </w:r>
      <w:r w:rsidR="00667754">
        <w:rPr>
          <w:rFonts w:ascii="Times New Roman" w:hAnsi="Times New Roman"/>
          <w:sz w:val="24"/>
          <w:szCs w:val="24"/>
        </w:rPr>
        <w:t>the second period</w:t>
      </w:r>
      <w:r w:rsidRPr="00F600BE">
        <w:rPr>
          <w:rFonts w:ascii="Times New Roman" w:hAnsi="Times New Roman"/>
          <w:sz w:val="24"/>
          <w:szCs w:val="24"/>
        </w:rPr>
        <w:t xml:space="preserve"> (2008–2014) when the opposition between PP and PSOE led to the paralysation of the Court’s activity until 2012, and then to a new conservative majority from 2012 to 2014. </w:t>
      </w:r>
    </w:p>
    <w:p w14:paraId="535D9B6F" w14:textId="154ADCD4"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The paralysation of the Court provoked harsh</w:t>
      </w:r>
      <w:r w:rsidR="00667754">
        <w:rPr>
          <w:rFonts w:ascii="Times New Roman" w:hAnsi="Times New Roman"/>
          <w:sz w:val="24"/>
          <w:szCs w:val="24"/>
        </w:rPr>
        <w:t xml:space="preserve"> debates in the mass media and</w:t>
      </w:r>
      <w:r w:rsidRPr="00F600BE">
        <w:rPr>
          <w:rFonts w:ascii="Times New Roman" w:hAnsi="Times New Roman"/>
          <w:sz w:val="24"/>
          <w:szCs w:val="24"/>
        </w:rPr>
        <w:t xml:space="preserve"> led to a general loss of legitimacy. The Constitutional Court w</w:t>
      </w:r>
      <w:r w:rsidR="00CE11C4">
        <w:rPr>
          <w:rFonts w:ascii="Times New Roman" w:hAnsi="Times New Roman"/>
          <w:sz w:val="24"/>
          <w:szCs w:val="24"/>
        </w:rPr>
        <w:t>as initially considered to be: “</w:t>
      </w:r>
      <w:r w:rsidRPr="00F600BE">
        <w:rPr>
          <w:rFonts w:ascii="Times New Roman" w:hAnsi="Times New Roman"/>
          <w:sz w:val="24"/>
          <w:szCs w:val="24"/>
        </w:rPr>
        <w:t>a countermajoritarian institution […] playing a key role in the completion of the trans</w:t>
      </w:r>
      <w:r w:rsidR="00CE11C4">
        <w:rPr>
          <w:rFonts w:ascii="Times New Roman" w:hAnsi="Times New Roman"/>
          <w:sz w:val="24"/>
          <w:szCs w:val="24"/>
        </w:rPr>
        <w:t>ition to a new political regime”</w:t>
      </w:r>
      <w:r w:rsidRPr="00F600BE">
        <w:rPr>
          <w:rFonts w:ascii="Times New Roman" w:hAnsi="Times New Roman"/>
          <w:sz w:val="24"/>
          <w:szCs w:val="24"/>
        </w:rPr>
        <w:t xml:space="preserve"> (Gunther, Montero </w:t>
      </w:r>
      <w:r w:rsidR="00BF2A28">
        <w:rPr>
          <w:rFonts w:ascii="Times New Roman" w:hAnsi="Times New Roman"/>
          <w:sz w:val="24"/>
          <w:szCs w:val="24"/>
        </w:rPr>
        <w:t>and</w:t>
      </w:r>
      <w:r w:rsidRPr="00F600BE">
        <w:rPr>
          <w:rFonts w:ascii="Times New Roman" w:hAnsi="Times New Roman"/>
          <w:sz w:val="24"/>
          <w:szCs w:val="24"/>
        </w:rPr>
        <w:t xml:space="preserve"> Botella, 2004</w:t>
      </w:r>
      <w:r>
        <w:rPr>
          <w:rFonts w:ascii="Times New Roman" w:hAnsi="Times New Roman"/>
          <w:sz w:val="24"/>
          <w:szCs w:val="24"/>
        </w:rPr>
        <w:t>, p.</w:t>
      </w:r>
      <w:r w:rsidRPr="00F600BE">
        <w:rPr>
          <w:rFonts w:ascii="Times New Roman" w:hAnsi="Times New Roman"/>
          <w:sz w:val="24"/>
          <w:szCs w:val="24"/>
        </w:rPr>
        <w:t xml:space="preserve"> 125) until the mid-2000s, but then it started to lose support in public opinion (Figure 3). </w:t>
      </w:r>
    </w:p>
    <w:p w14:paraId="4920C59E" w14:textId="77777777" w:rsidR="00530EF3" w:rsidRPr="00F600BE" w:rsidRDefault="00530EF3" w:rsidP="00C45DE6">
      <w:pPr>
        <w:spacing w:after="0" w:line="240" w:lineRule="auto"/>
        <w:ind w:firstLine="397"/>
        <w:jc w:val="both"/>
        <w:rPr>
          <w:rFonts w:ascii="Times New Roman" w:hAnsi="Times New Roman"/>
          <w:sz w:val="24"/>
          <w:szCs w:val="24"/>
        </w:rPr>
      </w:pPr>
    </w:p>
    <w:p w14:paraId="094A2581" w14:textId="77777777" w:rsidR="00530EF3" w:rsidRPr="00F600BE" w:rsidRDefault="00530EF3" w:rsidP="00C45DE6">
      <w:pPr>
        <w:spacing w:after="0" w:line="240" w:lineRule="auto"/>
        <w:ind w:firstLine="397"/>
        <w:jc w:val="both"/>
        <w:rPr>
          <w:rFonts w:ascii="Times New Roman" w:hAnsi="Times New Roman"/>
          <w:sz w:val="24"/>
          <w:szCs w:val="24"/>
        </w:rPr>
      </w:pPr>
    </w:p>
    <w:p w14:paraId="6FE87505" w14:textId="3183CABE" w:rsidR="00530EF3" w:rsidRDefault="007C29F1" w:rsidP="00C45DE6">
      <w:pPr>
        <w:spacing w:after="0" w:line="240" w:lineRule="auto"/>
        <w:jc w:val="center"/>
        <w:rPr>
          <w:rFonts w:ascii="Times New Roman" w:hAnsi="Times New Roman"/>
          <w:iCs/>
          <w:color w:val="000000"/>
          <w:sz w:val="20"/>
          <w:szCs w:val="20"/>
        </w:rPr>
      </w:pPr>
      <w:r>
        <w:rPr>
          <w:rFonts w:ascii="Times New Roman" w:hAnsi="Times New Roman"/>
          <w:iCs/>
          <w:color w:val="000000"/>
          <w:sz w:val="20"/>
          <w:szCs w:val="20"/>
        </w:rPr>
        <w:lastRenderedPageBreak/>
        <w:t>Figure 3 about here</w:t>
      </w:r>
    </w:p>
    <w:p w14:paraId="33C47106" w14:textId="77777777" w:rsidR="007C29F1" w:rsidRPr="007C29F1" w:rsidRDefault="007C29F1" w:rsidP="00C45DE6">
      <w:pPr>
        <w:spacing w:after="0" w:line="240" w:lineRule="auto"/>
        <w:jc w:val="center"/>
        <w:rPr>
          <w:rFonts w:ascii="Times New Roman" w:hAnsi="Times New Roman"/>
          <w:iCs/>
          <w:color w:val="000000"/>
          <w:sz w:val="20"/>
          <w:szCs w:val="20"/>
        </w:rPr>
      </w:pPr>
    </w:p>
    <w:p w14:paraId="43DE218D" w14:textId="77777777" w:rsidR="00530EF3" w:rsidRPr="007C29F1" w:rsidRDefault="00530EF3" w:rsidP="00C45DE6">
      <w:pPr>
        <w:spacing w:after="0" w:line="240" w:lineRule="auto"/>
        <w:jc w:val="both"/>
        <w:rPr>
          <w:rFonts w:ascii="Times New Roman" w:hAnsi="Times New Roman"/>
          <w:sz w:val="20"/>
          <w:szCs w:val="20"/>
        </w:rPr>
      </w:pPr>
    </w:p>
    <w:p w14:paraId="3BB9E4E1" w14:textId="42E6E34F" w:rsidR="00530EF3" w:rsidRDefault="00530EF3" w:rsidP="00C45DE6">
      <w:pPr>
        <w:spacing w:after="0" w:line="240" w:lineRule="auto"/>
        <w:jc w:val="both"/>
        <w:rPr>
          <w:rFonts w:ascii="Times New Roman" w:hAnsi="Times New Roman"/>
          <w:sz w:val="24"/>
          <w:szCs w:val="24"/>
        </w:rPr>
      </w:pPr>
      <w:r w:rsidRPr="00F600BE">
        <w:rPr>
          <w:rFonts w:ascii="Times New Roman" w:hAnsi="Times New Roman"/>
          <w:sz w:val="24"/>
          <w:szCs w:val="24"/>
        </w:rPr>
        <w:t xml:space="preserve">As demonstrated, the </w:t>
      </w:r>
      <w:r w:rsidRPr="00F600BE">
        <w:rPr>
          <w:rFonts w:ascii="Times New Roman" w:hAnsi="Times New Roman"/>
          <w:i/>
          <w:sz w:val="24"/>
          <w:szCs w:val="24"/>
        </w:rPr>
        <w:t>Centro de Investigaciones Sociológicas</w:t>
      </w:r>
      <w:r w:rsidRPr="00F600BE">
        <w:rPr>
          <w:rFonts w:ascii="Times New Roman" w:hAnsi="Times New Roman"/>
          <w:sz w:val="24"/>
          <w:szCs w:val="24"/>
        </w:rPr>
        <w:t xml:space="preserve"> (CIS 2015), the annual trust average vis-à-vis the Court progressively decreased between 1995 and 2015. But the biggest loss of public support occurred between 2003 and 2010 (almost one point out of ten), four years before the decrease in confidence in the government – probably provoked by the 2008 economic crisis and a series of corruption scandals. This configuration suggests that the politicisation of the Court with respect to the ruling about the statute of Catalonia wounded the reputation for impartiality of the Court and it legitimacy. This connection will be explored in detail in the following chapter.</w:t>
      </w:r>
    </w:p>
    <w:p w14:paraId="2EAB1D33" w14:textId="13CB4091" w:rsidR="00D1510D" w:rsidRDefault="00D1510D" w:rsidP="00C45DE6">
      <w:pPr>
        <w:spacing w:after="0" w:line="240" w:lineRule="auto"/>
        <w:jc w:val="both"/>
        <w:rPr>
          <w:rFonts w:ascii="Times New Roman" w:hAnsi="Times New Roman"/>
          <w:sz w:val="20"/>
          <w:szCs w:val="20"/>
        </w:rPr>
      </w:pPr>
    </w:p>
    <w:p w14:paraId="7778BF9B" w14:textId="6E5BA1B4" w:rsidR="00D1510D" w:rsidRDefault="00D1510D" w:rsidP="00C45DE6">
      <w:pPr>
        <w:spacing w:after="0" w:line="240" w:lineRule="auto"/>
        <w:jc w:val="both"/>
        <w:rPr>
          <w:rFonts w:ascii="Times New Roman" w:hAnsi="Times New Roman"/>
          <w:sz w:val="20"/>
          <w:szCs w:val="20"/>
        </w:rPr>
      </w:pPr>
    </w:p>
    <w:p w14:paraId="4C577518" w14:textId="7884DDCB" w:rsidR="00D1510D" w:rsidRDefault="00D1510D" w:rsidP="00C45DE6">
      <w:pPr>
        <w:spacing w:after="0" w:line="240" w:lineRule="auto"/>
        <w:jc w:val="center"/>
        <w:rPr>
          <w:rFonts w:ascii="Times New Roman" w:hAnsi="Times New Roman"/>
          <w:sz w:val="20"/>
          <w:szCs w:val="20"/>
        </w:rPr>
      </w:pPr>
      <w:r>
        <w:rPr>
          <w:rFonts w:ascii="Times New Roman" w:hAnsi="Times New Roman"/>
          <w:sz w:val="20"/>
          <w:szCs w:val="20"/>
        </w:rPr>
        <w:t>Table 3 about here</w:t>
      </w:r>
    </w:p>
    <w:p w14:paraId="1C3DAA3C" w14:textId="04B89272" w:rsidR="00D1510D" w:rsidRDefault="00D1510D" w:rsidP="00C45DE6">
      <w:pPr>
        <w:spacing w:after="0" w:line="240" w:lineRule="auto"/>
        <w:jc w:val="center"/>
        <w:rPr>
          <w:rFonts w:ascii="Times New Roman" w:hAnsi="Times New Roman"/>
          <w:sz w:val="20"/>
          <w:szCs w:val="20"/>
        </w:rPr>
      </w:pPr>
    </w:p>
    <w:p w14:paraId="37D6E04E" w14:textId="4967CF5A" w:rsidR="00D1510D" w:rsidRDefault="00D1510D" w:rsidP="00C45DE6">
      <w:pPr>
        <w:spacing w:after="0" w:line="240" w:lineRule="auto"/>
        <w:jc w:val="center"/>
        <w:rPr>
          <w:rFonts w:ascii="Times New Roman" w:hAnsi="Times New Roman"/>
          <w:sz w:val="20"/>
          <w:szCs w:val="20"/>
        </w:rPr>
      </w:pPr>
    </w:p>
    <w:p w14:paraId="5810D35F" w14:textId="77777777" w:rsidR="00530EF3" w:rsidRPr="00F600BE" w:rsidRDefault="00530EF3" w:rsidP="00C45DE6">
      <w:pPr>
        <w:spacing w:after="0" w:line="240" w:lineRule="auto"/>
        <w:jc w:val="both"/>
        <w:rPr>
          <w:rFonts w:ascii="Times New Roman" w:hAnsi="Times New Roman"/>
          <w:sz w:val="20"/>
          <w:szCs w:val="20"/>
        </w:rPr>
        <w:sectPr w:rsidR="00530EF3" w:rsidRPr="00F600BE" w:rsidSect="00D1510D">
          <w:endnotePr>
            <w:numFmt w:val="decimal"/>
          </w:endnotePr>
          <w:type w:val="continuous"/>
          <w:pgSz w:w="11906" w:h="16838"/>
          <w:pgMar w:top="1418" w:right="1701" w:bottom="1418" w:left="1701" w:header="709" w:footer="709" w:gutter="0"/>
          <w:cols w:space="708"/>
          <w:docGrid w:linePitch="360"/>
        </w:sectPr>
      </w:pPr>
    </w:p>
    <w:p w14:paraId="1889D2EF" w14:textId="158BBC64" w:rsidR="00530EF3" w:rsidRPr="00F600BE" w:rsidRDefault="00530EF3" w:rsidP="00C45DE6">
      <w:pPr>
        <w:spacing w:after="0" w:line="240" w:lineRule="auto"/>
        <w:jc w:val="both"/>
        <w:rPr>
          <w:rFonts w:ascii="Times New Roman" w:hAnsi="Times New Roman"/>
          <w:i/>
          <w:sz w:val="24"/>
          <w:szCs w:val="24"/>
        </w:rPr>
      </w:pPr>
      <w:r w:rsidRPr="00F600BE">
        <w:rPr>
          <w:rFonts w:ascii="Times New Roman" w:hAnsi="Times New Roman"/>
          <w:i/>
          <w:sz w:val="24"/>
          <w:szCs w:val="24"/>
        </w:rPr>
        <w:t xml:space="preserve">The </w:t>
      </w:r>
      <w:r w:rsidR="00AE7EC0">
        <w:rPr>
          <w:rFonts w:ascii="Times New Roman" w:hAnsi="Times New Roman"/>
          <w:i/>
          <w:sz w:val="24"/>
          <w:szCs w:val="24"/>
        </w:rPr>
        <w:t>statute of Catalonia as a critical j</w:t>
      </w:r>
      <w:r w:rsidRPr="00F600BE">
        <w:rPr>
          <w:rFonts w:ascii="Times New Roman" w:hAnsi="Times New Roman"/>
          <w:i/>
          <w:sz w:val="24"/>
          <w:szCs w:val="24"/>
        </w:rPr>
        <w:t>uncture</w:t>
      </w:r>
    </w:p>
    <w:p w14:paraId="7A6DD21E" w14:textId="77777777" w:rsidR="00530EF3" w:rsidRPr="00F600BE" w:rsidRDefault="00530EF3" w:rsidP="00C45DE6">
      <w:pPr>
        <w:spacing w:after="0" w:line="240" w:lineRule="auto"/>
        <w:jc w:val="both"/>
        <w:rPr>
          <w:rFonts w:ascii="Times New Roman" w:hAnsi="Times New Roman"/>
          <w:i/>
          <w:sz w:val="24"/>
          <w:szCs w:val="24"/>
        </w:rPr>
      </w:pPr>
    </w:p>
    <w:p w14:paraId="6222CB0C" w14:textId="16484958" w:rsidR="00530EF3" w:rsidRPr="00F600BE" w:rsidRDefault="00530EF3" w:rsidP="00C45DE6">
      <w:pPr>
        <w:spacing w:after="0" w:line="240" w:lineRule="auto"/>
        <w:jc w:val="both"/>
        <w:rPr>
          <w:rFonts w:ascii="Times New Roman" w:hAnsi="Times New Roman"/>
          <w:sz w:val="24"/>
          <w:szCs w:val="24"/>
        </w:rPr>
      </w:pPr>
      <w:r w:rsidRPr="00F600BE">
        <w:rPr>
          <w:rFonts w:ascii="Times New Roman" w:hAnsi="Times New Roman"/>
          <w:sz w:val="24"/>
          <w:szCs w:val="24"/>
        </w:rPr>
        <w:t xml:space="preserve">To a large extent, centre-periphery conflicts brought to the fore the connections between constitutional justice and political parties, that is, the tension between general and partisan interests. From that perspective, the ruling on the 2006 statute of autonomy of Catalonia can be considered as a critical juncture in the history of the Court. Like the rest of the Spanish autonomous communities, Catalonia is ruled by a specific statute which regulates its own political institutions along with its relationship to the Spanish central government. In 2006, </w:t>
      </w:r>
      <w:r w:rsidR="00E51739">
        <w:rPr>
          <w:rFonts w:ascii="Times New Roman" w:hAnsi="Times New Roman"/>
          <w:sz w:val="24"/>
          <w:szCs w:val="24"/>
        </w:rPr>
        <w:t>the complaint</w:t>
      </w:r>
      <w:r w:rsidR="00E51739" w:rsidRPr="00F600BE">
        <w:rPr>
          <w:rFonts w:ascii="Times New Roman" w:hAnsi="Times New Roman"/>
          <w:sz w:val="24"/>
          <w:szCs w:val="24"/>
        </w:rPr>
        <w:t xml:space="preserve"> of unconstitutionality</w:t>
      </w:r>
      <w:r w:rsidR="00E51739">
        <w:rPr>
          <w:rFonts w:ascii="Times New Roman" w:hAnsi="Times New Roman"/>
          <w:sz w:val="24"/>
          <w:szCs w:val="24"/>
        </w:rPr>
        <w:t xml:space="preserve"> adopted by the PP against the</w:t>
      </w:r>
      <w:r w:rsidRPr="00F600BE">
        <w:rPr>
          <w:rFonts w:ascii="Times New Roman" w:hAnsi="Times New Roman"/>
          <w:sz w:val="24"/>
          <w:szCs w:val="24"/>
        </w:rPr>
        <w:t xml:space="preserve"> Catalan statute provoked an open crisis among the constitutional justices.</w:t>
      </w:r>
      <w:r w:rsidR="00E51739" w:rsidRPr="00E51739">
        <w:rPr>
          <w:rFonts w:ascii="Times New Roman" w:hAnsi="Times New Roman"/>
          <w:sz w:val="24"/>
          <w:szCs w:val="24"/>
        </w:rPr>
        <w:t xml:space="preserve"> </w:t>
      </w:r>
    </w:p>
    <w:p w14:paraId="6BD478D4" w14:textId="6062C454"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 xml:space="preserve">Two territorial conceptions clashed. On the one hand, the PP aimed to limit the self-government capacity of the regions in the name of the unity of the Spanish nation. Moreover, after its electoral defeat of 2004, the PP did not want to lose its grip on the Constitutional Court – the last vestige of conservative representation within the state’s institutions. On the other hand, the PSOE </w:t>
      </w:r>
      <w:r w:rsidR="00E51739">
        <w:rPr>
          <w:rFonts w:ascii="Times New Roman" w:hAnsi="Times New Roman"/>
          <w:sz w:val="24"/>
          <w:szCs w:val="24"/>
        </w:rPr>
        <w:t>accepted</w:t>
      </w:r>
      <w:r w:rsidRPr="00F600BE">
        <w:rPr>
          <w:rFonts w:ascii="Times New Roman" w:hAnsi="Times New Roman"/>
          <w:sz w:val="24"/>
          <w:szCs w:val="24"/>
        </w:rPr>
        <w:t xml:space="preserve"> the aspirations of the Catalan government within the limits of the 1978 Constitution because of the crucial importance of Catalan voters in supporting the Socialist majority in the Congress. These political tensions became clearly visible through the delays in appointing</w:t>
      </w:r>
      <w:r w:rsidR="00CE11C4">
        <w:rPr>
          <w:rFonts w:ascii="Times New Roman" w:hAnsi="Times New Roman"/>
          <w:sz w:val="24"/>
          <w:szCs w:val="24"/>
        </w:rPr>
        <w:t xml:space="preserve"> constitutional judges and the “</w:t>
      </w:r>
      <w:r w:rsidRPr="00F600BE">
        <w:rPr>
          <w:rFonts w:ascii="Times New Roman" w:hAnsi="Times New Roman"/>
          <w:sz w:val="24"/>
          <w:szCs w:val="24"/>
        </w:rPr>
        <w:t>war of recusations</w:t>
      </w:r>
      <w:r w:rsidR="00CE11C4">
        <w:rPr>
          <w:rFonts w:ascii="Times New Roman" w:hAnsi="Times New Roman"/>
          <w:sz w:val="24"/>
          <w:szCs w:val="24"/>
        </w:rPr>
        <w:t>”</w:t>
      </w:r>
      <w:r w:rsidRPr="00F600BE">
        <w:rPr>
          <w:rFonts w:ascii="Times New Roman" w:hAnsi="Times New Roman"/>
          <w:sz w:val="24"/>
          <w:szCs w:val="24"/>
        </w:rPr>
        <w:t xml:space="preserve"> between ideological blocs.</w:t>
      </w:r>
    </w:p>
    <w:p w14:paraId="512C4551" w14:textId="6670A902"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 xml:space="preserve">With respect to the delays, from 2007 to 2012 the PP and the PSOE proved to be unable to reach any agreement about the candidates to the Constitutional Court. In December 2007, the mandate of four constitutional judges was up but the PP and the PSOE’s senators mutually blocked the candidatures of the four new aspirants. The four outgoing justices divided into three conservative and one progressive magistrates and the PSOE could have appointed two progressive judges leading to a progressive majority at the Court. The PP refused those nominations for three years but the senators finally reached a consensus in the autumn of 2010 (after the death of judge García Calvo on 18 May 2008, which re-established the tie between conservatives and progressives). At the same time, the Congress had to appoint three other judges whose mandate would be up in November 2010. Despite the prohibition of article 159.3 of the Constitution, two-thirds of the Court would have </w:t>
      </w:r>
      <w:r w:rsidR="00E51739">
        <w:rPr>
          <w:rFonts w:ascii="Times New Roman" w:hAnsi="Times New Roman"/>
          <w:sz w:val="24"/>
          <w:szCs w:val="24"/>
        </w:rPr>
        <w:t>been replace</w:t>
      </w:r>
      <w:r w:rsidR="00F16243">
        <w:rPr>
          <w:rFonts w:ascii="Times New Roman" w:hAnsi="Times New Roman"/>
          <w:sz w:val="24"/>
          <w:szCs w:val="24"/>
        </w:rPr>
        <w:t>d</w:t>
      </w:r>
      <w:r w:rsidR="00E51739">
        <w:rPr>
          <w:rFonts w:ascii="Times New Roman" w:hAnsi="Times New Roman"/>
          <w:sz w:val="24"/>
          <w:szCs w:val="24"/>
        </w:rPr>
        <w:t xml:space="preserve"> at</w:t>
      </w:r>
      <w:r w:rsidRPr="00F600BE">
        <w:rPr>
          <w:rFonts w:ascii="Times New Roman" w:hAnsi="Times New Roman"/>
          <w:sz w:val="24"/>
          <w:szCs w:val="24"/>
        </w:rPr>
        <w:t xml:space="preserve"> once. </w:t>
      </w:r>
    </w:p>
    <w:p w14:paraId="2A6C0846" w14:textId="2FAA4F88"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 xml:space="preserve">In September 2010, the PP and PSOE congressists (along with the Catalan nationalist party Convergence and Union, </w:t>
      </w:r>
      <w:r w:rsidRPr="00F600BE">
        <w:rPr>
          <w:rFonts w:ascii="Times New Roman" w:hAnsi="Times New Roman"/>
          <w:i/>
          <w:sz w:val="24"/>
          <w:szCs w:val="24"/>
        </w:rPr>
        <w:t>Convergència i Unió</w:t>
      </w:r>
      <w:r w:rsidRPr="00F600BE">
        <w:rPr>
          <w:rFonts w:ascii="Times New Roman" w:hAnsi="Times New Roman"/>
          <w:sz w:val="24"/>
          <w:szCs w:val="24"/>
        </w:rPr>
        <w:t>) found an arrangement for appointing four new magistrates. They also introduced an amendment to shorten the mandate of one-third of the judges in order to avoid the overlapping of</w:t>
      </w:r>
      <w:r w:rsidR="009F1DFD">
        <w:rPr>
          <w:rFonts w:ascii="Times New Roman" w:hAnsi="Times New Roman"/>
          <w:sz w:val="24"/>
          <w:szCs w:val="24"/>
        </w:rPr>
        <w:t xml:space="preserve"> replacements in the</w:t>
      </w:r>
      <w:r w:rsidRPr="00F600BE">
        <w:rPr>
          <w:rFonts w:ascii="Times New Roman" w:hAnsi="Times New Roman"/>
          <w:sz w:val="24"/>
          <w:szCs w:val="24"/>
        </w:rPr>
        <w:t xml:space="preserve"> future. But the Congress’ agreement failed in the end. During her farewell ceremony, </w:t>
      </w:r>
      <w:r w:rsidRPr="00F600BE">
        <w:rPr>
          <w:rFonts w:ascii="Times New Roman" w:hAnsi="Times New Roman"/>
          <w:sz w:val="24"/>
          <w:szCs w:val="24"/>
        </w:rPr>
        <w:lastRenderedPageBreak/>
        <w:t>the President of the Constitutional Court María Emilia</w:t>
      </w:r>
      <w:r w:rsidR="009F1DFD">
        <w:rPr>
          <w:rFonts w:ascii="Times New Roman" w:hAnsi="Times New Roman"/>
          <w:sz w:val="24"/>
          <w:szCs w:val="24"/>
        </w:rPr>
        <w:t xml:space="preserve"> Casas spoke in harsh terms against</w:t>
      </w:r>
      <w:r w:rsidRPr="00F600BE">
        <w:rPr>
          <w:rFonts w:ascii="Times New Roman" w:hAnsi="Times New Roman"/>
          <w:sz w:val="24"/>
          <w:szCs w:val="24"/>
        </w:rPr>
        <w:t xml:space="preserve"> the politicisa</w:t>
      </w:r>
      <w:r w:rsidR="00CE11C4">
        <w:rPr>
          <w:rFonts w:ascii="Times New Roman" w:hAnsi="Times New Roman"/>
          <w:sz w:val="24"/>
          <w:szCs w:val="24"/>
        </w:rPr>
        <w:t>tion of the Court by stressing “</w:t>
      </w:r>
      <w:r w:rsidRPr="00F600BE">
        <w:rPr>
          <w:rFonts w:ascii="Times New Roman" w:hAnsi="Times New Roman"/>
          <w:sz w:val="24"/>
          <w:szCs w:val="24"/>
        </w:rPr>
        <w:t>a serious unfulfillment of the Constitution [that is] detrimental to Spanish democracy</w:t>
      </w:r>
      <w:r w:rsidR="00CE11C4">
        <w:rPr>
          <w:rFonts w:ascii="Times New Roman" w:hAnsi="Times New Roman"/>
          <w:sz w:val="24"/>
          <w:szCs w:val="24"/>
        </w:rPr>
        <w:t>”</w:t>
      </w:r>
      <w:r w:rsidRPr="00F600BE">
        <w:rPr>
          <w:rFonts w:ascii="Times New Roman" w:hAnsi="Times New Roman"/>
          <w:sz w:val="24"/>
          <w:szCs w:val="24"/>
        </w:rPr>
        <w:t xml:space="preserve">. In the summer of 2010, the outgoing magistrates were finally replaced by two progressive and two conservative candidates by the Congress after a struggle that had lasted for a year and a half. </w:t>
      </w:r>
    </w:p>
    <w:p w14:paraId="0D8622B9" w14:textId="77777777"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The political struggle between the PP and PSOE for control over the Constitutional Court also adopted other forms through the so-called recusation war (Lázaro 2008). From 2006 to 2010, political parties aimed to influence the composition of the Court in order to promote their own visions of Spain. It is worth noting that in 2006, the Court faced the particular situation of there being an ideological tie, with six conservative judges and six progressive judges with respect to territorial politics. However, the progressive profile of the president, María Emilia Casas Baamonde, gave a clear advantage to the pro-Catalan statute bloc.</w:t>
      </w:r>
    </w:p>
    <w:p w14:paraId="6DEEDD02" w14:textId="5FA18B22" w:rsidR="00530EF3" w:rsidRPr="00F600BE" w:rsidRDefault="00530EF3" w:rsidP="00C45DE6">
      <w:pPr>
        <w:spacing w:after="0" w:line="240" w:lineRule="auto"/>
        <w:ind w:firstLine="397"/>
        <w:jc w:val="both"/>
        <w:rPr>
          <w:rFonts w:ascii="Times New Roman" w:hAnsi="Times New Roman"/>
          <w:sz w:val="24"/>
          <w:szCs w:val="24"/>
          <w:highlight w:val="yellow"/>
        </w:rPr>
      </w:pPr>
      <w:r w:rsidRPr="00F600BE">
        <w:rPr>
          <w:rFonts w:ascii="Times New Roman" w:hAnsi="Times New Roman"/>
          <w:sz w:val="24"/>
          <w:szCs w:val="24"/>
        </w:rPr>
        <w:t xml:space="preserve">In Spain, the legal bases for disqualifying a constitutional judge are almost the same as for ordinary judges and are regulated by article 219 of the organic law 6/1985. Nevertheless, given the specific nature of the Constitutional Court, the recusal of its magistrates must be decided in last instance by the Court itself. The PP aimed to neutralise progressive justices in order to veto the Catalan statute reform while the PSOE and Catalan parties tried to disqualify the judges with a conservative profile for avoiding such a blockage. As stressed by a public </w:t>
      </w:r>
      <w:r w:rsidR="009F1DFD">
        <w:rPr>
          <w:rFonts w:ascii="Times New Roman" w:hAnsi="Times New Roman"/>
          <w:sz w:val="24"/>
          <w:szCs w:val="24"/>
        </w:rPr>
        <w:t xml:space="preserve">law </w:t>
      </w:r>
      <w:r w:rsidRPr="00F600BE">
        <w:rPr>
          <w:rFonts w:ascii="Times New Roman" w:hAnsi="Times New Roman"/>
          <w:sz w:val="24"/>
          <w:szCs w:val="24"/>
        </w:rPr>
        <w:t xml:space="preserve">specialist interviewed </w:t>
      </w:r>
      <w:r w:rsidR="00CE11C4">
        <w:rPr>
          <w:rFonts w:ascii="Times New Roman" w:hAnsi="Times New Roman"/>
          <w:sz w:val="24"/>
          <w:szCs w:val="24"/>
        </w:rPr>
        <w:t>in Barcelona in November 2015: “</w:t>
      </w:r>
      <w:r w:rsidRPr="00F600BE">
        <w:rPr>
          <w:rFonts w:ascii="Times New Roman" w:hAnsi="Times New Roman"/>
          <w:sz w:val="24"/>
          <w:szCs w:val="24"/>
        </w:rPr>
        <w:t>The objective was the disqualification of constitutional magistrates and/or their mere abstention during the preliminary process of examination, since the affected judges cannot participate in the de</w:t>
      </w:r>
      <w:r w:rsidR="00CE11C4">
        <w:rPr>
          <w:rFonts w:ascii="Times New Roman" w:hAnsi="Times New Roman"/>
          <w:sz w:val="24"/>
          <w:szCs w:val="24"/>
        </w:rPr>
        <w:t>bate about their own recusation”</w:t>
      </w:r>
      <w:r w:rsidRPr="00F600BE">
        <w:rPr>
          <w:rFonts w:ascii="Times New Roman" w:hAnsi="Times New Roman"/>
          <w:sz w:val="24"/>
          <w:szCs w:val="24"/>
        </w:rPr>
        <w:t xml:space="preserve">.  </w:t>
      </w:r>
    </w:p>
    <w:p w14:paraId="7FA192B4" w14:textId="77777777"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 xml:space="preserve">The struggle started on 2 November 2005: the PP intended to recuse judge Pablo Pérez Tremps but the Constitutional Court dismissed this request. The pro-Catalan statute forces counterattacked on 11 October 2006 when the Catalan cabinet and the Catalan Parliament tried to disqualify judge Roberto García-Calvo y Montiel for his involvement in a previous judgement against the Catalan government. This recusation was also rejected by the Court. </w:t>
      </w:r>
    </w:p>
    <w:p w14:paraId="748602B1" w14:textId="01E85D43"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 xml:space="preserve">On 2 November 2006, the PP parliamentary group aimed to recuse the president of the Constitutional Court María Emilia Casas Baamonde. The PP deputies argued that her husband (Jesús Leguina Villa, professor of public law) had previously published a series of articles dealing with the reform of the Catalan statute. Those claims were dismissed by the Court. But on 5 February 2007, the Constitutional Court finally accepted the new request of the PP deputies against Pablo Pérez Tremps. The plaintiffs argued that this magistrate (formerly a professor of public law) was not impartial since he had previously written a chapter in a book about the reform of the Catalan statute published by the Catalan foundation </w:t>
      </w:r>
      <w:r w:rsidRPr="00F600BE">
        <w:rPr>
          <w:rFonts w:ascii="Times New Roman" w:hAnsi="Times New Roman"/>
          <w:i/>
          <w:sz w:val="24"/>
          <w:szCs w:val="24"/>
        </w:rPr>
        <w:t>Institut d’Estudis Autonómics</w:t>
      </w:r>
      <w:r w:rsidRPr="00F600BE">
        <w:rPr>
          <w:rFonts w:ascii="Times New Roman" w:hAnsi="Times New Roman"/>
          <w:sz w:val="24"/>
          <w:szCs w:val="24"/>
        </w:rPr>
        <w:t xml:space="preserve">. Given the presence of some of the Tremps’ arguments in the report sent </w:t>
      </w:r>
      <w:r w:rsidR="009F1DFD">
        <w:rPr>
          <w:rFonts w:ascii="Times New Roman" w:hAnsi="Times New Roman"/>
          <w:sz w:val="24"/>
          <w:szCs w:val="24"/>
        </w:rPr>
        <w:t xml:space="preserve">by the </w:t>
      </w:r>
      <w:r w:rsidR="009F1DFD" w:rsidRPr="009F1DFD">
        <w:rPr>
          <w:rFonts w:ascii="Times New Roman" w:hAnsi="Times New Roman"/>
          <w:i/>
          <w:sz w:val="24"/>
          <w:szCs w:val="24"/>
        </w:rPr>
        <w:t>Institut</w:t>
      </w:r>
      <w:r w:rsidR="009F1DFD">
        <w:rPr>
          <w:rFonts w:ascii="Times New Roman" w:hAnsi="Times New Roman"/>
          <w:sz w:val="24"/>
          <w:szCs w:val="24"/>
        </w:rPr>
        <w:t xml:space="preserve"> </w:t>
      </w:r>
      <w:r w:rsidRPr="00F600BE">
        <w:rPr>
          <w:rFonts w:ascii="Times New Roman" w:hAnsi="Times New Roman"/>
          <w:sz w:val="24"/>
          <w:szCs w:val="24"/>
        </w:rPr>
        <w:t>to the Catalan Parliament, the Constitutional Court finally accepted this motion for disqualification (with five dissenting votes). The tie was broken in favour of the conservatives (six against five).</w:t>
      </w:r>
    </w:p>
    <w:p w14:paraId="54223184" w14:textId="6583F131"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On 7 March 2007, the Catalan</w:t>
      </w:r>
      <w:r w:rsidR="009F1DFD">
        <w:rPr>
          <w:rFonts w:ascii="Times New Roman" w:hAnsi="Times New Roman"/>
          <w:sz w:val="24"/>
          <w:szCs w:val="24"/>
        </w:rPr>
        <w:t xml:space="preserve"> Government requested judge Jorge Rodríguez-Zapata Pérez be recused</w:t>
      </w:r>
      <w:r w:rsidRPr="00F600BE">
        <w:rPr>
          <w:rFonts w:ascii="Times New Roman" w:hAnsi="Times New Roman"/>
          <w:sz w:val="24"/>
          <w:szCs w:val="24"/>
        </w:rPr>
        <w:t xml:space="preserve">. According to the claimant, this magistrate had previously written a report for the academic organisation </w:t>
      </w:r>
      <w:r w:rsidRPr="00F600BE">
        <w:rPr>
          <w:rFonts w:ascii="Times New Roman" w:hAnsi="Times New Roman"/>
          <w:i/>
          <w:sz w:val="24"/>
          <w:szCs w:val="24"/>
        </w:rPr>
        <w:t>Fundación Carles Pi i Sunyer</w:t>
      </w:r>
      <w:r w:rsidRPr="00F600BE">
        <w:rPr>
          <w:rFonts w:ascii="Times New Roman" w:hAnsi="Times New Roman"/>
          <w:sz w:val="24"/>
          <w:szCs w:val="24"/>
        </w:rPr>
        <w:t xml:space="preserve"> where he tackled some points of the future reform. Nevertheless, the Court unanimously decided to reject the petition. In turn, on 19 October 2007, the Spanish government led by the PSOE solicited the recusals of Roberto García-Calvo y Montiel and Jorge Rodríguez-Zapata Pérez for their criticisms of the reform of the LOTC. The Court held that those judges were not impartial and the recusations were accepted. The new balance of power favoured the interests of the progressive magistrates (five against four). The PP congressists followed </w:t>
      </w:r>
      <w:r w:rsidRPr="00F600BE">
        <w:rPr>
          <w:rFonts w:ascii="Times New Roman" w:hAnsi="Times New Roman"/>
          <w:sz w:val="24"/>
          <w:szCs w:val="24"/>
        </w:rPr>
        <w:lastRenderedPageBreak/>
        <w:t>the same strategy on 26 October 2007 by negating the impartiality of Pascual Sala Sánchez, Pablo Pérez Tremps and Manuel Aragón for expressing their opinions about the reform in a professional meeting. Despite the rejection of the recusation, the remaining constitutional magistrates recognised that the acceptance of this challenge would have paralysed the Court because of the lack of a legal quorum of eight judges.</w:t>
      </w:r>
    </w:p>
    <w:p w14:paraId="3ED2807A" w14:textId="6AF123D1" w:rsidR="00530EF3" w:rsidRPr="00F600BE" w:rsidRDefault="00530EF3" w:rsidP="00C45DE6">
      <w:pPr>
        <w:spacing w:after="0" w:line="240" w:lineRule="auto"/>
        <w:ind w:firstLine="397"/>
        <w:jc w:val="both"/>
        <w:rPr>
          <w:rFonts w:ascii="Times New Roman" w:hAnsi="Times New Roman"/>
          <w:sz w:val="24"/>
          <w:szCs w:val="24"/>
          <w:highlight w:val="yellow"/>
        </w:rPr>
      </w:pPr>
      <w:r w:rsidRPr="00F600BE">
        <w:rPr>
          <w:rFonts w:ascii="Times New Roman" w:hAnsi="Times New Roman"/>
          <w:sz w:val="24"/>
          <w:szCs w:val="24"/>
        </w:rPr>
        <w:t xml:space="preserve">One could think that this series of recusations was only an isolated episode linked to the reform of the statute of Catalonia. Nevertheless, this process is not over and it should be considered to be part of the current </w:t>
      </w:r>
      <w:r w:rsidR="009F1DFD">
        <w:rPr>
          <w:rFonts w:ascii="Times New Roman" w:hAnsi="Times New Roman"/>
          <w:sz w:val="24"/>
          <w:szCs w:val="24"/>
        </w:rPr>
        <w:t xml:space="preserve">political </w:t>
      </w:r>
      <w:r w:rsidRPr="00F600BE">
        <w:rPr>
          <w:rFonts w:ascii="Times New Roman" w:hAnsi="Times New Roman"/>
          <w:sz w:val="24"/>
          <w:szCs w:val="24"/>
        </w:rPr>
        <w:t>relationship between the centre and the peripheries</w:t>
      </w:r>
      <w:r w:rsidR="009F1DFD">
        <w:rPr>
          <w:rFonts w:ascii="Times New Roman" w:hAnsi="Times New Roman"/>
          <w:sz w:val="24"/>
          <w:szCs w:val="24"/>
        </w:rPr>
        <w:t xml:space="preserve"> in Spain</w:t>
      </w:r>
      <w:r w:rsidRPr="00F600BE">
        <w:rPr>
          <w:rFonts w:ascii="Times New Roman" w:hAnsi="Times New Roman"/>
          <w:sz w:val="24"/>
          <w:szCs w:val="24"/>
        </w:rPr>
        <w:t>. In the words of one of the Catalan senators interviewed in</w:t>
      </w:r>
      <w:r w:rsidR="009F1DFD">
        <w:rPr>
          <w:rFonts w:ascii="Times New Roman" w:hAnsi="Times New Roman"/>
          <w:sz w:val="24"/>
          <w:szCs w:val="24"/>
        </w:rPr>
        <w:t xml:space="preserve"> October 2015 in </w:t>
      </w:r>
      <w:r w:rsidR="0082706F">
        <w:rPr>
          <w:rFonts w:ascii="Times New Roman" w:hAnsi="Times New Roman"/>
          <w:sz w:val="24"/>
          <w:szCs w:val="24"/>
        </w:rPr>
        <w:t>Madrid: “</w:t>
      </w:r>
      <w:r w:rsidRPr="00F600BE">
        <w:rPr>
          <w:rFonts w:ascii="Times New Roman" w:hAnsi="Times New Roman"/>
          <w:sz w:val="24"/>
          <w:szCs w:val="24"/>
        </w:rPr>
        <w:t>[…] the Pandora’s box is open</w:t>
      </w:r>
      <w:r w:rsidR="0082706F">
        <w:rPr>
          <w:rFonts w:ascii="Times New Roman" w:hAnsi="Times New Roman"/>
          <w:sz w:val="24"/>
          <w:szCs w:val="24"/>
        </w:rPr>
        <w:t>”</w:t>
      </w:r>
      <w:r w:rsidRPr="00F600BE">
        <w:rPr>
          <w:rFonts w:ascii="Times New Roman" w:hAnsi="Times New Roman"/>
          <w:sz w:val="24"/>
          <w:szCs w:val="24"/>
        </w:rPr>
        <w:t xml:space="preserve">. Indeed, in 2013 the revelation of the affiliation of the current president of the Court – Francisco Pérez de los Cobos – with the PP between 1996 and 2007 provoked a certain </w:t>
      </w:r>
      <w:r w:rsidRPr="00F600BE">
        <w:rPr>
          <w:rFonts w:ascii="Times New Roman" w:hAnsi="Times New Roman"/>
          <w:i/>
          <w:sz w:val="24"/>
          <w:szCs w:val="24"/>
        </w:rPr>
        <w:t>malaise</w:t>
      </w:r>
      <w:r w:rsidRPr="00F600BE">
        <w:rPr>
          <w:rFonts w:ascii="Times New Roman" w:hAnsi="Times New Roman"/>
          <w:sz w:val="24"/>
          <w:szCs w:val="24"/>
        </w:rPr>
        <w:t xml:space="preserve"> in public opinion. The Parliament of Catalonia used this information to have him recused. But while article 159.4 of the Constitution forbids constituti</w:t>
      </w:r>
      <w:r w:rsidR="0082706F">
        <w:rPr>
          <w:rFonts w:ascii="Times New Roman" w:hAnsi="Times New Roman"/>
          <w:sz w:val="24"/>
          <w:szCs w:val="24"/>
        </w:rPr>
        <w:t>onal magistrates from exerting “</w:t>
      </w:r>
      <w:r w:rsidRPr="00F600BE">
        <w:rPr>
          <w:rFonts w:ascii="Times New Roman" w:hAnsi="Times New Roman"/>
          <w:sz w:val="24"/>
          <w:szCs w:val="24"/>
        </w:rPr>
        <w:t>managerial functions in a poli</w:t>
      </w:r>
      <w:r w:rsidR="0082706F">
        <w:rPr>
          <w:rFonts w:ascii="Times New Roman" w:hAnsi="Times New Roman"/>
          <w:sz w:val="24"/>
          <w:szCs w:val="24"/>
        </w:rPr>
        <w:t>tical party or labour union […]”</w:t>
      </w:r>
      <w:r w:rsidRPr="00F600BE">
        <w:rPr>
          <w:rFonts w:ascii="Times New Roman" w:hAnsi="Times New Roman"/>
          <w:sz w:val="24"/>
          <w:szCs w:val="24"/>
        </w:rPr>
        <w:t>, Pérez de los Cobos argued that his status as a former simple militant was not incompatible with his position as a judge (Fabra 2013). More recently, in October 2014, Catalan deputies sought to have recused at least three constitutional magistrates (Francisco Pérez de los Cobos, Pedro González-Trevijano and Enrique López) for previously having expressed a negative opinion about law 10/2014 adopted by the Catalan Parliament. The complaint was rejected, but it shows how the political parties intend to use the institutional weaknesses of the Court for their own purposes (Matía Portilla 2014).</w:t>
      </w:r>
    </w:p>
    <w:p w14:paraId="2C9794E6" w14:textId="77777777" w:rsidR="00530EF3" w:rsidRPr="00F600BE" w:rsidRDefault="00530EF3" w:rsidP="00C45DE6">
      <w:pPr>
        <w:spacing w:after="0" w:line="240" w:lineRule="auto"/>
        <w:jc w:val="both"/>
        <w:rPr>
          <w:rFonts w:ascii="Times New Roman" w:hAnsi="Times New Roman"/>
          <w:sz w:val="24"/>
          <w:szCs w:val="24"/>
        </w:rPr>
      </w:pPr>
    </w:p>
    <w:p w14:paraId="4E380775" w14:textId="77777777" w:rsidR="00530EF3" w:rsidRPr="00F600BE" w:rsidRDefault="00530EF3" w:rsidP="00C45DE6">
      <w:pPr>
        <w:spacing w:after="0" w:line="240" w:lineRule="auto"/>
        <w:jc w:val="both"/>
        <w:rPr>
          <w:rFonts w:ascii="Times New Roman" w:hAnsi="Times New Roman"/>
          <w:sz w:val="24"/>
          <w:szCs w:val="24"/>
        </w:rPr>
      </w:pPr>
    </w:p>
    <w:p w14:paraId="5682ED6B" w14:textId="77777777" w:rsidR="00530EF3" w:rsidRPr="001C627A" w:rsidRDefault="00530EF3" w:rsidP="00C45DE6">
      <w:pPr>
        <w:spacing w:after="0" w:line="240" w:lineRule="auto"/>
        <w:jc w:val="center"/>
        <w:rPr>
          <w:rFonts w:ascii="Times New Roman" w:hAnsi="Times New Roman"/>
          <w:caps/>
          <w:sz w:val="24"/>
          <w:szCs w:val="24"/>
        </w:rPr>
      </w:pPr>
      <w:r w:rsidRPr="001C627A">
        <w:rPr>
          <w:rFonts w:ascii="Times New Roman" w:hAnsi="Times New Roman"/>
          <w:caps/>
          <w:sz w:val="24"/>
          <w:szCs w:val="24"/>
        </w:rPr>
        <w:t>Conclusion</w:t>
      </w:r>
    </w:p>
    <w:p w14:paraId="77DAFA82" w14:textId="77777777" w:rsidR="00530EF3" w:rsidRPr="00F600BE" w:rsidRDefault="00530EF3" w:rsidP="00C45DE6">
      <w:pPr>
        <w:spacing w:after="0" w:line="240" w:lineRule="auto"/>
        <w:jc w:val="both"/>
        <w:rPr>
          <w:rFonts w:ascii="Times New Roman" w:hAnsi="Times New Roman"/>
          <w:sz w:val="24"/>
          <w:szCs w:val="24"/>
        </w:rPr>
      </w:pPr>
    </w:p>
    <w:p w14:paraId="26C948DC" w14:textId="77777777" w:rsidR="00530EF3" w:rsidRPr="00F600BE" w:rsidRDefault="00530EF3" w:rsidP="00C45DE6">
      <w:pPr>
        <w:spacing w:after="0" w:line="240" w:lineRule="auto"/>
        <w:jc w:val="both"/>
        <w:rPr>
          <w:rFonts w:ascii="Times New Roman" w:hAnsi="Times New Roman"/>
          <w:sz w:val="24"/>
          <w:szCs w:val="24"/>
        </w:rPr>
      </w:pPr>
      <w:r w:rsidRPr="00F600BE">
        <w:rPr>
          <w:rFonts w:ascii="Times New Roman" w:hAnsi="Times New Roman"/>
          <w:sz w:val="24"/>
          <w:szCs w:val="24"/>
        </w:rPr>
        <w:t xml:space="preserve">This study focussed on the role of the Spanish Constitutional Court in the state of autonomies from 1980 to 2014. The dynamic of decentralisation in Spain provoked the rise of two main tiers of power: central and regional governments. This particular design favoured the consolidation of a federal-like constitutional court: the </w:t>
      </w:r>
      <w:r w:rsidRPr="00F600BE">
        <w:rPr>
          <w:rFonts w:ascii="Times New Roman" w:hAnsi="Times New Roman"/>
          <w:i/>
          <w:sz w:val="24"/>
          <w:szCs w:val="24"/>
        </w:rPr>
        <w:t>Tribunal Constitucional</w:t>
      </w:r>
      <w:r w:rsidRPr="00F600BE">
        <w:rPr>
          <w:rFonts w:ascii="Times New Roman" w:hAnsi="Times New Roman"/>
          <w:sz w:val="24"/>
          <w:szCs w:val="24"/>
        </w:rPr>
        <w:t>. Taking those structural elements into consideration, this article aimed to analyse the two sides of the nexus between constitutional justice and the state of autonomies.</w:t>
      </w:r>
    </w:p>
    <w:p w14:paraId="12FCEEAD" w14:textId="2F9F70F6"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On the one hand, this investigation demonstrated that the Constitutional Court profoundly shaped the contours of the devolution process</w:t>
      </w:r>
      <w:r w:rsidR="0082706F">
        <w:rPr>
          <w:rFonts w:ascii="Times New Roman" w:hAnsi="Times New Roman"/>
          <w:sz w:val="24"/>
          <w:szCs w:val="24"/>
        </w:rPr>
        <w:t xml:space="preserve"> in Spain through a dynamic of judicialisation</w:t>
      </w:r>
      <w:r w:rsidRPr="00F600BE">
        <w:rPr>
          <w:rFonts w:ascii="Times New Roman" w:hAnsi="Times New Roman"/>
          <w:sz w:val="24"/>
          <w:szCs w:val="24"/>
        </w:rPr>
        <w:t xml:space="preserve"> of territorial politics. The analysis of the volume of litigations handled by the constitutional magistrates shows the relevance of this institution in managing regional conflicts since its inception. The study particularly emphasised the pivotal role of the Court in managing the tensions between Catalonia and the central government in the field of shared competences between central and regional executives (like agriculture, economy or tourism). Then, the examination of the judicial review of the Court put to the fore its role in structuring the development of the state of autonomies (through the LOAPA case and the statute of Catalonia ruling, for instance).</w:t>
      </w:r>
    </w:p>
    <w:p w14:paraId="0C5D12A8" w14:textId="05A91F63"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On the other hand, this research aimed to investigate the other side of the coin, that is, the series of pressures exerted by territorial actors on the Constitutional Court. Of course, the politicisation of constitutional justice is not a specifically Spanish phenomenon. But in Spain this dynamic led to the quasi-paralysation of the Constitutional Court from 2008 to 2012. This impasse profoundly jeopardised the legitimacy of the Court in the eyes of public opinion. This institutional crisis had to do with the judgement handed down concerning the reform of the Catalan statute (2006–</w:t>
      </w:r>
      <w:r w:rsidR="009F1DFD">
        <w:rPr>
          <w:rFonts w:ascii="Times New Roman" w:hAnsi="Times New Roman"/>
          <w:sz w:val="24"/>
          <w:szCs w:val="24"/>
        </w:rPr>
        <w:t>20</w:t>
      </w:r>
      <w:r w:rsidRPr="00F600BE">
        <w:rPr>
          <w:rFonts w:ascii="Times New Roman" w:hAnsi="Times New Roman"/>
          <w:sz w:val="24"/>
          <w:szCs w:val="24"/>
        </w:rPr>
        <w:t xml:space="preserve">10). The verdict of </w:t>
      </w:r>
      <w:r w:rsidRPr="00F600BE">
        <w:rPr>
          <w:rFonts w:ascii="Times New Roman" w:hAnsi="Times New Roman"/>
          <w:sz w:val="24"/>
          <w:szCs w:val="24"/>
        </w:rPr>
        <w:lastRenderedPageBreak/>
        <w:t>the Court was going to deeply influence the future development of the state of autonomies, and political parties did their best to break the tie between the conservative and progressive constitutional judges. During that period, the PP and the PSOE (along with Catalan parties) tried to delay the appointment procedure of justices in the Senate and in the Congress. Additionally, political parties started to challenge the impartiality of constitutional magistrates through the so-called war of recusations.</w:t>
      </w:r>
    </w:p>
    <w:p w14:paraId="69A16629" w14:textId="7B7C689C" w:rsidR="00530EF3" w:rsidRPr="00F600BE" w:rsidRDefault="00904FC2" w:rsidP="00C45DE6">
      <w:pPr>
        <w:spacing w:after="0" w:line="240" w:lineRule="auto"/>
        <w:ind w:firstLine="397"/>
        <w:jc w:val="both"/>
        <w:rPr>
          <w:rFonts w:ascii="Times New Roman" w:hAnsi="Times New Roman"/>
          <w:sz w:val="24"/>
          <w:szCs w:val="24"/>
        </w:rPr>
      </w:pPr>
      <w:r>
        <w:rPr>
          <w:rFonts w:ascii="Times New Roman" w:hAnsi="Times New Roman"/>
          <w:sz w:val="24"/>
          <w:szCs w:val="24"/>
        </w:rPr>
        <w:t>In other words,</w:t>
      </w:r>
      <w:r w:rsidRPr="00904FC2">
        <w:rPr>
          <w:rFonts w:ascii="Times New Roman" w:hAnsi="Times New Roman"/>
          <w:sz w:val="24"/>
          <w:szCs w:val="24"/>
        </w:rPr>
        <w:t xml:space="preserve"> the Spanish Constitutional Court is neither the watchdog of central government (or regional governments), nor the impartial guardian of the Constitution.</w:t>
      </w:r>
      <w:r w:rsidRPr="00F600BE">
        <w:rPr>
          <w:rFonts w:ascii="Times New Roman" w:hAnsi="Times New Roman"/>
          <w:sz w:val="24"/>
          <w:szCs w:val="24"/>
        </w:rPr>
        <w:t xml:space="preserve"> </w:t>
      </w:r>
      <w:r w:rsidR="00530EF3" w:rsidRPr="00F600BE">
        <w:rPr>
          <w:rFonts w:ascii="Times New Roman" w:hAnsi="Times New Roman"/>
          <w:sz w:val="24"/>
          <w:szCs w:val="24"/>
        </w:rPr>
        <w:t xml:space="preserve">So, how to define the role played by the Court in territorial </w:t>
      </w:r>
      <w:r w:rsidR="00530EF3" w:rsidRPr="00904FC2">
        <w:rPr>
          <w:rFonts w:ascii="Times New Roman" w:hAnsi="Times New Roman"/>
          <w:sz w:val="24"/>
          <w:szCs w:val="24"/>
        </w:rPr>
        <w:t>politics?</w:t>
      </w:r>
      <w:r w:rsidRPr="00904FC2">
        <w:rPr>
          <w:rFonts w:ascii="Times New Roman" w:hAnsi="Times New Roman"/>
          <w:sz w:val="24"/>
          <w:szCs w:val="24"/>
        </w:rPr>
        <w:t xml:space="preserve"> </w:t>
      </w:r>
      <w:r w:rsidR="00530EF3" w:rsidRPr="00F600BE">
        <w:rPr>
          <w:rFonts w:ascii="Times New Roman" w:hAnsi="Times New Roman"/>
          <w:sz w:val="24"/>
          <w:szCs w:val="24"/>
        </w:rPr>
        <w:t>Since the 1990s, many scholars have sought to understand the evolution of constitutional justice within a single theoretical framework. One of the dominant schools of</w:t>
      </w:r>
      <w:r w:rsidR="0082706F">
        <w:rPr>
          <w:rFonts w:ascii="Times New Roman" w:hAnsi="Times New Roman"/>
          <w:sz w:val="24"/>
          <w:szCs w:val="24"/>
        </w:rPr>
        <w:t xml:space="preserve"> thought since the 1990s – the </w:t>
      </w:r>
      <w:r w:rsidR="00530EF3" w:rsidRPr="00F600BE">
        <w:rPr>
          <w:rFonts w:ascii="Times New Roman" w:hAnsi="Times New Roman"/>
          <w:sz w:val="24"/>
          <w:szCs w:val="24"/>
        </w:rPr>
        <w:t xml:space="preserve">principal-agent approach of delegation – defined non-majoritarian institutions (like international organisations or national regulatory agencies) as actors exercising a public authority without having been elected by the people (Epstein </w:t>
      </w:r>
      <w:r w:rsidR="00BF2A28">
        <w:rPr>
          <w:rFonts w:ascii="Times New Roman" w:hAnsi="Times New Roman"/>
          <w:sz w:val="24"/>
          <w:szCs w:val="24"/>
        </w:rPr>
        <w:t>and</w:t>
      </w:r>
      <w:r w:rsidR="00530EF3" w:rsidRPr="00F600BE">
        <w:rPr>
          <w:rFonts w:ascii="Times New Roman" w:hAnsi="Times New Roman"/>
          <w:sz w:val="24"/>
          <w:szCs w:val="24"/>
        </w:rPr>
        <w:t xml:space="preserve"> O’Ha</w:t>
      </w:r>
      <w:r w:rsidR="0082706F">
        <w:rPr>
          <w:rFonts w:ascii="Times New Roman" w:hAnsi="Times New Roman"/>
          <w:sz w:val="24"/>
          <w:szCs w:val="24"/>
        </w:rPr>
        <w:t xml:space="preserve">lloran 1999). This means those </w:t>
      </w:r>
      <w:r w:rsidR="00530EF3" w:rsidRPr="00F600BE">
        <w:rPr>
          <w:rFonts w:ascii="Times New Roman" w:hAnsi="Times New Roman"/>
          <w:sz w:val="24"/>
          <w:szCs w:val="24"/>
        </w:rPr>
        <w:t>agents realise their functions unde</w:t>
      </w:r>
      <w:r w:rsidR="0082706F">
        <w:rPr>
          <w:rFonts w:ascii="Times New Roman" w:hAnsi="Times New Roman"/>
          <w:sz w:val="24"/>
          <w:szCs w:val="24"/>
        </w:rPr>
        <w:t xml:space="preserve">r the indirect orders of their </w:t>
      </w:r>
      <w:r w:rsidR="00530EF3" w:rsidRPr="00F600BE">
        <w:rPr>
          <w:rFonts w:ascii="Times New Roman" w:hAnsi="Times New Roman"/>
          <w:sz w:val="24"/>
          <w:szCs w:val="24"/>
        </w:rPr>
        <w:t xml:space="preserve">principals. Nevertheless, in accordance with Stone Sweet (2002), </w:t>
      </w:r>
      <w:r w:rsidR="0082706F">
        <w:rPr>
          <w:rFonts w:ascii="Times New Roman" w:hAnsi="Times New Roman"/>
          <w:sz w:val="24"/>
          <w:szCs w:val="24"/>
        </w:rPr>
        <w:t>this study</w:t>
      </w:r>
      <w:r w:rsidR="00530EF3" w:rsidRPr="00F600BE">
        <w:rPr>
          <w:rFonts w:ascii="Times New Roman" w:hAnsi="Times New Roman"/>
          <w:sz w:val="24"/>
          <w:szCs w:val="24"/>
        </w:rPr>
        <w:t xml:space="preserve"> assume</w:t>
      </w:r>
      <w:r w:rsidR="0082706F">
        <w:rPr>
          <w:rFonts w:ascii="Times New Roman" w:hAnsi="Times New Roman"/>
          <w:sz w:val="24"/>
          <w:szCs w:val="24"/>
        </w:rPr>
        <w:t>s</w:t>
      </w:r>
      <w:r w:rsidR="00530EF3" w:rsidRPr="00F600BE">
        <w:rPr>
          <w:rFonts w:ascii="Times New Roman" w:hAnsi="Times New Roman"/>
          <w:sz w:val="24"/>
          <w:szCs w:val="24"/>
        </w:rPr>
        <w:t xml:space="preserve"> that the case of the Spanish Constitutional Court is slightly different, since the principle of separation of powers theoretically guarantees the independence of the judiciary vis-à-vis the executive and legislative branches. Drawing on the work of Majone (2001), Stone Sweet (2002, p. 77) pre</w:t>
      </w:r>
      <w:r w:rsidR="0082706F">
        <w:rPr>
          <w:rFonts w:ascii="Times New Roman" w:hAnsi="Times New Roman"/>
          <w:sz w:val="24"/>
          <w:szCs w:val="24"/>
        </w:rPr>
        <w:t>fers to describe this role as: “</w:t>
      </w:r>
      <w:r w:rsidR="00530EF3" w:rsidRPr="00F600BE">
        <w:rPr>
          <w:rFonts w:ascii="Times New Roman" w:hAnsi="Times New Roman"/>
          <w:sz w:val="24"/>
          <w:szCs w:val="24"/>
        </w:rPr>
        <w:t>[a]</w:t>
      </w:r>
      <w:r w:rsidR="00DF3945">
        <w:rPr>
          <w:rFonts w:ascii="Times New Roman" w:hAnsi="Times New Roman"/>
          <w:sz w:val="24"/>
          <w:szCs w:val="24"/>
        </w:rPr>
        <w:t xml:space="preserve"> model of trusteeship in which ‘relational contracting’ and ‘imperfect commitment’</w:t>
      </w:r>
      <w:r w:rsidR="00530EF3" w:rsidRPr="00F600BE">
        <w:rPr>
          <w:rFonts w:ascii="Times New Roman" w:hAnsi="Times New Roman"/>
          <w:sz w:val="24"/>
          <w:szCs w:val="24"/>
        </w:rPr>
        <w:t xml:space="preserve"> lead political rulers t</w:t>
      </w:r>
      <w:r w:rsidR="00DF3945">
        <w:rPr>
          <w:rFonts w:ascii="Times New Roman" w:hAnsi="Times New Roman"/>
          <w:sz w:val="24"/>
          <w:szCs w:val="24"/>
        </w:rPr>
        <w:t>o delegate broad ‘fiduciary’</w:t>
      </w:r>
      <w:r w:rsidR="00530EF3" w:rsidRPr="00F600BE">
        <w:rPr>
          <w:rFonts w:ascii="Times New Roman" w:hAnsi="Times New Roman"/>
          <w:sz w:val="24"/>
          <w:szCs w:val="24"/>
        </w:rPr>
        <w:t xml:space="preserve"> powers to a particular kind of agent – a trustee – and then to guaran</w:t>
      </w:r>
      <w:r w:rsidR="0082706F">
        <w:rPr>
          <w:rFonts w:ascii="Times New Roman" w:hAnsi="Times New Roman"/>
          <w:sz w:val="24"/>
          <w:szCs w:val="24"/>
        </w:rPr>
        <w:t>tee that trustee’s independence”</w:t>
      </w:r>
      <w:r w:rsidR="00530EF3" w:rsidRPr="00F600BE">
        <w:rPr>
          <w:rFonts w:ascii="Times New Roman" w:hAnsi="Times New Roman"/>
          <w:sz w:val="24"/>
          <w:szCs w:val="24"/>
        </w:rPr>
        <w:t xml:space="preserve">. </w:t>
      </w:r>
    </w:p>
    <w:p w14:paraId="6FD91666" w14:textId="2F5CACE0" w:rsidR="00530EF3" w:rsidRPr="00F600BE" w:rsidRDefault="00530EF3" w:rsidP="00C45DE6">
      <w:pPr>
        <w:spacing w:after="0" w:line="240" w:lineRule="auto"/>
        <w:ind w:firstLine="397"/>
        <w:jc w:val="both"/>
        <w:rPr>
          <w:rFonts w:ascii="Times New Roman" w:hAnsi="Times New Roman"/>
          <w:sz w:val="24"/>
          <w:szCs w:val="24"/>
        </w:rPr>
      </w:pPr>
      <w:r w:rsidRPr="00F600BE">
        <w:rPr>
          <w:rFonts w:ascii="Times New Roman" w:hAnsi="Times New Roman"/>
          <w:sz w:val="24"/>
          <w:szCs w:val="24"/>
        </w:rPr>
        <w:t xml:space="preserve">To conclude, the study of the role of the </w:t>
      </w:r>
      <w:r w:rsidRPr="00F600BE">
        <w:rPr>
          <w:rFonts w:ascii="Times New Roman" w:hAnsi="Times New Roman"/>
          <w:i/>
          <w:sz w:val="24"/>
          <w:szCs w:val="24"/>
        </w:rPr>
        <w:t>Tribunal Constitucional</w:t>
      </w:r>
      <w:r w:rsidRPr="00F600BE">
        <w:rPr>
          <w:rFonts w:ascii="Times New Roman" w:hAnsi="Times New Roman"/>
          <w:sz w:val="24"/>
          <w:szCs w:val="24"/>
        </w:rPr>
        <w:t xml:space="preserve"> in territorial politics – now understood as a trustee – is of great interest for understanding the contemporary dynamics of the Spanish state of autonomies. As shown previously, the Court’s decisions do not completely depend on party preferences and its politicisation has more to do with external forces than with the ideological orientation of its members. This means that, in the last instance, constitutional justices retain a certain margin of autonomy with respect political parties. As demonstrated by the running battles concerning the statute of Catalonia, the </w:t>
      </w:r>
      <w:r w:rsidRPr="00F600BE">
        <w:rPr>
          <w:rFonts w:ascii="Times New Roman" w:hAnsi="Times New Roman"/>
          <w:i/>
          <w:sz w:val="24"/>
          <w:szCs w:val="24"/>
        </w:rPr>
        <w:t>Tribunal Constitucional</w:t>
      </w:r>
      <w:r w:rsidRPr="00F600BE">
        <w:rPr>
          <w:rFonts w:ascii="Times New Roman" w:hAnsi="Times New Roman"/>
          <w:sz w:val="24"/>
          <w:szCs w:val="24"/>
        </w:rPr>
        <w:t xml:space="preserve"> has been used by political forces as a way to transform political issues into judicial issues (and delaying or vetoing the decisions of the opposition) (de Migue</w:t>
      </w:r>
      <w:r w:rsidR="00C52B0D">
        <w:rPr>
          <w:rFonts w:ascii="Times New Roman" w:hAnsi="Times New Roman"/>
          <w:sz w:val="24"/>
          <w:szCs w:val="24"/>
        </w:rPr>
        <w:t>l</w:t>
      </w:r>
      <w:r w:rsidRPr="00F600BE">
        <w:rPr>
          <w:rFonts w:ascii="Times New Roman" w:hAnsi="Times New Roman"/>
          <w:sz w:val="24"/>
          <w:szCs w:val="24"/>
        </w:rPr>
        <w:t xml:space="preserve"> Barcena 2012). This brings us back to the seminal dichotomy established by Lindblom (1959) between technical decisions (based on instrumental rationality) and political decisions (based on subjective values). The Constitutional Court aspires (or should aspire) to remain a judicial arbiter, but political actors constantly force it to take sides. This evolution demonstrates – once again – the need to reform the mechanisms of intergovernmental relations in Spain in order to provide alternative political arenas of negotiation to political forces.</w:t>
      </w:r>
    </w:p>
    <w:p w14:paraId="763D2948" w14:textId="77777777" w:rsidR="00530EF3" w:rsidRPr="00C52B0D" w:rsidRDefault="00530EF3" w:rsidP="00C45DE6">
      <w:pPr>
        <w:spacing w:after="0" w:line="240" w:lineRule="auto"/>
        <w:jc w:val="both"/>
        <w:rPr>
          <w:rFonts w:ascii="Times New Roman" w:hAnsi="Times New Roman"/>
          <w:b/>
          <w:sz w:val="24"/>
          <w:szCs w:val="24"/>
        </w:rPr>
      </w:pPr>
    </w:p>
    <w:p w14:paraId="2365B475" w14:textId="77777777" w:rsidR="00530EF3" w:rsidRPr="00C52B0D" w:rsidRDefault="00530EF3" w:rsidP="00C45DE6">
      <w:pPr>
        <w:spacing w:after="0" w:line="240" w:lineRule="auto"/>
        <w:jc w:val="both"/>
        <w:rPr>
          <w:rFonts w:ascii="Times New Roman" w:hAnsi="Times New Roman"/>
          <w:sz w:val="24"/>
          <w:szCs w:val="24"/>
        </w:rPr>
      </w:pPr>
    </w:p>
    <w:p w14:paraId="0243A028" w14:textId="167BF95D" w:rsidR="00C52B0D" w:rsidRPr="001C627A" w:rsidRDefault="00C52B0D" w:rsidP="00C45DE6">
      <w:pPr>
        <w:spacing w:after="0" w:line="240" w:lineRule="auto"/>
        <w:jc w:val="center"/>
        <w:rPr>
          <w:rFonts w:ascii="Times New Roman" w:hAnsi="Times New Roman"/>
          <w:caps/>
          <w:sz w:val="24"/>
          <w:szCs w:val="24"/>
        </w:rPr>
      </w:pPr>
      <w:r w:rsidRPr="001C627A">
        <w:rPr>
          <w:rFonts w:ascii="Times New Roman" w:hAnsi="Times New Roman"/>
          <w:caps/>
          <w:sz w:val="24"/>
          <w:szCs w:val="24"/>
        </w:rPr>
        <w:t>References</w:t>
      </w:r>
    </w:p>
    <w:p w14:paraId="7763D946" w14:textId="77777777" w:rsidR="00C52B0D" w:rsidRPr="00152919" w:rsidRDefault="00C52B0D" w:rsidP="00C45DE6">
      <w:pPr>
        <w:spacing w:after="0" w:line="240" w:lineRule="auto"/>
        <w:jc w:val="both"/>
        <w:rPr>
          <w:rFonts w:ascii="Times New Roman" w:hAnsi="Times New Roman"/>
          <w:sz w:val="24"/>
          <w:szCs w:val="24"/>
        </w:rPr>
      </w:pPr>
    </w:p>
    <w:p w14:paraId="6DBB3B5C" w14:textId="1D099149" w:rsidR="007E0D64" w:rsidRPr="00AC5F9E" w:rsidRDefault="007E0D64" w:rsidP="00C45DE6">
      <w:pPr>
        <w:spacing w:after="0" w:line="240" w:lineRule="auto"/>
        <w:ind w:left="397" w:hanging="397"/>
        <w:jc w:val="both"/>
        <w:rPr>
          <w:rFonts w:ascii="Times New Roman" w:hAnsi="Times New Roman"/>
          <w:sz w:val="20"/>
          <w:szCs w:val="20"/>
          <w:lang w:val="es-ES"/>
        </w:rPr>
      </w:pPr>
      <w:r w:rsidRPr="00AC5F9E">
        <w:rPr>
          <w:rFonts w:ascii="Times New Roman" w:hAnsi="Times New Roman"/>
          <w:sz w:val="20"/>
          <w:szCs w:val="20"/>
        </w:rPr>
        <w:t>Agranoff, R</w:t>
      </w:r>
      <w:r w:rsidR="00AC5F9E" w:rsidRPr="00AC5F9E">
        <w:rPr>
          <w:rFonts w:ascii="Times New Roman" w:hAnsi="Times New Roman"/>
          <w:sz w:val="20"/>
          <w:szCs w:val="20"/>
        </w:rPr>
        <w:t>obert, and Juan Antonio R</w:t>
      </w:r>
      <w:r w:rsidR="00AC5F9E">
        <w:rPr>
          <w:rFonts w:ascii="Times New Roman" w:hAnsi="Times New Roman"/>
          <w:sz w:val="20"/>
          <w:szCs w:val="20"/>
        </w:rPr>
        <w:t>amos Gallarin</w:t>
      </w:r>
      <w:r w:rsidR="00AC5F9E" w:rsidRPr="00AC5F9E">
        <w:rPr>
          <w:rFonts w:ascii="Times New Roman" w:hAnsi="Times New Roman"/>
          <w:sz w:val="20"/>
          <w:szCs w:val="20"/>
        </w:rPr>
        <w:t xml:space="preserve">. </w:t>
      </w:r>
      <w:r w:rsidRPr="00AC5F9E">
        <w:rPr>
          <w:rFonts w:ascii="Times New Roman" w:hAnsi="Times New Roman"/>
          <w:sz w:val="20"/>
          <w:szCs w:val="20"/>
        </w:rPr>
        <w:t>1997</w:t>
      </w:r>
      <w:r w:rsidR="00AC5F9E" w:rsidRPr="00AC5F9E">
        <w:rPr>
          <w:rFonts w:ascii="Times New Roman" w:hAnsi="Times New Roman"/>
          <w:sz w:val="20"/>
          <w:szCs w:val="20"/>
        </w:rPr>
        <w:t>. Toward Federal Democracy in Spain: An Examination of Intergovernmental R</w:t>
      </w:r>
      <w:r w:rsidRPr="00AC5F9E">
        <w:rPr>
          <w:rFonts w:ascii="Times New Roman" w:hAnsi="Times New Roman"/>
          <w:sz w:val="20"/>
          <w:szCs w:val="20"/>
        </w:rPr>
        <w:t>elations</w:t>
      </w:r>
      <w:r w:rsidR="00AC5F9E" w:rsidRPr="00AC5F9E">
        <w:rPr>
          <w:rFonts w:ascii="Times New Roman" w:hAnsi="Times New Roman"/>
          <w:sz w:val="20"/>
          <w:szCs w:val="20"/>
        </w:rPr>
        <w:t xml:space="preserve">. </w:t>
      </w:r>
      <w:r w:rsidR="007F27D2" w:rsidRPr="007F27D2">
        <w:rPr>
          <w:rFonts w:ascii="Times New Roman" w:hAnsi="Times New Roman"/>
          <w:i/>
          <w:sz w:val="20"/>
          <w:szCs w:val="20"/>
          <w:lang w:val="es-ES"/>
        </w:rPr>
        <w:t>Publius: The Journal of Federalism</w:t>
      </w:r>
      <w:r w:rsidR="007F27D2" w:rsidRPr="007F27D2">
        <w:rPr>
          <w:rFonts w:ascii="Times New Roman" w:hAnsi="Times New Roman"/>
          <w:sz w:val="20"/>
          <w:szCs w:val="20"/>
          <w:lang w:val="es-ES"/>
        </w:rPr>
        <w:t xml:space="preserve"> </w:t>
      </w:r>
      <w:r w:rsidRPr="00AC5F9E">
        <w:rPr>
          <w:rFonts w:ascii="Times New Roman" w:hAnsi="Times New Roman"/>
          <w:sz w:val="20"/>
          <w:szCs w:val="20"/>
          <w:lang w:val="es-ES"/>
        </w:rPr>
        <w:t>27</w:t>
      </w:r>
      <w:r w:rsidR="00AC5F9E" w:rsidRPr="00AC5F9E">
        <w:rPr>
          <w:rFonts w:ascii="Times New Roman" w:hAnsi="Times New Roman"/>
          <w:sz w:val="20"/>
          <w:szCs w:val="20"/>
          <w:lang w:val="es-ES"/>
        </w:rPr>
        <w:t xml:space="preserve"> (</w:t>
      </w:r>
      <w:r w:rsidRPr="00AC5F9E">
        <w:rPr>
          <w:rFonts w:ascii="Times New Roman" w:hAnsi="Times New Roman"/>
          <w:sz w:val="20"/>
          <w:szCs w:val="20"/>
          <w:lang w:val="es-ES"/>
        </w:rPr>
        <w:t>4</w:t>
      </w:r>
      <w:r w:rsidR="00AC5F9E" w:rsidRPr="00AC5F9E">
        <w:rPr>
          <w:rFonts w:ascii="Times New Roman" w:hAnsi="Times New Roman"/>
          <w:sz w:val="20"/>
          <w:szCs w:val="20"/>
          <w:lang w:val="es-ES"/>
        </w:rPr>
        <w:t>):</w:t>
      </w:r>
      <w:r w:rsidRPr="00AC5F9E">
        <w:rPr>
          <w:rFonts w:ascii="Times New Roman" w:hAnsi="Times New Roman"/>
          <w:sz w:val="20"/>
          <w:szCs w:val="20"/>
          <w:lang w:val="es-ES"/>
        </w:rPr>
        <w:t xml:space="preserve"> 1</w:t>
      </w:r>
      <w:r w:rsidR="00AC5F9E" w:rsidRPr="00AC5F9E">
        <w:rPr>
          <w:rFonts w:ascii="Times New Roman" w:hAnsi="Times New Roman"/>
          <w:sz w:val="20"/>
          <w:szCs w:val="20"/>
          <w:lang w:val="es-ES"/>
        </w:rPr>
        <w:t>–</w:t>
      </w:r>
      <w:r w:rsidRPr="00AC5F9E">
        <w:rPr>
          <w:rFonts w:ascii="Times New Roman" w:hAnsi="Times New Roman"/>
          <w:sz w:val="20"/>
          <w:szCs w:val="20"/>
          <w:lang w:val="es-ES"/>
        </w:rPr>
        <w:t>38.</w:t>
      </w:r>
    </w:p>
    <w:p w14:paraId="42E12990" w14:textId="42DFE229" w:rsidR="007E0D64" w:rsidRPr="00505AB5" w:rsidRDefault="007E0D64" w:rsidP="00C45DE6">
      <w:pPr>
        <w:spacing w:after="0" w:line="240" w:lineRule="auto"/>
        <w:ind w:left="397" w:hanging="397"/>
        <w:jc w:val="both"/>
        <w:rPr>
          <w:rFonts w:ascii="Times New Roman" w:hAnsi="Times New Roman"/>
          <w:sz w:val="20"/>
          <w:szCs w:val="20"/>
          <w:lang w:val="es-ES"/>
        </w:rPr>
      </w:pPr>
      <w:r w:rsidRPr="00505AB5">
        <w:rPr>
          <w:rFonts w:ascii="Times New Roman" w:hAnsi="Times New Roman"/>
          <w:sz w:val="20"/>
          <w:szCs w:val="20"/>
          <w:lang w:val="es-ES"/>
        </w:rPr>
        <w:t>Aguado Renedo, C</w:t>
      </w:r>
      <w:r w:rsidR="00AC5F9E" w:rsidRPr="00505AB5">
        <w:rPr>
          <w:rFonts w:ascii="Times New Roman" w:hAnsi="Times New Roman"/>
          <w:sz w:val="20"/>
          <w:szCs w:val="20"/>
          <w:lang w:val="es-ES"/>
        </w:rPr>
        <w:t xml:space="preserve">ésar. </w:t>
      </w:r>
      <w:r w:rsidRPr="00505AB5">
        <w:rPr>
          <w:rFonts w:ascii="Times New Roman" w:hAnsi="Times New Roman"/>
          <w:sz w:val="20"/>
          <w:szCs w:val="20"/>
          <w:lang w:val="es-ES"/>
        </w:rPr>
        <w:t>2011</w:t>
      </w:r>
      <w:r w:rsidR="00AC5F9E" w:rsidRPr="00505AB5">
        <w:rPr>
          <w:rFonts w:ascii="Times New Roman" w:hAnsi="Times New Roman"/>
          <w:sz w:val="20"/>
          <w:szCs w:val="20"/>
          <w:lang w:val="es-ES"/>
        </w:rPr>
        <w:t xml:space="preserve">. </w:t>
      </w:r>
      <w:r w:rsidRPr="00505AB5">
        <w:rPr>
          <w:rFonts w:ascii="Times New Roman" w:hAnsi="Times New Roman"/>
          <w:sz w:val="20"/>
          <w:szCs w:val="20"/>
          <w:lang w:val="es-ES"/>
        </w:rPr>
        <w:t xml:space="preserve">Referéndum autonómico </w:t>
      </w:r>
      <w:r w:rsidR="00AC5F9E" w:rsidRPr="00505AB5">
        <w:rPr>
          <w:rFonts w:ascii="Times New Roman" w:hAnsi="Times New Roman"/>
          <w:sz w:val="20"/>
          <w:szCs w:val="20"/>
          <w:lang w:val="es-ES"/>
        </w:rPr>
        <w:t xml:space="preserve">y jurisprudencia constitucional. </w:t>
      </w:r>
      <w:r w:rsidRPr="00505AB5">
        <w:rPr>
          <w:rFonts w:ascii="Times New Roman" w:hAnsi="Times New Roman"/>
          <w:i/>
          <w:sz w:val="20"/>
          <w:szCs w:val="20"/>
          <w:lang w:val="es-ES"/>
        </w:rPr>
        <w:t>Teoría y Realidad Constitucional</w:t>
      </w:r>
      <w:r w:rsidRPr="00505AB5">
        <w:rPr>
          <w:rFonts w:ascii="Times New Roman" w:hAnsi="Times New Roman"/>
          <w:sz w:val="20"/>
          <w:szCs w:val="20"/>
          <w:lang w:val="es-ES"/>
        </w:rPr>
        <w:t xml:space="preserve"> 28</w:t>
      </w:r>
      <w:r w:rsidR="00AC5F9E" w:rsidRPr="00505AB5">
        <w:rPr>
          <w:rFonts w:ascii="Times New Roman" w:hAnsi="Times New Roman"/>
          <w:sz w:val="20"/>
          <w:szCs w:val="20"/>
          <w:lang w:val="es-ES"/>
        </w:rPr>
        <w:t xml:space="preserve">: </w:t>
      </w:r>
      <w:r w:rsidRPr="00505AB5">
        <w:rPr>
          <w:rFonts w:ascii="Times New Roman" w:hAnsi="Times New Roman"/>
          <w:sz w:val="20"/>
          <w:szCs w:val="20"/>
          <w:lang w:val="es-ES"/>
        </w:rPr>
        <w:t>541</w:t>
      </w:r>
      <w:r w:rsidR="00AC5F9E" w:rsidRPr="00505AB5">
        <w:rPr>
          <w:rFonts w:ascii="Times New Roman" w:hAnsi="Times New Roman"/>
          <w:sz w:val="20"/>
          <w:szCs w:val="20"/>
          <w:lang w:val="es-ES"/>
        </w:rPr>
        <w:t>–</w:t>
      </w:r>
      <w:r w:rsidRPr="00505AB5">
        <w:rPr>
          <w:rFonts w:ascii="Times New Roman" w:hAnsi="Times New Roman"/>
          <w:sz w:val="20"/>
          <w:szCs w:val="20"/>
          <w:lang w:val="es-ES"/>
        </w:rPr>
        <w:t>554.</w:t>
      </w:r>
    </w:p>
    <w:p w14:paraId="53045DF1" w14:textId="0FA1FA1F" w:rsidR="007E0D64" w:rsidRPr="00505AB5" w:rsidRDefault="007E0D64" w:rsidP="00C45DE6">
      <w:pPr>
        <w:spacing w:after="0" w:line="240" w:lineRule="auto"/>
        <w:ind w:left="397" w:hanging="397"/>
        <w:jc w:val="both"/>
        <w:rPr>
          <w:rFonts w:ascii="Times New Roman" w:hAnsi="Times New Roman"/>
          <w:sz w:val="20"/>
          <w:szCs w:val="20"/>
          <w:lang w:val="es-ES"/>
        </w:rPr>
      </w:pPr>
      <w:r w:rsidRPr="00505AB5">
        <w:rPr>
          <w:rFonts w:ascii="Times New Roman" w:hAnsi="Times New Roman"/>
          <w:sz w:val="20"/>
          <w:szCs w:val="20"/>
          <w:lang w:val="es-ES"/>
        </w:rPr>
        <w:t>Aja, E</w:t>
      </w:r>
      <w:r w:rsidR="00AC5F9E" w:rsidRPr="00505AB5">
        <w:rPr>
          <w:rFonts w:ascii="Times New Roman" w:hAnsi="Times New Roman"/>
          <w:sz w:val="20"/>
          <w:szCs w:val="20"/>
          <w:lang w:val="es-ES"/>
        </w:rPr>
        <w:t xml:space="preserve">liseo, and </w:t>
      </w:r>
      <w:r w:rsidR="00505AB5" w:rsidRPr="00505AB5">
        <w:rPr>
          <w:rFonts w:ascii="Times New Roman" w:hAnsi="Times New Roman"/>
          <w:sz w:val="20"/>
          <w:szCs w:val="20"/>
          <w:lang w:val="es-ES"/>
        </w:rPr>
        <w:t>César Colino</w:t>
      </w:r>
      <w:r w:rsidRPr="00505AB5">
        <w:rPr>
          <w:rFonts w:ascii="Times New Roman" w:hAnsi="Times New Roman"/>
          <w:sz w:val="20"/>
          <w:szCs w:val="20"/>
          <w:lang w:val="es-ES"/>
        </w:rPr>
        <w:t xml:space="preserve">. </w:t>
      </w:r>
      <w:r w:rsidR="00505AB5" w:rsidRPr="004C2AC6">
        <w:rPr>
          <w:rFonts w:ascii="Times New Roman" w:hAnsi="Times New Roman"/>
          <w:sz w:val="20"/>
          <w:szCs w:val="20"/>
          <w:lang w:val="es-ES"/>
        </w:rPr>
        <w:t>2014. Multilevel Structures, Coordination and Partisan Politics in Spanish Intergovernmental R</w:t>
      </w:r>
      <w:r w:rsidRPr="004C2AC6">
        <w:rPr>
          <w:rFonts w:ascii="Times New Roman" w:hAnsi="Times New Roman"/>
          <w:sz w:val="20"/>
          <w:szCs w:val="20"/>
          <w:lang w:val="es-ES"/>
        </w:rPr>
        <w:t>el</w:t>
      </w:r>
      <w:r w:rsidR="00505AB5" w:rsidRPr="004C2AC6">
        <w:rPr>
          <w:rFonts w:ascii="Times New Roman" w:hAnsi="Times New Roman"/>
          <w:sz w:val="20"/>
          <w:szCs w:val="20"/>
          <w:lang w:val="es-ES"/>
        </w:rPr>
        <w:t>ations.</w:t>
      </w:r>
      <w:r w:rsidRPr="004C2AC6">
        <w:rPr>
          <w:rFonts w:ascii="Times New Roman" w:hAnsi="Times New Roman"/>
          <w:sz w:val="20"/>
          <w:szCs w:val="20"/>
          <w:lang w:val="es-ES"/>
        </w:rPr>
        <w:t xml:space="preserve"> </w:t>
      </w:r>
      <w:r w:rsidR="00505AB5" w:rsidRPr="00505AB5">
        <w:rPr>
          <w:rFonts w:ascii="Times New Roman" w:hAnsi="Times New Roman"/>
          <w:i/>
          <w:sz w:val="20"/>
          <w:szCs w:val="20"/>
          <w:lang w:val="es-ES"/>
        </w:rPr>
        <w:t>Comparative European Politics</w:t>
      </w:r>
      <w:r w:rsidRPr="00505AB5">
        <w:rPr>
          <w:rFonts w:ascii="Times New Roman" w:hAnsi="Times New Roman"/>
          <w:sz w:val="20"/>
          <w:szCs w:val="20"/>
          <w:lang w:val="es-ES"/>
        </w:rPr>
        <w:t xml:space="preserve"> 12</w:t>
      </w:r>
      <w:r w:rsidR="00505AB5" w:rsidRPr="00505AB5">
        <w:rPr>
          <w:rFonts w:ascii="Times New Roman" w:hAnsi="Times New Roman"/>
          <w:sz w:val="20"/>
          <w:szCs w:val="20"/>
          <w:lang w:val="es-ES"/>
        </w:rPr>
        <w:t xml:space="preserve"> (</w:t>
      </w:r>
      <w:r w:rsidRPr="00505AB5">
        <w:rPr>
          <w:rFonts w:ascii="Times New Roman" w:hAnsi="Times New Roman"/>
          <w:sz w:val="20"/>
          <w:szCs w:val="20"/>
          <w:lang w:val="es-ES"/>
        </w:rPr>
        <w:t>4-5</w:t>
      </w:r>
      <w:r w:rsidR="00505AB5" w:rsidRPr="00505AB5">
        <w:rPr>
          <w:rFonts w:ascii="Times New Roman" w:hAnsi="Times New Roman"/>
          <w:sz w:val="20"/>
          <w:szCs w:val="20"/>
          <w:lang w:val="es-ES"/>
        </w:rPr>
        <w:t xml:space="preserve">): </w:t>
      </w:r>
      <w:r w:rsidRPr="00505AB5">
        <w:rPr>
          <w:rFonts w:ascii="Times New Roman" w:hAnsi="Times New Roman"/>
          <w:sz w:val="20"/>
          <w:szCs w:val="20"/>
          <w:lang w:val="es-ES"/>
        </w:rPr>
        <w:t>444–467.</w:t>
      </w:r>
    </w:p>
    <w:p w14:paraId="6994BE37" w14:textId="6CC77F91" w:rsidR="007E0D64" w:rsidRPr="000902D4" w:rsidRDefault="007E0D64" w:rsidP="00C45DE6">
      <w:pPr>
        <w:spacing w:after="0" w:line="240" w:lineRule="auto"/>
        <w:ind w:left="397" w:hanging="397"/>
        <w:jc w:val="both"/>
        <w:rPr>
          <w:rFonts w:ascii="Times New Roman" w:hAnsi="Times New Roman"/>
          <w:sz w:val="20"/>
          <w:szCs w:val="20"/>
          <w:lang w:val="es-ES"/>
        </w:rPr>
      </w:pPr>
      <w:r w:rsidRPr="000902D4">
        <w:rPr>
          <w:rFonts w:ascii="Times New Roman" w:hAnsi="Times New Roman"/>
          <w:sz w:val="20"/>
          <w:szCs w:val="20"/>
          <w:lang w:val="es-ES"/>
        </w:rPr>
        <w:t>Alonso García, E</w:t>
      </w:r>
      <w:r w:rsidR="00505AB5" w:rsidRPr="000902D4">
        <w:rPr>
          <w:rFonts w:ascii="Times New Roman" w:hAnsi="Times New Roman"/>
          <w:sz w:val="20"/>
          <w:szCs w:val="20"/>
          <w:lang w:val="es-ES"/>
        </w:rPr>
        <w:t>nrique. 1984.</w:t>
      </w:r>
      <w:r w:rsidRPr="000902D4">
        <w:rPr>
          <w:rFonts w:ascii="Times New Roman" w:hAnsi="Times New Roman"/>
          <w:sz w:val="20"/>
          <w:szCs w:val="20"/>
          <w:lang w:val="es-ES"/>
        </w:rPr>
        <w:t xml:space="preserve"> </w:t>
      </w:r>
      <w:r w:rsidRPr="000902D4">
        <w:rPr>
          <w:rFonts w:ascii="Times New Roman" w:hAnsi="Times New Roman"/>
          <w:i/>
          <w:sz w:val="20"/>
          <w:szCs w:val="20"/>
          <w:lang w:val="es-ES"/>
        </w:rPr>
        <w:t>La interpretación de la Constitución</w:t>
      </w:r>
      <w:r w:rsidR="00505AB5" w:rsidRPr="000902D4">
        <w:rPr>
          <w:rFonts w:ascii="Times New Roman" w:hAnsi="Times New Roman"/>
          <w:sz w:val="20"/>
          <w:szCs w:val="20"/>
          <w:lang w:val="es-ES"/>
        </w:rPr>
        <w:t>.</w:t>
      </w:r>
      <w:r w:rsidR="000902D4" w:rsidRPr="000902D4">
        <w:rPr>
          <w:rFonts w:ascii="Times New Roman" w:hAnsi="Times New Roman"/>
          <w:sz w:val="20"/>
          <w:szCs w:val="20"/>
          <w:lang w:val="es-ES"/>
        </w:rPr>
        <w:t xml:space="preserve"> Madrid:</w:t>
      </w:r>
      <w:r w:rsidRPr="000902D4">
        <w:rPr>
          <w:rFonts w:ascii="Times New Roman" w:hAnsi="Times New Roman"/>
          <w:sz w:val="20"/>
          <w:szCs w:val="20"/>
          <w:lang w:val="es-ES"/>
        </w:rPr>
        <w:t xml:space="preserve"> Centro de Estudios Políticos y Constitucionales.</w:t>
      </w:r>
    </w:p>
    <w:p w14:paraId="0A5231C1" w14:textId="283F29C3" w:rsidR="007E0D64" w:rsidRPr="00505AB5" w:rsidRDefault="007E0D64" w:rsidP="00C45DE6">
      <w:pPr>
        <w:spacing w:after="0" w:line="240" w:lineRule="auto"/>
        <w:ind w:left="397" w:hanging="397"/>
        <w:jc w:val="both"/>
        <w:rPr>
          <w:rFonts w:ascii="Times New Roman" w:hAnsi="Times New Roman"/>
          <w:sz w:val="20"/>
          <w:szCs w:val="20"/>
          <w:lang w:val="es-ES"/>
        </w:rPr>
      </w:pPr>
      <w:r w:rsidRPr="00505AB5">
        <w:rPr>
          <w:rFonts w:ascii="Times New Roman" w:hAnsi="Times New Roman"/>
          <w:sz w:val="20"/>
          <w:szCs w:val="20"/>
          <w:lang w:val="es-ES"/>
        </w:rPr>
        <w:lastRenderedPageBreak/>
        <w:t>Aragón Reyes, M</w:t>
      </w:r>
      <w:r w:rsidR="00505AB5" w:rsidRPr="00505AB5">
        <w:rPr>
          <w:rFonts w:ascii="Times New Roman" w:hAnsi="Times New Roman"/>
          <w:sz w:val="20"/>
          <w:szCs w:val="20"/>
          <w:lang w:val="es-ES"/>
        </w:rPr>
        <w:t>anuel</w:t>
      </w:r>
      <w:r w:rsidRPr="00505AB5">
        <w:rPr>
          <w:rFonts w:ascii="Times New Roman" w:hAnsi="Times New Roman"/>
          <w:sz w:val="20"/>
          <w:szCs w:val="20"/>
          <w:lang w:val="es-ES"/>
        </w:rPr>
        <w:t>.</w:t>
      </w:r>
      <w:r w:rsidR="00505AB5" w:rsidRPr="00505AB5">
        <w:rPr>
          <w:rFonts w:ascii="Times New Roman" w:hAnsi="Times New Roman"/>
          <w:sz w:val="20"/>
          <w:szCs w:val="20"/>
          <w:lang w:val="es-ES"/>
        </w:rPr>
        <w:t xml:space="preserve"> 2006. </w:t>
      </w:r>
      <w:r w:rsidRPr="00505AB5">
        <w:rPr>
          <w:rFonts w:ascii="Times New Roman" w:hAnsi="Times New Roman"/>
          <w:sz w:val="20"/>
          <w:szCs w:val="20"/>
          <w:lang w:val="es-ES"/>
        </w:rPr>
        <w:t>La construcción del Estado autonómico</w:t>
      </w:r>
      <w:r w:rsidR="00505AB5" w:rsidRPr="00505AB5">
        <w:rPr>
          <w:rFonts w:ascii="Times New Roman" w:hAnsi="Times New Roman"/>
          <w:sz w:val="20"/>
          <w:szCs w:val="20"/>
          <w:lang w:val="es-ES"/>
        </w:rPr>
        <w:t>.</w:t>
      </w:r>
      <w:r w:rsidRPr="00505AB5">
        <w:rPr>
          <w:rFonts w:ascii="Times New Roman" w:hAnsi="Times New Roman"/>
          <w:sz w:val="20"/>
          <w:szCs w:val="20"/>
          <w:lang w:val="es-ES"/>
        </w:rPr>
        <w:t xml:space="preserve"> </w:t>
      </w:r>
      <w:r w:rsidRPr="00505AB5">
        <w:rPr>
          <w:rFonts w:ascii="Times New Roman" w:hAnsi="Times New Roman"/>
          <w:i/>
          <w:sz w:val="20"/>
          <w:szCs w:val="20"/>
          <w:lang w:val="es-ES"/>
        </w:rPr>
        <w:t>Cuadernos constitucionales de la Cátedra Fadrique Furió Ceriol</w:t>
      </w:r>
      <w:r w:rsidRPr="00505AB5">
        <w:rPr>
          <w:rFonts w:ascii="Times New Roman" w:hAnsi="Times New Roman"/>
          <w:sz w:val="20"/>
          <w:szCs w:val="20"/>
          <w:lang w:val="es-ES"/>
        </w:rPr>
        <w:t xml:space="preserve"> </w:t>
      </w:r>
      <w:r w:rsidR="00505AB5" w:rsidRPr="00505AB5">
        <w:rPr>
          <w:rFonts w:ascii="Times New Roman" w:hAnsi="Times New Roman"/>
          <w:sz w:val="20"/>
          <w:szCs w:val="20"/>
          <w:lang w:val="es-ES"/>
        </w:rPr>
        <w:t>54-55:</w:t>
      </w:r>
      <w:r w:rsidRPr="00505AB5">
        <w:rPr>
          <w:rFonts w:ascii="Times New Roman" w:hAnsi="Times New Roman"/>
          <w:sz w:val="20"/>
          <w:szCs w:val="20"/>
          <w:lang w:val="es-ES"/>
        </w:rPr>
        <w:t xml:space="preserve"> 75</w:t>
      </w:r>
      <w:r w:rsidR="00505AB5" w:rsidRPr="00505AB5">
        <w:rPr>
          <w:rFonts w:ascii="Times New Roman" w:hAnsi="Times New Roman"/>
          <w:sz w:val="20"/>
          <w:szCs w:val="20"/>
          <w:lang w:val="es-ES"/>
        </w:rPr>
        <w:t>–</w:t>
      </w:r>
      <w:r w:rsidRPr="00505AB5">
        <w:rPr>
          <w:rFonts w:ascii="Times New Roman" w:hAnsi="Times New Roman"/>
          <w:sz w:val="20"/>
          <w:szCs w:val="20"/>
          <w:lang w:val="es-ES"/>
        </w:rPr>
        <w:t>95.</w:t>
      </w:r>
    </w:p>
    <w:p w14:paraId="0E4B7090" w14:textId="1E84B68F" w:rsidR="007E0D64" w:rsidRPr="000902D4" w:rsidRDefault="007E0D64" w:rsidP="00C45DE6">
      <w:pPr>
        <w:spacing w:after="0" w:line="240" w:lineRule="auto"/>
        <w:ind w:left="397" w:hanging="397"/>
        <w:jc w:val="both"/>
        <w:rPr>
          <w:rFonts w:ascii="Times New Roman" w:hAnsi="Times New Roman"/>
          <w:sz w:val="20"/>
          <w:szCs w:val="20"/>
          <w:lang w:val="es-ES"/>
        </w:rPr>
      </w:pPr>
      <w:r w:rsidRPr="000902D4">
        <w:rPr>
          <w:rFonts w:ascii="Times New Roman" w:hAnsi="Times New Roman"/>
          <w:sz w:val="20"/>
          <w:szCs w:val="20"/>
          <w:lang w:val="es-ES"/>
        </w:rPr>
        <w:t>Arbós Marín, X</w:t>
      </w:r>
      <w:r w:rsidR="00505AB5" w:rsidRPr="000902D4">
        <w:rPr>
          <w:rFonts w:ascii="Times New Roman" w:hAnsi="Times New Roman"/>
          <w:sz w:val="20"/>
          <w:szCs w:val="20"/>
          <w:lang w:val="es-ES"/>
        </w:rPr>
        <w:t>abier</w:t>
      </w:r>
      <w:r w:rsidRPr="000902D4">
        <w:rPr>
          <w:rFonts w:ascii="Times New Roman" w:hAnsi="Times New Roman"/>
          <w:sz w:val="20"/>
          <w:szCs w:val="20"/>
          <w:lang w:val="es-ES"/>
        </w:rPr>
        <w:t>, Colino, C</w:t>
      </w:r>
      <w:r w:rsidR="00505AB5" w:rsidRPr="000902D4">
        <w:rPr>
          <w:rFonts w:ascii="Times New Roman" w:hAnsi="Times New Roman"/>
          <w:sz w:val="20"/>
          <w:szCs w:val="20"/>
          <w:lang w:val="es-ES"/>
        </w:rPr>
        <w:t>ésar</w:t>
      </w:r>
      <w:r w:rsidRPr="000902D4">
        <w:rPr>
          <w:rFonts w:ascii="Times New Roman" w:hAnsi="Times New Roman"/>
          <w:sz w:val="20"/>
          <w:szCs w:val="20"/>
          <w:lang w:val="es-ES"/>
        </w:rPr>
        <w:t>, García Morales, M</w:t>
      </w:r>
      <w:r w:rsidR="00505AB5" w:rsidRPr="000902D4">
        <w:rPr>
          <w:rFonts w:ascii="Times New Roman" w:hAnsi="Times New Roman"/>
          <w:sz w:val="20"/>
          <w:szCs w:val="20"/>
          <w:lang w:val="es-ES"/>
        </w:rPr>
        <w:t xml:space="preserve">aría </w:t>
      </w:r>
      <w:r w:rsidRPr="000902D4">
        <w:rPr>
          <w:rFonts w:ascii="Times New Roman" w:hAnsi="Times New Roman"/>
          <w:sz w:val="20"/>
          <w:szCs w:val="20"/>
          <w:lang w:val="es-ES"/>
        </w:rPr>
        <w:t>J</w:t>
      </w:r>
      <w:r w:rsidR="00505AB5" w:rsidRPr="000902D4">
        <w:rPr>
          <w:rFonts w:ascii="Times New Roman" w:hAnsi="Times New Roman"/>
          <w:sz w:val="20"/>
          <w:szCs w:val="20"/>
          <w:lang w:val="es-ES"/>
        </w:rPr>
        <w:t>esús, and Salvador Parrado</w:t>
      </w:r>
      <w:r w:rsidRPr="000902D4">
        <w:rPr>
          <w:rFonts w:ascii="Times New Roman" w:hAnsi="Times New Roman"/>
          <w:sz w:val="20"/>
          <w:szCs w:val="20"/>
          <w:lang w:val="es-ES"/>
        </w:rPr>
        <w:t xml:space="preserve">. </w:t>
      </w:r>
      <w:r w:rsidR="00505AB5" w:rsidRPr="000902D4">
        <w:rPr>
          <w:rFonts w:ascii="Times New Roman" w:hAnsi="Times New Roman"/>
          <w:sz w:val="20"/>
          <w:szCs w:val="20"/>
          <w:lang w:val="es-ES"/>
        </w:rPr>
        <w:t>2009.</w:t>
      </w:r>
      <w:r w:rsidRPr="000902D4">
        <w:rPr>
          <w:rFonts w:ascii="Times New Roman" w:hAnsi="Times New Roman"/>
          <w:sz w:val="20"/>
          <w:szCs w:val="20"/>
          <w:lang w:val="es-ES"/>
        </w:rPr>
        <w:t xml:space="preserve"> </w:t>
      </w:r>
      <w:r w:rsidRPr="000902D4">
        <w:rPr>
          <w:rFonts w:ascii="Times New Roman" w:hAnsi="Times New Roman"/>
          <w:i/>
          <w:sz w:val="20"/>
          <w:szCs w:val="20"/>
          <w:lang w:val="es-ES"/>
        </w:rPr>
        <w:t>Las relaciones intergubernamentales en el Estado autonómico. La posición de los actores</w:t>
      </w:r>
      <w:r w:rsidR="000902D4" w:rsidRPr="000902D4">
        <w:rPr>
          <w:rFonts w:ascii="Times New Roman" w:hAnsi="Times New Roman"/>
          <w:sz w:val="20"/>
          <w:szCs w:val="20"/>
          <w:lang w:val="es-ES"/>
        </w:rPr>
        <w:t>: Barcelona:</w:t>
      </w:r>
      <w:r w:rsidRPr="000902D4">
        <w:rPr>
          <w:rFonts w:ascii="Times New Roman" w:hAnsi="Times New Roman"/>
          <w:sz w:val="20"/>
          <w:szCs w:val="20"/>
          <w:lang w:val="es-ES"/>
        </w:rPr>
        <w:t xml:space="preserve"> Institut d’Estudis Autonòmics.</w:t>
      </w:r>
    </w:p>
    <w:p w14:paraId="7F2A07AB" w14:textId="1C79C28A" w:rsidR="007E0D64" w:rsidRPr="004C2AC6" w:rsidRDefault="007E0D64" w:rsidP="00C45DE6">
      <w:pPr>
        <w:spacing w:after="0" w:line="240" w:lineRule="auto"/>
        <w:ind w:left="397" w:hanging="397"/>
        <w:jc w:val="both"/>
        <w:rPr>
          <w:rFonts w:ascii="Times New Roman" w:hAnsi="Times New Roman"/>
          <w:sz w:val="20"/>
          <w:szCs w:val="20"/>
          <w:lang w:val="es-ES"/>
        </w:rPr>
      </w:pPr>
      <w:r w:rsidRPr="000902D4">
        <w:rPr>
          <w:rFonts w:ascii="Times New Roman" w:hAnsi="Times New Roman"/>
          <w:sz w:val="20"/>
          <w:szCs w:val="20"/>
          <w:lang w:val="en-US"/>
        </w:rPr>
        <w:t>Banks, C</w:t>
      </w:r>
      <w:r w:rsidR="00505AB5" w:rsidRPr="000902D4">
        <w:rPr>
          <w:rFonts w:ascii="Times New Roman" w:hAnsi="Times New Roman"/>
          <w:sz w:val="20"/>
          <w:szCs w:val="20"/>
          <w:lang w:val="en-US"/>
        </w:rPr>
        <w:t xml:space="preserve">hristopher </w:t>
      </w:r>
      <w:r w:rsidRPr="000902D4">
        <w:rPr>
          <w:rFonts w:ascii="Times New Roman" w:hAnsi="Times New Roman"/>
          <w:sz w:val="20"/>
          <w:szCs w:val="20"/>
          <w:lang w:val="en-US"/>
        </w:rPr>
        <w:t>P.</w:t>
      </w:r>
      <w:r w:rsidR="00505AB5" w:rsidRPr="000902D4">
        <w:rPr>
          <w:rFonts w:ascii="Times New Roman" w:hAnsi="Times New Roman"/>
          <w:sz w:val="20"/>
          <w:szCs w:val="20"/>
          <w:lang w:val="en-US"/>
        </w:rPr>
        <w:t xml:space="preserve">, and John C. Blakeman. </w:t>
      </w:r>
      <w:r w:rsidRPr="000902D4">
        <w:rPr>
          <w:rFonts w:ascii="Times New Roman" w:hAnsi="Times New Roman"/>
          <w:sz w:val="20"/>
          <w:szCs w:val="20"/>
          <w:lang w:val="en-US"/>
        </w:rPr>
        <w:t xml:space="preserve">(2012) </w:t>
      </w:r>
      <w:r w:rsidRPr="000902D4">
        <w:rPr>
          <w:rFonts w:ascii="Times New Roman" w:hAnsi="Times New Roman"/>
          <w:i/>
          <w:sz w:val="20"/>
          <w:szCs w:val="20"/>
          <w:lang w:val="en-US"/>
        </w:rPr>
        <w:t>The U.S. Supreme Cou</w:t>
      </w:r>
      <w:r w:rsidRPr="000902D4">
        <w:rPr>
          <w:rFonts w:ascii="Times New Roman" w:hAnsi="Times New Roman"/>
          <w:i/>
          <w:sz w:val="20"/>
          <w:szCs w:val="20"/>
        </w:rPr>
        <w:t>rt and New Federalism: From the Rehnquist to the Roberts Court</w:t>
      </w:r>
      <w:r w:rsidR="000C3D27" w:rsidRPr="000902D4">
        <w:rPr>
          <w:rFonts w:ascii="Times New Roman" w:hAnsi="Times New Roman"/>
          <w:sz w:val="20"/>
          <w:szCs w:val="20"/>
        </w:rPr>
        <w:t xml:space="preserve">. </w:t>
      </w:r>
      <w:r w:rsidR="000C3D27" w:rsidRPr="004C2AC6">
        <w:rPr>
          <w:rFonts w:ascii="Times New Roman" w:hAnsi="Times New Roman"/>
          <w:sz w:val="20"/>
          <w:szCs w:val="20"/>
          <w:lang w:val="es-ES"/>
        </w:rPr>
        <w:t>Lanham:</w:t>
      </w:r>
      <w:r w:rsidRPr="004C2AC6">
        <w:rPr>
          <w:rFonts w:ascii="Times New Roman" w:hAnsi="Times New Roman"/>
          <w:sz w:val="20"/>
          <w:szCs w:val="20"/>
          <w:lang w:val="es-ES"/>
        </w:rPr>
        <w:t xml:space="preserve"> Rowman </w:t>
      </w:r>
      <w:r w:rsidR="00BF2A28" w:rsidRPr="004C2AC6">
        <w:rPr>
          <w:rFonts w:ascii="Times New Roman" w:hAnsi="Times New Roman"/>
          <w:sz w:val="20"/>
          <w:szCs w:val="20"/>
          <w:lang w:val="es-ES"/>
        </w:rPr>
        <w:t>and</w:t>
      </w:r>
      <w:r w:rsidRPr="004C2AC6">
        <w:rPr>
          <w:rFonts w:ascii="Times New Roman" w:hAnsi="Times New Roman"/>
          <w:sz w:val="20"/>
          <w:szCs w:val="20"/>
          <w:lang w:val="es-ES"/>
        </w:rPr>
        <w:t xml:space="preserve"> Littlefield Publishers.</w:t>
      </w:r>
    </w:p>
    <w:p w14:paraId="0A7536A4" w14:textId="4C36B2EF" w:rsidR="007E0D64" w:rsidRPr="00876A28" w:rsidRDefault="007E0D64" w:rsidP="00C45DE6">
      <w:pPr>
        <w:spacing w:after="0" w:line="240" w:lineRule="auto"/>
        <w:ind w:left="397" w:hanging="397"/>
        <w:jc w:val="both"/>
        <w:rPr>
          <w:rFonts w:ascii="Times New Roman" w:hAnsi="Times New Roman"/>
          <w:sz w:val="20"/>
          <w:szCs w:val="20"/>
          <w:lang w:val="es-ES"/>
        </w:rPr>
      </w:pPr>
      <w:r w:rsidRPr="00876A28">
        <w:rPr>
          <w:rFonts w:ascii="Times New Roman" w:hAnsi="Times New Roman"/>
          <w:sz w:val="20"/>
          <w:szCs w:val="20"/>
          <w:lang w:val="es-ES"/>
        </w:rPr>
        <w:t>Bassols Coma, M</w:t>
      </w:r>
      <w:r w:rsidR="000C3D27" w:rsidRPr="00876A28">
        <w:rPr>
          <w:rFonts w:ascii="Times New Roman" w:hAnsi="Times New Roman"/>
          <w:sz w:val="20"/>
          <w:szCs w:val="20"/>
          <w:lang w:val="es-ES"/>
        </w:rPr>
        <w:t>artín</w:t>
      </w:r>
      <w:r w:rsidRPr="00876A28">
        <w:rPr>
          <w:rFonts w:ascii="Times New Roman" w:hAnsi="Times New Roman"/>
          <w:sz w:val="20"/>
          <w:szCs w:val="20"/>
          <w:lang w:val="es-ES"/>
        </w:rPr>
        <w:t xml:space="preserve">. </w:t>
      </w:r>
      <w:r w:rsidR="000C3D27" w:rsidRPr="00876A28">
        <w:rPr>
          <w:rFonts w:ascii="Times New Roman" w:hAnsi="Times New Roman"/>
          <w:sz w:val="20"/>
          <w:szCs w:val="20"/>
          <w:lang w:val="es-ES"/>
        </w:rPr>
        <w:t>2010.</w:t>
      </w:r>
      <w:r w:rsidRPr="00876A28">
        <w:rPr>
          <w:rFonts w:ascii="Times New Roman" w:hAnsi="Times New Roman"/>
          <w:sz w:val="20"/>
          <w:szCs w:val="20"/>
          <w:lang w:val="es-ES"/>
        </w:rPr>
        <w:t xml:space="preserve"> </w:t>
      </w:r>
      <w:r w:rsidRPr="00876A28">
        <w:rPr>
          <w:rFonts w:ascii="Times New Roman" w:hAnsi="Times New Roman"/>
          <w:i/>
          <w:sz w:val="20"/>
          <w:szCs w:val="20"/>
          <w:lang w:val="es-ES"/>
        </w:rPr>
        <w:t>El Tribunal de Garantías Constitucionales de la II República. La primera experiencia de justicia constitucional en España</w:t>
      </w:r>
      <w:r w:rsidR="000C3D27" w:rsidRPr="00876A28">
        <w:rPr>
          <w:rFonts w:ascii="Times New Roman" w:hAnsi="Times New Roman"/>
          <w:sz w:val="20"/>
          <w:szCs w:val="20"/>
          <w:lang w:val="es-ES"/>
        </w:rPr>
        <w:t>. Madrid:</w:t>
      </w:r>
      <w:r w:rsidRPr="00876A28">
        <w:rPr>
          <w:rFonts w:ascii="Times New Roman" w:hAnsi="Times New Roman"/>
          <w:sz w:val="20"/>
          <w:szCs w:val="20"/>
          <w:lang w:val="es-ES"/>
        </w:rPr>
        <w:t xml:space="preserve"> Boletín Oficial del Estado.</w:t>
      </w:r>
    </w:p>
    <w:p w14:paraId="4DBDED72" w14:textId="436DD660" w:rsidR="007E0D64" w:rsidRPr="00876A28" w:rsidRDefault="007E0D64" w:rsidP="00C45DE6">
      <w:pPr>
        <w:spacing w:after="0" w:line="240" w:lineRule="auto"/>
        <w:ind w:left="397" w:hanging="397"/>
        <w:jc w:val="both"/>
        <w:rPr>
          <w:rFonts w:ascii="Times New Roman" w:hAnsi="Times New Roman"/>
          <w:sz w:val="20"/>
          <w:szCs w:val="20"/>
        </w:rPr>
      </w:pPr>
      <w:r w:rsidRPr="004C2AC6">
        <w:rPr>
          <w:rFonts w:ascii="Times New Roman" w:hAnsi="Times New Roman"/>
          <w:sz w:val="20"/>
          <w:szCs w:val="20"/>
          <w:lang w:val="en-US"/>
        </w:rPr>
        <w:t>Benz, A</w:t>
      </w:r>
      <w:r w:rsidR="00505AB5" w:rsidRPr="004C2AC6">
        <w:rPr>
          <w:rFonts w:ascii="Times New Roman" w:hAnsi="Times New Roman"/>
          <w:sz w:val="20"/>
          <w:szCs w:val="20"/>
          <w:lang w:val="en-US"/>
        </w:rPr>
        <w:t xml:space="preserve">rthur. </w:t>
      </w:r>
      <w:r w:rsidRPr="004C2AC6">
        <w:rPr>
          <w:rFonts w:ascii="Times New Roman" w:hAnsi="Times New Roman"/>
          <w:sz w:val="20"/>
          <w:szCs w:val="20"/>
          <w:lang w:val="en-US"/>
        </w:rPr>
        <w:t>2017</w:t>
      </w:r>
      <w:r w:rsidR="00505AB5" w:rsidRPr="004C2AC6">
        <w:rPr>
          <w:rFonts w:ascii="Times New Roman" w:hAnsi="Times New Roman"/>
          <w:sz w:val="20"/>
          <w:szCs w:val="20"/>
          <w:lang w:val="en-US"/>
        </w:rPr>
        <w:t xml:space="preserve">. </w:t>
      </w:r>
      <w:r w:rsidR="00505AB5" w:rsidRPr="00876A28">
        <w:rPr>
          <w:rFonts w:ascii="Times New Roman" w:hAnsi="Times New Roman"/>
          <w:sz w:val="20"/>
          <w:szCs w:val="20"/>
          <w:lang w:val="en-US"/>
        </w:rPr>
        <w:t>The Federal Constitutional Court of Germany: Guardian of Unitarism and Federalism.</w:t>
      </w:r>
      <w:r w:rsidR="00876A28" w:rsidRPr="00876A28">
        <w:rPr>
          <w:rFonts w:ascii="Times New Roman" w:hAnsi="Times New Roman"/>
          <w:sz w:val="20"/>
          <w:szCs w:val="20"/>
          <w:lang w:val="en-US"/>
        </w:rPr>
        <w:t xml:space="preserve"> I</w:t>
      </w:r>
      <w:r w:rsidRPr="00876A28">
        <w:rPr>
          <w:rFonts w:ascii="Times New Roman" w:hAnsi="Times New Roman"/>
          <w:sz w:val="20"/>
          <w:szCs w:val="20"/>
          <w:lang w:val="en-US"/>
        </w:rPr>
        <w:t xml:space="preserve">n </w:t>
      </w:r>
      <w:r w:rsidRPr="00876A28">
        <w:rPr>
          <w:rFonts w:ascii="Times New Roman" w:hAnsi="Times New Roman"/>
          <w:i/>
          <w:sz w:val="20"/>
          <w:szCs w:val="20"/>
          <w:lang w:val="en-US"/>
        </w:rPr>
        <w:t>Courts in Federalism</w:t>
      </w:r>
      <w:r w:rsidRPr="00876A28">
        <w:rPr>
          <w:rFonts w:ascii="Times New Roman" w:hAnsi="Times New Roman"/>
          <w:i/>
          <w:sz w:val="20"/>
          <w:szCs w:val="20"/>
        </w:rPr>
        <w:t>: Federalists or Unitarists</w:t>
      </w:r>
      <w:r w:rsidR="00876A28" w:rsidRPr="00876A28">
        <w:rPr>
          <w:rFonts w:ascii="Times New Roman" w:hAnsi="Times New Roman"/>
          <w:sz w:val="20"/>
          <w:szCs w:val="20"/>
        </w:rPr>
        <w:t>, ed</w:t>
      </w:r>
      <w:r w:rsidRPr="00876A28">
        <w:rPr>
          <w:rFonts w:ascii="Times New Roman" w:hAnsi="Times New Roman"/>
          <w:sz w:val="20"/>
          <w:szCs w:val="20"/>
        </w:rPr>
        <w:t xml:space="preserve">. </w:t>
      </w:r>
      <w:r w:rsidR="00876A28" w:rsidRPr="00876A28">
        <w:rPr>
          <w:rFonts w:ascii="Times New Roman" w:hAnsi="Times New Roman"/>
          <w:sz w:val="20"/>
          <w:szCs w:val="20"/>
        </w:rPr>
        <w:t>N. Aroney and J. Kincaid. Toronto:</w:t>
      </w:r>
      <w:r w:rsidRPr="00876A28">
        <w:rPr>
          <w:rFonts w:ascii="Times New Roman" w:hAnsi="Times New Roman"/>
          <w:sz w:val="20"/>
          <w:szCs w:val="20"/>
        </w:rPr>
        <w:t xml:space="preserve"> University of Toronto Press</w:t>
      </w:r>
      <w:r w:rsidR="00876A28" w:rsidRPr="00876A28">
        <w:rPr>
          <w:rFonts w:ascii="Times New Roman" w:hAnsi="Times New Roman"/>
          <w:sz w:val="20"/>
          <w:szCs w:val="20"/>
        </w:rPr>
        <w:t xml:space="preserve"> (</w:t>
      </w:r>
      <w:r w:rsidRPr="00876A28">
        <w:rPr>
          <w:rFonts w:ascii="Times New Roman" w:hAnsi="Times New Roman"/>
          <w:sz w:val="20"/>
          <w:szCs w:val="20"/>
        </w:rPr>
        <w:t>forthcoming</w:t>
      </w:r>
      <w:r w:rsidR="00876A28" w:rsidRPr="00876A28">
        <w:rPr>
          <w:rFonts w:ascii="Times New Roman" w:hAnsi="Times New Roman"/>
          <w:sz w:val="20"/>
          <w:szCs w:val="20"/>
        </w:rPr>
        <w:t>)</w:t>
      </w:r>
      <w:r w:rsidRPr="00876A28">
        <w:rPr>
          <w:rFonts w:ascii="Times New Roman" w:hAnsi="Times New Roman"/>
          <w:sz w:val="20"/>
          <w:szCs w:val="20"/>
        </w:rPr>
        <w:t>.</w:t>
      </w:r>
    </w:p>
    <w:p w14:paraId="0A4B0D47" w14:textId="3F6CE7EB" w:rsidR="007E0D64" w:rsidRPr="004C2AC6" w:rsidRDefault="00876A28" w:rsidP="00C45DE6">
      <w:pPr>
        <w:spacing w:after="0" w:line="240" w:lineRule="auto"/>
        <w:ind w:left="397" w:hanging="397"/>
        <w:jc w:val="both"/>
        <w:rPr>
          <w:rFonts w:ascii="Times New Roman" w:hAnsi="Times New Roman"/>
          <w:sz w:val="20"/>
          <w:szCs w:val="20"/>
          <w:lang w:val="es-ES"/>
        </w:rPr>
      </w:pPr>
      <w:r w:rsidRPr="00876A28">
        <w:rPr>
          <w:rFonts w:ascii="Times New Roman" w:hAnsi="Times New Roman"/>
          <w:sz w:val="20"/>
          <w:szCs w:val="20"/>
        </w:rPr>
        <w:t>Borrajo Iniesta, Ignacio.</w:t>
      </w:r>
      <w:r w:rsidR="007E0D64" w:rsidRPr="00876A28">
        <w:rPr>
          <w:rFonts w:ascii="Times New Roman" w:hAnsi="Times New Roman"/>
          <w:sz w:val="20"/>
          <w:szCs w:val="20"/>
        </w:rPr>
        <w:t xml:space="preserve"> 2004</w:t>
      </w:r>
      <w:r w:rsidRPr="00876A28">
        <w:rPr>
          <w:rFonts w:ascii="Times New Roman" w:hAnsi="Times New Roman"/>
          <w:sz w:val="20"/>
          <w:szCs w:val="20"/>
        </w:rPr>
        <w:t>.</w:t>
      </w:r>
      <w:r w:rsidR="007E0D64" w:rsidRPr="00876A28">
        <w:rPr>
          <w:rFonts w:ascii="Times New Roman" w:hAnsi="Times New Roman"/>
          <w:sz w:val="20"/>
          <w:szCs w:val="20"/>
        </w:rPr>
        <w:t xml:space="preserve"> </w:t>
      </w:r>
      <w:r w:rsidRPr="00876A28">
        <w:rPr>
          <w:rFonts w:ascii="Times New Roman" w:hAnsi="Times New Roman"/>
          <w:sz w:val="20"/>
          <w:szCs w:val="20"/>
        </w:rPr>
        <w:t>Adjudicating in Divisions of Powers: The Experience of the Spanish Constitutional Court’. I</w:t>
      </w:r>
      <w:r w:rsidR="007E0D64" w:rsidRPr="00876A28">
        <w:rPr>
          <w:rFonts w:ascii="Times New Roman" w:hAnsi="Times New Roman"/>
          <w:sz w:val="20"/>
          <w:szCs w:val="20"/>
        </w:rPr>
        <w:t xml:space="preserve">n </w:t>
      </w:r>
      <w:r w:rsidR="007E0D64" w:rsidRPr="00876A28">
        <w:rPr>
          <w:rFonts w:ascii="Times New Roman" w:hAnsi="Times New Roman"/>
          <w:i/>
          <w:sz w:val="20"/>
          <w:szCs w:val="20"/>
        </w:rPr>
        <w:t>Building the UK’s New Supreme Court: National and Comparative Perspectives</w:t>
      </w:r>
      <w:r w:rsidR="007E0D64" w:rsidRPr="00876A28">
        <w:rPr>
          <w:rFonts w:ascii="Times New Roman" w:hAnsi="Times New Roman"/>
          <w:sz w:val="20"/>
          <w:szCs w:val="20"/>
        </w:rPr>
        <w:t xml:space="preserve">, ed. </w:t>
      </w:r>
      <w:r w:rsidR="007E0D64" w:rsidRPr="004C2AC6">
        <w:rPr>
          <w:rFonts w:ascii="Times New Roman" w:hAnsi="Times New Roman"/>
          <w:sz w:val="20"/>
          <w:szCs w:val="20"/>
          <w:lang w:val="es-ES"/>
        </w:rPr>
        <w:t xml:space="preserve">A. Le Sueur, </w:t>
      </w:r>
      <w:r w:rsidRPr="004C2AC6">
        <w:rPr>
          <w:rFonts w:ascii="Times New Roman" w:hAnsi="Times New Roman"/>
          <w:sz w:val="20"/>
          <w:szCs w:val="20"/>
          <w:lang w:val="es-ES"/>
        </w:rPr>
        <w:t xml:space="preserve">145–172. Oxford: </w:t>
      </w:r>
      <w:r w:rsidR="007E0D64" w:rsidRPr="004C2AC6">
        <w:rPr>
          <w:rFonts w:ascii="Times New Roman" w:hAnsi="Times New Roman"/>
          <w:sz w:val="20"/>
          <w:szCs w:val="20"/>
          <w:lang w:val="es-ES"/>
        </w:rPr>
        <w:t>Oxford University Press.</w:t>
      </w:r>
    </w:p>
    <w:p w14:paraId="19C2BB96" w14:textId="0AFDABC8" w:rsidR="007E0D64" w:rsidRPr="004C2AC6" w:rsidRDefault="007E0D64" w:rsidP="00C45DE6">
      <w:pPr>
        <w:spacing w:after="0" w:line="240" w:lineRule="auto"/>
        <w:ind w:left="397" w:hanging="397"/>
        <w:jc w:val="both"/>
        <w:rPr>
          <w:rFonts w:ascii="Times New Roman" w:hAnsi="Times New Roman"/>
          <w:sz w:val="20"/>
          <w:szCs w:val="20"/>
          <w:lang w:val="es-ES"/>
        </w:rPr>
      </w:pPr>
      <w:r w:rsidRPr="007A1B17">
        <w:rPr>
          <w:rFonts w:ascii="Times New Roman" w:hAnsi="Times New Roman"/>
          <w:sz w:val="20"/>
          <w:szCs w:val="20"/>
          <w:lang w:val="es-ES"/>
        </w:rPr>
        <w:t xml:space="preserve">CIS. </w:t>
      </w:r>
      <w:r w:rsidR="007A1B17" w:rsidRPr="007A1B17">
        <w:rPr>
          <w:rFonts w:ascii="Times New Roman" w:hAnsi="Times New Roman"/>
          <w:sz w:val="20"/>
          <w:szCs w:val="20"/>
          <w:lang w:val="es-ES"/>
        </w:rPr>
        <w:t xml:space="preserve">201. </w:t>
      </w:r>
      <w:r w:rsidRPr="007A1B17">
        <w:rPr>
          <w:rFonts w:ascii="Times New Roman" w:hAnsi="Times New Roman"/>
          <w:i/>
          <w:sz w:val="20"/>
          <w:szCs w:val="20"/>
          <w:lang w:val="es-ES"/>
        </w:rPr>
        <w:t>Escala de confianza en institucio</w:t>
      </w:r>
      <w:r w:rsidR="007A1B17" w:rsidRPr="007A1B17">
        <w:rPr>
          <w:rFonts w:ascii="Times New Roman" w:hAnsi="Times New Roman"/>
          <w:i/>
          <w:sz w:val="20"/>
          <w:szCs w:val="20"/>
          <w:lang w:val="es-ES"/>
        </w:rPr>
        <w:t>nes: el Tribunal Constitucional</w:t>
      </w:r>
      <w:r w:rsidR="007A1B17" w:rsidRPr="007A1B17">
        <w:rPr>
          <w:rFonts w:ascii="Times New Roman" w:hAnsi="Times New Roman"/>
          <w:sz w:val="20"/>
          <w:szCs w:val="20"/>
          <w:lang w:val="es-ES"/>
        </w:rPr>
        <w:t xml:space="preserve">. </w:t>
      </w:r>
      <w:r w:rsidR="007A1B17" w:rsidRPr="004C2AC6">
        <w:rPr>
          <w:rFonts w:ascii="Times New Roman" w:hAnsi="Times New Roman"/>
          <w:sz w:val="20"/>
          <w:szCs w:val="20"/>
          <w:lang w:val="es-ES"/>
        </w:rPr>
        <w:t xml:space="preserve">Web. 1 December 2016. </w:t>
      </w:r>
      <w:hyperlink r:id="rId6" w:history="1">
        <w:r w:rsidRPr="004C2AC6">
          <w:rPr>
            <w:rStyle w:val="Hipervnculo"/>
            <w:rFonts w:ascii="Times New Roman" w:hAnsi="Times New Roman"/>
            <w:sz w:val="20"/>
            <w:szCs w:val="20"/>
            <w:lang w:val="es-ES"/>
          </w:rPr>
          <w:t>http://www.analisis.cis.es/BDConsultaSeriePrg.jsp</w:t>
        </w:r>
      </w:hyperlink>
      <w:r w:rsidRPr="004C2AC6">
        <w:rPr>
          <w:rFonts w:ascii="Times New Roman" w:hAnsi="Times New Roman"/>
          <w:sz w:val="20"/>
          <w:szCs w:val="20"/>
          <w:lang w:val="es-ES"/>
        </w:rPr>
        <w:t xml:space="preserve"> </w:t>
      </w:r>
    </w:p>
    <w:p w14:paraId="5EA32A74" w14:textId="751284AF" w:rsidR="007E0D64" w:rsidRPr="00876A28" w:rsidRDefault="007E0D64" w:rsidP="00C45DE6">
      <w:pPr>
        <w:spacing w:after="0" w:line="240" w:lineRule="auto"/>
        <w:ind w:left="397" w:hanging="397"/>
        <w:jc w:val="both"/>
        <w:rPr>
          <w:rFonts w:ascii="Times New Roman" w:hAnsi="Times New Roman"/>
          <w:sz w:val="20"/>
          <w:szCs w:val="20"/>
          <w:lang w:val="es-ES"/>
        </w:rPr>
      </w:pPr>
      <w:r w:rsidRPr="00876A28">
        <w:rPr>
          <w:rFonts w:ascii="Times New Roman" w:hAnsi="Times New Roman"/>
          <w:sz w:val="20"/>
          <w:szCs w:val="20"/>
          <w:lang w:val="es-ES"/>
        </w:rPr>
        <w:t>De Miguel Barcena, J</w:t>
      </w:r>
      <w:r w:rsidR="00505AB5" w:rsidRPr="00876A28">
        <w:rPr>
          <w:rFonts w:ascii="Times New Roman" w:hAnsi="Times New Roman"/>
          <w:sz w:val="20"/>
          <w:szCs w:val="20"/>
          <w:lang w:val="es-ES"/>
        </w:rPr>
        <w:t>osu</w:t>
      </w:r>
      <w:r w:rsidRPr="00876A28">
        <w:rPr>
          <w:rFonts w:ascii="Times New Roman" w:hAnsi="Times New Roman"/>
          <w:sz w:val="20"/>
          <w:szCs w:val="20"/>
          <w:lang w:val="es-ES"/>
        </w:rPr>
        <w:t>. 2012</w:t>
      </w:r>
      <w:r w:rsidR="00505AB5" w:rsidRPr="00876A28">
        <w:rPr>
          <w:rFonts w:ascii="Times New Roman" w:hAnsi="Times New Roman"/>
          <w:sz w:val="20"/>
          <w:szCs w:val="20"/>
          <w:lang w:val="es-ES"/>
        </w:rPr>
        <w:t xml:space="preserve">. </w:t>
      </w:r>
      <w:r w:rsidRPr="00876A28">
        <w:rPr>
          <w:rFonts w:ascii="Times New Roman" w:hAnsi="Times New Roman"/>
          <w:sz w:val="20"/>
          <w:szCs w:val="20"/>
          <w:lang w:val="es-ES"/>
        </w:rPr>
        <w:t>Poder jud</w:t>
      </w:r>
      <w:r w:rsidR="00876A28" w:rsidRPr="00876A28">
        <w:rPr>
          <w:rFonts w:ascii="Times New Roman" w:hAnsi="Times New Roman"/>
          <w:sz w:val="20"/>
          <w:szCs w:val="20"/>
          <w:lang w:val="es-ES"/>
        </w:rPr>
        <w:t>icial y Tribunal Constitucional. I</w:t>
      </w:r>
      <w:r w:rsidRPr="00876A28">
        <w:rPr>
          <w:rFonts w:ascii="Times New Roman" w:hAnsi="Times New Roman"/>
          <w:sz w:val="20"/>
          <w:szCs w:val="20"/>
          <w:lang w:val="es-ES"/>
        </w:rPr>
        <w:t xml:space="preserve">n </w:t>
      </w:r>
      <w:r w:rsidRPr="00876A28">
        <w:rPr>
          <w:rFonts w:ascii="Times New Roman" w:hAnsi="Times New Roman"/>
          <w:i/>
          <w:sz w:val="20"/>
          <w:szCs w:val="20"/>
          <w:lang w:val="es-ES"/>
        </w:rPr>
        <w:t>España en crisis. Balance de la segunda legislatura de Rodríguez Zapatero</w:t>
      </w:r>
      <w:r w:rsidR="00876A28" w:rsidRPr="00876A28">
        <w:rPr>
          <w:rFonts w:ascii="Times New Roman" w:hAnsi="Times New Roman"/>
          <w:sz w:val="20"/>
          <w:szCs w:val="20"/>
          <w:lang w:val="es-ES"/>
        </w:rPr>
        <w:t>, ed. C. Colino and</w:t>
      </w:r>
      <w:r w:rsidRPr="00876A28">
        <w:rPr>
          <w:rFonts w:ascii="Times New Roman" w:hAnsi="Times New Roman"/>
          <w:sz w:val="20"/>
          <w:szCs w:val="20"/>
          <w:lang w:val="es-ES"/>
        </w:rPr>
        <w:t xml:space="preserve"> R. Cotarelo, </w:t>
      </w:r>
      <w:r w:rsidR="00876A28" w:rsidRPr="00876A28">
        <w:rPr>
          <w:rFonts w:ascii="Times New Roman" w:hAnsi="Times New Roman"/>
          <w:sz w:val="20"/>
          <w:szCs w:val="20"/>
          <w:lang w:val="es-ES"/>
        </w:rPr>
        <w:t>137–162. Valencia: Tirant lo Blanch.</w:t>
      </w:r>
    </w:p>
    <w:p w14:paraId="34A0907D" w14:textId="17A6CCE0" w:rsidR="007E0D64" w:rsidRPr="00505AB5" w:rsidRDefault="007E0D64" w:rsidP="00C45DE6">
      <w:pPr>
        <w:spacing w:after="0" w:line="240" w:lineRule="auto"/>
        <w:ind w:left="397" w:hanging="397"/>
        <w:jc w:val="both"/>
        <w:rPr>
          <w:rFonts w:ascii="Times New Roman" w:hAnsi="Times New Roman"/>
          <w:sz w:val="20"/>
          <w:szCs w:val="20"/>
          <w:lang w:val="es-ES"/>
        </w:rPr>
      </w:pPr>
      <w:r w:rsidRPr="00505AB5">
        <w:rPr>
          <w:rFonts w:ascii="Times New Roman" w:hAnsi="Times New Roman"/>
          <w:sz w:val="20"/>
          <w:szCs w:val="20"/>
          <w:lang w:val="es-ES"/>
        </w:rPr>
        <w:t>de la Quadra-Salcedo Janini, T</w:t>
      </w:r>
      <w:r w:rsidR="00505AB5" w:rsidRPr="00505AB5">
        <w:rPr>
          <w:rFonts w:ascii="Times New Roman" w:hAnsi="Times New Roman"/>
          <w:sz w:val="20"/>
          <w:szCs w:val="20"/>
          <w:lang w:val="es-ES"/>
        </w:rPr>
        <w:t>omás</w:t>
      </w:r>
      <w:r w:rsidRPr="00505AB5">
        <w:rPr>
          <w:rFonts w:ascii="Times New Roman" w:hAnsi="Times New Roman"/>
          <w:sz w:val="20"/>
          <w:szCs w:val="20"/>
          <w:lang w:val="es-ES"/>
        </w:rPr>
        <w:t>. 2013</w:t>
      </w:r>
      <w:r w:rsidR="00505AB5" w:rsidRPr="00505AB5">
        <w:rPr>
          <w:rFonts w:ascii="Times New Roman" w:hAnsi="Times New Roman"/>
          <w:sz w:val="20"/>
          <w:szCs w:val="20"/>
          <w:lang w:val="es-ES"/>
        </w:rPr>
        <w:t>. ¿</w:t>
      </w:r>
      <w:r w:rsidRPr="00505AB5">
        <w:rPr>
          <w:rFonts w:ascii="Times New Roman" w:hAnsi="Times New Roman"/>
          <w:sz w:val="20"/>
          <w:szCs w:val="20"/>
          <w:lang w:val="es-ES"/>
        </w:rPr>
        <w:t>Se ha transformado la autonomía política y financiera de las comunidades autónomas tras la reforma constitucional del artículo 135 y la adopción de la ley orgánica 2/2012, de 27 de abril, de estabilidad presupuestaria y sostenibilidad financi</w:t>
      </w:r>
      <w:r w:rsidR="00505AB5" w:rsidRPr="00505AB5">
        <w:rPr>
          <w:rFonts w:ascii="Times New Roman" w:hAnsi="Times New Roman"/>
          <w:sz w:val="20"/>
          <w:szCs w:val="20"/>
          <w:lang w:val="es-ES"/>
        </w:rPr>
        <w:t>era?</w:t>
      </w:r>
      <w:r w:rsidRPr="00505AB5">
        <w:rPr>
          <w:rFonts w:ascii="Times New Roman" w:hAnsi="Times New Roman"/>
          <w:sz w:val="20"/>
          <w:szCs w:val="20"/>
          <w:lang w:val="es-ES"/>
        </w:rPr>
        <w:t xml:space="preserve"> </w:t>
      </w:r>
      <w:r w:rsidRPr="00505AB5">
        <w:rPr>
          <w:rFonts w:ascii="Times New Roman" w:hAnsi="Times New Roman"/>
          <w:i/>
          <w:sz w:val="20"/>
          <w:szCs w:val="20"/>
          <w:lang w:val="es-ES"/>
        </w:rPr>
        <w:t>Cuadernos Manuel Giménez Abad</w:t>
      </w:r>
      <w:r w:rsidR="00505AB5" w:rsidRPr="00505AB5">
        <w:rPr>
          <w:rFonts w:ascii="Times New Roman" w:hAnsi="Times New Roman"/>
          <w:i/>
          <w:sz w:val="20"/>
          <w:szCs w:val="20"/>
          <w:lang w:val="es-ES"/>
        </w:rPr>
        <w:t xml:space="preserve"> </w:t>
      </w:r>
      <w:r w:rsidR="00505AB5" w:rsidRPr="00505AB5">
        <w:rPr>
          <w:rFonts w:ascii="Times New Roman" w:hAnsi="Times New Roman"/>
          <w:sz w:val="20"/>
          <w:szCs w:val="20"/>
          <w:lang w:val="es-ES"/>
        </w:rPr>
        <w:t xml:space="preserve">6: </w:t>
      </w:r>
      <w:r w:rsidRPr="00505AB5">
        <w:rPr>
          <w:rFonts w:ascii="Times New Roman" w:hAnsi="Times New Roman"/>
          <w:sz w:val="20"/>
          <w:szCs w:val="20"/>
          <w:lang w:val="es-ES"/>
        </w:rPr>
        <w:t>59</w:t>
      </w:r>
      <w:r w:rsidR="00505AB5" w:rsidRPr="00505AB5">
        <w:rPr>
          <w:rFonts w:ascii="Times New Roman" w:hAnsi="Times New Roman"/>
          <w:sz w:val="20"/>
          <w:szCs w:val="20"/>
          <w:lang w:val="es-ES"/>
        </w:rPr>
        <w:t>–</w:t>
      </w:r>
      <w:r w:rsidRPr="00505AB5">
        <w:rPr>
          <w:rFonts w:ascii="Times New Roman" w:hAnsi="Times New Roman"/>
          <w:sz w:val="20"/>
          <w:szCs w:val="20"/>
          <w:lang w:val="es-ES"/>
        </w:rPr>
        <w:t xml:space="preserve">68. </w:t>
      </w:r>
    </w:p>
    <w:p w14:paraId="0ED3D7EA" w14:textId="0CF988C4" w:rsidR="007E0D64" w:rsidRPr="00505AB5" w:rsidRDefault="007E0D64" w:rsidP="00C45DE6">
      <w:pPr>
        <w:spacing w:after="0" w:line="240" w:lineRule="auto"/>
        <w:ind w:left="397" w:hanging="397"/>
        <w:jc w:val="both"/>
        <w:rPr>
          <w:rFonts w:ascii="Times New Roman" w:hAnsi="Times New Roman"/>
          <w:sz w:val="20"/>
          <w:szCs w:val="20"/>
          <w:lang w:val="es-ES"/>
        </w:rPr>
      </w:pPr>
      <w:r w:rsidRPr="00505AB5">
        <w:rPr>
          <w:rFonts w:ascii="Times New Roman" w:hAnsi="Times New Roman"/>
          <w:sz w:val="20"/>
          <w:szCs w:val="20"/>
          <w:lang w:val="es-ES"/>
        </w:rPr>
        <w:t>del Castillo, P</w:t>
      </w:r>
      <w:r w:rsidR="00505AB5" w:rsidRPr="00505AB5">
        <w:rPr>
          <w:rFonts w:ascii="Times New Roman" w:hAnsi="Times New Roman"/>
          <w:sz w:val="20"/>
          <w:szCs w:val="20"/>
          <w:lang w:val="es-ES"/>
        </w:rPr>
        <w:t xml:space="preserve">ilar. </w:t>
      </w:r>
      <w:r w:rsidRPr="00505AB5">
        <w:rPr>
          <w:rFonts w:ascii="Times New Roman" w:hAnsi="Times New Roman"/>
          <w:sz w:val="20"/>
          <w:szCs w:val="20"/>
          <w:lang w:val="es-ES"/>
        </w:rPr>
        <w:t>1987</w:t>
      </w:r>
      <w:r w:rsidR="00505AB5" w:rsidRPr="00505AB5">
        <w:rPr>
          <w:rFonts w:ascii="Times New Roman" w:hAnsi="Times New Roman"/>
          <w:sz w:val="20"/>
          <w:szCs w:val="20"/>
          <w:lang w:val="es-ES"/>
        </w:rPr>
        <w:t xml:space="preserve">. </w:t>
      </w:r>
      <w:r w:rsidRPr="00505AB5">
        <w:rPr>
          <w:rFonts w:ascii="Times New Roman" w:hAnsi="Times New Roman"/>
          <w:sz w:val="20"/>
          <w:szCs w:val="20"/>
          <w:lang w:val="es-ES"/>
        </w:rPr>
        <w:t xml:space="preserve">Notas para el estudio del comportamiento judicial. El caso del Tribunal </w:t>
      </w:r>
      <w:r w:rsidR="00505AB5" w:rsidRPr="00505AB5">
        <w:rPr>
          <w:rFonts w:ascii="Times New Roman" w:hAnsi="Times New Roman"/>
          <w:sz w:val="20"/>
          <w:szCs w:val="20"/>
          <w:lang w:val="es-ES"/>
        </w:rPr>
        <w:t>Constitucional.</w:t>
      </w:r>
      <w:r w:rsidRPr="00505AB5">
        <w:rPr>
          <w:rFonts w:ascii="Times New Roman" w:hAnsi="Times New Roman"/>
          <w:sz w:val="20"/>
          <w:szCs w:val="20"/>
          <w:lang w:val="es-ES"/>
        </w:rPr>
        <w:t xml:space="preserve"> </w:t>
      </w:r>
      <w:r w:rsidRPr="00505AB5">
        <w:rPr>
          <w:rFonts w:ascii="Times New Roman" w:hAnsi="Times New Roman"/>
          <w:i/>
          <w:sz w:val="20"/>
          <w:szCs w:val="20"/>
          <w:lang w:val="es-ES"/>
        </w:rPr>
        <w:t>Revista Española de Derecho Constitucional</w:t>
      </w:r>
      <w:r w:rsidR="00505AB5" w:rsidRPr="00505AB5">
        <w:rPr>
          <w:rFonts w:ascii="Times New Roman" w:hAnsi="Times New Roman"/>
          <w:sz w:val="20"/>
          <w:szCs w:val="20"/>
          <w:lang w:val="es-ES"/>
        </w:rPr>
        <w:t xml:space="preserve"> </w:t>
      </w:r>
      <w:r w:rsidRPr="00505AB5">
        <w:rPr>
          <w:rFonts w:ascii="Times New Roman" w:hAnsi="Times New Roman"/>
          <w:sz w:val="20"/>
          <w:szCs w:val="20"/>
          <w:lang w:val="es-ES"/>
        </w:rPr>
        <w:t>20</w:t>
      </w:r>
      <w:r w:rsidR="00505AB5" w:rsidRPr="00505AB5">
        <w:rPr>
          <w:rFonts w:ascii="Times New Roman" w:hAnsi="Times New Roman"/>
          <w:sz w:val="20"/>
          <w:szCs w:val="20"/>
          <w:lang w:val="es-ES"/>
        </w:rPr>
        <w:t xml:space="preserve">: </w:t>
      </w:r>
      <w:r w:rsidRPr="00505AB5">
        <w:rPr>
          <w:rFonts w:ascii="Times New Roman" w:hAnsi="Times New Roman"/>
          <w:sz w:val="20"/>
          <w:szCs w:val="20"/>
          <w:lang w:val="es-ES"/>
        </w:rPr>
        <w:t>177</w:t>
      </w:r>
      <w:r w:rsidR="00505AB5" w:rsidRPr="00505AB5">
        <w:rPr>
          <w:rFonts w:ascii="Times New Roman" w:hAnsi="Times New Roman"/>
          <w:sz w:val="20"/>
          <w:szCs w:val="20"/>
          <w:lang w:val="es-ES"/>
        </w:rPr>
        <w:t>–</w:t>
      </w:r>
      <w:r w:rsidRPr="00505AB5">
        <w:rPr>
          <w:rFonts w:ascii="Times New Roman" w:hAnsi="Times New Roman"/>
          <w:sz w:val="20"/>
          <w:szCs w:val="20"/>
          <w:lang w:val="es-ES"/>
        </w:rPr>
        <w:t>191.</w:t>
      </w:r>
    </w:p>
    <w:p w14:paraId="700EF0F0" w14:textId="4EC93CCA" w:rsidR="007E0D64" w:rsidRPr="00876A28" w:rsidRDefault="007E0D64" w:rsidP="00C45DE6">
      <w:pPr>
        <w:spacing w:after="0" w:line="240" w:lineRule="auto"/>
        <w:ind w:left="397" w:hanging="397"/>
        <w:jc w:val="both"/>
        <w:rPr>
          <w:rFonts w:ascii="Times New Roman" w:hAnsi="Times New Roman"/>
          <w:sz w:val="20"/>
          <w:szCs w:val="20"/>
          <w:lang w:val="es-ES"/>
        </w:rPr>
      </w:pPr>
      <w:r w:rsidRPr="00876A28">
        <w:rPr>
          <w:rFonts w:ascii="Times New Roman" w:hAnsi="Times New Roman"/>
          <w:sz w:val="20"/>
          <w:szCs w:val="20"/>
          <w:lang w:val="es-ES"/>
        </w:rPr>
        <w:t>Elvira Perales, A</w:t>
      </w:r>
      <w:r w:rsidR="00876A28" w:rsidRPr="00876A28">
        <w:rPr>
          <w:rFonts w:ascii="Times New Roman" w:hAnsi="Times New Roman"/>
          <w:sz w:val="20"/>
          <w:szCs w:val="20"/>
          <w:lang w:val="es-ES"/>
        </w:rPr>
        <w:t>scensión</w:t>
      </w:r>
      <w:r w:rsidRPr="00876A28">
        <w:rPr>
          <w:rFonts w:ascii="Times New Roman" w:hAnsi="Times New Roman"/>
          <w:sz w:val="20"/>
          <w:szCs w:val="20"/>
          <w:lang w:val="es-ES"/>
        </w:rPr>
        <w:t>. 2013</w:t>
      </w:r>
      <w:r w:rsidR="00876A28" w:rsidRPr="00876A28">
        <w:rPr>
          <w:rFonts w:ascii="Times New Roman" w:hAnsi="Times New Roman"/>
          <w:sz w:val="20"/>
          <w:szCs w:val="20"/>
          <w:lang w:val="es-ES"/>
        </w:rPr>
        <w:t xml:space="preserve">. </w:t>
      </w:r>
      <w:r w:rsidRPr="00876A28">
        <w:rPr>
          <w:rFonts w:ascii="Times New Roman" w:hAnsi="Times New Roman"/>
          <w:sz w:val="20"/>
          <w:szCs w:val="20"/>
          <w:lang w:val="es-ES"/>
        </w:rPr>
        <w:t>Conflictos de competencias entre el Estado y las comunidades autónomas a partir de la jurispr</w:t>
      </w:r>
      <w:r w:rsidR="00876A28" w:rsidRPr="00876A28">
        <w:rPr>
          <w:rFonts w:ascii="Times New Roman" w:hAnsi="Times New Roman"/>
          <w:sz w:val="20"/>
          <w:szCs w:val="20"/>
          <w:lang w:val="es-ES"/>
        </w:rPr>
        <w:t>udencia constitucional española. I</w:t>
      </w:r>
      <w:r w:rsidRPr="00876A28">
        <w:rPr>
          <w:rFonts w:ascii="Times New Roman" w:hAnsi="Times New Roman"/>
          <w:sz w:val="20"/>
          <w:szCs w:val="20"/>
          <w:lang w:val="es-ES"/>
        </w:rPr>
        <w:t xml:space="preserve">n </w:t>
      </w:r>
      <w:r w:rsidRPr="00876A28">
        <w:rPr>
          <w:rFonts w:ascii="Times New Roman" w:hAnsi="Times New Roman"/>
          <w:i/>
          <w:sz w:val="20"/>
          <w:szCs w:val="20"/>
          <w:lang w:val="es-ES"/>
        </w:rPr>
        <w:t>Una mirada a las regiones desde la justicia constitucional</w:t>
      </w:r>
      <w:r w:rsidR="00876A28" w:rsidRPr="00876A28">
        <w:rPr>
          <w:rFonts w:ascii="Times New Roman" w:hAnsi="Times New Roman"/>
          <w:sz w:val="20"/>
          <w:szCs w:val="20"/>
          <w:lang w:val="es-ES"/>
        </w:rPr>
        <w:t>, ed</w:t>
      </w:r>
      <w:r w:rsidRPr="00876A28">
        <w:rPr>
          <w:rFonts w:ascii="Times New Roman" w:hAnsi="Times New Roman"/>
          <w:sz w:val="20"/>
          <w:szCs w:val="20"/>
          <w:lang w:val="es-ES"/>
        </w:rPr>
        <w:t xml:space="preserve">. G. Mendoza Martelo, </w:t>
      </w:r>
      <w:r w:rsidR="00876A28" w:rsidRPr="00876A28">
        <w:rPr>
          <w:rFonts w:ascii="Times New Roman" w:hAnsi="Times New Roman"/>
          <w:sz w:val="20"/>
          <w:szCs w:val="20"/>
          <w:lang w:val="es-ES"/>
        </w:rPr>
        <w:t>J. A. Cepeda Amarís</w:t>
      </w:r>
      <w:r w:rsidRPr="00876A28">
        <w:rPr>
          <w:rFonts w:ascii="Times New Roman" w:hAnsi="Times New Roman"/>
          <w:sz w:val="20"/>
          <w:szCs w:val="20"/>
          <w:lang w:val="es-ES"/>
        </w:rPr>
        <w:t xml:space="preserve"> </w:t>
      </w:r>
      <w:r w:rsidR="00876A28" w:rsidRPr="00876A28">
        <w:rPr>
          <w:rFonts w:ascii="Times New Roman" w:hAnsi="Times New Roman"/>
          <w:sz w:val="20"/>
          <w:szCs w:val="20"/>
          <w:lang w:val="es-ES"/>
        </w:rPr>
        <w:t>and</w:t>
      </w:r>
      <w:r w:rsidRPr="00876A28">
        <w:rPr>
          <w:rFonts w:ascii="Times New Roman" w:hAnsi="Times New Roman"/>
          <w:sz w:val="20"/>
          <w:szCs w:val="20"/>
          <w:lang w:val="es-ES"/>
        </w:rPr>
        <w:t xml:space="preserve"> L. Estupiñán Achury, </w:t>
      </w:r>
      <w:r w:rsidR="00876A28" w:rsidRPr="00876A28">
        <w:rPr>
          <w:rFonts w:ascii="Times New Roman" w:hAnsi="Times New Roman"/>
          <w:sz w:val="20"/>
          <w:szCs w:val="20"/>
          <w:lang w:val="es-ES"/>
        </w:rPr>
        <w:t xml:space="preserve">3–36. Rosario, </w:t>
      </w:r>
      <w:r w:rsidRPr="00876A28">
        <w:rPr>
          <w:rFonts w:ascii="Times New Roman" w:hAnsi="Times New Roman"/>
          <w:sz w:val="20"/>
          <w:szCs w:val="20"/>
          <w:lang w:val="es-ES"/>
        </w:rPr>
        <w:t>Editorial Universidad del Rosario</w:t>
      </w:r>
      <w:r w:rsidR="00876A28" w:rsidRPr="00876A28">
        <w:rPr>
          <w:rFonts w:ascii="Times New Roman" w:hAnsi="Times New Roman"/>
          <w:sz w:val="20"/>
          <w:szCs w:val="20"/>
          <w:lang w:val="es-ES"/>
        </w:rPr>
        <w:t>.</w:t>
      </w:r>
    </w:p>
    <w:p w14:paraId="083E2B97" w14:textId="42090E27" w:rsidR="007E0D64" w:rsidRPr="004C2AC6" w:rsidRDefault="007E0D64" w:rsidP="00C45DE6">
      <w:pPr>
        <w:spacing w:after="0" w:line="240" w:lineRule="auto"/>
        <w:ind w:left="397" w:hanging="397"/>
        <w:jc w:val="both"/>
        <w:rPr>
          <w:rFonts w:ascii="Times New Roman" w:hAnsi="Times New Roman"/>
          <w:sz w:val="20"/>
          <w:szCs w:val="20"/>
          <w:lang w:val="es-ES"/>
        </w:rPr>
      </w:pPr>
      <w:r w:rsidRPr="004C2AC6">
        <w:rPr>
          <w:rFonts w:ascii="Times New Roman" w:hAnsi="Times New Roman"/>
          <w:sz w:val="20"/>
          <w:szCs w:val="20"/>
          <w:lang w:val="es-ES"/>
        </w:rPr>
        <w:t>Epstein, D</w:t>
      </w:r>
      <w:r w:rsidR="000C3D27" w:rsidRPr="004C2AC6">
        <w:rPr>
          <w:rFonts w:ascii="Times New Roman" w:hAnsi="Times New Roman"/>
          <w:sz w:val="20"/>
          <w:szCs w:val="20"/>
          <w:lang w:val="es-ES"/>
        </w:rPr>
        <w:t xml:space="preserve">avid, and Sharyn O’Halloran. </w:t>
      </w:r>
      <w:r w:rsidRPr="000C3D27">
        <w:rPr>
          <w:rFonts w:ascii="Times New Roman" w:hAnsi="Times New Roman"/>
          <w:sz w:val="20"/>
          <w:szCs w:val="20"/>
        </w:rPr>
        <w:t>1999</w:t>
      </w:r>
      <w:r w:rsidR="000C3D27" w:rsidRPr="000C3D27">
        <w:rPr>
          <w:rFonts w:ascii="Times New Roman" w:hAnsi="Times New Roman"/>
          <w:sz w:val="20"/>
          <w:szCs w:val="20"/>
        </w:rPr>
        <w:t>.</w:t>
      </w:r>
      <w:r w:rsidRPr="000C3D27">
        <w:rPr>
          <w:rFonts w:ascii="Times New Roman" w:hAnsi="Times New Roman"/>
          <w:sz w:val="20"/>
          <w:szCs w:val="20"/>
        </w:rPr>
        <w:t xml:space="preserve"> </w:t>
      </w:r>
      <w:r w:rsidRPr="000C3D27">
        <w:rPr>
          <w:rFonts w:ascii="Times New Roman" w:hAnsi="Times New Roman"/>
          <w:i/>
          <w:sz w:val="20"/>
          <w:szCs w:val="20"/>
        </w:rPr>
        <w:t>Delegating Powers: A Transaction Cost Politics Approach to Policy Making Under Separate Powers</w:t>
      </w:r>
      <w:r w:rsidR="000C3D27" w:rsidRPr="000C3D27">
        <w:rPr>
          <w:rFonts w:ascii="Times New Roman" w:hAnsi="Times New Roman"/>
          <w:sz w:val="20"/>
          <w:szCs w:val="20"/>
        </w:rPr>
        <w:t xml:space="preserve">. </w:t>
      </w:r>
      <w:r w:rsidR="000C3D27" w:rsidRPr="004C2AC6">
        <w:rPr>
          <w:rFonts w:ascii="Times New Roman" w:hAnsi="Times New Roman"/>
          <w:sz w:val="20"/>
          <w:szCs w:val="20"/>
          <w:lang w:val="es-ES"/>
        </w:rPr>
        <w:t>Cambridge:</w:t>
      </w:r>
      <w:r w:rsidRPr="004C2AC6">
        <w:rPr>
          <w:rFonts w:ascii="Times New Roman" w:hAnsi="Times New Roman"/>
          <w:sz w:val="20"/>
          <w:szCs w:val="20"/>
          <w:lang w:val="es-ES"/>
        </w:rPr>
        <w:t xml:space="preserve"> Cambr</w:t>
      </w:r>
      <w:r w:rsidR="000C3D27" w:rsidRPr="004C2AC6">
        <w:rPr>
          <w:rFonts w:ascii="Times New Roman" w:hAnsi="Times New Roman"/>
          <w:sz w:val="20"/>
          <w:szCs w:val="20"/>
          <w:lang w:val="es-ES"/>
        </w:rPr>
        <w:t>idge University Press</w:t>
      </w:r>
      <w:r w:rsidRPr="004C2AC6">
        <w:rPr>
          <w:rFonts w:ascii="Times New Roman" w:hAnsi="Times New Roman"/>
          <w:sz w:val="20"/>
          <w:szCs w:val="20"/>
          <w:lang w:val="es-ES"/>
        </w:rPr>
        <w:t>.</w:t>
      </w:r>
    </w:p>
    <w:p w14:paraId="541AF1D5" w14:textId="14A52DAE" w:rsidR="007E0D64" w:rsidRPr="00D454E7" w:rsidRDefault="00505AB5" w:rsidP="00C45DE6">
      <w:pPr>
        <w:spacing w:after="0" w:line="240" w:lineRule="auto"/>
        <w:ind w:left="397" w:hanging="397"/>
        <w:jc w:val="both"/>
        <w:rPr>
          <w:rFonts w:ascii="Times New Roman" w:hAnsi="Times New Roman"/>
          <w:sz w:val="20"/>
          <w:szCs w:val="20"/>
          <w:lang w:val="en-US"/>
        </w:rPr>
      </w:pPr>
      <w:r w:rsidRPr="004C2AC6">
        <w:rPr>
          <w:rFonts w:ascii="Times New Roman" w:hAnsi="Times New Roman"/>
          <w:sz w:val="20"/>
          <w:szCs w:val="20"/>
          <w:lang w:val="es-ES"/>
        </w:rPr>
        <w:t>Fa</w:t>
      </w:r>
      <w:r w:rsidR="007E0D64" w:rsidRPr="004C2AC6">
        <w:rPr>
          <w:rFonts w:ascii="Times New Roman" w:hAnsi="Times New Roman"/>
          <w:sz w:val="20"/>
          <w:szCs w:val="20"/>
          <w:lang w:val="es-ES"/>
        </w:rPr>
        <w:t>bra, M</w:t>
      </w:r>
      <w:r w:rsidRPr="004C2AC6">
        <w:rPr>
          <w:rFonts w:ascii="Times New Roman" w:hAnsi="Times New Roman"/>
          <w:sz w:val="20"/>
          <w:szCs w:val="20"/>
          <w:lang w:val="es-ES"/>
        </w:rPr>
        <w:t>aría</w:t>
      </w:r>
      <w:r w:rsidR="007E0D64" w:rsidRPr="004C2AC6">
        <w:rPr>
          <w:rFonts w:ascii="Times New Roman" w:hAnsi="Times New Roman"/>
          <w:sz w:val="20"/>
          <w:szCs w:val="20"/>
          <w:lang w:val="es-ES"/>
        </w:rPr>
        <w:t>. 2013</w:t>
      </w:r>
      <w:r w:rsidRPr="004C2AC6">
        <w:rPr>
          <w:rFonts w:ascii="Times New Roman" w:hAnsi="Times New Roman"/>
          <w:sz w:val="20"/>
          <w:szCs w:val="20"/>
          <w:lang w:val="es-ES"/>
        </w:rPr>
        <w:t xml:space="preserve">. </w:t>
      </w:r>
      <w:r w:rsidR="007E0D64" w:rsidRPr="004C2AC6">
        <w:rPr>
          <w:rFonts w:ascii="Times New Roman" w:hAnsi="Times New Roman"/>
          <w:sz w:val="20"/>
          <w:szCs w:val="20"/>
          <w:lang w:val="es-ES"/>
        </w:rPr>
        <w:t xml:space="preserve">El presidente del Tribunal Constitucional </w:t>
      </w:r>
      <w:r w:rsidRPr="004C2AC6">
        <w:rPr>
          <w:rFonts w:ascii="Times New Roman" w:hAnsi="Times New Roman"/>
          <w:sz w:val="20"/>
          <w:szCs w:val="20"/>
          <w:lang w:val="es-ES"/>
        </w:rPr>
        <w:t xml:space="preserve">defiende su militancia en </w:t>
      </w:r>
      <w:r w:rsidRPr="00D454E7">
        <w:rPr>
          <w:rFonts w:ascii="Times New Roman" w:hAnsi="Times New Roman"/>
          <w:sz w:val="20"/>
          <w:szCs w:val="20"/>
          <w:lang w:val="es-ES"/>
        </w:rPr>
        <w:t>el PP.</w:t>
      </w:r>
      <w:r w:rsidR="007E0D64" w:rsidRPr="00D454E7">
        <w:rPr>
          <w:rFonts w:ascii="Times New Roman" w:hAnsi="Times New Roman"/>
          <w:sz w:val="20"/>
          <w:szCs w:val="20"/>
          <w:lang w:val="es-ES"/>
        </w:rPr>
        <w:t xml:space="preserve"> </w:t>
      </w:r>
      <w:r w:rsidR="007E0D64" w:rsidRPr="00D454E7">
        <w:rPr>
          <w:rFonts w:ascii="Times New Roman" w:hAnsi="Times New Roman"/>
          <w:i/>
          <w:sz w:val="20"/>
          <w:szCs w:val="20"/>
          <w:lang w:val="en-US"/>
        </w:rPr>
        <w:t>El País</w:t>
      </w:r>
      <w:r w:rsidR="007E0D64" w:rsidRPr="00D454E7">
        <w:rPr>
          <w:rFonts w:ascii="Times New Roman" w:hAnsi="Times New Roman"/>
          <w:sz w:val="20"/>
          <w:szCs w:val="20"/>
          <w:lang w:val="en-US"/>
        </w:rPr>
        <w:t>, 19 July.</w:t>
      </w:r>
    </w:p>
    <w:p w14:paraId="28BC5824" w14:textId="778F08B9" w:rsidR="007E0D64" w:rsidRPr="00325EFB" w:rsidRDefault="007E0D64" w:rsidP="00C45DE6">
      <w:pPr>
        <w:spacing w:after="0" w:line="240" w:lineRule="auto"/>
        <w:ind w:left="397" w:hanging="397"/>
        <w:jc w:val="both"/>
        <w:rPr>
          <w:rFonts w:ascii="Times New Roman" w:hAnsi="Times New Roman"/>
          <w:sz w:val="20"/>
          <w:szCs w:val="20"/>
          <w:lang w:val="es-ES"/>
        </w:rPr>
      </w:pPr>
      <w:r w:rsidRPr="00505AB5">
        <w:rPr>
          <w:rFonts w:ascii="Times New Roman" w:hAnsi="Times New Roman"/>
          <w:sz w:val="20"/>
          <w:szCs w:val="20"/>
          <w:lang w:val="en-US"/>
        </w:rPr>
        <w:t>Ferejohn, J</w:t>
      </w:r>
      <w:r w:rsidR="00505AB5" w:rsidRPr="00505AB5">
        <w:rPr>
          <w:rFonts w:ascii="Times New Roman" w:hAnsi="Times New Roman"/>
          <w:sz w:val="20"/>
          <w:szCs w:val="20"/>
          <w:lang w:val="en-US"/>
        </w:rPr>
        <w:t>ohn A</w:t>
      </w:r>
      <w:r w:rsidRPr="00505AB5">
        <w:rPr>
          <w:rFonts w:ascii="Times New Roman" w:hAnsi="Times New Roman"/>
          <w:sz w:val="20"/>
          <w:szCs w:val="20"/>
          <w:lang w:val="en-US"/>
        </w:rPr>
        <w:t>. 2002</w:t>
      </w:r>
      <w:r w:rsidR="00505AB5" w:rsidRPr="00505AB5">
        <w:rPr>
          <w:rFonts w:ascii="Times New Roman" w:hAnsi="Times New Roman"/>
          <w:sz w:val="20"/>
          <w:szCs w:val="20"/>
          <w:lang w:val="en-US"/>
        </w:rPr>
        <w:t>. Judicializing Politics, P</w:t>
      </w:r>
      <w:r w:rsidRPr="00505AB5">
        <w:rPr>
          <w:rFonts w:ascii="Times New Roman" w:hAnsi="Times New Roman"/>
          <w:sz w:val="20"/>
          <w:szCs w:val="20"/>
          <w:lang w:val="en-US"/>
        </w:rPr>
        <w:t>oliticizing Law</w:t>
      </w:r>
      <w:r w:rsidR="00505AB5" w:rsidRPr="00505AB5">
        <w:rPr>
          <w:rFonts w:ascii="Times New Roman" w:hAnsi="Times New Roman"/>
          <w:sz w:val="20"/>
          <w:szCs w:val="20"/>
          <w:lang w:val="en-US"/>
        </w:rPr>
        <w:t>.</w:t>
      </w:r>
      <w:r w:rsidRPr="00505AB5">
        <w:rPr>
          <w:rFonts w:ascii="Times New Roman" w:hAnsi="Times New Roman"/>
          <w:sz w:val="20"/>
          <w:szCs w:val="20"/>
          <w:lang w:val="en-US"/>
        </w:rPr>
        <w:t xml:space="preserve"> </w:t>
      </w:r>
      <w:r w:rsidRPr="00325EFB">
        <w:rPr>
          <w:rFonts w:ascii="Times New Roman" w:hAnsi="Times New Roman"/>
          <w:i/>
          <w:sz w:val="20"/>
          <w:szCs w:val="20"/>
          <w:lang w:val="es-ES"/>
        </w:rPr>
        <w:t>Law and Contemporary Problems</w:t>
      </w:r>
      <w:r w:rsidR="00505AB5" w:rsidRPr="00325EFB">
        <w:rPr>
          <w:rFonts w:ascii="Times New Roman" w:hAnsi="Times New Roman"/>
          <w:i/>
          <w:sz w:val="20"/>
          <w:szCs w:val="20"/>
          <w:lang w:val="es-ES"/>
        </w:rPr>
        <w:t xml:space="preserve"> </w:t>
      </w:r>
      <w:r w:rsidRPr="00325EFB">
        <w:rPr>
          <w:rFonts w:ascii="Times New Roman" w:hAnsi="Times New Roman"/>
          <w:sz w:val="20"/>
          <w:szCs w:val="20"/>
          <w:lang w:val="es-ES"/>
        </w:rPr>
        <w:t>65</w:t>
      </w:r>
      <w:r w:rsidR="00505AB5" w:rsidRPr="00325EFB">
        <w:rPr>
          <w:rFonts w:ascii="Times New Roman" w:hAnsi="Times New Roman"/>
          <w:sz w:val="20"/>
          <w:szCs w:val="20"/>
          <w:lang w:val="es-ES"/>
        </w:rPr>
        <w:t xml:space="preserve"> (</w:t>
      </w:r>
      <w:r w:rsidRPr="00325EFB">
        <w:rPr>
          <w:rFonts w:ascii="Times New Roman" w:hAnsi="Times New Roman"/>
          <w:sz w:val="20"/>
          <w:szCs w:val="20"/>
          <w:lang w:val="es-ES"/>
        </w:rPr>
        <w:t>3</w:t>
      </w:r>
      <w:r w:rsidR="00505AB5" w:rsidRPr="00325EFB">
        <w:rPr>
          <w:rFonts w:ascii="Times New Roman" w:hAnsi="Times New Roman"/>
          <w:sz w:val="20"/>
          <w:szCs w:val="20"/>
          <w:lang w:val="es-ES"/>
        </w:rPr>
        <w:t xml:space="preserve">): </w:t>
      </w:r>
      <w:r w:rsidRPr="00325EFB">
        <w:rPr>
          <w:rFonts w:ascii="Times New Roman" w:hAnsi="Times New Roman"/>
          <w:sz w:val="20"/>
          <w:szCs w:val="20"/>
          <w:lang w:val="es-ES"/>
        </w:rPr>
        <w:t>41</w:t>
      </w:r>
      <w:r w:rsidR="00505AB5" w:rsidRPr="00325EFB">
        <w:rPr>
          <w:rFonts w:ascii="Times New Roman" w:hAnsi="Times New Roman"/>
          <w:sz w:val="20"/>
          <w:szCs w:val="20"/>
          <w:lang w:val="es-ES"/>
        </w:rPr>
        <w:t>–</w:t>
      </w:r>
      <w:r w:rsidRPr="00325EFB">
        <w:rPr>
          <w:rFonts w:ascii="Times New Roman" w:hAnsi="Times New Roman"/>
          <w:sz w:val="20"/>
          <w:szCs w:val="20"/>
          <w:lang w:val="es-ES"/>
        </w:rPr>
        <w:t>68.</w:t>
      </w:r>
    </w:p>
    <w:p w14:paraId="5C8E15CC" w14:textId="7EF8FAD7" w:rsidR="007E0D64" w:rsidRPr="004C2AC6" w:rsidRDefault="007E0D64" w:rsidP="00C45DE6">
      <w:pPr>
        <w:spacing w:after="0" w:line="240" w:lineRule="auto"/>
        <w:ind w:left="397" w:hanging="397"/>
        <w:jc w:val="both"/>
        <w:rPr>
          <w:rFonts w:ascii="Times New Roman" w:hAnsi="Times New Roman"/>
          <w:sz w:val="20"/>
          <w:szCs w:val="20"/>
          <w:lang w:val="en-US"/>
        </w:rPr>
      </w:pPr>
      <w:r w:rsidRPr="000C3D27">
        <w:rPr>
          <w:rFonts w:ascii="Times New Roman" w:hAnsi="Times New Roman"/>
          <w:sz w:val="20"/>
          <w:szCs w:val="20"/>
          <w:lang w:val="es-ES"/>
        </w:rPr>
        <w:t>Fernández Farreres, G</w:t>
      </w:r>
      <w:r w:rsidR="000C3D27" w:rsidRPr="000C3D27">
        <w:rPr>
          <w:rFonts w:ascii="Times New Roman" w:hAnsi="Times New Roman"/>
          <w:sz w:val="20"/>
          <w:szCs w:val="20"/>
          <w:lang w:val="es-ES"/>
        </w:rPr>
        <w:t>ermán</w:t>
      </w:r>
      <w:r w:rsidRPr="000C3D27">
        <w:rPr>
          <w:rFonts w:ascii="Times New Roman" w:hAnsi="Times New Roman"/>
          <w:sz w:val="20"/>
          <w:szCs w:val="20"/>
          <w:lang w:val="es-ES"/>
        </w:rPr>
        <w:t>. 2005</w:t>
      </w:r>
      <w:r w:rsidR="000C3D27" w:rsidRPr="000C3D27">
        <w:rPr>
          <w:rFonts w:ascii="Times New Roman" w:hAnsi="Times New Roman"/>
          <w:sz w:val="20"/>
          <w:szCs w:val="20"/>
          <w:lang w:val="es-ES"/>
        </w:rPr>
        <w:t>.</w:t>
      </w:r>
      <w:r w:rsidRPr="000C3D27">
        <w:rPr>
          <w:rFonts w:ascii="Times New Roman" w:hAnsi="Times New Roman"/>
          <w:sz w:val="20"/>
          <w:szCs w:val="20"/>
          <w:lang w:val="es-ES"/>
        </w:rPr>
        <w:t xml:space="preserve"> </w:t>
      </w:r>
      <w:r w:rsidRPr="000C3D27">
        <w:rPr>
          <w:rFonts w:ascii="Times New Roman" w:hAnsi="Times New Roman"/>
          <w:i/>
          <w:sz w:val="20"/>
          <w:szCs w:val="20"/>
          <w:lang w:val="es-ES"/>
        </w:rPr>
        <w:t>La contribución del Tribunal Constitucional al Estado autonómico</w:t>
      </w:r>
      <w:r w:rsidR="000C3D27" w:rsidRPr="000C3D27">
        <w:rPr>
          <w:rFonts w:ascii="Times New Roman" w:hAnsi="Times New Roman"/>
          <w:sz w:val="20"/>
          <w:szCs w:val="20"/>
          <w:lang w:val="es-ES"/>
        </w:rPr>
        <w:t xml:space="preserve">. </w:t>
      </w:r>
      <w:r w:rsidR="000C3D27" w:rsidRPr="004C2AC6">
        <w:rPr>
          <w:rFonts w:ascii="Times New Roman" w:hAnsi="Times New Roman"/>
          <w:sz w:val="20"/>
          <w:szCs w:val="20"/>
          <w:lang w:val="en-US"/>
        </w:rPr>
        <w:t>Madrid:</w:t>
      </w:r>
      <w:r w:rsidRPr="004C2AC6">
        <w:rPr>
          <w:rFonts w:ascii="Times New Roman" w:hAnsi="Times New Roman"/>
          <w:sz w:val="20"/>
          <w:szCs w:val="20"/>
          <w:lang w:val="en-US"/>
        </w:rPr>
        <w:t xml:space="preserve"> Portal Derecho.</w:t>
      </w:r>
    </w:p>
    <w:p w14:paraId="51E72034" w14:textId="64589A1D" w:rsidR="007E0D64" w:rsidRPr="00325EFB" w:rsidRDefault="007E0D64" w:rsidP="00C45DE6">
      <w:pPr>
        <w:spacing w:after="0" w:line="240" w:lineRule="auto"/>
        <w:ind w:left="397" w:hanging="397"/>
        <w:jc w:val="both"/>
        <w:rPr>
          <w:rFonts w:ascii="Times New Roman" w:hAnsi="Times New Roman"/>
          <w:sz w:val="20"/>
          <w:szCs w:val="20"/>
          <w:lang w:val="es-ES"/>
        </w:rPr>
      </w:pPr>
      <w:r w:rsidRPr="004C2AC6">
        <w:rPr>
          <w:rFonts w:ascii="Times New Roman" w:hAnsi="Times New Roman"/>
          <w:sz w:val="20"/>
          <w:szCs w:val="20"/>
          <w:lang w:val="en-US"/>
        </w:rPr>
        <w:t>Ferreira do Vale, H</w:t>
      </w:r>
      <w:r w:rsidR="0049719B" w:rsidRPr="004C2AC6">
        <w:rPr>
          <w:rFonts w:ascii="Times New Roman" w:hAnsi="Times New Roman"/>
          <w:sz w:val="20"/>
          <w:szCs w:val="20"/>
          <w:lang w:val="en-US"/>
        </w:rPr>
        <w:t xml:space="preserve">elder. </w:t>
      </w:r>
      <w:r w:rsidRPr="004C2AC6">
        <w:rPr>
          <w:rFonts w:ascii="Times New Roman" w:hAnsi="Times New Roman"/>
          <w:sz w:val="20"/>
          <w:szCs w:val="20"/>
          <w:lang w:val="en-US"/>
        </w:rPr>
        <w:t>2013</w:t>
      </w:r>
      <w:r w:rsidR="0049719B" w:rsidRPr="004C2AC6">
        <w:rPr>
          <w:rFonts w:ascii="Times New Roman" w:hAnsi="Times New Roman"/>
          <w:sz w:val="20"/>
          <w:szCs w:val="20"/>
          <w:lang w:val="en-US"/>
        </w:rPr>
        <w:t>. The Judicialization of Territorial P</w:t>
      </w:r>
      <w:r w:rsidRPr="004C2AC6">
        <w:rPr>
          <w:rFonts w:ascii="Times New Roman" w:hAnsi="Times New Roman"/>
          <w:sz w:val="20"/>
          <w:szCs w:val="20"/>
          <w:lang w:val="en-US"/>
        </w:rPr>
        <w:t>olitics in Brazil, Colombia and Spa</w:t>
      </w:r>
      <w:r w:rsidRPr="0049719B">
        <w:rPr>
          <w:rFonts w:ascii="Times New Roman" w:hAnsi="Times New Roman"/>
          <w:sz w:val="20"/>
          <w:szCs w:val="20"/>
        </w:rPr>
        <w:t>in</w:t>
      </w:r>
      <w:r w:rsidR="0049719B" w:rsidRPr="0049719B">
        <w:rPr>
          <w:rFonts w:ascii="Times New Roman" w:hAnsi="Times New Roman"/>
          <w:sz w:val="20"/>
          <w:szCs w:val="20"/>
        </w:rPr>
        <w:t>.</w:t>
      </w:r>
      <w:r w:rsidRPr="0049719B">
        <w:rPr>
          <w:rFonts w:ascii="Times New Roman" w:hAnsi="Times New Roman"/>
          <w:sz w:val="20"/>
          <w:szCs w:val="20"/>
        </w:rPr>
        <w:t xml:space="preserve"> </w:t>
      </w:r>
      <w:r w:rsidRPr="00325EFB">
        <w:rPr>
          <w:rFonts w:ascii="Times New Roman" w:hAnsi="Times New Roman"/>
          <w:i/>
          <w:sz w:val="20"/>
          <w:szCs w:val="20"/>
          <w:lang w:val="es-ES"/>
        </w:rPr>
        <w:t>Brazilian Political Science Review</w:t>
      </w:r>
      <w:r w:rsidR="0049719B" w:rsidRPr="00325EFB">
        <w:rPr>
          <w:rFonts w:ascii="Times New Roman" w:hAnsi="Times New Roman"/>
          <w:sz w:val="20"/>
          <w:szCs w:val="20"/>
          <w:lang w:val="es-ES"/>
        </w:rPr>
        <w:t xml:space="preserve"> 7 (</w:t>
      </w:r>
      <w:r w:rsidRPr="00325EFB">
        <w:rPr>
          <w:rFonts w:ascii="Times New Roman" w:hAnsi="Times New Roman"/>
          <w:sz w:val="20"/>
          <w:szCs w:val="20"/>
          <w:lang w:val="es-ES"/>
        </w:rPr>
        <w:t>2</w:t>
      </w:r>
      <w:r w:rsidR="0049719B" w:rsidRPr="00325EFB">
        <w:rPr>
          <w:rFonts w:ascii="Times New Roman" w:hAnsi="Times New Roman"/>
          <w:sz w:val="20"/>
          <w:szCs w:val="20"/>
          <w:lang w:val="es-ES"/>
        </w:rPr>
        <w:t>):</w:t>
      </w:r>
      <w:r w:rsidRPr="00325EFB">
        <w:rPr>
          <w:rFonts w:ascii="Times New Roman" w:hAnsi="Times New Roman"/>
          <w:sz w:val="20"/>
          <w:szCs w:val="20"/>
          <w:lang w:val="es-ES"/>
        </w:rPr>
        <w:t xml:space="preserve"> 88</w:t>
      </w:r>
      <w:r w:rsidR="0049719B" w:rsidRPr="00325EFB">
        <w:rPr>
          <w:rFonts w:ascii="Times New Roman" w:hAnsi="Times New Roman"/>
          <w:sz w:val="20"/>
          <w:szCs w:val="20"/>
          <w:lang w:val="es-ES"/>
        </w:rPr>
        <w:t>–</w:t>
      </w:r>
      <w:r w:rsidRPr="00325EFB">
        <w:rPr>
          <w:rFonts w:ascii="Times New Roman" w:hAnsi="Times New Roman"/>
          <w:sz w:val="20"/>
          <w:szCs w:val="20"/>
          <w:lang w:val="es-ES"/>
        </w:rPr>
        <w:t>113.</w:t>
      </w:r>
    </w:p>
    <w:p w14:paraId="2ACB56B7" w14:textId="03F2211F" w:rsidR="007E0D64" w:rsidRPr="004C2AC6" w:rsidRDefault="007E0D64" w:rsidP="00C45DE6">
      <w:pPr>
        <w:spacing w:after="0" w:line="240" w:lineRule="auto"/>
        <w:ind w:left="397" w:hanging="397"/>
        <w:jc w:val="both"/>
        <w:rPr>
          <w:rFonts w:ascii="Times New Roman" w:hAnsi="Times New Roman"/>
          <w:sz w:val="20"/>
          <w:szCs w:val="20"/>
          <w:lang w:val="en-US"/>
        </w:rPr>
      </w:pPr>
      <w:r w:rsidRPr="000C3D27">
        <w:rPr>
          <w:rFonts w:ascii="Times New Roman" w:hAnsi="Times New Roman"/>
          <w:sz w:val="20"/>
          <w:szCs w:val="20"/>
          <w:lang w:val="es-ES"/>
        </w:rPr>
        <w:t>García de Enterría, E</w:t>
      </w:r>
      <w:r w:rsidR="000C3D27" w:rsidRPr="000C3D27">
        <w:rPr>
          <w:rFonts w:ascii="Times New Roman" w:hAnsi="Times New Roman"/>
          <w:sz w:val="20"/>
          <w:szCs w:val="20"/>
          <w:lang w:val="es-ES"/>
        </w:rPr>
        <w:t>duardo</w:t>
      </w:r>
      <w:r w:rsidRPr="000C3D27">
        <w:rPr>
          <w:rFonts w:ascii="Times New Roman" w:hAnsi="Times New Roman"/>
          <w:sz w:val="20"/>
          <w:szCs w:val="20"/>
          <w:lang w:val="es-ES"/>
        </w:rPr>
        <w:t>.</w:t>
      </w:r>
      <w:r w:rsidR="000C3D27" w:rsidRPr="000C3D27">
        <w:rPr>
          <w:rFonts w:ascii="Times New Roman" w:hAnsi="Times New Roman"/>
          <w:sz w:val="20"/>
          <w:szCs w:val="20"/>
          <w:lang w:val="es-ES"/>
        </w:rPr>
        <w:t xml:space="preserve"> </w:t>
      </w:r>
      <w:r w:rsidRPr="000C3D27">
        <w:rPr>
          <w:rFonts w:ascii="Times New Roman" w:hAnsi="Times New Roman"/>
          <w:sz w:val="20"/>
          <w:szCs w:val="20"/>
          <w:lang w:val="es-ES"/>
        </w:rPr>
        <w:t>1982</w:t>
      </w:r>
      <w:r w:rsidR="000C3D27" w:rsidRPr="000C3D27">
        <w:rPr>
          <w:rFonts w:ascii="Times New Roman" w:hAnsi="Times New Roman"/>
          <w:sz w:val="20"/>
          <w:szCs w:val="20"/>
          <w:lang w:val="es-ES"/>
        </w:rPr>
        <w:t>.</w:t>
      </w:r>
      <w:r w:rsidRPr="000C3D27">
        <w:rPr>
          <w:rFonts w:ascii="Times New Roman" w:hAnsi="Times New Roman"/>
          <w:sz w:val="20"/>
          <w:szCs w:val="20"/>
          <w:lang w:val="es-ES"/>
        </w:rPr>
        <w:t xml:space="preserve"> </w:t>
      </w:r>
      <w:r w:rsidRPr="000C3D27">
        <w:rPr>
          <w:rFonts w:ascii="Times New Roman" w:hAnsi="Times New Roman"/>
          <w:i/>
          <w:sz w:val="20"/>
          <w:szCs w:val="20"/>
          <w:lang w:val="es-ES"/>
        </w:rPr>
        <w:t>La Constitución como norma y el Tribunal Constitucional</w:t>
      </w:r>
      <w:r w:rsidR="000C3D27" w:rsidRPr="000C3D27">
        <w:rPr>
          <w:rFonts w:ascii="Times New Roman" w:hAnsi="Times New Roman"/>
          <w:sz w:val="20"/>
          <w:szCs w:val="20"/>
          <w:lang w:val="es-ES"/>
        </w:rPr>
        <w:t xml:space="preserve">. </w:t>
      </w:r>
      <w:r w:rsidR="000C3D27" w:rsidRPr="004C2AC6">
        <w:rPr>
          <w:rFonts w:ascii="Times New Roman" w:hAnsi="Times New Roman"/>
          <w:sz w:val="20"/>
          <w:szCs w:val="20"/>
          <w:lang w:val="en-US"/>
        </w:rPr>
        <w:t>Madrid:</w:t>
      </w:r>
      <w:r w:rsidRPr="004C2AC6">
        <w:rPr>
          <w:rFonts w:ascii="Times New Roman" w:hAnsi="Times New Roman"/>
          <w:sz w:val="20"/>
          <w:szCs w:val="20"/>
          <w:lang w:val="en-US"/>
        </w:rPr>
        <w:t xml:space="preserve"> Civitas.</w:t>
      </w:r>
    </w:p>
    <w:p w14:paraId="55CA6C91" w14:textId="5248C8E5" w:rsidR="007E0D64" w:rsidRPr="0049719B" w:rsidRDefault="007E0D64" w:rsidP="00C45DE6">
      <w:pPr>
        <w:spacing w:after="0" w:line="240" w:lineRule="auto"/>
        <w:ind w:left="397" w:hanging="397"/>
        <w:jc w:val="both"/>
        <w:rPr>
          <w:rFonts w:ascii="Times New Roman" w:hAnsi="Times New Roman"/>
          <w:sz w:val="20"/>
          <w:szCs w:val="20"/>
        </w:rPr>
      </w:pPr>
      <w:r w:rsidRPr="004C2AC6">
        <w:rPr>
          <w:rFonts w:ascii="Times New Roman" w:hAnsi="Times New Roman"/>
          <w:sz w:val="20"/>
          <w:szCs w:val="20"/>
          <w:lang w:val="en-US"/>
        </w:rPr>
        <w:t>Garoupa, N</w:t>
      </w:r>
      <w:r w:rsidR="0049719B" w:rsidRPr="004C2AC6">
        <w:rPr>
          <w:rFonts w:ascii="Times New Roman" w:hAnsi="Times New Roman"/>
          <w:sz w:val="20"/>
          <w:szCs w:val="20"/>
          <w:lang w:val="en-US"/>
        </w:rPr>
        <w:t>uno</w:t>
      </w:r>
      <w:r w:rsidRPr="004C2AC6">
        <w:rPr>
          <w:rFonts w:ascii="Times New Roman" w:hAnsi="Times New Roman"/>
          <w:sz w:val="20"/>
          <w:szCs w:val="20"/>
          <w:lang w:val="en-US"/>
        </w:rPr>
        <w:t>, Gómez, F</w:t>
      </w:r>
      <w:r w:rsidR="0049719B" w:rsidRPr="004C2AC6">
        <w:rPr>
          <w:rFonts w:ascii="Times New Roman" w:hAnsi="Times New Roman"/>
          <w:sz w:val="20"/>
          <w:szCs w:val="20"/>
          <w:lang w:val="en-US"/>
        </w:rPr>
        <w:t>ernando, and Veronica Grembi.</w:t>
      </w:r>
      <w:r w:rsidRPr="004C2AC6">
        <w:rPr>
          <w:rFonts w:ascii="Times New Roman" w:hAnsi="Times New Roman"/>
          <w:sz w:val="20"/>
          <w:szCs w:val="20"/>
          <w:lang w:val="en-US"/>
        </w:rPr>
        <w:t xml:space="preserve"> </w:t>
      </w:r>
      <w:r w:rsidRPr="0049719B">
        <w:rPr>
          <w:rFonts w:ascii="Times New Roman" w:hAnsi="Times New Roman"/>
          <w:sz w:val="20"/>
          <w:szCs w:val="20"/>
        </w:rPr>
        <w:t>2013</w:t>
      </w:r>
      <w:r w:rsidR="0049719B" w:rsidRPr="0049719B">
        <w:rPr>
          <w:rFonts w:ascii="Times New Roman" w:hAnsi="Times New Roman"/>
          <w:sz w:val="20"/>
          <w:szCs w:val="20"/>
        </w:rPr>
        <w:t>. Judging under Political Pressure: An Empirical Analysis of Constitutional R</w:t>
      </w:r>
      <w:r w:rsidRPr="0049719B">
        <w:rPr>
          <w:rFonts w:ascii="Times New Roman" w:hAnsi="Times New Roman"/>
          <w:sz w:val="20"/>
          <w:szCs w:val="20"/>
        </w:rPr>
        <w:t>e</w:t>
      </w:r>
      <w:r w:rsidR="0049719B" w:rsidRPr="0049719B">
        <w:rPr>
          <w:rFonts w:ascii="Times New Roman" w:hAnsi="Times New Roman"/>
          <w:sz w:val="20"/>
          <w:szCs w:val="20"/>
        </w:rPr>
        <w:t>view V</w:t>
      </w:r>
      <w:r w:rsidRPr="0049719B">
        <w:rPr>
          <w:rFonts w:ascii="Times New Roman" w:hAnsi="Times New Roman"/>
          <w:sz w:val="20"/>
          <w:szCs w:val="20"/>
        </w:rPr>
        <w:t>oting in the Spanish Constitutional Court</w:t>
      </w:r>
      <w:r w:rsidR="0049719B" w:rsidRPr="0049719B">
        <w:rPr>
          <w:rFonts w:ascii="Times New Roman" w:hAnsi="Times New Roman"/>
          <w:sz w:val="20"/>
          <w:szCs w:val="20"/>
        </w:rPr>
        <w:t>.</w:t>
      </w:r>
      <w:r w:rsidRPr="0049719B">
        <w:rPr>
          <w:rFonts w:ascii="Times New Roman" w:hAnsi="Times New Roman"/>
          <w:sz w:val="20"/>
          <w:szCs w:val="20"/>
        </w:rPr>
        <w:t xml:space="preserve"> </w:t>
      </w:r>
      <w:r w:rsidRPr="0049719B">
        <w:rPr>
          <w:rFonts w:ascii="Times New Roman" w:hAnsi="Times New Roman"/>
          <w:i/>
          <w:sz w:val="20"/>
          <w:szCs w:val="20"/>
        </w:rPr>
        <w:t>Journal of Law, Economics and Organization</w:t>
      </w:r>
      <w:r w:rsidR="0049719B" w:rsidRPr="0049719B">
        <w:rPr>
          <w:rFonts w:ascii="Times New Roman" w:hAnsi="Times New Roman"/>
          <w:sz w:val="20"/>
          <w:szCs w:val="20"/>
        </w:rPr>
        <w:t xml:space="preserve"> </w:t>
      </w:r>
      <w:r w:rsidRPr="0049719B">
        <w:rPr>
          <w:rFonts w:ascii="Times New Roman" w:hAnsi="Times New Roman"/>
          <w:sz w:val="20"/>
          <w:szCs w:val="20"/>
        </w:rPr>
        <w:t>29</w:t>
      </w:r>
      <w:r w:rsidR="0049719B" w:rsidRPr="0049719B">
        <w:rPr>
          <w:rFonts w:ascii="Times New Roman" w:hAnsi="Times New Roman"/>
          <w:sz w:val="20"/>
          <w:szCs w:val="20"/>
        </w:rPr>
        <w:t xml:space="preserve"> (</w:t>
      </w:r>
      <w:r w:rsidRPr="0049719B">
        <w:rPr>
          <w:rFonts w:ascii="Times New Roman" w:hAnsi="Times New Roman"/>
          <w:sz w:val="20"/>
          <w:szCs w:val="20"/>
        </w:rPr>
        <w:t>3</w:t>
      </w:r>
      <w:r w:rsidR="0049719B" w:rsidRPr="0049719B">
        <w:rPr>
          <w:rFonts w:ascii="Times New Roman" w:hAnsi="Times New Roman"/>
          <w:sz w:val="20"/>
          <w:szCs w:val="20"/>
        </w:rPr>
        <w:t xml:space="preserve">): </w:t>
      </w:r>
      <w:r w:rsidRPr="0049719B">
        <w:rPr>
          <w:rFonts w:ascii="Times New Roman" w:hAnsi="Times New Roman"/>
          <w:sz w:val="20"/>
          <w:szCs w:val="20"/>
        </w:rPr>
        <w:t>513</w:t>
      </w:r>
      <w:r w:rsidR="0049719B" w:rsidRPr="0049719B">
        <w:rPr>
          <w:rFonts w:ascii="Times New Roman" w:hAnsi="Times New Roman"/>
          <w:sz w:val="20"/>
          <w:szCs w:val="20"/>
        </w:rPr>
        <w:t>–</w:t>
      </w:r>
      <w:r w:rsidRPr="0049719B">
        <w:rPr>
          <w:rFonts w:ascii="Times New Roman" w:hAnsi="Times New Roman"/>
          <w:sz w:val="20"/>
          <w:szCs w:val="20"/>
        </w:rPr>
        <w:t>534.</w:t>
      </w:r>
    </w:p>
    <w:p w14:paraId="51B3D875" w14:textId="10A68014" w:rsidR="007E0D64" w:rsidRPr="0078713F" w:rsidRDefault="007E0D64" w:rsidP="00C45DE6">
      <w:pPr>
        <w:spacing w:after="0" w:line="240" w:lineRule="auto"/>
        <w:ind w:left="397" w:hanging="397"/>
        <w:jc w:val="both"/>
        <w:rPr>
          <w:rFonts w:ascii="Times New Roman" w:hAnsi="Times New Roman"/>
          <w:sz w:val="20"/>
          <w:szCs w:val="20"/>
        </w:rPr>
      </w:pPr>
      <w:r w:rsidRPr="0078713F">
        <w:rPr>
          <w:rFonts w:ascii="Times New Roman" w:hAnsi="Times New Roman"/>
          <w:sz w:val="20"/>
          <w:szCs w:val="20"/>
        </w:rPr>
        <w:t>Gordillo Pérez, L</w:t>
      </w:r>
      <w:r w:rsidR="007A1B17" w:rsidRPr="0078713F">
        <w:rPr>
          <w:rFonts w:ascii="Times New Roman" w:hAnsi="Times New Roman"/>
          <w:sz w:val="20"/>
          <w:szCs w:val="20"/>
        </w:rPr>
        <w:t>uis. 2007. Challenging J</w:t>
      </w:r>
      <w:r w:rsidRPr="0078713F">
        <w:rPr>
          <w:rFonts w:ascii="Times New Roman" w:hAnsi="Times New Roman"/>
          <w:sz w:val="20"/>
          <w:szCs w:val="20"/>
        </w:rPr>
        <w:t xml:space="preserve">ustices, </w:t>
      </w:r>
      <w:r w:rsidR="007A1B17" w:rsidRPr="0078713F">
        <w:rPr>
          <w:rFonts w:ascii="Times New Roman" w:hAnsi="Times New Roman"/>
          <w:sz w:val="20"/>
          <w:szCs w:val="20"/>
        </w:rPr>
        <w:t>D</w:t>
      </w:r>
      <w:r w:rsidRPr="0078713F">
        <w:rPr>
          <w:rFonts w:ascii="Times New Roman" w:hAnsi="Times New Roman"/>
          <w:sz w:val="20"/>
          <w:szCs w:val="20"/>
        </w:rPr>
        <w:t>isqualifying the Constitutional Court</w:t>
      </w:r>
      <w:r w:rsidR="007A1B17" w:rsidRPr="0078713F">
        <w:rPr>
          <w:rFonts w:ascii="Times New Roman" w:hAnsi="Times New Roman"/>
          <w:sz w:val="20"/>
          <w:szCs w:val="20"/>
        </w:rPr>
        <w:t xml:space="preserve">. </w:t>
      </w:r>
      <w:r w:rsidRPr="0078713F">
        <w:rPr>
          <w:rFonts w:ascii="Times New Roman" w:hAnsi="Times New Roman"/>
          <w:i/>
          <w:sz w:val="20"/>
          <w:szCs w:val="20"/>
        </w:rPr>
        <w:t>The Court.ca</w:t>
      </w:r>
      <w:r w:rsidR="007A1B17" w:rsidRPr="0078713F">
        <w:rPr>
          <w:rFonts w:ascii="Times New Roman" w:hAnsi="Times New Roman"/>
          <w:sz w:val="20"/>
          <w:szCs w:val="20"/>
        </w:rPr>
        <w:t>. Web.</w:t>
      </w:r>
      <w:r w:rsidRPr="0078713F">
        <w:rPr>
          <w:rFonts w:ascii="Times New Roman" w:hAnsi="Times New Roman"/>
          <w:sz w:val="20"/>
          <w:szCs w:val="20"/>
        </w:rPr>
        <w:t xml:space="preserve"> </w:t>
      </w:r>
      <w:r w:rsidR="0078713F" w:rsidRPr="0078713F">
        <w:rPr>
          <w:rFonts w:ascii="Times New Roman" w:hAnsi="Times New Roman"/>
          <w:sz w:val="20"/>
          <w:szCs w:val="20"/>
        </w:rPr>
        <w:t>15 November 2016</w:t>
      </w:r>
      <w:r w:rsidR="007A1B17" w:rsidRPr="0078713F">
        <w:rPr>
          <w:rFonts w:ascii="Times New Roman" w:hAnsi="Times New Roman"/>
          <w:sz w:val="20"/>
          <w:szCs w:val="20"/>
        </w:rPr>
        <w:t xml:space="preserve">. </w:t>
      </w:r>
      <w:hyperlink r:id="rId7" w:history="1">
        <w:r w:rsidRPr="0078713F">
          <w:rPr>
            <w:rStyle w:val="Hipervnculo"/>
            <w:rFonts w:ascii="Times New Roman" w:hAnsi="Times New Roman"/>
            <w:sz w:val="20"/>
            <w:szCs w:val="20"/>
          </w:rPr>
          <w:t>https://www.thecourt.ca/challenging-justices-disqualifying-the-constitutional-court/</w:t>
        </w:r>
      </w:hyperlink>
      <w:r w:rsidRPr="0078713F">
        <w:rPr>
          <w:rFonts w:ascii="Times New Roman" w:hAnsi="Times New Roman"/>
          <w:sz w:val="20"/>
          <w:szCs w:val="20"/>
        </w:rPr>
        <w:t xml:space="preserve"> </w:t>
      </w:r>
    </w:p>
    <w:p w14:paraId="0C9890EE" w14:textId="66D1291F" w:rsidR="007E0D64" w:rsidRPr="000C3D27" w:rsidRDefault="007E0D64" w:rsidP="00C45DE6">
      <w:pPr>
        <w:spacing w:after="0" w:line="240" w:lineRule="auto"/>
        <w:ind w:left="397" w:hanging="397"/>
        <w:jc w:val="both"/>
        <w:rPr>
          <w:rFonts w:ascii="Times New Roman" w:hAnsi="Times New Roman"/>
          <w:sz w:val="20"/>
          <w:szCs w:val="20"/>
        </w:rPr>
      </w:pPr>
      <w:r w:rsidRPr="000C3D27">
        <w:rPr>
          <w:rFonts w:ascii="Times New Roman" w:hAnsi="Times New Roman"/>
          <w:sz w:val="20"/>
          <w:szCs w:val="20"/>
        </w:rPr>
        <w:t>Gunther, R</w:t>
      </w:r>
      <w:r w:rsidR="0049719B" w:rsidRPr="000C3D27">
        <w:rPr>
          <w:rFonts w:ascii="Times New Roman" w:hAnsi="Times New Roman"/>
          <w:sz w:val="20"/>
          <w:szCs w:val="20"/>
        </w:rPr>
        <w:t>obert</w:t>
      </w:r>
      <w:r w:rsidRPr="000C3D27">
        <w:rPr>
          <w:rFonts w:ascii="Times New Roman" w:hAnsi="Times New Roman"/>
          <w:sz w:val="20"/>
          <w:szCs w:val="20"/>
        </w:rPr>
        <w:t>, Montero J</w:t>
      </w:r>
      <w:r w:rsidR="0049719B" w:rsidRPr="000C3D27">
        <w:rPr>
          <w:rFonts w:ascii="Times New Roman" w:hAnsi="Times New Roman"/>
          <w:sz w:val="20"/>
          <w:szCs w:val="20"/>
        </w:rPr>
        <w:t xml:space="preserve">osé </w:t>
      </w:r>
      <w:r w:rsidRPr="000C3D27">
        <w:rPr>
          <w:rFonts w:ascii="Times New Roman" w:hAnsi="Times New Roman"/>
          <w:sz w:val="20"/>
          <w:szCs w:val="20"/>
        </w:rPr>
        <w:t>R</w:t>
      </w:r>
      <w:r w:rsidR="0049719B" w:rsidRPr="000C3D27">
        <w:rPr>
          <w:rFonts w:ascii="Times New Roman" w:hAnsi="Times New Roman"/>
          <w:sz w:val="20"/>
          <w:szCs w:val="20"/>
        </w:rPr>
        <w:t>amón, and Joan</w:t>
      </w:r>
      <w:r w:rsidRPr="000C3D27">
        <w:rPr>
          <w:rFonts w:ascii="Times New Roman" w:hAnsi="Times New Roman"/>
          <w:sz w:val="20"/>
          <w:szCs w:val="20"/>
        </w:rPr>
        <w:t xml:space="preserve"> Botella. 2004</w:t>
      </w:r>
      <w:r w:rsidR="0049719B" w:rsidRPr="000C3D27">
        <w:rPr>
          <w:rFonts w:ascii="Times New Roman" w:hAnsi="Times New Roman"/>
          <w:sz w:val="20"/>
          <w:szCs w:val="20"/>
        </w:rPr>
        <w:t>.</w:t>
      </w:r>
      <w:r w:rsidRPr="000C3D27">
        <w:rPr>
          <w:rFonts w:ascii="Times New Roman" w:hAnsi="Times New Roman"/>
          <w:sz w:val="20"/>
          <w:szCs w:val="20"/>
        </w:rPr>
        <w:t xml:space="preserve"> </w:t>
      </w:r>
      <w:r w:rsidRPr="000C3D27">
        <w:rPr>
          <w:rFonts w:ascii="Times New Roman" w:hAnsi="Times New Roman"/>
          <w:i/>
          <w:sz w:val="20"/>
          <w:szCs w:val="20"/>
        </w:rPr>
        <w:t>Democracy in Modern Spain</w:t>
      </w:r>
      <w:r w:rsidR="000C3D27" w:rsidRPr="000C3D27">
        <w:rPr>
          <w:rFonts w:ascii="Times New Roman" w:hAnsi="Times New Roman"/>
          <w:sz w:val="20"/>
          <w:szCs w:val="20"/>
        </w:rPr>
        <w:t>. New Haven:</w:t>
      </w:r>
      <w:r w:rsidRPr="000C3D27">
        <w:rPr>
          <w:rFonts w:ascii="Times New Roman" w:hAnsi="Times New Roman"/>
          <w:sz w:val="20"/>
          <w:szCs w:val="20"/>
        </w:rPr>
        <w:t xml:space="preserve"> Yale University Press.</w:t>
      </w:r>
    </w:p>
    <w:p w14:paraId="53FCA3BF" w14:textId="2ECA45D0" w:rsidR="007E0D64" w:rsidRPr="0078713F" w:rsidRDefault="0049719B" w:rsidP="00C45DE6">
      <w:pPr>
        <w:spacing w:after="0" w:line="240" w:lineRule="auto"/>
        <w:ind w:left="397" w:hanging="397"/>
        <w:jc w:val="both"/>
        <w:rPr>
          <w:rFonts w:ascii="Times New Roman" w:hAnsi="Times New Roman"/>
          <w:sz w:val="20"/>
          <w:szCs w:val="20"/>
        </w:rPr>
      </w:pPr>
      <w:r w:rsidRPr="004C2AC6">
        <w:rPr>
          <w:rFonts w:ascii="Times New Roman" w:hAnsi="Times New Roman"/>
          <w:sz w:val="20"/>
          <w:szCs w:val="20"/>
          <w:lang w:val="fr-FR"/>
        </w:rPr>
        <w:t>Harguindéguy, Jean-Baptiste</w:t>
      </w:r>
      <w:r w:rsidR="007E0D64" w:rsidRPr="004C2AC6">
        <w:rPr>
          <w:rFonts w:ascii="Times New Roman" w:hAnsi="Times New Roman"/>
          <w:sz w:val="20"/>
          <w:szCs w:val="20"/>
          <w:lang w:val="fr-FR"/>
        </w:rPr>
        <w:t>, Coller, X</w:t>
      </w:r>
      <w:r w:rsidRPr="004C2AC6">
        <w:rPr>
          <w:rFonts w:ascii="Times New Roman" w:hAnsi="Times New Roman"/>
          <w:sz w:val="20"/>
          <w:szCs w:val="20"/>
          <w:lang w:val="fr-FR"/>
        </w:rPr>
        <w:t xml:space="preserve">avier, and Alistair Cole. 2016. </w:t>
      </w:r>
      <w:r w:rsidRPr="0078713F">
        <w:rPr>
          <w:rFonts w:ascii="Times New Roman" w:hAnsi="Times New Roman"/>
          <w:sz w:val="20"/>
          <w:szCs w:val="20"/>
        </w:rPr>
        <w:t>Why is the Spanish Upper Chamber so Difficult to Reform?</w:t>
      </w:r>
      <w:r w:rsidR="007E0D64" w:rsidRPr="0078713F">
        <w:rPr>
          <w:rFonts w:ascii="Times New Roman" w:hAnsi="Times New Roman"/>
          <w:sz w:val="20"/>
          <w:szCs w:val="20"/>
        </w:rPr>
        <w:t xml:space="preserve"> </w:t>
      </w:r>
      <w:r w:rsidR="007E0D64" w:rsidRPr="0078713F">
        <w:rPr>
          <w:rFonts w:ascii="Times New Roman" w:hAnsi="Times New Roman"/>
          <w:i/>
          <w:sz w:val="20"/>
          <w:szCs w:val="20"/>
        </w:rPr>
        <w:t>Parliamentary Affairs</w:t>
      </w:r>
      <w:r w:rsidR="0078713F" w:rsidRPr="0078713F">
        <w:rPr>
          <w:rFonts w:ascii="Times New Roman" w:hAnsi="Times New Roman"/>
          <w:sz w:val="20"/>
          <w:szCs w:val="20"/>
        </w:rPr>
        <w:t xml:space="preserve">. Web. 22 December 2016. </w:t>
      </w:r>
      <w:r w:rsidR="007E0D64" w:rsidRPr="0078713F">
        <w:t xml:space="preserve"> </w:t>
      </w:r>
      <w:hyperlink r:id="rId8" w:history="1">
        <w:r w:rsidR="00B56567" w:rsidRPr="0078713F">
          <w:rPr>
            <w:rStyle w:val="Hipervnculo"/>
            <w:rFonts w:ascii="Times New Roman" w:hAnsi="Times New Roman"/>
            <w:sz w:val="20"/>
            <w:szCs w:val="20"/>
          </w:rPr>
          <w:t>https://doi.org/10.1093/pa/gsw035</w:t>
        </w:r>
      </w:hyperlink>
      <w:r w:rsidR="00B56567" w:rsidRPr="0078713F">
        <w:rPr>
          <w:rFonts w:ascii="Times New Roman" w:hAnsi="Times New Roman"/>
          <w:sz w:val="20"/>
          <w:szCs w:val="20"/>
        </w:rPr>
        <w:t xml:space="preserve"> </w:t>
      </w:r>
      <w:r w:rsidR="007E0D64" w:rsidRPr="0078713F">
        <w:rPr>
          <w:rFonts w:ascii="Times New Roman" w:hAnsi="Times New Roman"/>
          <w:sz w:val="20"/>
          <w:szCs w:val="20"/>
        </w:rPr>
        <w:t>.</w:t>
      </w:r>
    </w:p>
    <w:p w14:paraId="1E22B373" w14:textId="24DA45D4" w:rsidR="007E0D64" w:rsidRPr="00876A28" w:rsidRDefault="007E0D64" w:rsidP="00C45DE6">
      <w:pPr>
        <w:spacing w:after="0" w:line="240" w:lineRule="auto"/>
        <w:ind w:left="397" w:hanging="397"/>
        <w:jc w:val="both"/>
        <w:rPr>
          <w:rFonts w:ascii="Times New Roman" w:hAnsi="Times New Roman"/>
          <w:sz w:val="20"/>
          <w:szCs w:val="20"/>
        </w:rPr>
      </w:pPr>
      <w:r w:rsidRPr="00876A28">
        <w:rPr>
          <w:rFonts w:ascii="Times New Roman" w:hAnsi="Times New Roman"/>
          <w:sz w:val="20"/>
          <w:szCs w:val="20"/>
        </w:rPr>
        <w:t>Hein, M</w:t>
      </w:r>
      <w:r w:rsidR="00876A28" w:rsidRPr="00876A28">
        <w:rPr>
          <w:rFonts w:ascii="Times New Roman" w:hAnsi="Times New Roman"/>
          <w:sz w:val="20"/>
          <w:szCs w:val="20"/>
        </w:rPr>
        <w:t>ichael, and Stefan</w:t>
      </w:r>
      <w:r w:rsidRPr="00876A28">
        <w:rPr>
          <w:rFonts w:ascii="Times New Roman" w:hAnsi="Times New Roman"/>
          <w:sz w:val="20"/>
          <w:szCs w:val="20"/>
        </w:rPr>
        <w:t xml:space="preserve"> Ewert</w:t>
      </w:r>
      <w:r w:rsidR="00876A28" w:rsidRPr="00876A28">
        <w:rPr>
          <w:rFonts w:ascii="Times New Roman" w:hAnsi="Times New Roman"/>
          <w:sz w:val="20"/>
          <w:szCs w:val="20"/>
        </w:rPr>
        <w:t>. 2014. What is ‘P</w:t>
      </w:r>
      <w:r w:rsidRPr="00876A28">
        <w:rPr>
          <w:rFonts w:ascii="Times New Roman" w:hAnsi="Times New Roman"/>
          <w:sz w:val="20"/>
          <w:szCs w:val="20"/>
        </w:rPr>
        <w:t>oliticization</w:t>
      </w:r>
      <w:r w:rsidR="00876A28" w:rsidRPr="00876A28">
        <w:rPr>
          <w:rFonts w:ascii="Times New Roman" w:hAnsi="Times New Roman"/>
          <w:sz w:val="20"/>
          <w:szCs w:val="20"/>
        </w:rPr>
        <w:t>’ of Constitutional Courts? Towards a Decision-oriented Concept. In</w:t>
      </w:r>
      <w:r w:rsidRPr="00876A28">
        <w:rPr>
          <w:rFonts w:ascii="Times New Roman" w:hAnsi="Times New Roman"/>
          <w:sz w:val="20"/>
          <w:szCs w:val="20"/>
        </w:rPr>
        <w:t xml:space="preserve"> </w:t>
      </w:r>
      <w:r w:rsidRPr="00876A28">
        <w:rPr>
          <w:rFonts w:ascii="Times New Roman" w:hAnsi="Times New Roman"/>
          <w:i/>
          <w:sz w:val="20"/>
          <w:szCs w:val="20"/>
        </w:rPr>
        <w:t>Law, Politics, and the Constitution. New Perspectives from Legal and Political Theory</w:t>
      </w:r>
      <w:r w:rsidRPr="00876A28">
        <w:rPr>
          <w:rFonts w:ascii="Times New Roman" w:hAnsi="Times New Roman"/>
          <w:sz w:val="20"/>
          <w:szCs w:val="20"/>
        </w:rPr>
        <w:t>, ed. A. Geis</w:t>
      </w:r>
      <w:r w:rsidR="00876A28" w:rsidRPr="00876A28">
        <w:rPr>
          <w:rFonts w:ascii="Times New Roman" w:hAnsi="Times New Roman"/>
          <w:sz w:val="20"/>
          <w:szCs w:val="20"/>
        </w:rPr>
        <w:t>ler, M. Hein and</w:t>
      </w:r>
      <w:r w:rsidRPr="00876A28">
        <w:rPr>
          <w:rFonts w:ascii="Times New Roman" w:hAnsi="Times New Roman"/>
          <w:sz w:val="20"/>
          <w:szCs w:val="20"/>
        </w:rPr>
        <w:t xml:space="preserve"> S. Hummel, </w:t>
      </w:r>
      <w:r w:rsidR="00876A28" w:rsidRPr="00876A28">
        <w:rPr>
          <w:rFonts w:ascii="Times New Roman" w:hAnsi="Times New Roman"/>
          <w:sz w:val="20"/>
          <w:szCs w:val="20"/>
        </w:rPr>
        <w:t xml:space="preserve">31–46. Frankfurt am Main: </w:t>
      </w:r>
      <w:r w:rsidRPr="00876A28">
        <w:rPr>
          <w:rFonts w:ascii="Times New Roman" w:hAnsi="Times New Roman"/>
          <w:sz w:val="20"/>
          <w:szCs w:val="20"/>
        </w:rPr>
        <w:t>Peter Lang</w:t>
      </w:r>
      <w:r w:rsidR="00876A28" w:rsidRPr="00876A28">
        <w:rPr>
          <w:rFonts w:ascii="Times New Roman" w:hAnsi="Times New Roman"/>
          <w:sz w:val="20"/>
          <w:szCs w:val="20"/>
        </w:rPr>
        <w:t>.</w:t>
      </w:r>
    </w:p>
    <w:p w14:paraId="344B0D2F" w14:textId="56E260A8" w:rsidR="007E0D64" w:rsidRPr="00876A28" w:rsidRDefault="007E0D64" w:rsidP="00C45DE6">
      <w:pPr>
        <w:spacing w:after="0" w:line="240" w:lineRule="auto"/>
        <w:ind w:left="397" w:hanging="397"/>
        <w:jc w:val="both"/>
        <w:rPr>
          <w:rFonts w:ascii="Times New Roman" w:hAnsi="Times New Roman"/>
          <w:sz w:val="20"/>
          <w:szCs w:val="20"/>
        </w:rPr>
      </w:pPr>
      <w:r w:rsidRPr="00876A28">
        <w:rPr>
          <w:rFonts w:ascii="Times New Roman" w:hAnsi="Times New Roman"/>
          <w:sz w:val="20"/>
          <w:szCs w:val="20"/>
        </w:rPr>
        <w:t>Hirschl, R</w:t>
      </w:r>
      <w:r w:rsidR="00876A28" w:rsidRPr="00876A28">
        <w:rPr>
          <w:rFonts w:ascii="Times New Roman" w:hAnsi="Times New Roman"/>
          <w:sz w:val="20"/>
          <w:szCs w:val="20"/>
        </w:rPr>
        <w:t>an</w:t>
      </w:r>
      <w:r w:rsidRPr="00876A28">
        <w:rPr>
          <w:rFonts w:ascii="Times New Roman" w:hAnsi="Times New Roman"/>
          <w:sz w:val="20"/>
          <w:szCs w:val="20"/>
        </w:rPr>
        <w:t>. 2011</w:t>
      </w:r>
      <w:r w:rsidR="00876A28" w:rsidRPr="00876A28">
        <w:rPr>
          <w:rFonts w:ascii="Times New Roman" w:hAnsi="Times New Roman"/>
          <w:sz w:val="20"/>
          <w:szCs w:val="20"/>
        </w:rPr>
        <w:t xml:space="preserve">. </w:t>
      </w:r>
      <w:r w:rsidRPr="00876A28">
        <w:rPr>
          <w:rFonts w:ascii="Times New Roman" w:hAnsi="Times New Roman"/>
          <w:sz w:val="20"/>
          <w:szCs w:val="20"/>
        </w:rPr>
        <w:t xml:space="preserve">The </w:t>
      </w:r>
      <w:r w:rsidR="00876A28" w:rsidRPr="00876A28">
        <w:rPr>
          <w:rFonts w:ascii="Times New Roman" w:hAnsi="Times New Roman"/>
          <w:sz w:val="20"/>
          <w:szCs w:val="20"/>
        </w:rPr>
        <w:t>J</w:t>
      </w:r>
      <w:r w:rsidRPr="00876A28">
        <w:rPr>
          <w:rFonts w:ascii="Times New Roman" w:hAnsi="Times New Roman"/>
          <w:sz w:val="20"/>
          <w:szCs w:val="20"/>
        </w:rPr>
        <w:t xml:space="preserve">udicialization of </w:t>
      </w:r>
      <w:r w:rsidR="00876A28" w:rsidRPr="00876A28">
        <w:rPr>
          <w:rFonts w:ascii="Times New Roman" w:hAnsi="Times New Roman"/>
          <w:sz w:val="20"/>
          <w:szCs w:val="20"/>
        </w:rPr>
        <w:t>Politics. I</w:t>
      </w:r>
      <w:r w:rsidRPr="00876A28">
        <w:rPr>
          <w:rFonts w:ascii="Times New Roman" w:hAnsi="Times New Roman"/>
          <w:sz w:val="20"/>
          <w:szCs w:val="20"/>
        </w:rPr>
        <w:t xml:space="preserve">n </w:t>
      </w:r>
      <w:r w:rsidRPr="00876A28">
        <w:rPr>
          <w:rFonts w:ascii="Times New Roman" w:hAnsi="Times New Roman"/>
          <w:i/>
          <w:sz w:val="20"/>
          <w:szCs w:val="20"/>
        </w:rPr>
        <w:t>The Oxford Handbook of Political Science</w:t>
      </w:r>
      <w:r w:rsidRPr="00876A28">
        <w:rPr>
          <w:rFonts w:ascii="Times New Roman" w:hAnsi="Times New Roman"/>
          <w:sz w:val="20"/>
          <w:szCs w:val="20"/>
        </w:rPr>
        <w:t xml:space="preserve">, ed. R. Goodin, </w:t>
      </w:r>
      <w:r w:rsidR="00876A28" w:rsidRPr="00876A28">
        <w:rPr>
          <w:rFonts w:ascii="Times New Roman" w:hAnsi="Times New Roman"/>
          <w:sz w:val="20"/>
          <w:szCs w:val="20"/>
        </w:rPr>
        <w:t xml:space="preserve">119-141. Oxford: </w:t>
      </w:r>
      <w:r w:rsidRPr="00876A28">
        <w:rPr>
          <w:rFonts w:ascii="Times New Roman" w:hAnsi="Times New Roman"/>
          <w:sz w:val="20"/>
          <w:szCs w:val="20"/>
        </w:rPr>
        <w:t>Oxford University Press.</w:t>
      </w:r>
    </w:p>
    <w:p w14:paraId="3E4585B6" w14:textId="3C2649E9" w:rsidR="007E0D64" w:rsidRPr="0049719B" w:rsidRDefault="007E0D64" w:rsidP="00C45DE6">
      <w:pPr>
        <w:spacing w:after="0" w:line="240" w:lineRule="auto"/>
        <w:ind w:left="397" w:hanging="397"/>
        <w:jc w:val="both"/>
        <w:rPr>
          <w:rFonts w:ascii="Times New Roman" w:hAnsi="Times New Roman"/>
          <w:sz w:val="20"/>
          <w:szCs w:val="20"/>
          <w:lang w:val="es-ES"/>
        </w:rPr>
      </w:pPr>
      <w:r w:rsidRPr="0049719B">
        <w:rPr>
          <w:rFonts w:ascii="Times New Roman" w:hAnsi="Times New Roman"/>
          <w:sz w:val="20"/>
          <w:szCs w:val="20"/>
        </w:rPr>
        <w:t>Keating, M</w:t>
      </w:r>
      <w:r w:rsidR="0049719B" w:rsidRPr="0049719B">
        <w:rPr>
          <w:rFonts w:ascii="Times New Roman" w:hAnsi="Times New Roman"/>
          <w:sz w:val="20"/>
          <w:szCs w:val="20"/>
        </w:rPr>
        <w:t xml:space="preserve">ichael, and Alex Wilson. </w:t>
      </w:r>
      <w:r w:rsidRPr="0049719B">
        <w:rPr>
          <w:rFonts w:ascii="Times New Roman" w:hAnsi="Times New Roman"/>
          <w:sz w:val="20"/>
          <w:szCs w:val="20"/>
        </w:rPr>
        <w:t>2009</w:t>
      </w:r>
      <w:r w:rsidR="0049719B" w:rsidRPr="0049719B">
        <w:rPr>
          <w:rFonts w:ascii="Times New Roman" w:hAnsi="Times New Roman"/>
          <w:sz w:val="20"/>
          <w:szCs w:val="20"/>
        </w:rPr>
        <w:t>. Renegotiating the State of A</w:t>
      </w:r>
      <w:r w:rsidRPr="0049719B">
        <w:rPr>
          <w:rFonts w:ascii="Times New Roman" w:hAnsi="Times New Roman"/>
          <w:sz w:val="20"/>
          <w:szCs w:val="20"/>
        </w:rPr>
        <w:t xml:space="preserve">utonomies: </w:t>
      </w:r>
      <w:r w:rsidR="0049719B" w:rsidRPr="0049719B">
        <w:rPr>
          <w:rFonts w:ascii="Times New Roman" w:hAnsi="Times New Roman"/>
          <w:sz w:val="20"/>
          <w:szCs w:val="20"/>
        </w:rPr>
        <w:t>S</w:t>
      </w:r>
      <w:r w:rsidRPr="0049719B">
        <w:rPr>
          <w:rFonts w:ascii="Times New Roman" w:hAnsi="Times New Roman"/>
          <w:sz w:val="20"/>
          <w:szCs w:val="20"/>
        </w:rPr>
        <w:t>tat</w:t>
      </w:r>
      <w:r w:rsidR="0049719B" w:rsidRPr="0049719B">
        <w:rPr>
          <w:rFonts w:ascii="Times New Roman" w:hAnsi="Times New Roman"/>
          <w:sz w:val="20"/>
          <w:szCs w:val="20"/>
        </w:rPr>
        <w:t>ute Reform and Multi-level P</w:t>
      </w:r>
      <w:r w:rsidRPr="0049719B">
        <w:rPr>
          <w:rFonts w:ascii="Times New Roman" w:hAnsi="Times New Roman"/>
          <w:sz w:val="20"/>
          <w:szCs w:val="20"/>
        </w:rPr>
        <w:t>olitics in Spain</w:t>
      </w:r>
      <w:r w:rsidR="0049719B" w:rsidRPr="0049719B">
        <w:rPr>
          <w:rFonts w:ascii="Times New Roman" w:hAnsi="Times New Roman"/>
          <w:sz w:val="20"/>
          <w:szCs w:val="20"/>
        </w:rPr>
        <w:t>.</w:t>
      </w:r>
      <w:r w:rsidRPr="0049719B">
        <w:rPr>
          <w:rFonts w:ascii="Times New Roman" w:hAnsi="Times New Roman"/>
          <w:sz w:val="20"/>
          <w:szCs w:val="20"/>
        </w:rPr>
        <w:t xml:space="preserve"> </w:t>
      </w:r>
      <w:r w:rsidRPr="0049719B">
        <w:rPr>
          <w:rFonts w:ascii="Times New Roman" w:hAnsi="Times New Roman"/>
          <w:i/>
          <w:sz w:val="20"/>
          <w:szCs w:val="20"/>
          <w:lang w:val="es-ES"/>
        </w:rPr>
        <w:t>West European Politics</w:t>
      </w:r>
      <w:r w:rsidRPr="0049719B">
        <w:rPr>
          <w:rFonts w:ascii="Times New Roman" w:hAnsi="Times New Roman"/>
          <w:sz w:val="20"/>
          <w:szCs w:val="20"/>
          <w:lang w:val="es-ES"/>
        </w:rPr>
        <w:t xml:space="preserve"> 32</w:t>
      </w:r>
      <w:r w:rsidR="0049719B" w:rsidRPr="0049719B">
        <w:rPr>
          <w:rFonts w:ascii="Times New Roman" w:hAnsi="Times New Roman"/>
          <w:sz w:val="20"/>
          <w:szCs w:val="20"/>
          <w:lang w:val="es-ES"/>
        </w:rPr>
        <w:t xml:space="preserve"> (</w:t>
      </w:r>
      <w:r w:rsidRPr="0049719B">
        <w:rPr>
          <w:rFonts w:ascii="Times New Roman" w:hAnsi="Times New Roman"/>
          <w:sz w:val="20"/>
          <w:szCs w:val="20"/>
          <w:lang w:val="es-ES"/>
        </w:rPr>
        <w:t>3</w:t>
      </w:r>
      <w:r w:rsidR="0049719B" w:rsidRPr="0049719B">
        <w:rPr>
          <w:rFonts w:ascii="Times New Roman" w:hAnsi="Times New Roman"/>
          <w:sz w:val="20"/>
          <w:szCs w:val="20"/>
          <w:lang w:val="es-ES"/>
        </w:rPr>
        <w:t>):</w:t>
      </w:r>
      <w:r w:rsidRPr="0049719B">
        <w:rPr>
          <w:rFonts w:ascii="Times New Roman" w:hAnsi="Times New Roman"/>
          <w:sz w:val="20"/>
          <w:szCs w:val="20"/>
          <w:lang w:val="es-ES"/>
        </w:rPr>
        <w:t xml:space="preserve"> 536</w:t>
      </w:r>
      <w:r w:rsidR="0049719B" w:rsidRPr="0049719B">
        <w:rPr>
          <w:rFonts w:ascii="Times New Roman" w:hAnsi="Times New Roman"/>
          <w:sz w:val="20"/>
          <w:szCs w:val="20"/>
          <w:lang w:val="es-ES"/>
        </w:rPr>
        <w:t>–</w:t>
      </w:r>
      <w:r w:rsidRPr="0049719B">
        <w:rPr>
          <w:rFonts w:ascii="Times New Roman" w:hAnsi="Times New Roman"/>
          <w:sz w:val="20"/>
          <w:szCs w:val="20"/>
          <w:lang w:val="es-ES"/>
        </w:rPr>
        <w:t>558.</w:t>
      </w:r>
    </w:p>
    <w:p w14:paraId="0C277575" w14:textId="5FD25A2A" w:rsidR="007E0D64" w:rsidRPr="00D454E7" w:rsidRDefault="007E0D64" w:rsidP="00C45DE6">
      <w:pPr>
        <w:spacing w:after="0" w:line="240" w:lineRule="auto"/>
        <w:ind w:left="397" w:hanging="397"/>
        <w:jc w:val="both"/>
        <w:rPr>
          <w:rFonts w:ascii="Times New Roman" w:hAnsi="Times New Roman"/>
          <w:sz w:val="20"/>
          <w:szCs w:val="20"/>
          <w:lang w:val="es-ES"/>
        </w:rPr>
      </w:pPr>
      <w:r w:rsidRPr="00D454E7">
        <w:rPr>
          <w:rFonts w:ascii="Times New Roman" w:hAnsi="Times New Roman"/>
          <w:sz w:val="20"/>
          <w:szCs w:val="20"/>
          <w:lang w:val="es-ES"/>
        </w:rPr>
        <w:lastRenderedPageBreak/>
        <w:t>Lázaro, J</w:t>
      </w:r>
      <w:r w:rsidR="0049719B" w:rsidRPr="00D454E7">
        <w:rPr>
          <w:rFonts w:ascii="Times New Roman" w:hAnsi="Times New Roman"/>
          <w:sz w:val="20"/>
          <w:szCs w:val="20"/>
          <w:lang w:val="es-ES"/>
        </w:rPr>
        <w:t>ulio M</w:t>
      </w:r>
      <w:r w:rsidR="00D454E7" w:rsidRPr="00D454E7">
        <w:rPr>
          <w:rFonts w:ascii="Times New Roman" w:hAnsi="Times New Roman"/>
          <w:sz w:val="20"/>
          <w:szCs w:val="20"/>
          <w:lang w:val="es-ES"/>
        </w:rPr>
        <w:t xml:space="preserve">. </w:t>
      </w:r>
      <w:r w:rsidRPr="00D454E7">
        <w:rPr>
          <w:rFonts w:ascii="Times New Roman" w:hAnsi="Times New Roman"/>
          <w:sz w:val="20"/>
          <w:szCs w:val="20"/>
          <w:lang w:val="es-ES"/>
        </w:rPr>
        <w:t>2008</w:t>
      </w:r>
      <w:r w:rsidR="00D454E7" w:rsidRPr="00D454E7">
        <w:rPr>
          <w:rFonts w:ascii="Times New Roman" w:hAnsi="Times New Roman"/>
          <w:sz w:val="20"/>
          <w:szCs w:val="20"/>
          <w:lang w:val="es-ES"/>
        </w:rPr>
        <w:t xml:space="preserve">. </w:t>
      </w:r>
      <w:r w:rsidRPr="00D454E7">
        <w:rPr>
          <w:rFonts w:ascii="Times New Roman" w:hAnsi="Times New Roman"/>
          <w:sz w:val="20"/>
          <w:szCs w:val="20"/>
          <w:lang w:val="es-ES"/>
        </w:rPr>
        <w:t>El Constitucional aparta a los dos jueces recusados por el Gobierno</w:t>
      </w:r>
      <w:r w:rsidR="00D454E7" w:rsidRPr="00D454E7">
        <w:rPr>
          <w:rFonts w:ascii="Times New Roman" w:hAnsi="Times New Roman"/>
          <w:sz w:val="20"/>
          <w:szCs w:val="20"/>
          <w:lang w:val="es-ES"/>
        </w:rPr>
        <w:t>.</w:t>
      </w:r>
      <w:r w:rsidRPr="00D454E7">
        <w:rPr>
          <w:rFonts w:ascii="Times New Roman" w:hAnsi="Times New Roman"/>
          <w:sz w:val="20"/>
          <w:szCs w:val="20"/>
          <w:lang w:val="es-ES"/>
        </w:rPr>
        <w:t xml:space="preserve"> </w:t>
      </w:r>
      <w:r w:rsidRPr="00D454E7">
        <w:rPr>
          <w:rFonts w:ascii="Times New Roman" w:hAnsi="Times New Roman"/>
          <w:i/>
          <w:sz w:val="20"/>
          <w:szCs w:val="20"/>
          <w:lang w:val="es-ES"/>
        </w:rPr>
        <w:t>El País</w:t>
      </w:r>
      <w:r w:rsidRPr="00D454E7">
        <w:rPr>
          <w:rFonts w:ascii="Times New Roman" w:hAnsi="Times New Roman"/>
          <w:sz w:val="20"/>
          <w:szCs w:val="20"/>
          <w:lang w:val="es-ES"/>
        </w:rPr>
        <w:t>, 13 March.</w:t>
      </w:r>
    </w:p>
    <w:p w14:paraId="60D1B0EA" w14:textId="6C4DC977" w:rsidR="007E0D64" w:rsidRPr="004C2AC6" w:rsidRDefault="007E0D64" w:rsidP="00C45DE6">
      <w:pPr>
        <w:spacing w:after="0" w:line="240" w:lineRule="auto"/>
        <w:ind w:left="397" w:hanging="397"/>
        <w:jc w:val="both"/>
        <w:rPr>
          <w:rFonts w:ascii="Times New Roman" w:hAnsi="Times New Roman"/>
          <w:sz w:val="20"/>
          <w:szCs w:val="20"/>
          <w:lang w:val="en-US"/>
        </w:rPr>
      </w:pPr>
      <w:r w:rsidRPr="00D454E7">
        <w:rPr>
          <w:rFonts w:ascii="Times New Roman" w:hAnsi="Times New Roman"/>
          <w:sz w:val="20"/>
          <w:szCs w:val="20"/>
          <w:lang w:val="es-ES"/>
        </w:rPr>
        <w:t>Lázaro, J</w:t>
      </w:r>
      <w:r w:rsidR="0049719B" w:rsidRPr="00D454E7">
        <w:rPr>
          <w:rFonts w:ascii="Times New Roman" w:hAnsi="Times New Roman"/>
          <w:sz w:val="20"/>
          <w:szCs w:val="20"/>
          <w:lang w:val="es-ES"/>
        </w:rPr>
        <w:t>ulio M</w:t>
      </w:r>
      <w:r w:rsidR="00D454E7" w:rsidRPr="00D454E7">
        <w:rPr>
          <w:rFonts w:ascii="Times New Roman" w:hAnsi="Times New Roman"/>
          <w:sz w:val="20"/>
          <w:szCs w:val="20"/>
          <w:lang w:val="es-ES"/>
        </w:rPr>
        <w:t xml:space="preserve">. </w:t>
      </w:r>
      <w:r w:rsidRPr="00D454E7">
        <w:rPr>
          <w:rFonts w:ascii="Times New Roman" w:hAnsi="Times New Roman"/>
          <w:sz w:val="20"/>
          <w:szCs w:val="20"/>
          <w:lang w:val="es-ES"/>
        </w:rPr>
        <w:t>2010</w:t>
      </w:r>
      <w:r w:rsidR="00D454E7" w:rsidRPr="00D454E7">
        <w:rPr>
          <w:rFonts w:ascii="Times New Roman" w:hAnsi="Times New Roman"/>
          <w:sz w:val="20"/>
          <w:szCs w:val="20"/>
          <w:lang w:val="es-ES"/>
        </w:rPr>
        <w:t>.</w:t>
      </w:r>
      <w:r w:rsidRPr="00D454E7">
        <w:rPr>
          <w:rFonts w:ascii="Times New Roman" w:hAnsi="Times New Roman"/>
          <w:sz w:val="20"/>
          <w:szCs w:val="20"/>
          <w:lang w:val="es-ES"/>
        </w:rPr>
        <w:t xml:space="preserve"> El Consti</w:t>
      </w:r>
      <w:r w:rsidR="00D454E7" w:rsidRPr="00D454E7">
        <w:rPr>
          <w:rFonts w:ascii="Times New Roman" w:hAnsi="Times New Roman"/>
          <w:sz w:val="20"/>
          <w:szCs w:val="20"/>
          <w:lang w:val="es-ES"/>
        </w:rPr>
        <w:t>tucional recorta la aspiración ‘</w:t>
      </w:r>
      <w:r w:rsidRPr="00D454E7">
        <w:rPr>
          <w:rFonts w:ascii="Times New Roman" w:hAnsi="Times New Roman"/>
          <w:sz w:val="20"/>
          <w:szCs w:val="20"/>
          <w:lang w:val="es-ES"/>
        </w:rPr>
        <w:t>nacional</w:t>
      </w:r>
      <w:r w:rsidR="00D454E7" w:rsidRPr="00D454E7">
        <w:rPr>
          <w:rFonts w:ascii="Times New Roman" w:hAnsi="Times New Roman"/>
          <w:sz w:val="20"/>
          <w:szCs w:val="20"/>
          <w:lang w:val="es-ES"/>
        </w:rPr>
        <w:t>’</w:t>
      </w:r>
      <w:r w:rsidRPr="00D454E7">
        <w:rPr>
          <w:rFonts w:ascii="Times New Roman" w:hAnsi="Times New Roman"/>
          <w:sz w:val="20"/>
          <w:szCs w:val="20"/>
          <w:lang w:val="es-ES"/>
        </w:rPr>
        <w:t xml:space="preserve"> y lingüística de Cataluña</w:t>
      </w:r>
      <w:r w:rsidR="00D454E7" w:rsidRPr="00D454E7">
        <w:rPr>
          <w:rFonts w:ascii="Times New Roman" w:hAnsi="Times New Roman"/>
          <w:sz w:val="20"/>
          <w:szCs w:val="20"/>
          <w:lang w:val="es-ES"/>
        </w:rPr>
        <w:t xml:space="preserve">. </w:t>
      </w:r>
      <w:r w:rsidRPr="004C2AC6">
        <w:rPr>
          <w:rFonts w:ascii="Times New Roman" w:hAnsi="Times New Roman"/>
          <w:i/>
          <w:sz w:val="20"/>
          <w:szCs w:val="20"/>
          <w:lang w:val="en-US"/>
        </w:rPr>
        <w:t>El País</w:t>
      </w:r>
      <w:r w:rsidRPr="004C2AC6">
        <w:rPr>
          <w:rFonts w:ascii="Times New Roman" w:hAnsi="Times New Roman"/>
          <w:sz w:val="20"/>
          <w:szCs w:val="20"/>
          <w:lang w:val="en-US"/>
        </w:rPr>
        <w:t>, 10 July.</w:t>
      </w:r>
    </w:p>
    <w:p w14:paraId="677CEFAD" w14:textId="203478FC" w:rsidR="007E0D64" w:rsidRPr="0049719B" w:rsidRDefault="007E0D64" w:rsidP="00C45DE6">
      <w:pPr>
        <w:spacing w:after="0" w:line="240" w:lineRule="auto"/>
        <w:ind w:left="397" w:hanging="397"/>
        <w:jc w:val="both"/>
        <w:rPr>
          <w:rFonts w:ascii="Times New Roman" w:hAnsi="Times New Roman"/>
          <w:sz w:val="20"/>
          <w:szCs w:val="20"/>
        </w:rPr>
      </w:pPr>
      <w:r w:rsidRPr="004C2AC6">
        <w:rPr>
          <w:rFonts w:ascii="Times New Roman" w:hAnsi="Times New Roman"/>
          <w:sz w:val="20"/>
          <w:szCs w:val="20"/>
          <w:lang w:val="en-US"/>
        </w:rPr>
        <w:t>León, S</w:t>
      </w:r>
      <w:r w:rsidR="0049719B" w:rsidRPr="004C2AC6">
        <w:rPr>
          <w:rFonts w:ascii="Times New Roman" w:hAnsi="Times New Roman"/>
          <w:sz w:val="20"/>
          <w:szCs w:val="20"/>
          <w:lang w:val="en-US"/>
        </w:rPr>
        <w:t>andra, and Mónica</w:t>
      </w:r>
      <w:r w:rsidRPr="004C2AC6">
        <w:rPr>
          <w:rFonts w:ascii="Times New Roman" w:hAnsi="Times New Roman"/>
          <w:sz w:val="20"/>
          <w:szCs w:val="20"/>
          <w:lang w:val="en-US"/>
        </w:rPr>
        <w:t xml:space="preserve"> Ferrín Pereira. </w:t>
      </w:r>
      <w:r w:rsidRPr="0049719B">
        <w:rPr>
          <w:rFonts w:ascii="Times New Roman" w:hAnsi="Times New Roman"/>
          <w:sz w:val="20"/>
          <w:szCs w:val="20"/>
        </w:rPr>
        <w:t>2011</w:t>
      </w:r>
      <w:r w:rsidR="0049719B" w:rsidRPr="0049719B">
        <w:rPr>
          <w:rFonts w:ascii="Times New Roman" w:hAnsi="Times New Roman"/>
          <w:sz w:val="20"/>
          <w:szCs w:val="20"/>
        </w:rPr>
        <w:t>. Intergovernmental Cooperation in a Decentralised System: The Sectoral C</w:t>
      </w:r>
      <w:r w:rsidRPr="0049719B">
        <w:rPr>
          <w:rFonts w:ascii="Times New Roman" w:hAnsi="Times New Roman"/>
          <w:sz w:val="20"/>
          <w:szCs w:val="20"/>
        </w:rPr>
        <w:t>onferences in Spain</w:t>
      </w:r>
      <w:r w:rsidR="0049719B" w:rsidRPr="0049719B">
        <w:rPr>
          <w:rFonts w:ascii="Times New Roman" w:hAnsi="Times New Roman"/>
          <w:sz w:val="20"/>
          <w:szCs w:val="20"/>
        </w:rPr>
        <w:t>.</w:t>
      </w:r>
      <w:r w:rsidRPr="0049719B">
        <w:rPr>
          <w:rFonts w:ascii="Times New Roman" w:hAnsi="Times New Roman"/>
          <w:sz w:val="20"/>
          <w:szCs w:val="20"/>
        </w:rPr>
        <w:t xml:space="preserve"> </w:t>
      </w:r>
      <w:r w:rsidRPr="0049719B">
        <w:rPr>
          <w:rFonts w:ascii="Times New Roman" w:hAnsi="Times New Roman"/>
          <w:i/>
          <w:sz w:val="20"/>
          <w:szCs w:val="20"/>
        </w:rPr>
        <w:t>South European Society and Politics</w:t>
      </w:r>
      <w:r w:rsidR="0049719B" w:rsidRPr="0049719B">
        <w:rPr>
          <w:rFonts w:ascii="Times New Roman" w:hAnsi="Times New Roman"/>
          <w:i/>
          <w:sz w:val="20"/>
          <w:szCs w:val="20"/>
        </w:rPr>
        <w:t xml:space="preserve"> </w:t>
      </w:r>
      <w:r w:rsidR="0049719B" w:rsidRPr="0049719B">
        <w:rPr>
          <w:rFonts w:ascii="Times New Roman" w:hAnsi="Times New Roman"/>
          <w:sz w:val="20"/>
          <w:szCs w:val="20"/>
        </w:rPr>
        <w:t>16 (</w:t>
      </w:r>
      <w:r w:rsidRPr="0049719B">
        <w:rPr>
          <w:rFonts w:ascii="Times New Roman" w:hAnsi="Times New Roman"/>
          <w:sz w:val="20"/>
          <w:szCs w:val="20"/>
        </w:rPr>
        <w:t>4</w:t>
      </w:r>
      <w:r w:rsidR="0049719B" w:rsidRPr="0049719B">
        <w:rPr>
          <w:rFonts w:ascii="Times New Roman" w:hAnsi="Times New Roman"/>
          <w:sz w:val="20"/>
          <w:szCs w:val="20"/>
        </w:rPr>
        <w:t xml:space="preserve">): </w:t>
      </w:r>
      <w:r w:rsidRPr="0049719B">
        <w:rPr>
          <w:rFonts w:ascii="Times New Roman" w:hAnsi="Times New Roman"/>
          <w:sz w:val="20"/>
          <w:szCs w:val="20"/>
        </w:rPr>
        <w:t>513</w:t>
      </w:r>
      <w:r w:rsidR="0049719B" w:rsidRPr="0049719B">
        <w:rPr>
          <w:rFonts w:ascii="Times New Roman" w:hAnsi="Times New Roman"/>
          <w:sz w:val="20"/>
          <w:szCs w:val="20"/>
        </w:rPr>
        <w:t>–</w:t>
      </w:r>
      <w:r w:rsidRPr="0049719B">
        <w:rPr>
          <w:rFonts w:ascii="Times New Roman" w:hAnsi="Times New Roman"/>
          <w:sz w:val="20"/>
          <w:szCs w:val="20"/>
        </w:rPr>
        <w:t>532.</w:t>
      </w:r>
    </w:p>
    <w:p w14:paraId="3F03A48D" w14:textId="01884229" w:rsidR="007E0D64" w:rsidRPr="00325EFB" w:rsidRDefault="007E0D64" w:rsidP="00C45DE6">
      <w:pPr>
        <w:spacing w:after="0" w:line="240" w:lineRule="auto"/>
        <w:ind w:left="397" w:hanging="397"/>
        <w:jc w:val="both"/>
        <w:rPr>
          <w:rFonts w:ascii="Times New Roman" w:hAnsi="Times New Roman"/>
          <w:sz w:val="20"/>
          <w:szCs w:val="20"/>
          <w:lang w:val="es-ES"/>
        </w:rPr>
      </w:pPr>
      <w:r w:rsidRPr="0049719B">
        <w:rPr>
          <w:rFonts w:ascii="Times New Roman" w:hAnsi="Times New Roman"/>
          <w:sz w:val="20"/>
          <w:szCs w:val="20"/>
        </w:rPr>
        <w:t>Lindblom, C</w:t>
      </w:r>
      <w:r w:rsidR="0049719B" w:rsidRPr="0049719B">
        <w:rPr>
          <w:rFonts w:ascii="Times New Roman" w:hAnsi="Times New Roman"/>
          <w:sz w:val="20"/>
          <w:szCs w:val="20"/>
        </w:rPr>
        <w:t xml:space="preserve">harles </w:t>
      </w:r>
      <w:r w:rsidRPr="0049719B">
        <w:rPr>
          <w:rFonts w:ascii="Times New Roman" w:hAnsi="Times New Roman"/>
          <w:sz w:val="20"/>
          <w:szCs w:val="20"/>
        </w:rPr>
        <w:t>E. 1959</w:t>
      </w:r>
      <w:r w:rsidR="0049719B" w:rsidRPr="0049719B">
        <w:rPr>
          <w:rFonts w:ascii="Times New Roman" w:hAnsi="Times New Roman"/>
          <w:sz w:val="20"/>
          <w:szCs w:val="20"/>
        </w:rPr>
        <w:t>. The Science of Muddling Through.</w:t>
      </w:r>
      <w:r w:rsidRPr="0049719B">
        <w:rPr>
          <w:rFonts w:ascii="Times New Roman" w:hAnsi="Times New Roman"/>
          <w:sz w:val="20"/>
          <w:szCs w:val="20"/>
        </w:rPr>
        <w:t xml:space="preserve"> </w:t>
      </w:r>
      <w:r w:rsidRPr="00325EFB">
        <w:rPr>
          <w:rFonts w:ascii="Times New Roman" w:hAnsi="Times New Roman"/>
          <w:i/>
          <w:sz w:val="20"/>
          <w:szCs w:val="20"/>
          <w:lang w:val="es-ES"/>
        </w:rPr>
        <w:t>Public Administration Review</w:t>
      </w:r>
      <w:r w:rsidR="0049719B" w:rsidRPr="00325EFB">
        <w:rPr>
          <w:rFonts w:ascii="Times New Roman" w:hAnsi="Times New Roman"/>
          <w:i/>
          <w:sz w:val="20"/>
          <w:szCs w:val="20"/>
          <w:lang w:val="es-ES"/>
        </w:rPr>
        <w:t xml:space="preserve"> </w:t>
      </w:r>
      <w:r w:rsidRPr="00325EFB">
        <w:rPr>
          <w:rFonts w:ascii="Times New Roman" w:hAnsi="Times New Roman"/>
          <w:sz w:val="20"/>
          <w:szCs w:val="20"/>
          <w:lang w:val="es-ES"/>
        </w:rPr>
        <w:t>19</w:t>
      </w:r>
      <w:r w:rsidR="0049719B" w:rsidRPr="00325EFB">
        <w:rPr>
          <w:rFonts w:ascii="Times New Roman" w:hAnsi="Times New Roman"/>
          <w:sz w:val="20"/>
          <w:szCs w:val="20"/>
          <w:lang w:val="es-ES"/>
        </w:rPr>
        <w:t xml:space="preserve"> (</w:t>
      </w:r>
      <w:r w:rsidRPr="00325EFB">
        <w:rPr>
          <w:rFonts w:ascii="Times New Roman" w:hAnsi="Times New Roman"/>
          <w:sz w:val="20"/>
          <w:szCs w:val="20"/>
          <w:lang w:val="es-ES"/>
        </w:rPr>
        <w:t>2</w:t>
      </w:r>
      <w:r w:rsidR="0049719B" w:rsidRPr="00325EFB">
        <w:rPr>
          <w:rFonts w:ascii="Times New Roman" w:hAnsi="Times New Roman"/>
          <w:sz w:val="20"/>
          <w:szCs w:val="20"/>
          <w:lang w:val="es-ES"/>
        </w:rPr>
        <w:t xml:space="preserve">): </w:t>
      </w:r>
      <w:r w:rsidRPr="00325EFB">
        <w:rPr>
          <w:rFonts w:ascii="Times New Roman" w:hAnsi="Times New Roman"/>
          <w:sz w:val="20"/>
          <w:szCs w:val="20"/>
          <w:lang w:val="es-ES"/>
        </w:rPr>
        <w:t>79</w:t>
      </w:r>
      <w:r w:rsidR="0049719B" w:rsidRPr="00325EFB">
        <w:rPr>
          <w:rFonts w:ascii="Times New Roman" w:hAnsi="Times New Roman"/>
          <w:sz w:val="20"/>
          <w:szCs w:val="20"/>
          <w:lang w:val="es-ES"/>
        </w:rPr>
        <w:t>–</w:t>
      </w:r>
      <w:r w:rsidRPr="00325EFB">
        <w:rPr>
          <w:rFonts w:ascii="Times New Roman" w:hAnsi="Times New Roman"/>
          <w:sz w:val="20"/>
          <w:szCs w:val="20"/>
          <w:lang w:val="es-ES"/>
        </w:rPr>
        <w:t>88.</w:t>
      </w:r>
    </w:p>
    <w:p w14:paraId="09CC93DC" w14:textId="016C6CF4" w:rsidR="007E0D64" w:rsidRPr="0078713F" w:rsidRDefault="007E0D64" w:rsidP="00C45DE6">
      <w:pPr>
        <w:spacing w:after="0" w:line="240" w:lineRule="auto"/>
        <w:ind w:left="397" w:hanging="397"/>
        <w:jc w:val="both"/>
        <w:rPr>
          <w:rFonts w:ascii="Times New Roman" w:hAnsi="Times New Roman"/>
          <w:sz w:val="20"/>
          <w:szCs w:val="20"/>
        </w:rPr>
      </w:pPr>
      <w:r w:rsidRPr="00715910">
        <w:rPr>
          <w:rFonts w:ascii="Times New Roman" w:hAnsi="Times New Roman"/>
          <w:sz w:val="20"/>
          <w:szCs w:val="20"/>
          <w:lang w:val="es-ES"/>
        </w:rPr>
        <w:t>López Laborda, J</w:t>
      </w:r>
      <w:r w:rsidR="00715910" w:rsidRPr="00715910">
        <w:rPr>
          <w:rFonts w:ascii="Times New Roman" w:hAnsi="Times New Roman"/>
          <w:sz w:val="20"/>
          <w:szCs w:val="20"/>
          <w:lang w:val="es-ES"/>
        </w:rPr>
        <w:t>ulio</w:t>
      </w:r>
      <w:r w:rsidRPr="00715910">
        <w:rPr>
          <w:rFonts w:ascii="Times New Roman" w:hAnsi="Times New Roman"/>
          <w:sz w:val="20"/>
          <w:szCs w:val="20"/>
          <w:lang w:val="es-ES"/>
        </w:rPr>
        <w:t>, Ródrigo, F</w:t>
      </w:r>
      <w:r w:rsidR="00715910" w:rsidRPr="00715910">
        <w:rPr>
          <w:rFonts w:ascii="Times New Roman" w:hAnsi="Times New Roman"/>
          <w:sz w:val="20"/>
          <w:szCs w:val="20"/>
          <w:lang w:val="es-ES"/>
        </w:rPr>
        <w:t>ernando, and Eduardo Sanz Arcega</w:t>
      </w:r>
      <w:r w:rsidRPr="00715910">
        <w:rPr>
          <w:rFonts w:ascii="Times New Roman" w:hAnsi="Times New Roman"/>
          <w:sz w:val="20"/>
          <w:szCs w:val="20"/>
          <w:lang w:val="es-ES"/>
        </w:rPr>
        <w:t xml:space="preserve">. </w:t>
      </w:r>
      <w:r w:rsidR="00715910" w:rsidRPr="00715910">
        <w:rPr>
          <w:rFonts w:ascii="Times New Roman" w:hAnsi="Times New Roman"/>
          <w:sz w:val="20"/>
          <w:szCs w:val="20"/>
        </w:rPr>
        <w:t>2016. Is the Spanish C</w:t>
      </w:r>
      <w:r w:rsidRPr="00715910">
        <w:rPr>
          <w:rFonts w:ascii="Times New Roman" w:hAnsi="Times New Roman"/>
          <w:sz w:val="20"/>
          <w:szCs w:val="20"/>
        </w:rPr>
        <w:t>onstitutiona</w:t>
      </w:r>
      <w:r w:rsidR="00715910" w:rsidRPr="00715910">
        <w:rPr>
          <w:rFonts w:ascii="Times New Roman" w:hAnsi="Times New Roman"/>
          <w:sz w:val="20"/>
          <w:szCs w:val="20"/>
        </w:rPr>
        <w:t xml:space="preserve">l </w:t>
      </w:r>
      <w:r w:rsidR="00715910" w:rsidRPr="0078713F">
        <w:rPr>
          <w:rFonts w:ascii="Times New Roman" w:hAnsi="Times New Roman"/>
          <w:sz w:val="20"/>
          <w:szCs w:val="20"/>
        </w:rPr>
        <w:t>Court an Instrument of the Central Government against the Autonomous Communities?</w:t>
      </w:r>
      <w:r w:rsidRPr="0078713F">
        <w:rPr>
          <w:rFonts w:ascii="Times New Roman" w:hAnsi="Times New Roman"/>
          <w:sz w:val="20"/>
          <w:szCs w:val="20"/>
        </w:rPr>
        <w:t xml:space="preserve"> </w:t>
      </w:r>
      <w:r w:rsidRPr="0078713F">
        <w:rPr>
          <w:rFonts w:ascii="Times New Roman" w:hAnsi="Times New Roman"/>
          <w:i/>
          <w:sz w:val="20"/>
          <w:szCs w:val="20"/>
        </w:rPr>
        <w:t>Working Paper of the Munich Personal RePEc Archive</w:t>
      </w:r>
      <w:r w:rsidR="00715910" w:rsidRPr="0078713F">
        <w:rPr>
          <w:rFonts w:ascii="Times New Roman" w:hAnsi="Times New Roman"/>
          <w:sz w:val="20"/>
          <w:szCs w:val="20"/>
        </w:rPr>
        <w:t xml:space="preserve"> </w:t>
      </w:r>
      <w:r w:rsidRPr="0078713F">
        <w:rPr>
          <w:rFonts w:ascii="Times New Roman" w:hAnsi="Times New Roman"/>
          <w:sz w:val="20"/>
          <w:szCs w:val="20"/>
        </w:rPr>
        <w:t xml:space="preserve">72620. </w:t>
      </w:r>
    </w:p>
    <w:p w14:paraId="08512236" w14:textId="385ABEB9" w:rsidR="007E0D64" w:rsidRPr="004C2AC6" w:rsidRDefault="000C3D27" w:rsidP="00C45DE6">
      <w:pPr>
        <w:spacing w:after="0" w:line="240" w:lineRule="auto"/>
        <w:ind w:left="397" w:hanging="397"/>
        <w:jc w:val="both"/>
        <w:rPr>
          <w:rFonts w:ascii="Times New Roman" w:hAnsi="Times New Roman"/>
          <w:sz w:val="20"/>
          <w:szCs w:val="20"/>
          <w:lang w:val="en-US"/>
        </w:rPr>
      </w:pPr>
      <w:r w:rsidRPr="004C2AC6">
        <w:rPr>
          <w:rFonts w:ascii="Times New Roman" w:hAnsi="Times New Roman"/>
          <w:sz w:val="20"/>
          <w:szCs w:val="20"/>
          <w:lang w:val="en-US"/>
        </w:rPr>
        <w:t xml:space="preserve">LOTC. </w:t>
      </w:r>
      <w:r w:rsidR="007E0D64" w:rsidRPr="004C2AC6">
        <w:rPr>
          <w:rFonts w:ascii="Times New Roman" w:hAnsi="Times New Roman"/>
          <w:sz w:val="20"/>
          <w:szCs w:val="20"/>
          <w:lang w:val="en-US"/>
        </w:rPr>
        <w:t>1979</w:t>
      </w:r>
      <w:r w:rsidRPr="004C2AC6">
        <w:rPr>
          <w:rFonts w:ascii="Times New Roman" w:hAnsi="Times New Roman"/>
          <w:sz w:val="20"/>
          <w:szCs w:val="20"/>
          <w:lang w:val="en-US"/>
        </w:rPr>
        <w:t>.</w:t>
      </w:r>
      <w:r w:rsidR="007E0D64" w:rsidRPr="004C2AC6">
        <w:rPr>
          <w:rFonts w:ascii="Times New Roman" w:hAnsi="Times New Roman"/>
          <w:sz w:val="20"/>
          <w:szCs w:val="20"/>
          <w:lang w:val="en-US"/>
        </w:rPr>
        <w:t xml:space="preserve"> </w:t>
      </w:r>
      <w:r w:rsidR="007E0D64" w:rsidRPr="004C2AC6">
        <w:rPr>
          <w:rFonts w:ascii="Times New Roman" w:hAnsi="Times New Roman"/>
          <w:i/>
          <w:sz w:val="20"/>
          <w:szCs w:val="20"/>
          <w:lang w:val="en-US"/>
        </w:rPr>
        <w:t>Ley Orgánica del Tribunal Constitucional 2/1979</w:t>
      </w:r>
      <w:r w:rsidR="007E0D64" w:rsidRPr="004C2AC6">
        <w:rPr>
          <w:rFonts w:ascii="Times New Roman" w:hAnsi="Times New Roman"/>
          <w:sz w:val="20"/>
          <w:szCs w:val="20"/>
          <w:lang w:val="en-US"/>
        </w:rPr>
        <w:t>, 3 October.</w:t>
      </w:r>
    </w:p>
    <w:p w14:paraId="2B9A2971" w14:textId="440F5076" w:rsidR="007E0D64" w:rsidRPr="00715910" w:rsidRDefault="007E0D64" w:rsidP="00C45DE6">
      <w:pPr>
        <w:spacing w:after="0" w:line="240" w:lineRule="auto"/>
        <w:ind w:left="397" w:hanging="397"/>
        <w:jc w:val="both"/>
        <w:rPr>
          <w:rFonts w:ascii="Times New Roman" w:hAnsi="Times New Roman"/>
          <w:sz w:val="20"/>
          <w:szCs w:val="20"/>
          <w:highlight w:val="yellow"/>
          <w:lang w:val="en-US"/>
        </w:rPr>
      </w:pPr>
      <w:r w:rsidRPr="00D454E7">
        <w:rPr>
          <w:rFonts w:ascii="Times New Roman" w:hAnsi="Times New Roman"/>
          <w:sz w:val="20"/>
          <w:szCs w:val="20"/>
          <w:lang w:val="en-US"/>
        </w:rPr>
        <w:t>Maiol, R</w:t>
      </w:r>
      <w:r w:rsidR="00715910" w:rsidRPr="00D454E7">
        <w:rPr>
          <w:rFonts w:ascii="Times New Roman" w:hAnsi="Times New Roman"/>
          <w:sz w:val="20"/>
          <w:szCs w:val="20"/>
          <w:lang w:val="en-US"/>
        </w:rPr>
        <w:t xml:space="preserve">oger. </w:t>
      </w:r>
      <w:r w:rsidRPr="00D454E7">
        <w:rPr>
          <w:rFonts w:ascii="Times New Roman" w:hAnsi="Times New Roman"/>
          <w:sz w:val="20"/>
          <w:szCs w:val="20"/>
          <w:lang w:val="es-ES"/>
        </w:rPr>
        <w:t>2014</w:t>
      </w:r>
      <w:r w:rsidR="00715910" w:rsidRPr="00D454E7">
        <w:rPr>
          <w:rFonts w:ascii="Times New Roman" w:hAnsi="Times New Roman"/>
          <w:sz w:val="20"/>
          <w:szCs w:val="20"/>
          <w:lang w:val="es-ES"/>
        </w:rPr>
        <w:t>. El soberanismo ultima la Diada ‘</w:t>
      </w:r>
      <w:r w:rsidRPr="00D454E7">
        <w:rPr>
          <w:rFonts w:ascii="Times New Roman" w:hAnsi="Times New Roman"/>
          <w:sz w:val="20"/>
          <w:szCs w:val="20"/>
          <w:lang w:val="es-ES"/>
        </w:rPr>
        <w:t>definitiva</w:t>
      </w:r>
      <w:r w:rsidR="00715910" w:rsidRPr="00D454E7">
        <w:rPr>
          <w:rFonts w:ascii="Times New Roman" w:hAnsi="Times New Roman"/>
          <w:sz w:val="20"/>
          <w:szCs w:val="20"/>
          <w:lang w:val="es-ES"/>
        </w:rPr>
        <w:t>’.</w:t>
      </w:r>
      <w:r w:rsidRPr="00D454E7">
        <w:rPr>
          <w:rFonts w:ascii="Times New Roman" w:hAnsi="Times New Roman"/>
          <w:sz w:val="20"/>
          <w:szCs w:val="20"/>
          <w:lang w:val="es-ES"/>
        </w:rPr>
        <w:t xml:space="preserve"> </w:t>
      </w:r>
      <w:r w:rsidRPr="00D454E7">
        <w:rPr>
          <w:rFonts w:ascii="Times New Roman" w:hAnsi="Times New Roman"/>
          <w:i/>
          <w:sz w:val="20"/>
          <w:szCs w:val="20"/>
          <w:lang w:val="en-US"/>
        </w:rPr>
        <w:t>El País</w:t>
      </w:r>
      <w:r w:rsidRPr="00D454E7">
        <w:rPr>
          <w:rFonts w:ascii="Times New Roman" w:hAnsi="Times New Roman"/>
          <w:sz w:val="20"/>
          <w:szCs w:val="20"/>
          <w:lang w:val="en-US"/>
        </w:rPr>
        <w:t>, 7 September.</w:t>
      </w:r>
    </w:p>
    <w:p w14:paraId="543493E4" w14:textId="5B5A5B51" w:rsidR="007E0D64" w:rsidRPr="00197106" w:rsidRDefault="007E0D64" w:rsidP="00C45DE6">
      <w:pPr>
        <w:spacing w:after="0" w:line="240" w:lineRule="auto"/>
        <w:ind w:left="397" w:hanging="397"/>
        <w:jc w:val="both"/>
        <w:rPr>
          <w:rFonts w:ascii="Times New Roman" w:hAnsi="Times New Roman"/>
          <w:sz w:val="20"/>
          <w:szCs w:val="20"/>
          <w:lang w:val="es-ES"/>
        </w:rPr>
      </w:pPr>
      <w:r w:rsidRPr="00197106">
        <w:rPr>
          <w:rFonts w:ascii="Times New Roman" w:hAnsi="Times New Roman"/>
          <w:sz w:val="20"/>
          <w:szCs w:val="20"/>
        </w:rPr>
        <w:t>Majone, G</w:t>
      </w:r>
      <w:r w:rsidR="00715910" w:rsidRPr="00197106">
        <w:rPr>
          <w:rFonts w:ascii="Times New Roman" w:hAnsi="Times New Roman"/>
          <w:sz w:val="20"/>
          <w:szCs w:val="20"/>
        </w:rPr>
        <w:t xml:space="preserve">iandomenico. </w:t>
      </w:r>
      <w:r w:rsidRPr="00197106">
        <w:rPr>
          <w:rFonts w:ascii="Times New Roman" w:hAnsi="Times New Roman"/>
          <w:sz w:val="20"/>
          <w:szCs w:val="20"/>
        </w:rPr>
        <w:t>2001</w:t>
      </w:r>
      <w:r w:rsidR="00715910" w:rsidRPr="00197106">
        <w:rPr>
          <w:rFonts w:ascii="Times New Roman" w:hAnsi="Times New Roman"/>
          <w:sz w:val="20"/>
          <w:szCs w:val="20"/>
        </w:rPr>
        <w:t>. Two Logics of Delegation: Agency and Fiduciary Relations in EU Governance.</w:t>
      </w:r>
      <w:r w:rsidRPr="00197106">
        <w:rPr>
          <w:rFonts w:ascii="Times New Roman" w:hAnsi="Times New Roman"/>
          <w:i/>
          <w:sz w:val="20"/>
          <w:szCs w:val="20"/>
        </w:rPr>
        <w:t xml:space="preserve"> </w:t>
      </w:r>
      <w:r w:rsidRPr="00197106">
        <w:rPr>
          <w:rFonts w:ascii="Times New Roman" w:hAnsi="Times New Roman"/>
          <w:i/>
          <w:sz w:val="20"/>
          <w:szCs w:val="20"/>
          <w:lang w:val="es-ES"/>
        </w:rPr>
        <w:t>European Union Politics</w:t>
      </w:r>
      <w:r w:rsidR="00715910" w:rsidRPr="00197106">
        <w:rPr>
          <w:rFonts w:ascii="Times New Roman" w:hAnsi="Times New Roman"/>
          <w:sz w:val="20"/>
          <w:szCs w:val="20"/>
          <w:lang w:val="es-ES"/>
        </w:rPr>
        <w:t xml:space="preserve"> </w:t>
      </w:r>
      <w:r w:rsidRPr="00197106">
        <w:rPr>
          <w:rFonts w:ascii="Times New Roman" w:hAnsi="Times New Roman"/>
          <w:sz w:val="20"/>
          <w:szCs w:val="20"/>
          <w:lang w:val="es-ES"/>
        </w:rPr>
        <w:t>2</w:t>
      </w:r>
      <w:r w:rsidR="00715910" w:rsidRPr="00197106">
        <w:rPr>
          <w:rFonts w:ascii="Times New Roman" w:hAnsi="Times New Roman"/>
          <w:sz w:val="20"/>
          <w:szCs w:val="20"/>
          <w:lang w:val="es-ES"/>
        </w:rPr>
        <w:t xml:space="preserve"> (</w:t>
      </w:r>
      <w:r w:rsidRPr="00197106">
        <w:rPr>
          <w:rFonts w:ascii="Times New Roman" w:hAnsi="Times New Roman"/>
          <w:sz w:val="20"/>
          <w:szCs w:val="20"/>
          <w:lang w:val="es-ES"/>
        </w:rPr>
        <w:t>1</w:t>
      </w:r>
      <w:r w:rsidR="00715910" w:rsidRPr="00197106">
        <w:rPr>
          <w:rFonts w:ascii="Times New Roman" w:hAnsi="Times New Roman"/>
          <w:sz w:val="20"/>
          <w:szCs w:val="20"/>
          <w:lang w:val="es-ES"/>
        </w:rPr>
        <w:t xml:space="preserve">): </w:t>
      </w:r>
      <w:r w:rsidRPr="00197106">
        <w:rPr>
          <w:rFonts w:ascii="Times New Roman" w:hAnsi="Times New Roman"/>
          <w:sz w:val="20"/>
          <w:szCs w:val="20"/>
          <w:lang w:val="es-ES"/>
        </w:rPr>
        <w:t>103</w:t>
      </w:r>
      <w:r w:rsidR="00715910" w:rsidRPr="00197106">
        <w:rPr>
          <w:rFonts w:ascii="Times New Roman" w:hAnsi="Times New Roman"/>
          <w:sz w:val="20"/>
          <w:szCs w:val="20"/>
          <w:lang w:val="es-ES"/>
        </w:rPr>
        <w:t>–1</w:t>
      </w:r>
      <w:r w:rsidRPr="00197106">
        <w:rPr>
          <w:rFonts w:ascii="Times New Roman" w:hAnsi="Times New Roman"/>
          <w:sz w:val="20"/>
          <w:szCs w:val="20"/>
          <w:lang w:val="es-ES"/>
        </w:rPr>
        <w:t>22.</w:t>
      </w:r>
    </w:p>
    <w:p w14:paraId="001A6261" w14:textId="78B3165F" w:rsidR="007E0D64" w:rsidRPr="00325EFB" w:rsidRDefault="007E0D64" w:rsidP="00C45DE6">
      <w:pPr>
        <w:spacing w:after="0" w:line="240" w:lineRule="auto"/>
        <w:ind w:left="397" w:hanging="397"/>
        <w:jc w:val="both"/>
        <w:rPr>
          <w:rFonts w:ascii="Times New Roman" w:hAnsi="Times New Roman"/>
          <w:sz w:val="20"/>
          <w:szCs w:val="20"/>
          <w:lang w:val="en-US"/>
        </w:rPr>
      </w:pPr>
      <w:r w:rsidRPr="00197106">
        <w:rPr>
          <w:rFonts w:ascii="Times New Roman" w:hAnsi="Times New Roman"/>
          <w:sz w:val="20"/>
          <w:szCs w:val="20"/>
          <w:lang w:val="es-ES"/>
        </w:rPr>
        <w:t>Matia Portilla, F</w:t>
      </w:r>
      <w:r w:rsidR="00197106" w:rsidRPr="00197106">
        <w:rPr>
          <w:rFonts w:ascii="Times New Roman" w:hAnsi="Times New Roman"/>
          <w:sz w:val="20"/>
          <w:szCs w:val="20"/>
          <w:lang w:val="es-ES"/>
        </w:rPr>
        <w:t xml:space="preserve">rancisco </w:t>
      </w:r>
      <w:r w:rsidRPr="00197106">
        <w:rPr>
          <w:rFonts w:ascii="Times New Roman" w:hAnsi="Times New Roman"/>
          <w:sz w:val="20"/>
          <w:szCs w:val="20"/>
          <w:lang w:val="es-ES"/>
        </w:rPr>
        <w:t>J</w:t>
      </w:r>
      <w:r w:rsidR="00197106" w:rsidRPr="00197106">
        <w:rPr>
          <w:rFonts w:ascii="Times New Roman" w:hAnsi="Times New Roman"/>
          <w:sz w:val="20"/>
          <w:szCs w:val="20"/>
          <w:lang w:val="es-ES"/>
        </w:rPr>
        <w:t xml:space="preserve">avier. </w:t>
      </w:r>
      <w:r w:rsidRPr="00197106">
        <w:rPr>
          <w:rFonts w:ascii="Times New Roman" w:hAnsi="Times New Roman"/>
          <w:sz w:val="20"/>
          <w:szCs w:val="20"/>
          <w:lang w:val="es-ES"/>
        </w:rPr>
        <w:t>2014</w:t>
      </w:r>
      <w:r w:rsidR="00197106" w:rsidRPr="00197106">
        <w:rPr>
          <w:rFonts w:ascii="Times New Roman" w:hAnsi="Times New Roman"/>
          <w:sz w:val="20"/>
          <w:szCs w:val="20"/>
          <w:lang w:val="es-ES"/>
        </w:rPr>
        <w:t xml:space="preserve">. </w:t>
      </w:r>
      <w:r w:rsidRPr="00197106">
        <w:rPr>
          <w:rFonts w:ascii="Times New Roman" w:hAnsi="Times New Roman"/>
          <w:sz w:val="20"/>
          <w:szCs w:val="20"/>
          <w:lang w:val="es-ES"/>
        </w:rPr>
        <w:t>Sobre la adscripción partidaria de los magistrados del Tribunal Constitucional y su invocación el proceso</w:t>
      </w:r>
      <w:r w:rsidR="00197106" w:rsidRPr="00197106">
        <w:rPr>
          <w:rFonts w:ascii="Times New Roman" w:hAnsi="Times New Roman"/>
          <w:sz w:val="20"/>
          <w:szCs w:val="20"/>
          <w:lang w:val="es-ES"/>
        </w:rPr>
        <w:t>.</w:t>
      </w:r>
      <w:r w:rsidRPr="00197106">
        <w:rPr>
          <w:rFonts w:ascii="Times New Roman" w:hAnsi="Times New Roman"/>
          <w:sz w:val="20"/>
          <w:szCs w:val="20"/>
          <w:lang w:val="es-ES"/>
        </w:rPr>
        <w:t xml:space="preserve"> </w:t>
      </w:r>
      <w:r w:rsidRPr="00325EFB">
        <w:rPr>
          <w:rFonts w:ascii="Times New Roman" w:hAnsi="Times New Roman"/>
          <w:i/>
          <w:sz w:val="20"/>
          <w:szCs w:val="20"/>
          <w:lang w:val="en-US"/>
        </w:rPr>
        <w:t>Teoría y Realidad Constitucional</w:t>
      </w:r>
      <w:r w:rsidRPr="00325EFB">
        <w:rPr>
          <w:rFonts w:ascii="Times New Roman" w:hAnsi="Times New Roman"/>
          <w:sz w:val="20"/>
          <w:szCs w:val="20"/>
          <w:lang w:val="en-US"/>
        </w:rPr>
        <w:t xml:space="preserve"> 34</w:t>
      </w:r>
      <w:r w:rsidR="00197106" w:rsidRPr="00325EFB">
        <w:rPr>
          <w:rFonts w:ascii="Times New Roman" w:hAnsi="Times New Roman"/>
          <w:sz w:val="20"/>
          <w:szCs w:val="20"/>
          <w:lang w:val="en-US"/>
        </w:rPr>
        <w:t xml:space="preserve">: </w:t>
      </w:r>
      <w:r w:rsidRPr="00325EFB">
        <w:rPr>
          <w:rFonts w:ascii="Times New Roman" w:hAnsi="Times New Roman"/>
          <w:sz w:val="20"/>
          <w:szCs w:val="20"/>
          <w:lang w:val="en-US"/>
        </w:rPr>
        <w:t>235</w:t>
      </w:r>
      <w:r w:rsidR="00197106" w:rsidRPr="00325EFB">
        <w:rPr>
          <w:rFonts w:ascii="Times New Roman" w:hAnsi="Times New Roman"/>
          <w:sz w:val="20"/>
          <w:szCs w:val="20"/>
          <w:lang w:val="en-US"/>
        </w:rPr>
        <w:t>–</w:t>
      </w:r>
      <w:r w:rsidRPr="00325EFB">
        <w:rPr>
          <w:rFonts w:ascii="Times New Roman" w:hAnsi="Times New Roman"/>
          <w:sz w:val="20"/>
          <w:szCs w:val="20"/>
          <w:lang w:val="en-US"/>
        </w:rPr>
        <w:t>268.</w:t>
      </w:r>
    </w:p>
    <w:p w14:paraId="0F3CE0D5" w14:textId="2241F63E" w:rsidR="007E0D64" w:rsidRPr="00197106" w:rsidRDefault="00197106" w:rsidP="00C45DE6">
      <w:pPr>
        <w:spacing w:after="0" w:line="240" w:lineRule="auto"/>
        <w:ind w:left="397" w:hanging="397"/>
        <w:jc w:val="both"/>
        <w:rPr>
          <w:rFonts w:ascii="Times New Roman" w:hAnsi="Times New Roman"/>
          <w:sz w:val="20"/>
          <w:szCs w:val="20"/>
          <w:lang w:val="es-ES"/>
        </w:rPr>
      </w:pPr>
      <w:r w:rsidRPr="00197106">
        <w:rPr>
          <w:rFonts w:ascii="Times New Roman" w:hAnsi="Times New Roman"/>
          <w:sz w:val="20"/>
          <w:szCs w:val="20"/>
          <w:lang w:val="en-US"/>
        </w:rPr>
        <w:t xml:space="preserve">Miley, Thomas </w:t>
      </w:r>
      <w:r w:rsidR="007E0D64" w:rsidRPr="00197106">
        <w:rPr>
          <w:rFonts w:ascii="Times New Roman" w:hAnsi="Times New Roman"/>
          <w:sz w:val="20"/>
          <w:szCs w:val="20"/>
          <w:lang w:val="en-US"/>
        </w:rPr>
        <w:t>J.</w:t>
      </w:r>
      <w:r w:rsidRPr="00197106">
        <w:rPr>
          <w:rFonts w:ascii="Times New Roman" w:hAnsi="Times New Roman"/>
          <w:sz w:val="20"/>
          <w:szCs w:val="20"/>
          <w:lang w:val="en-US"/>
        </w:rPr>
        <w:t xml:space="preserve"> </w:t>
      </w:r>
      <w:r w:rsidR="007E0D64" w:rsidRPr="00197106">
        <w:rPr>
          <w:rFonts w:ascii="Times New Roman" w:hAnsi="Times New Roman"/>
          <w:sz w:val="20"/>
          <w:szCs w:val="20"/>
          <w:lang w:val="en-US"/>
        </w:rPr>
        <w:t>2008</w:t>
      </w:r>
      <w:r w:rsidRPr="00197106">
        <w:rPr>
          <w:rFonts w:ascii="Times New Roman" w:hAnsi="Times New Roman"/>
          <w:sz w:val="20"/>
          <w:szCs w:val="20"/>
          <w:lang w:val="en-US"/>
        </w:rPr>
        <w:t>. Recusal and the Question of Judicial I</w:t>
      </w:r>
      <w:r w:rsidR="007E0D64" w:rsidRPr="00197106">
        <w:rPr>
          <w:rFonts w:ascii="Times New Roman" w:hAnsi="Times New Roman"/>
          <w:sz w:val="20"/>
          <w:szCs w:val="20"/>
          <w:lang w:val="en-US"/>
        </w:rPr>
        <w:t>ndependence: Reflections on th</w:t>
      </w:r>
      <w:r w:rsidRPr="00197106">
        <w:rPr>
          <w:rFonts w:ascii="Times New Roman" w:hAnsi="Times New Roman"/>
          <w:sz w:val="20"/>
          <w:szCs w:val="20"/>
          <w:lang w:val="en-US"/>
        </w:rPr>
        <w:t>e Current Spanish Controversy in Comparative and Theoretical P</w:t>
      </w:r>
      <w:r w:rsidR="007E0D64" w:rsidRPr="00197106">
        <w:rPr>
          <w:rFonts w:ascii="Times New Roman" w:hAnsi="Times New Roman"/>
          <w:sz w:val="20"/>
          <w:szCs w:val="20"/>
          <w:lang w:val="en-US"/>
        </w:rPr>
        <w:t>erspective</w:t>
      </w:r>
      <w:r w:rsidRPr="00197106">
        <w:rPr>
          <w:rFonts w:ascii="Times New Roman" w:hAnsi="Times New Roman"/>
          <w:sz w:val="20"/>
          <w:szCs w:val="20"/>
          <w:lang w:val="en-US"/>
        </w:rPr>
        <w:t xml:space="preserve">. </w:t>
      </w:r>
      <w:r w:rsidR="007E0D64" w:rsidRPr="00197106">
        <w:rPr>
          <w:rFonts w:ascii="Times New Roman" w:hAnsi="Times New Roman"/>
          <w:i/>
          <w:sz w:val="20"/>
          <w:szCs w:val="20"/>
          <w:lang w:val="es-ES"/>
        </w:rPr>
        <w:t xml:space="preserve">Working Paper of the Centro de Estudios Políticos y Constitucionales, </w:t>
      </w:r>
      <w:r w:rsidR="007E0D64" w:rsidRPr="00197106">
        <w:rPr>
          <w:rFonts w:ascii="Times New Roman" w:hAnsi="Times New Roman"/>
          <w:sz w:val="20"/>
          <w:szCs w:val="20"/>
          <w:lang w:val="es-ES"/>
        </w:rPr>
        <w:t xml:space="preserve">2.  </w:t>
      </w:r>
    </w:p>
    <w:p w14:paraId="2D8A0AB2" w14:textId="095134D2" w:rsidR="007E0D64" w:rsidRPr="00A43321" w:rsidRDefault="000C3D27" w:rsidP="00C45DE6">
      <w:pPr>
        <w:spacing w:after="0" w:line="240" w:lineRule="auto"/>
        <w:ind w:left="397" w:hanging="397"/>
        <w:jc w:val="both"/>
        <w:rPr>
          <w:rFonts w:ascii="Times New Roman" w:hAnsi="Times New Roman"/>
          <w:sz w:val="20"/>
          <w:szCs w:val="20"/>
          <w:lang w:val="en-US"/>
        </w:rPr>
      </w:pPr>
      <w:r w:rsidRPr="000C3D27">
        <w:rPr>
          <w:rFonts w:ascii="Times New Roman" w:hAnsi="Times New Roman"/>
          <w:sz w:val="20"/>
          <w:szCs w:val="20"/>
          <w:lang w:val="es-ES"/>
        </w:rPr>
        <w:t xml:space="preserve">MINHAP. </w:t>
      </w:r>
      <w:r w:rsidR="007E0D64" w:rsidRPr="000C3D27">
        <w:rPr>
          <w:rFonts w:ascii="Times New Roman" w:hAnsi="Times New Roman"/>
          <w:sz w:val="20"/>
          <w:szCs w:val="20"/>
          <w:lang w:val="es-ES"/>
        </w:rPr>
        <w:t>2015</w:t>
      </w:r>
      <w:r w:rsidRPr="000C3D27">
        <w:rPr>
          <w:rFonts w:ascii="Times New Roman" w:hAnsi="Times New Roman"/>
          <w:sz w:val="20"/>
          <w:szCs w:val="20"/>
          <w:lang w:val="es-ES"/>
        </w:rPr>
        <w:t>.</w:t>
      </w:r>
      <w:r w:rsidR="007E0D64" w:rsidRPr="000C3D27">
        <w:rPr>
          <w:rFonts w:ascii="Times New Roman" w:hAnsi="Times New Roman"/>
          <w:sz w:val="20"/>
          <w:szCs w:val="20"/>
          <w:lang w:val="es-ES"/>
        </w:rPr>
        <w:t xml:space="preserve"> </w:t>
      </w:r>
      <w:r w:rsidR="00B56567" w:rsidRPr="000C3D27">
        <w:rPr>
          <w:rFonts w:ascii="Times New Roman" w:hAnsi="Times New Roman"/>
          <w:i/>
          <w:sz w:val="20"/>
          <w:szCs w:val="20"/>
          <w:lang w:val="es-ES"/>
        </w:rPr>
        <w:t>Conflictividad entre el Estado y las comunidades autónomas – cuarto trimestre 2015</w:t>
      </w:r>
      <w:r w:rsidRPr="000C3D27">
        <w:rPr>
          <w:rFonts w:ascii="Times New Roman" w:hAnsi="Times New Roman"/>
          <w:sz w:val="20"/>
          <w:szCs w:val="20"/>
          <w:lang w:val="es-ES"/>
        </w:rPr>
        <w:t xml:space="preserve">. </w:t>
      </w:r>
      <w:r w:rsidRPr="00A43321">
        <w:rPr>
          <w:rFonts w:ascii="Times New Roman" w:hAnsi="Times New Roman"/>
          <w:sz w:val="20"/>
          <w:szCs w:val="20"/>
          <w:lang w:val="en-US"/>
        </w:rPr>
        <w:t>Madrid:</w:t>
      </w:r>
      <w:r w:rsidR="00B56567" w:rsidRPr="00A43321">
        <w:rPr>
          <w:rFonts w:ascii="Times New Roman" w:hAnsi="Times New Roman"/>
          <w:sz w:val="20"/>
          <w:szCs w:val="20"/>
          <w:lang w:val="en-US"/>
        </w:rPr>
        <w:t xml:space="preserve"> MINHAP</w:t>
      </w:r>
      <w:r w:rsidRPr="00A43321">
        <w:rPr>
          <w:rFonts w:ascii="Times New Roman" w:hAnsi="Times New Roman"/>
          <w:sz w:val="20"/>
          <w:szCs w:val="20"/>
          <w:lang w:val="en-US"/>
        </w:rPr>
        <w:t>.</w:t>
      </w:r>
      <w:r w:rsidR="00B56567" w:rsidRPr="00A43321">
        <w:rPr>
          <w:rFonts w:ascii="Times New Roman" w:hAnsi="Times New Roman"/>
          <w:sz w:val="20"/>
          <w:szCs w:val="20"/>
          <w:lang w:val="en-US"/>
        </w:rPr>
        <w:t xml:space="preserve"> </w:t>
      </w:r>
    </w:p>
    <w:p w14:paraId="23C9232B" w14:textId="241DDB1A" w:rsidR="007E0D64" w:rsidRPr="005D2109" w:rsidRDefault="00A43321" w:rsidP="00C45DE6">
      <w:pPr>
        <w:spacing w:after="0" w:line="240" w:lineRule="auto"/>
        <w:ind w:left="397" w:hanging="397"/>
        <w:jc w:val="both"/>
        <w:rPr>
          <w:rFonts w:ascii="Times New Roman" w:hAnsi="Times New Roman"/>
          <w:sz w:val="20"/>
          <w:szCs w:val="20"/>
          <w:highlight w:val="red"/>
        </w:rPr>
      </w:pPr>
      <w:r w:rsidRPr="00A43321">
        <w:rPr>
          <w:rFonts w:ascii="Times New Roman" w:hAnsi="Times New Roman"/>
          <w:sz w:val="20"/>
          <w:szCs w:val="20"/>
          <w:lang w:val="en-US"/>
        </w:rPr>
        <w:t>Colino, César. 2009. Constitutional Change Without Constitutional Reform: Spanish Federalism and the Revision of Catalonia</w:t>
      </w:r>
      <w:r>
        <w:rPr>
          <w:rFonts w:ascii="Times New Roman" w:hAnsi="Times New Roman"/>
          <w:sz w:val="20"/>
          <w:szCs w:val="20"/>
          <w:lang w:val="en-US"/>
        </w:rPr>
        <w:t>’</w:t>
      </w:r>
      <w:r w:rsidRPr="00A43321">
        <w:rPr>
          <w:rFonts w:ascii="Times New Roman" w:hAnsi="Times New Roman"/>
          <w:sz w:val="20"/>
          <w:szCs w:val="20"/>
          <w:lang w:val="en-US"/>
        </w:rPr>
        <w:t>s Statute of Autonomy</w:t>
      </w:r>
      <w:r>
        <w:rPr>
          <w:rFonts w:ascii="Times New Roman" w:hAnsi="Times New Roman"/>
          <w:sz w:val="20"/>
          <w:szCs w:val="20"/>
          <w:lang w:val="en-US"/>
        </w:rPr>
        <w:t xml:space="preserve">. </w:t>
      </w:r>
      <w:r w:rsidR="007F27D2" w:rsidRPr="004C2AC6">
        <w:rPr>
          <w:rFonts w:ascii="Times New Roman" w:hAnsi="Times New Roman"/>
          <w:i/>
          <w:sz w:val="20"/>
          <w:szCs w:val="20"/>
          <w:lang w:val="en-US"/>
        </w:rPr>
        <w:t>Publius: The Journal of Federalism</w:t>
      </w:r>
      <w:r w:rsidRPr="00A43321">
        <w:rPr>
          <w:rFonts w:ascii="Times New Roman" w:hAnsi="Times New Roman"/>
          <w:sz w:val="20"/>
          <w:szCs w:val="20"/>
          <w:lang w:val="en-US"/>
        </w:rPr>
        <w:t xml:space="preserve"> 39 (2): 262</w:t>
      </w:r>
      <w:r>
        <w:rPr>
          <w:rFonts w:ascii="Times New Roman" w:hAnsi="Times New Roman"/>
          <w:sz w:val="20"/>
          <w:szCs w:val="20"/>
          <w:lang w:val="en-US"/>
        </w:rPr>
        <w:t>–</w:t>
      </w:r>
      <w:r w:rsidRPr="00A43321">
        <w:rPr>
          <w:rFonts w:ascii="Times New Roman" w:hAnsi="Times New Roman"/>
          <w:sz w:val="20"/>
          <w:szCs w:val="20"/>
          <w:lang w:val="en-US"/>
        </w:rPr>
        <w:t>288.</w:t>
      </w:r>
      <w:r>
        <w:rPr>
          <w:rFonts w:ascii="Times New Roman" w:hAnsi="Times New Roman"/>
          <w:sz w:val="20"/>
          <w:szCs w:val="20"/>
          <w:highlight w:val="red"/>
          <w:lang w:val="en-US"/>
        </w:rPr>
        <w:t xml:space="preserve"> </w:t>
      </w:r>
    </w:p>
    <w:p w14:paraId="7656DFC4" w14:textId="1E77DB6E" w:rsidR="007E0D64" w:rsidRPr="005D2109" w:rsidRDefault="007E0D64" w:rsidP="00C45DE6">
      <w:pPr>
        <w:spacing w:after="0" w:line="240" w:lineRule="auto"/>
        <w:ind w:left="397" w:hanging="397"/>
        <w:jc w:val="both"/>
        <w:rPr>
          <w:rFonts w:ascii="Times New Roman" w:hAnsi="Times New Roman"/>
          <w:sz w:val="20"/>
          <w:szCs w:val="20"/>
          <w:lang w:val="es-ES"/>
        </w:rPr>
      </w:pPr>
      <w:r w:rsidRPr="004C2AC6">
        <w:rPr>
          <w:rFonts w:ascii="Times New Roman" w:hAnsi="Times New Roman"/>
          <w:sz w:val="20"/>
          <w:szCs w:val="20"/>
          <w:lang w:val="en-US"/>
        </w:rPr>
        <w:t>Rodríguez, E</w:t>
      </w:r>
      <w:r w:rsidR="005D2109" w:rsidRPr="004C2AC6">
        <w:rPr>
          <w:rFonts w:ascii="Times New Roman" w:hAnsi="Times New Roman"/>
          <w:sz w:val="20"/>
          <w:szCs w:val="20"/>
          <w:lang w:val="en-US"/>
        </w:rPr>
        <w:t>milio</w:t>
      </w:r>
      <w:r w:rsidRPr="004C2AC6">
        <w:rPr>
          <w:rFonts w:ascii="Times New Roman" w:hAnsi="Times New Roman"/>
          <w:sz w:val="20"/>
          <w:szCs w:val="20"/>
          <w:lang w:val="en-US"/>
        </w:rPr>
        <w:t>, Harguindéguy, J</w:t>
      </w:r>
      <w:r w:rsidR="005D2109" w:rsidRPr="004C2AC6">
        <w:rPr>
          <w:rFonts w:ascii="Times New Roman" w:hAnsi="Times New Roman"/>
          <w:sz w:val="20"/>
          <w:szCs w:val="20"/>
          <w:lang w:val="en-US"/>
        </w:rPr>
        <w:t xml:space="preserve">ean-Baptiste, and Almudena </w:t>
      </w:r>
      <w:r w:rsidRPr="004C2AC6">
        <w:rPr>
          <w:rFonts w:ascii="Times New Roman" w:hAnsi="Times New Roman"/>
          <w:sz w:val="20"/>
          <w:szCs w:val="20"/>
          <w:lang w:val="en-US"/>
        </w:rPr>
        <w:t xml:space="preserve">Sánchez. </w:t>
      </w:r>
      <w:r w:rsidRPr="005D2109">
        <w:rPr>
          <w:rFonts w:ascii="Times New Roman" w:hAnsi="Times New Roman"/>
          <w:sz w:val="20"/>
          <w:szCs w:val="20"/>
          <w:lang w:val="es-ES"/>
        </w:rPr>
        <w:t>2017</w:t>
      </w:r>
      <w:r w:rsidR="005D2109" w:rsidRPr="005D2109">
        <w:rPr>
          <w:rFonts w:ascii="Times New Roman" w:hAnsi="Times New Roman"/>
          <w:sz w:val="20"/>
          <w:szCs w:val="20"/>
          <w:lang w:val="es-ES"/>
        </w:rPr>
        <w:t xml:space="preserve">. </w:t>
      </w:r>
      <w:r w:rsidRPr="005D2109">
        <w:rPr>
          <w:rFonts w:ascii="Times New Roman" w:hAnsi="Times New Roman"/>
          <w:sz w:val="20"/>
          <w:szCs w:val="20"/>
          <w:lang w:val="es-ES"/>
        </w:rPr>
        <w:t>Los conflictos intergubername</w:t>
      </w:r>
      <w:r w:rsidR="005D2109" w:rsidRPr="005D2109">
        <w:rPr>
          <w:rFonts w:ascii="Times New Roman" w:hAnsi="Times New Roman"/>
          <w:sz w:val="20"/>
          <w:szCs w:val="20"/>
          <w:lang w:val="es-ES"/>
        </w:rPr>
        <w:t>ntales entre España y Cataluña.</w:t>
      </w:r>
      <w:r w:rsidRPr="005D2109">
        <w:rPr>
          <w:rFonts w:ascii="Times New Roman" w:hAnsi="Times New Roman"/>
          <w:sz w:val="20"/>
          <w:szCs w:val="20"/>
          <w:lang w:val="es-ES"/>
        </w:rPr>
        <w:t xml:space="preserve"> </w:t>
      </w:r>
      <w:r w:rsidRPr="005D2109">
        <w:rPr>
          <w:rFonts w:ascii="Times New Roman" w:hAnsi="Times New Roman"/>
          <w:i/>
          <w:sz w:val="20"/>
          <w:szCs w:val="20"/>
          <w:lang w:val="es-ES"/>
        </w:rPr>
        <w:t>Revista Española de Investigaciones Sociológicas</w:t>
      </w:r>
      <w:r w:rsidR="005D2109" w:rsidRPr="005D2109">
        <w:rPr>
          <w:rFonts w:ascii="Times New Roman" w:hAnsi="Times New Roman"/>
          <w:sz w:val="20"/>
          <w:szCs w:val="20"/>
          <w:lang w:val="es-ES"/>
        </w:rPr>
        <w:t>.</w:t>
      </w:r>
      <w:r w:rsidRPr="005D2109">
        <w:rPr>
          <w:rFonts w:ascii="Times New Roman" w:hAnsi="Times New Roman"/>
          <w:sz w:val="20"/>
          <w:szCs w:val="20"/>
          <w:lang w:val="es-ES"/>
        </w:rPr>
        <w:t xml:space="preserve"> forthcoming.</w:t>
      </w:r>
    </w:p>
    <w:p w14:paraId="7DD3566A" w14:textId="401DAD49" w:rsidR="007E0D64" w:rsidRPr="0078713F" w:rsidRDefault="007E0D64" w:rsidP="00C45DE6">
      <w:pPr>
        <w:spacing w:after="0" w:line="240" w:lineRule="auto"/>
        <w:ind w:left="397" w:hanging="397"/>
        <w:jc w:val="both"/>
        <w:rPr>
          <w:rFonts w:ascii="Times New Roman" w:hAnsi="Times New Roman"/>
          <w:sz w:val="20"/>
          <w:szCs w:val="20"/>
        </w:rPr>
      </w:pPr>
      <w:r w:rsidRPr="007A1B17">
        <w:rPr>
          <w:rFonts w:ascii="Times New Roman" w:hAnsi="Times New Roman"/>
          <w:sz w:val="20"/>
          <w:szCs w:val="20"/>
          <w:lang w:val="en-US"/>
        </w:rPr>
        <w:t>Sala, G</w:t>
      </w:r>
      <w:r w:rsidR="005D2109" w:rsidRPr="007A1B17">
        <w:rPr>
          <w:rFonts w:ascii="Times New Roman" w:hAnsi="Times New Roman"/>
          <w:sz w:val="20"/>
          <w:szCs w:val="20"/>
          <w:lang w:val="en-US"/>
        </w:rPr>
        <w:t>emma</w:t>
      </w:r>
      <w:r w:rsidR="000C3D27" w:rsidRPr="007A1B17">
        <w:rPr>
          <w:rFonts w:ascii="Times New Roman" w:hAnsi="Times New Roman"/>
          <w:sz w:val="20"/>
          <w:szCs w:val="20"/>
          <w:lang w:val="en-US"/>
        </w:rPr>
        <w:t xml:space="preserve">. </w:t>
      </w:r>
      <w:r w:rsidRPr="007A1B17">
        <w:rPr>
          <w:rFonts w:ascii="Times New Roman" w:hAnsi="Times New Roman"/>
          <w:sz w:val="20"/>
          <w:szCs w:val="20"/>
          <w:lang w:val="en-US"/>
        </w:rPr>
        <w:t>2010</w:t>
      </w:r>
      <w:r w:rsidR="000C3D27" w:rsidRPr="007A1B17">
        <w:rPr>
          <w:rFonts w:ascii="Times New Roman" w:hAnsi="Times New Roman"/>
          <w:sz w:val="20"/>
          <w:szCs w:val="20"/>
          <w:lang w:val="en-US"/>
        </w:rPr>
        <w:t>.</w:t>
      </w:r>
      <w:r w:rsidRPr="007A1B17">
        <w:rPr>
          <w:rFonts w:ascii="Times New Roman" w:hAnsi="Times New Roman"/>
          <w:sz w:val="20"/>
          <w:szCs w:val="20"/>
          <w:lang w:val="en-US"/>
        </w:rPr>
        <w:t xml:space="preserve"> </w:t>
      </w:r>
      <w:r w:rsidRPr="007A1B17">
        <w:rPr>
          <w:rFonts w:ascii="Times New Roman" w:hAnsi="Times New Roman"/>
          <w:i/>
          <w:sz w:val="20"/>
          <w:szCs w:val="20"/>
          <w:lang w:val="en-US"/>
        </w:rPr>
        <w:t xml:space="preserve">Can Courts Make Federalism Work? The Impact of the Constitutional Court on </w:t>
      </w:r>
      <w:r w:rsidRPr="0078713F">
        <w:rPr>
          <w:rFonts w:ascii="Times New Roman" w:hAnsi="Times New Roman"/>
          <w:i/>
          <w:sz w:val="20"/>
          <w:szCs w:val="20"/>
          <w:lang w:val="en-US"/>
        </w:rPr>
        <w:t>Federal Conflict in Spain</w:t>
      </w:r>
      <w:r w:rsidR="000C3D27" w:rsidRPr="0078713F">
        <w:rPr>
          <w:rFonts w:ascii="Times New Roman" w:hAnsi="Times New Roman"/>
          <w:sz w:val="20"/>
          <w:szCs w:val="20"/>
          <w:lang w:val="en-US"/>
        </w:rPr>
        <w:t>. Yale University:</w:t>
      </w:r>
      <w:r w:rsidRPr="0078713F">
        <w:rPr>
          <w:rFonts w:ascii="Times New Roman" w:hAnsi="Times New Roman"/>
          <w:sz w:val="20"/>
          <w:szCs w:val="20"/>
          <w:lang w:val="en-US"/>
        </w:rPr>
        <w:t xml:space="preserve"> PhD thes</w:t>
      </w:r>
      <w:r w:rsidRPr="0078713F">
        <w:rPr>
          <w:rFonts w:ascii="Times New Roman" w:hAnsi="Times New Roman"/>
          <w:sz w:val="20"/>
          <w:szCs w:val="20"/>
        </w:rPr>
        <w:t>is.</w:t>
      </w:r>
    </w:p>
    <w:p w14:paraId="2FA71639" w14:textId="7B7269E4" w:rsidR="007E0D64" w:rsidRPr="0078713F" w:rsidRDefault="007E0D64" w:rsidP="00C45DE6">
      <w:pPr>
        <w:spacing w:after="0" w:line="240" w:lineRule="auto"/>
        <w:ind w:left="397" w:hanging="397"/>
        <w:jc w:val="both"/>
        <w:rPr>
          <w:rFonts w:ascii="Times New Roman" w:hAnsi="Times New Roman"/>
          <w:sz w:val="20"/>
          <w:szCs w:val="20"/>
        </w:rPr>
      </w:pPr>
      <w:r w:rsidRPr="0078713F">
        <w:rPr>
          <w:rFonts w:ascii="Times New Roman" w:hAnsi="Times New Roman"/>
          <w:sz w:val="20"/>
          <w:szCs w:val="20"/>
        </w:rPr>
        <w:t>Sala, G</w:t>
      </w:r>
      <w:r w:rsidR="005D2109" w:rsidRPr="0078713F">
        <w:rPr>
          <w:rFonts w:ascii="Times New Roman" w:hAnsi="Times New Roman"/>
          <w:sz w:val="20"/>
          <w:szCs w:val="20"/>
        </w:rPr>
        <w:t xml:space="preserve">emma. </w:t>
      </w:r>
      <w:r w:rsidRPr="0078713F">
        <w:rPr>
          <w:rFonts w:ascii="Times New Roman" w:hAnsi="Times New Roman"/>
          <w:sz w:val="20"/>
          <w:szCs w:val="20"/>
        </w:rPr>
        <w:t>2011</w:t>
      </w:r>
      <w:r w:rsidR="005D2109" w:rsidRPr="0078713F">
        <w:rPr>
          <w:rFonts w:ascii="Times New Roman" w:hAnsi="Times New Roman"/>
          <w:sz w:val="20"/>
          <w:szCs w:val="20"/>
        </w:rPr>
        <w:t>. Judicial Decision Making under Changing Constraints: A C</w:t>
      </w:r>
      <w:r w:rsidRPr="0078713F">
        <w:rPr>
          <w:rFonts w:ascii="Times New Roman" w:hAnsi="Times New Roman"/>
          <w:sz w:val="20"/>
          <w:szCs w:val="20"/>
        </w:rPr>
        <w:t>omparison between the United States and Europe</w:t>
      </w:r>
      <w:r w:rsidR="005D2109" w:rsidRPr="0078713F">
        <w:rPr>
          <w:rFonts w:ascii="Times New Roman" w:hAnsi="Times New Roman"/>
          <w:sz w:val="20"/>
          <w:szCs w:val="20"/>
        </w:rPr>
        <w:t>.</w:t>
      </w:r>
      <w:r w:rsidRPr="0078713F">
        <w:rPr>
          <w:rFonts w:ascii="Times New Roman" w:hAnsi="Times New Roman"/>
          <w:sz w:val="20"/>
          <w:szCs w:val="20"/>
        </w:rPr>
        <w:t xml:space="preserve"> </w:t>
      </w:r>
      <w:r w:rsidRPr="0078713F">
        <w:rPr>
          <w:rFonts w:ascii="Times New Roman" w:hAnsi="Times New Roman"/>
          <w:i/>
          <w:sz w:val="20"/>
          <w:szCs w:val="20"/>
        </w:rPr>
        <w:t>SSRN</w:t>
      </w:r>
      <w:r w:rsidR="007A1B17" w:rsidRPr="0078713F">
        <w:rPr>
          <w:rFonts w:ascii="Times New Roman" w:hAnsi="Times New Roman"/>
          <w:i/>
          <w:sz w:val="20"/>
          <w:szCs w:val="20"/>
        </w:rPr>
        <w:t xml:space="preserve"> Working</w:t>
      </w:r>
      <w:r w:rsidRPr="0078713F">
        <w:rPr>
          <w:rFonts w:ascii="Times New Roman" w:hAnsi="Times New Roman"/>
          <w:i/>
          <w:sz w:val="20"/>
          <w:szCs w:val="20"/>
        </w:rPr>
        <w:t xml:space="preserve"> Papers</w:t>
      </w:r>
      <w:r w:rsidR="0078713F" w:rsidRPr="0078713F">
        <w:rPr>
          <w:rFonts w:ascii="Times New Roman" w:hAnsi="Times New Roman"/>
          <w:sz w:val="20"/>
          <w:szCs w:val="20"/>
        </w:rPr>
        <w:t xml:space="preserve">. Web. 12 December 2016. </w:t>
      </w:r>
      <w:hyperlink r:id="rId9" w:history="1">
        <w:r w:rsidRPr="0078713F">
          <w:rPr>
            <w:rStyle w:val="Hipervnculo"/>
            <w:rFonts w:ascii="Times New Roman" w:hAnsi="Times New Roman"/>
            <w:sz w:val="20"/>
            <w:szCs w:val="20"/>
          </w:rPr>
          <w:t>http://dx.doi.org/10.2139/ssrn.1883928</w:t>
        </w:r>
      </w:hyperlink>
      <w:r w:rsidRPr="0078713F">
        <w:rPr>
          <w:rFonts w:ascii="Times New Roman" w:hAnsi="Times New Roman"/>
          <w:sz w:val="20"/>
          <w:szCs w:val="20"/>
        </w:rPr>
        <w:t>.</w:t>
      </w:r>
    </w:p>
    <w:p w14:paraId="380C49F8" w14:textId="3590256F" w:rsidR="007E0D64" w:rsidRPr="000521FE" w:rsidRDefault="007E0D64" w:rsidP="00C45DE6">
      <w:pPr>
        <w:spacing w:after="0" w:line="240" w:lineRule="auto"/>
        <w:ind w:left="397" w:hanging="397"/>
        <w:jc w:val="both"/>
        <w:rPr>
          <w:rFonts w:ascii="Times New Roman" w:hAnsi="Times New Roman"/>
          <w:sz w:val="20"/>
          <w:szCs w:val="20"/>
          <w:lang w:val="es-ES"/>
        </w:rPr>
      </w:pPr>
      <w:r w:rsidRPr="000521FE">
        <w:rPr>
          <w:rFonts w:ascii="Times New Roman" w:hAnsi="Times New Roman"/>
          <w:sz w:val="20"/>
          <w:szCs w:val="20"/>
        </w:rPr>
        <w:t>Sala,</w:t>
      </w:r>
      <w:r w:rsidR="005D2109" w:rsidRPr="000521FE">
        <w:rPr>
          <w:rFonts w:ascii="Times New Roman" w:hAnsi="Times New Roman"/>
          <w:sz w:val="20"/>
          <w:szCs w:val="20"/>
        </w:rPr>
        <w:t xml:space="preserve"> Gemma. </w:t>
      </w:r>
      <w:r w:rsidRPr="000521FE">
        <w:rPr>
          <w:rFonts w:ascii="Times New Roman" w:hAnsi="Times New Roman"/>
          <w:sz w:val="20"/>
          <w:szCs w:val="20"/>
        </w:rPr>
        <w:t>2014</w:t>
      </w:r>
      <w:r w:rsidR="005D2109" w:rsidRPr="000521FE">
        <w:rPr>
          <w:rFonts w:ascii="Times New Roman" w:hAnsi="Times New Roman"/>
          <w:sz w:val="20"/>
          <w:szCs w:val="20"/>
        </w:rPr>
        <w:t>. Can Courts make F</w:t>
      </w:r>
      <w:r w:rsidRPr="000521FE">
        <w:rPr>
          <w:rFonts w:ascii="Times New Roman" w:hAnsi="Times New Roman"/>
          <w:sz w:val="20"/>
          <w:szCs w:val="20"/>
        </w:rPr>
        <w:t xml:space="preserve">ederalism work? A </w:t>
      </w:r>
      <w:r w:rsidR="005D2109" w:rsidRPr="000521FE">
        <w:rPr>
          <w:rFonts w:ascii="Times New Roman" w:hAnsi="Times New Roman"/>
          <w:sz w:val="20"/>
          <w:szCs w:val="20"/>
        </w:rPr>
        <w:t>Game Theory Approach to Court Induced Compliance and Defection in Federal S</w:t>
      </w:r>
      <w:r w:rsidRPr="000521FE">
        <w:rPr>
          <w:rFonts w:ascii="Times New Roman" w:hAnsi="Times New Roman"/>
          <w:sz w:val="20"/>
          <w:szCs w:val="20"/>
        </w:rPr>
        <w:t>ystems</w:t>
      </w:r>
      <w:r w:rsidR="005D2109" w:rsidRPr="000521FE">
        <w:rPr>
          <w:rFonts w:ascii="Times New Roman" w:hAnsi="Times New Roman"/>
          <w:sz w:val="20"/>
          <w:szCs w:val="20"/>
        </w:rPr>
        <w:t>.</w:t>
      </w:r>
      <w:r w:rsidRPr="000521FE">
        <w:rPr>
          <w:rFonts w:ascii="Times New Roman" w:hAnsi="Times New Roman"/>
          <w:sz w:val="20"/>
          <w:szCs w:val="20"/>
        </w:rPr>
        <w:t xml:space="preserve"> </w:t>
      </w:r>
      <w:r w:rsidRPr="000521FE">
        <w:rPr>
          <w:rFonts w:ascii="Times New Roman" w:hAnsi="Times New Roman"/>
          <w:i/>
          <w:sz w:val="20"/>
          <w:szCs w:val="20"/>
          <w:lang w:val="es-ES"/>
        </w:rPr>
        <w:t>Economies</w:t>
      </w:r>
      <w:r w:rsidRPr="000521FE">
        <w:rPr>
          <w:rFonts w:ascii="Times New Roman" w:hAnsi="Times New Roman"/>
          <w:sz w:val="20"/>
          <w:szCs w:val="20"/>
          <w:lang w:val="es-ES"/>
        </w:rPr>
        <w:t xml:space="preserve"> 2</w:t>
      </w:r>
      <w:r w:rsidR="005D2109" w:rsidRPr="000521FE">
        <w:rPr>
          <w:rFonts w:ascii="Times New Roman" w:hAnsi="Times New Roman"/>
          <w:sz w:val="20"/>
          <w:szCs w:val="20"/>
          <w:lang w:val="es-ES"/>
        </w:rPr>
        <w:t xml:space="preserve">: </w:t>
      </w:r>
      <w:r w:rsidRPr="000521FE">
        <w:rPr>
          <w:rFonts w:ascii="Times New Roman" w:hAnsi="Times New Roman"/>
          <w:sz w:val="20"/>
          <w:szCs w:val="20"/>
          <w:lang w:val="es-ES"/>
        </w:rPr>
        <w:t>193</w:t>
      </w:r>
      <w:r w:rsidR="005D2109" w:rsidRPr="000521FE">
        <w:rPr>
          <w:rFonts w:ascii="Times New Roman" w:hAnsi="Times New Roman"/>
          <w:sz w:val="20"/>
          <w:szCs w:val="20"/>
          <w:lang w:val="es-ES"/>
        </w:rPr>
        <w:t>–</w:t>
      </w:r>
      <w:r w:rsidRPr="000521FE">
        <w:rPr>
          <w:rFonts w:ascii="Times New Roman" w:hAnsi="Times New Roman"/>
          <w:sz w:val="20"/>
          <w:szCs w:val="20"/>
          <w:lang w:val="es-ES"/>
        </w:rPr>
        <w:t>217.</w:t>
      </w:r>
    </w:p>
    <w:p w14:paraId="4A7E90F3" w14:textId="6ABD2BFC" w:rsidR="007E0D64" w:rsidRPr="000521FE" w:rsidRDefault="007E0D64" w:rsidP="00C45DE6">
      <w:pPr>
        <w:spacing w:after="0" w:line="240" w:lineRule="auto"/>
        <w:ind w:left="397" w:hanging="397"/>
        <w:jc w:val="both"/>
        <w:rPr>
          <w:rFonts w:ascii="Times New Roman" w:hAnsi="Times New Roman"/>
          <w:sz w:val="20"/>
          <w:szCs w:val="20"/>
          <w:lang w:val="es-ES"/>
        </w:rPr>
      </w:pPr>
      <w:r w:rsidRPr="000521FE">
        <w:rPr>
          <w:rFonts w:ascii="Times New Roman" w:hAnsi="Times New Roman"/>
          <w:sz w:val="20"/>
          <w:szCs w:val="20"/>
          <w:lang w:val="es-ES"/>
        </w:rPr>
        <w:t>Sánchez Barrilao, J</w:t>
      </w:r>
      <w:r w:rsidR="000521FE" w:rsidRPr="000521FE">
        <w:rPr>
          <w:rFonts w:ascii="Times New Roman" w:hAnsi="Times New Roman"/>
          <w:sz w:val="20"/>
          <w:szCs w:val="20"/>
          <w:lang w:val="es-ES"/>
        </w:rPr>
        <w:t>uan Francisco</w:t>
      </w:r>
      <w:r w:rsidRPr="000521FE">
        <w:rPr>
          <w:rFonts w:ascii="Times New Roman" w:hAnsi="Times New Roman"/>
          <w:sz w:val="20"/>
          <w:szCs w:val="20"/>
          <w:lang w:val="es-ES"/>
        </w:rPr>
        <w:t>. 2009</w:t>
      </w:r>
      <w:r w:rsidR="000521FE" w:rsidRPr="000521FE">
        <w:rPr>
          <w:rFonts w:ascii="Times New Roman" w:hAnsi="Times New Roman"/>
          <w:sz w:val="20"/>
          <w:szCs w:val="20"/>
          <w:lang w:val="es-ES"/>
        </w:rPr>
        <w:t xml:space="preserve">. </w:t>
      </w:r>
      <w:r w:rsidRPr="000521FE">
        <w:rPr>
          <w:rFonts w:ascii="Times New Roman" w:hAnsi="Times New Roman"/>
          <w:sz w:val="20"/>
          <w:szCs w:val="20"/>
          <w:lang w:val="es-ES"/>
        </w:rPr>
        <w:t>La participación de las Comunidades Autónomas en la elección por el Senado de l</w:t>
      </w:r>
      <w:r w:rsidR="000521FE" w:rsidRPr="000521FE">
        <w:rPr>
          <w:rFonts w:ascii="Times New Roman" w:hAnsi="Times New Roman"/>
          <w:sz w:val="20"/>
          <w:szCs w:val="20"/>
          <w:lang w:val="es-ES"/>
        </w:rPr>
        <w:t>os magistrados constitucionales.</w:t>
      </w:r>
      <w:r w:rsidRPr="000521FE">
        <w:rPr>
          <w:rFonts w:ascii="Times New Roman" w:hAnsi="Times New Roman"/>
          <w:sz w:val="20"/>
          <w:szCs w:val="20"/>
          <w:lang w:val="es-ES"/>
        </w:rPr>
        <w:t xml:space="preserve"> </w:t>
      </w:r>
      <w:r w:rsidRPr="000521FE">
        <w:rPr>
          <w:rFonts w:ascii="Times New Roman" w:hAnsi="Times New Roman"/>
          <w:i/>
          <w:sz w:val="20"/>
          <w:szCs w:val="20"/>
          <w:lang w:val="es-ES"/>
        </w:rPr>
        <w:t>Teoría y Realidad Constitucional</w:t>
      </w:r>
      <w:r w:rsidRPr="000521FE">
        <w:rPr>
          <w:rFonts w:ascii="Times New Roman" w:hAnsi="Times New Roman"/>
          <w:sz w:val="20"/>
          <w:szCs w:val="20"/>
          <w:lang w:val="es-ES"/>
        </w:rPr>
        <w:t xml:space="preserve"> 23</w:t>
      </w:r>
      <w:r w:rsidR="000521FE" w:rsidRPr="000521FE">
        <w:rPr>
          <w:rFonts w:ascii="Times New Roman" w:hAnsi="Times New Roman"/>
          <w:sz w:val="20"/>
          <w:szCs w:val="20"/>
          <w:lang w:val="es-ES"/>
        </w:rPr>
        <w:t xml:space="preserve">: </w:t>
      </w:r>
      <w:r w:rsidRPr="000521FE">
        <w:rPr>
          <w:rFonts w:ascii="Times New Roman" w:hAnsi="Times New Roman"/>
          <w:sz w:val="20"/>
          <w:szCs w:val="20"/>
          <w:lang w:val="es-ES"/>
        </w:rPr>
        <w:t>387</w:t>
      </w:r>
      <w:r w:rsidR="000521FE" w:rsidRPr="000521FE">
        <w:rPr>
          <w:rFonts w:ascii="Times New Roman" w:hAnsi="Times New Roman"/>
          <w:sz w:val="20"/>
          <w:szCs w:val="20"/>
          <w:lang w:val="es-ES"/>
        </w:rPr>
        <w:t>–</w:t>
      </w:r>
      <w:r w:rsidRPr="000521FE">
        <w:rPr>
          <w:rFonts w:ascii="Times New Roman" w:hAnsi="Times New Roman"/>
          <w:sz w:val="20"/>
          <w:szCs w:val="20"/>
          <w:lang w:val="es-ES"/>
        </w:rPr>
        <w:t>424.</w:t>
      </w:r>
    </w:p>
    <w:p w14:paraId="748B9CA8" w14:textId="203A1051" w:rsidR="007E0D64" w:rsidRPr="00C44FF4" w:rsidRDefault="007E0D64" w:rsidP="00C45DE6">
      <w:pPr>
        <w:spacing w:after="0" w:line="240" w:lineRule="auto"/>
        <w:ind w:left="397" w:hanging="397"/>
        <w:jc w:val="both"/>
        <w:rPr>
          <w:rFonts w:ascii="Times New Roman" w:hAnsi="Times New Roman"/>
          <w:sz w:val="20"/>
          <w:szCs w:val="20"/>
          <w:lang w:val="en-US"/>
        </w:rPr>
      </w:pPr>
      <w:r w:rsidRPr="00C44FF4">
        <w:rPr>
          <w:rFonts w:ascii="Times New Roman" w:hAnsi="Times New Roman"/>
          <w:sz w:val="20"/>
          <w:szCs w:val="20"/>
          <w:lang w:val="es-ES"/>
        </w:rPr>
        <w:t>Sánchez Cuenca, I</w:t>
      </w:r>
      <w:r w:rsidR="00325EFB" w:rsidRPr="00C44FF4">
        <w:rPr>
          <w:rFonts w:ascii="Times New Roman" w:hAnsi="Times New Roman"/>
          <w:sz w:val="20"/>
          <w:szCs w:val="20"/>
          <w:lang w:val="es-ES"/>
        </w:rPr>
        <w:t>gnacio</w:t>
      </w:r>
      <w:r w:rsidR="000C3D27" w:rsidRPr="00C44FF4">
        <w:rPr>
          <w:rFonts w:ascii="Times New Roman" w:hAnsi="Times New Roman"/>
          <w:sz w:val="20"/>
          <w:szCs w:val="20"/>
          <w:lang w:val="es-ES"/>
        </w:rPr>
        <w:t xml:space="preserve">. 2011. </w:t>
      </w:r>
      <w:r w:rsidRPr="00C44FF4">
        <w:rPr>
          <w:rFonts w:ascii="Times New Roman" w:hAnsi="Times New Roman"/>
          <w:sz w:val="20"/>
          <w:szCs w:val="20"/>
          <w:lang w:val="es-ES"/>
        </w:rPr>
        <w:t>Los retrasos y los sesgos de la composición del Tribunal Constitucional</w:t>
      </w:r>
      <w:r w:rsidR="00876A28" w:rsidRPr="00C44FF4">
        <w:rPr>
          <w:rFonts w:ascii="Times New Roman" w:hAnsi="Times New Roman"/>
          <w:sz w:val="20"/>
          <w:szCs w:val="20"/>
          <w:lang w:val="es-ES"/>
        </w:rPr>
        <w:t>. I</w:t>
      </w:r>
      <w:r w:rsidRPr="00C44FF4">
        <w:rPr>
          <w:rFonts w:ascii="Times New Roman" w:hAnsi="Times New Roman"/>
          <w:sz w:val="20"/>
          <w:szCs w:val="20"/>
          <w:lang w:val="es-ES"/>
        </w:rPr>
        <w:t xml:space="preserve">n </w:t>
      </w:r>
      <w:r w:rsidRPr="00C44FF4">
        <w:rPr>
          <w:rFonts w:ascii="Times New Roman" w:hAnsi="Times New Roman"/>
          <w:i/>
          <w:sz w:val="20"/>
          <w:szCs w:val="20"/>
          <w:lang w:val="es-ES"/>
        </w:rPr>
        <w:t>Informe sobre la democracia en España 2011</w:t>
      </w:r>
      <w:r w:rsidRPr="00C44FF4">
        <w:rPr>
          <w:rFonts w:ascii="Times New Roman" w:hAnsi="Times New Roman"/>
          <w:sz w:val="20"/>
          <w:szCs w:val="20"/>
          <w:lang w:val="es-ES"/>
        </w:rPr>
        <w:t xml:space="preserve">, </w:t>
      </w:r>
      <w:r w:rsidR="00876A28" w:rsidRPr="00C44FF4">
        <w:rPr>
          <w:rFonts w:ascii="Times New Roman" w:hAnsi="Times New Roman"/>
          <w:sz w:val="20"/>
          <w:szCs w:val="20"/>
          <w:lang w:val="es-ES"/>
        </w:rPr>
        <w:t xml:space="preserve">ed. </w:t>
      </w:r>
      <w:r w:rsidR="00876A28" w:rsidRPr="004C2AC6">
        <w:rPr>
          <w:rFonts w:ascii="Times New Roman" w:hAnsi="Times New Roman"/>
          <w:sz w:val="20"/>
          <w:szCs w:val="20"/>
          <w:lang w:val="es-ES"/>
        </w:rPr>
        <w:t>Fundación Alternativas,</w:t>
      </w:r>
      <w:r w:rsidR="00876A28" w:rsidRPr="004C2AC6">
        <w:rPr>
          <w:rFonts w:ascii="Times New Roman" w:hAnsi="Times New Roman"/>
          <w:i/>
          <w:sz w:val="20"/>
          <w:szCs w:val="20"/>
          <w:lang w:val="es-ES"/>
        </w:rPr>
        <w:t xml:space="preserve"> </w:t>
      </w:r>
      <w:r w:rsidR="00876A28" w:rsidRPr="004C2AC6">
        <w:rPr>
          <w:rFonts w:ascii="Times New Roman" w:hAnsi="Times New Roman"/>
          <w:sz w:val="20"/>
          <w:szCs w:val="20"/>
          <w:lang w:val="es-ES"/>
        </w:rPr>
        <w:t xml:space="preserve">283-293. </w:t>
      </w:r>
      <w:r w:rsidRPr="00C44FF4">
        <w:rPr>
          <w:rFonts w:ascii="Times New Roman" w:hAnsi="Times New Roman"/>
          <w:sz w:val="20"/>
          <w:szCs w:val="20"/>
          <w:lang w:val="en-US"/>
        </w:rPr>
        <w:t>Madrid</w:t>
      </w:r>
      <w:r w:rsidR="00876A28" w:rsidRPr="00C44FF4">
        <w:rPr>
          <w:rFonts w:ascii="Times New Roman" w:hAnsi="Times New Roman"/>
          <w:sz w:val="20"/>
          <w:szCs w:val="20"/>
          <w:lang w:val="en-US"/>
        </w:rPr>
        <w:t>: Fundación Alternativas.</w:t>
      </w:r>
    </w:p>
    <w:p w14:paraId="2B05C5D4" w14:textId="4B1CF168" w:rsidR="007E0D64" w:rsidRPr="000C3D27" w:rsidRDefault="007E0D64" w:rsidP="00C45DE6">
      <w:pPr>
        <w:spacing w:after="0" w:line="240" w:lineRule="auto"/>
        <w:ind w:left="397" w:hanging="397"/>
        <w:jc w:val="both"/>
        <w:rPr>
          <w:rFonts w:ascii="Times New Roman" w:hAnsi="Times New Roman"/>
          <w:sz w:val="20"/>
          <w:szCs w:val="20"/>
          <w:lang w:val="en-US"/>
        </w:rPr>
      </w:pPr>
      <w:r w:rsidRPr="000C3D27">
        <w:rPr>
          <w:rFonts w:ascii="Times New Roman" w:hAnsi="Times New Roman"/>
          <w:sz w:val="20"/>
          <w:szCs w:val="20"/>
          <w:lang w:val="en-US"/>
        </w:rPr>
        <w:t>Schertzer, R</w:t>
      </w:r>
      <w:r w:rsidR="000C3D27" w:rsidRPr="000C3D27">
        <w:rPr>
          <w:rFonts w:ascii="Times New Roman" w:hAnsi="Times New Roman"/>
          <w:sz w:val="20"/>
          <w:szCs w:val="20"/>
          <w:lang w:val="en-US"/>
        </w:rPr>
        <w:t>obert</w:t>
      </w:r>
      <w:r w:rsidRPr="000C3D27">
        <w:rPr>
          <w:rFonts w:ascii="Times New Roman" w:hAnsi="Times New Roman"/>
          <w:sz w:val="20"/>
          <w:szCs w:val="20"/>
          <w:lang w:val="en-US"/>
        </w:rPr>
        <w:t>. 2013</w:t>
      </w:r>
      <w:r w:rsidR="000C3D27" w:rsidRPr="000C3D27">
        <w:rPr>
          <w:rFonts w:ascii="Times New Roman" w:hAnsi="Times New Roman"/>
          <w:sz w:val="20"/>
          <w:szCs w:val="20"/>
          <w:lang w:val="en-US"/>
        </w:rPr>
        <w:t>.</w:t>
      </w:r>
      <w:r w:rsidRPr="000C3D27">
        <w:rPr>
          <w:rFonts w:ascii="Times New Roman" w:hAnsi="Times New Roman"/>
          <w:sz w:val="20"/>
          <w:szCs w:val="20"/>
          <w:lang w:val="en-US"/>
        </w:rPr>
        <w:t xml:space="preserve"> </w:t>
      </w:r>
      <w:r w:rsidRPr="000C3D27">
        <w:rPr>
          <w:rFonts w:ascii="Times New Roman" w:hAnsi="Times New Roman"/>
          <w:i/>
          <w:sz w:val="20"/>
          <w:szCs w:val="20"/>
          <w:lang w:val="en-US"/>
        </w:rPr>
        <w:t>The Judicial Role in a Diverse Federation: Lessons from the Supreme Court of Canada</w:t>
      </w:r>
      <w:r w:rsidR="000C3D27" w:rsidRPr="000C3D27">
        <w:rPr>
          <w:rFonts w:ascii="Times New Roman" w:hAnsi="Times New Roman"/>
          <w:sz w:val="20"/>
          <w:szCs w:val="20"/>
          <w:lang w:val="en-US"/>
        </w:rPr>
        <w:t>. Toronto:</w:t>
      </w:r>
      <w:r w:rsidRPr="000C3D27">
        <w:rPr>
          <w:rFonts w:ascii="Times New Roman" w:hAnsi="Times New Roman"/>
          <w:sz w:val="20"/>
          <w:szCs w:val="20"/>
          <w:lang w:val="en-US"/>
        </w:rPr>
        <w:t xml:space="preserve"> University of Toronto Press. </w:t>
      </w:r>
    </w:p>
    <w:p w14:paraId="6882E1F0" w14:textId="1AE8146F" w:rsidR="007F27D2" w:rsidRPr="007F27D2" w:rsidRDefault="007F27D2" w:rsidP="00C45DE6">
      <w:pPr>
        <w:spacing w:after="0" w:line="240" w:lineRule="auto"/>
        <w:ind w:left="397" w:hanging="397"/>
        <w:jc w:val="both"/>
        <w:rPr>
          <w:rFonts w:ascii="Times New Roman" w:hAnsi="Times New Roman"/>
          <w:sz w:val="20"/>
          <w:szCs w:val="20"/>
          <w:lang w:val="es-ES"/>
        </w:rPr>
      </w:pPr>
      <w:r>
        <w:rPr>
          <w:rFonts w:ascii="Times New Roman" w:hAnsi="Times New Roman"/>
          <w:sz w:val="20"/>
          <w:szCs w:val="20"/>
          <w:lang w:val="en-US"/>
        </w:rPr>
        <w:t>Selway,</w:t>
      </w:r>
      <w:r w:rsidRPr="007F27D2">
        <w:rPr>
          <w:rFonts w:ascii="Times New Roman" w:hAnsi="Times New Roman"/>
          <w:sz w:val="20"/>
          <w:szCs w:val="20"/>
          <w:lang w:val="en-US"/>
        </w:rPr>
        <w:t xml:space="preserve"> Bradley</w:t>
      </w:r>
      <w:r>
        <w:rPr>
          <w:rFonts w:ascii="Times New Roman" w:hAnsi="Times New Roman"/>
          <w:sz w:val="20"/>
          <w:szCs w:val="20"/>
          <w:lang w:val="en-US"/>
        </w:rPr>
        <w:t>, and</w:t>
      </w:r>
      <w:r w:rsidRPr="007F27D2">
        <w:rPr>
          <w:rFonts w:ascii="Times New Roman" w:hAnsi="Times New Roman"/>
          <w:sz w:val="20"/>
          <w:szCs w:val="20"/>
          <w:lang w:val="en-US"/>
        </w:rPr>
        <w:t xml:space="preserve"> John M. Williams</w:t>
      </w:r>
      <w:r>
        <w:rPr>
          <w:rFonts w:ascii="Times New Roman" w:hAnsi="Times New Roman"/>
          <w:sz w:val="20"/>
          <w:szCs w:val="20"/>
          <w:lang w:val="en-US"/>
        </w:rPr>
        <w:t xml:space="preserve">. </w:t>
      </w:r>
      <w:r w:rsidRPr="004C2AC6">
        <w:rPr>
          <w:rFonts w:ascii="Times New Roman" w:hAnsi="Times New Roman"/>
          <w:sz w:val="20"/>
          <w:szCs w:val="20"/>
          <w:lang w:val="en-US"/>
        </w:rPr>
        <w:t xml:space="preserve">2005. The High Court and Australian Federalism. </w:t>
      </w:r>
      <w:r w:rsidRPr="007F27D2">
        <w:rPr>
          <w:rFonts w:ascii="Times New Roman" w:hAnsi="Times New Roman"/>
          <w:i/>
          <w:sz w:val="20"/>
          <w:szCs w:val="20"/>
          <w:lang w:val="es-ES"/>
        </w:rPr>
        <w:t>Publius: The Journal of Federalism</w:t>
      </w:r>
      <w:r w:rsidRPr="007F27D2">
        <w:rPr>
          <w:rFonts w:ascii="Times New Roman" w:hAnsi="Times New Roman"/>
          <w:sz w:val="20"/>
          <w:szCs w:val="20"/>
          <w:lang w:val="es-ES"/>
        </w:rPr>
        <w:t xml:space="preserve"> 35 (3): 467</w:t>
      </w:r>
      <w:r>
        <w:rPr>
          <w:rFonts w:ascii="Times New Roman" w:hAnsi="Times New Roman"/>
          <w:sz w:val="20"/>
          <w:szCs w:val="20"/>
          <w:lang w:val="es-ES"/>
        </w:rPr>
        <w:t>–</w:t>
      </w:r>
      <w:r w:rsidRPr="007F27D2">
        <w:rPr>
          <w:rFonts w:ascii="Times New Roman" w:hAnsi="Times New Roman"/>
          <w:sz w:val="20"/>
          <w:szCs w:val="20"/>
          <w:lang w:val="es-ES"/>
        </w:rPr>
        <w:t>488.</w:t>
      </w:r>
    </w:p>
    <w:p w14:paraId="178325F8" w14:textId="6F609D63" w:rsidR="007E0D64" w:rsidRPr="00325EFB" w:rsidRDefault="007E0D64" w:rsidP="00C45DE6">
      <w:pPr>
        <w:spacing w:after="0" w:line="240" w:lineRule="auto"/>
        <w:ind w:left="397" w:hanging="397"/>
        <w:jc w:val="both"/>
        <w:rPr>
          <w:rFonts w:ascii="Times New Roman" w:hAnsi="Times New Roman"/>
          <w:sz w:val="20"/>
          <w:szCs w:val="20"/>
          <w:lang w:val="es-ES"/>
        </w:rPr>
      </w:pPr>
      <w:r w:rsidRPr="007F27D2">
        <w:rPr>
          <w:rFonts w:ascii="Times New Roman" w:hAnsi="Times New Roman"/>
          <w:sz w:val="20"/>
          <w:szCs w:val="20"/>
          <w:lang w:val="es-ES"/>
        </w:rPr>
        <w:t>Solozábal Echavarría, J</w:t>
      </w:r>
      <w:r w:rsidR="00325EFB" w:rsidRPr="007F27D2">
        <w:rPr>
          <w:rFonts w:ascii="Times New Roman" w:hAnsi="Times New Roman"/>
          <w:sz w:val="20"/>
          <w:szCs w:val="20"/>
          <w:lang w:val="es-ES"/>
        </w:rPr>
        <w:t>uan José</w:t>
      </w:r>
      <w:r w:rsidRPr="007F27D2">
        <w:rPr>
          <w:rFonts w:ascii="Times New Roman" w:hAnsi="Times New Roman"/>
          <w:sz w:val="20"/>
          <w:szCs w:val="20"/>
          <w:lang w:val="es-ES"/>
        </w:rPr>
        <w:t>.</w:t>
      </w:r>
      <w:r w:rsidR="00325EFB" w:rsidRPr="007F27D2">
        <w:rPr>
          <w:rFonts w:ascii="Times New Roman" w:hAnsi="Times New Roman"/>
          <w:sz w:val="20"/>
          <w:szCs w:val="20"/>
          <w:lang w:val="es-ES"/>
        </w:rPr>
        <w:t xml:space="preserve"> </w:t>
      </w:r>
      <w:r w:rsidRPr="007F27D2">
        <w:rPr>
          <w:rFonts w:ascii="Times New Roman" w:hAnsi="Times New Roman"/>
          <w:sz w:val="20"/>
          <w:szCs w:val="20"/>
          <w:lang w:val="es-ES"/>
        </w:rPr>
        <w:t>2015</w:t>
      </w:r>
      <w:r w:rsidR="00325EFB" w:rsidRPr="007F27D2">
        <w:rPr>
          <w:rFonts w:ascii="Times New Roman" w:hAnsi="Times New Roman"/>
          <w:sz w:val="20"/>
          <w:szCs w:val="20"/>
          <w:lang w:val="es-ES"/>
        </w:rPr>
        <w:t xml:space="preserve">. </w:t>
      </w:r>
      <w:r w:rsidRPr="007F27D2">
        <w:rPr>
          <w:rFonts w:ascii="Times New Roman" w:hAnsi="Times New Roman"/>
          <w:sz w:val="20"/>
          <w:szCs w:val="20"/>
          <w:lang w:val="es-ES"/>
        </w:rPr>
        <w:t xml:space="preserve">La sentencia sobre la Declaración soberanista y </w:t>
      </w:r>
      <w:r w:rsidRPr="00325EFB">
        <w:rPr>
          <w:rFonts w:ascii="Times New Roman" w:hAnsi="Times New Roman"/>
          <w:sz w:val="20"/>
          <w:szCs w:val="20"/>
          <w:lang w:val="es-ES"/>
        </w:rPr>
        <w:t>el derec</w:t>
      </w:r>
      <w:r w:rsidR="00325EFB" w:rsidRPr="00325EFB">
        <w:rPr>
          <w:rFonts w:ascii="Times New Roman" w:hAnsi="Times New Roman"/>
          <w:sz w:val="20"/>
          <w:szCs w:val="20"/>
          <w:lang w:val="es-ES"/>
        </w:rPr>
        <w:t>ho a decidir del pueblo catalán.</w:t>
      </w:r>
      <w:r w:rsidRPr="00325EFB">
        <w:rPr>
          <w:rFonts w:ascii="Times New Roman" w:hAnsi="Times New Roman"/>
          <w:sz w:val="20"/>
          <w:szCs w:val="20"/>
          <w:lang w:val="es-ES"/>
        </w:rPr>
        <w:t xml:space="preserve"> </w:t>
      </w:r>
      <w:r w:rsidRPr="00325EFB">
        <w:rPr>
          <w:rFonts w:ascii="Times New Roman" w:hAnsi="Times New Roman"/>
          <w:i/>
          <w:sz w:val="20"/>
          <w:szCs w:val="20"/>
          <w:lang w:val="es-ES"/>
        </w:rPr>
        <w:t>El Cronista del Estado Social y Democrático de Derecho</w:t>
      </w:r>
      <w:r w:rsidRPr="00325EFB">
        <w:rPr>
          <w:rFonts w:ascii="Times New Roman" w:hAnsi="Times New Roman"/>
          <w:sz w:val="20"/>
          <w:szCs w:val="20"/>
          <w:lang w:val="es-ES"/>
        </w:rPr>
        <w:t xml:space="preserve"> 50</w:t>
      </w:r>
      <w:r w:rsidR="00325EFB" w:rsidRPr="00325EFB">
        <w:rPr>
          <w:rFonts w:ascii="Times New Roman" w:hAnsi="Times New Roman"/>
          <w:sz w:val="20"/>
          <w:szCs w:val="20"/>
          <w:lang w:val="es-ES"/>
        </w:rPr>
        <w:t xml:space="preserve">: </w:t>
      </w:r>
      <w:r w:rsidRPr="00325EFB">
        <w:rPr>
          <w:rFonts w:ascii="Times New Roman" w:hAnsi="Times New Roman"/>
          <w:sz w:val="20"/>
          <w:szCs w:val="20"/>
          <w:lang w:val="es-ES"/>
        </w:rPr>
        <w:t>46</w:t>
      </w:r>
      <w:r w:rsidR="00325EFB" w:rsidRPr="00325EFB">
        <w:rPr>
          <w:rFonts w:ascii="Times New Roman" w:hAnsi="Times New Roman"/>
          <w:sz w:val="20"/>
          <w:szCs w:val="20"/>
          <w:lang w:val="es-ES"/>
        </w:rPr>
        <w:t>–</w:t>
      </w:r>
      <w:r w:rsidRPr="00325EFB">
        <w:rPr>
          <w:rFonts w:ascii="Times New Roman" w:hAnsi="Times New Roman"/>
          <w:sz w:val="20"/>
          <w:szCs w:val="20"/>
          <w:lang w:val="es-ES"/>
        </w:rPr>
        <w:t>49.</w:t>
      </w:r>
    </w:p>
    <w:p w14:paraId="1D54474E" w14:textId="46F82E7E" w:rsidR="007E0D64" w:rsidRPr="0078713F" w:rsidRDefault="007E0D64" w:rsidP="00C45DE6">
      <w:pPr>
        <w:spacing w:after="0" w:line="240" w:lineRule="auto"/>
        <w:ind w:left="397" w:hanging="397"/>
        <w:jc w:val="both"/>
        <w:rPr>
          <w:rFonts w:ascii="Times New Roman" w:hAnsi="Times New Roman"/>
          <w:sz w:val="20"/>
          <w:szCs w:val="20"/>
        </w:rPr>
      </w:pPr>
      <w:r w:rsidRPr="004C2AC6">
        <w:rPr>
          <w:rFonts w:ascii="Times New Roman" w:hAnsi="Times New Roman"/>
          <w:sz w:val="20"/>
          <w:szCs w:val="20"/>
          <w:lang w:val="es-ES"/>
        </w:rPr>
        <w:t xml:space="preserve">Spanish Constitution. </w:t>
      </w:r>
      <w:r w:rsidRPr="0078713F">
        <w:rPr>
          <w:rFonts w:ascii="Times New Roman" w:hAnsi="Times New Roman"/>
          <w:sz w:val="20"/>
          <w:szCs w:val="20"/>
          <w:lang w:val="en-US"/>
        </w:rPr>
        <w:t>1978</w:t>
      </w:r>
      <w:r w:rsidR="0078713F" w:rsidRPr="0078713F">
        <w:rPr>
          <w:rFonts w:ascii="Times New Roman" w:hAnsi="Times New Roman"/>
          <w:sz w:val="20"/>
          <w:szCs w:val="20"/>
          <w:lang w:val="en-US"/>
        </w:rPr>
        <w:t xml:space="preserve">. </w:t>
      </w:r>
      <w:r w:rsidRPr="0078713F">
        <w:rPr>
          <w:rFonts w:ascii="Times New Roman" w:hAnsi="Times New Roman"/>
          <w:i/>
          <w:sz w:val="20"/>
          <w:szCs w:val="20"/>
          <w:lang w:val="en-US"/>
        </w:rPr>
        <w:t>The Spanish Constitution</w:t>
      </w:r>
      <w:r w:rsidR="0078713F" w:rsidRPr="0078713F">
        <w:rPr>
          <w:rFonts w:ascii="Times New Roman" w:hAnsi="Times New Roman"/>
          <w:sz w:val="20"/>
          <w:szCs w:val="20"/>
          <w:lang w:val="en-US"/>
        </w:rPr>
        <w:t xml:space="preserve">. Web. 12 December 2016. </w:t>
      </w:r>
      <w:hyperlink r:id="rId10" w:history="1">
        <w:r w:rsidRPr="0078713F">
          <w:rPr>
            <w:rStyle w:val="Hipervnculo"/>
            <w:rFonts w:ascii="Times New Roman" w:hAnsi="Times New Roman"/>
            <w:sz w:val="20"/>
            <w:szCs w:val="20"/>
          </w:rPr>
          <w:t>http://www.congreso.es/constitucion/ficheros/c78/cons_ingl.pdf</w:t>
        </w:r>
      </w:hyperlink>
      <w:r w:rsidRPr="0078713F">
        <w:rPr>
          <w:rFonts w:ascii="Times New Roman" w:hAnsi="Times New Roman"/>
          <w:sz w:val="20"/>
          <w:szCs w:val="20"/>
        </w:rPr>
        <w:t xml:space="preserve"> </w:t>
      </w:r>
    </w:p>
    <w:p w14:paraId="45403541" w14:textId="33EFECB0" w:rsidR="007E0D64" w:rsidRPr="004C2AC6" w:rsidRDefault="007E0D64" w:rsidP="00C45DE6">
      <w:pPr>
        <w:spacing w:after="0" w:line="240" w:lineRule="auto"/>
        <w:ind w:left="397" w:hanging="397"/>
        <w:jc w:val="both"/>
        <w:rPr>
          <w:rFonts w:ascii="Times New Roman" w:hAnsi="Times New Roman"/>
          <w:sz w:val="20"/>
          <w:szCs w:val="20"/>
          <w:lang w:val="es-ES"/>
        </w:rPr>
      </w:pPr>
      <w:r w:rsidRPr="00325EFB">
        <w:rPr>
          <w:rFonts w:ascii="Times New Roman" w:hAnsi="Times New Roman"/>
          <w:sz w:val="20"/>
          <w:szCs w:val="20"/>
        </w:rPr>
        <w:t>Stone Sweet, A</w:t>
      </w:r>
      <w:r w:rsidR="00325EFB" w:rsidRPr="00325EFB">
        <w:rPr>
          <w:rFonts w:ascii="Times New Roman" w:hAnsi="Times New Roman"/>
          <w:sz w:val="20"/>
          <w:szCs w:val="20"/>
        </w:rPr>
        <w:t>lec</w:t>
      </w:r>
      <w:r w:rsidRPr="00325EFB">
        <w:rPr>
          <w:rFonts w:ascii="Times New Roman" w:hAnsi="Times New Roman"/>
          <w:sz w:val="20"/>
          <w:szCs w:val="20"/>
        </w:rPr>
        <w:t>. 2002</w:t>
      </w:r>
      <w:r w:rsidR="00325EFB" w:rsidRPr="00325EFB">
        <w:rPr>
          <w:rFonts w:ascii="Times New Roman" w:hAnsi="Times New Roman"/>
          <w:sz w:val="20"/>
          <w:szCs w:val="20"/>
        </w:rPr>
        <w:t>. Constitutional Courts and P</w:t>
      </w:r>
      <w:r w:rsidRPr="00325EFB">
        <w:rPr>
          <w:rFonts w:ascii="Times New Roman" w:hAnsi="Times New Roman"/>
          <w:sz w:val="20"/>
          <w:szCs w:val="20"/>
        </w:rPr>
        <w:t xml:space="preserve">arliamentary </w:t>
      </w:r>
      <w:r w:rsidR="00325EFB" w:rsidRPr="00325EFB">
        <w:rPr>
          <w:rFonts w:ascii="Times New Roman" w:hAnsi="Times New Roman"/>
          <w:sz w:val="20"/>
          <w:szCs w:val="20"/>
        </w:rPr>
        <w:t xml:space="preserve">Democracy. </w:t>
      </w:r>
      <w:r w:rsidRPr="004C2AC6">
        <w:rPr>
          <w:rFonts w:ascii="Times New Roman" w:hAnsi="Times New Roman"/>
          <w:i/>
          <w:sz w:val="20"/>
          <w:szCs w:val="20"/>
          <w:lang w:val="es-ES"/>
        </w:rPr>
        <w:t>West European Politics</w:t>
      </w:r>
      <w:r w:rsidRPr="004C2AC6">
        <w:rPr>
          <w:rFonts w:ascii="Times New Roman" w:hAnsi="Times New Roman"/>
          <w:sz w:val="20"/>
          <w:szCs w:val="20"/>
          <w:lang w:val="es-ES"/>
        </w:rPr>
        <w:t xml:space="preserve"> 25</w:t>
      </w:r>
      <w:r w:rsidR="00325EFB" w:rsidRPr="004C2AC6">
        <w:rPr>
          <w:rFonts w:ascii="Times New Roman" w:hAnsi="Times New Roman"/>
          <w:sz w:val="20"/>
          <w:szCs w:val="20"/>
          <w:lang w:val="es-ES"/>
        </w:rPr>
        <w:t xml:space="preserve"> (</w:t>
      </w:r>
      <w:r w:rsidRPr="004C2AC6">
        <w:rPr>
          <w:rFonts w:ascii="Times New Roman" w:hAnsi="Times New Roman"/>
          <w:sz w:val="20"/>
          <w:szCs w:val="20"/>
          <w:lang w:val="es-ES"/>
        </w:rPr>
        <w:t>1</w:t>
      </w:r>
      <w:r w:rsidR="00325EFB" w:rsidRPr="004C2AC6">
        <w:rPr>
          <w:rFonts w:ascii="Times New Roman" w:hAnsi="Times New Roman"/>
          <w:sz w:val="20"/>
          <w:szCs w:val="20"/>
          <w:lang w:val="es-ES"/>
        </w:rPr>
        <w:t xml:space="preserve">): </w:t>
      </w:r>
      <w:r w:rsidRPr="004C2AC6">
        <w:rPr>
          <w:rFonts w:ascii="Times New Roman" w:hAnsi="Times New Roman"/>
          <w:sz w:val="20"/>
          <w:szCs w:val="20"/>
          <w:lang w:val="es-ES"/>
        </w:rPr>
        <w:t>77</w:t>
      </w:r>
      <w:r w:rsidR="00325EFB" w:rsidRPr="004C2AC6">
        <w:rPr>
          <w:rFonts w:ascii="Times New Roman" w:hAnsi="Times New Roman"/>
          <w:sz w:val="20"/>
          <w:szCs w:val="20"/>
          <w:lang w:val="es-ES"/>
        </w:rPr>
        <w:t>–</w:t>
      </w:r>
      <w:r w:rsidRPr="004C2AC6">
        <w:rPr>
          <w:rFonts w:ascii="Times New Roman" w:hAnsi="Times New Roman"/>
          <w:sz w:val="20"/>
          <w:szCs w:val="20"/>
          <w:lang w:val="es-ES"/>
        </w:rPr>
        <w:t>100.</w:t>
      </w:r>
    </w:p>
    <w:p w14:paraId="4B47E81D" w14:textId="4C1556F0" w:rsidR="007E0D64" w:rsidRPr="00C52B0D" w:rsidRDefault="007E0D64" w:rsidP="00C45DE6">
      <w:pPr>
        <w:spacing w:after="0" w:line="240" w:lineRule="auto"/>
        <w:ind w:left="397" w:hanging="397"/>
        <w:jc w:val="both"/>
        <w:rPr>
          <w:rFonts w:ascii="Times New Roman" w:hAnsi="Times New Roman"/>
          <w:sz w:val="20"/>
          <w:szCs w:val="20"/>
          <w:lang w:val="es-ES"/>
        </w:rPr>
      </w:pPr>
      <w:r w:rsidRPr="0078713F">
        <w:rPr>
          <w:rFonts w:ascii="Times New Roman" w:hAnsi="Times New Roman"/>
          <w:sz w:val="20"/>
          <w:szCs w:val="20"/>
          <w:lang w:val="es-ES"/>
        </w:rPr>
        <w:t>Tribuna</w:t>
      </w:r>
      <w:r w:rsidR="0078713F" w:rsidRPr="0078713F">
        <w:rPr>
          <w:rFonts w:ascii="Times New Roman" w:hAnsi="Times New Roman"/>
          <w:sz w:val="20"/>
          <w:szCs w:val="20"/>
          <w:lang w:val="es-ES"/>
        </w:rPr>
        <w:t xml:space="preserve">l Constitucional. </w:t>
      </w:r>
      <w:r w:rsidRPr="0078713F">
        <w:rPr>
          <w:rFonts w:ascii="Times New Roman" w:hAnsi="Times New Roman"/>
          <w:sz w:val="20"/>
          <w:szCs w:val="20"/>
          <w:lang w:val="es-ES"/>
        </w:rPr>
        <w:t>2016</w:t>
      </w:r>
      <w:r w:rsidR="0078713F" w:rsidRPr="0078713F">
        <w:rPr>
          <w:rFonts w:ascii="Times New Roman" w:hAnsi="Times New Roman"/>
          <w:sz w:val="20"/>
          <w:szCs w:val="20"/>
          <w:lang w:val="es-ES"/>
        </w:rPr>
        <w:t>.</w:t>
      </w:r>
      <w:r w:rsidRPr="0078713F">
        <w:rPr>
          <w:rFonts w:ascii="Times New Roman" w:hAnsi="Times New Roman"/>
          <w:sz w:val="20"/>
          <w:szCs w:val="20"/>
          <w:lang w:val="es-ES"/>
        </w:rPr>
        <w:t xml:space="preserve"> </w:t>
      </w:r>
      <w:r w:rsidRPr="0078713F">
        <w:rPr>
          <w:rFonts w:ascii="Times New Roman" w:hAnsi="Times New Roman"/>
          <w:i/>
          <w:sz w:val="20"/>
          <w:szCs w:val="20"/>
          <w:lang w:val="es-ES"/>
        </w:rPr>
        <w:t>Buscador de jurisprudencia constitucional</w:t>
      </w:r>
      <w:r w:rsidR="0078713F" w:rsidRPr="0078713F">
        <w:rPr>
          <w:rFonts w:ascii="Times New Roman" w:hAnsi="Times New Roman"/>
          <w:sz w:val="20"/>
          <w:szCs w:val="20"/>
          <w:lang w:val="es-ES"/>
        </w:rPr>
        <w:t xml:space="preserve">. Web. 15 December 2016. </w:t>
      </w:r>
      <w:hyperlink r:id="rId11" w:history="1">
        <w:r w:rsidRPr="0078713F">
          <w:rPr>
            <w:rStyle w:val="Hipervnculo"/>
            <w:rFonts w:ascii="Times New Roman" w:hAnsi="Times New Roman"/>
            <w:sz w:val="20"/>
            <w:szCs w:val="20"/>
            <w:lang w:val="es-ES"/>
          </w:rPr>
          <w:t>http://hj.tribunalconstitucional.es/</w:t>
        </w:r>
      </w:hyperlink>
      <w:r w:rsidRPr="00C52B0D">
        <w:rPr>
          <w:rFonts w:ascii="Times New Roman" w:hAnsi="Times New Roman"/>
          <w:sz w:val="20"/>
          <w:szCs w:val="20"/>
          <w:lang w:val="es-ES"/>
        </w:rPr>
        <w:t xml:space="preserve"> </w:t>
      </w:r>
    </w:p>
    <w:p w14:paraId="09D31B53" w14:textId="77777777" w:rsidR="00D1510D" w:rsidRDefault="00D1510D" w:rsidP="00C45DE6">
      <w:pPr>
        <w:spacing w:line="240" w:lineRule="auto"/>
        <w:rPr>
          <w:rFonts w:ascii="Times New Roman" w:hAnsi="Times New Roman"/>
          <w:sz w:val="24"/>
          <w:szCs w:val="24"/>
          <w:lang w:val="es-ES"/>
        </w:rPr>
      </w:pPr>
    </w:p>
    <w:p w14:paraId="4709B3B5" w14:textId="359A0708" w:rsidR="00D1510D" w:rsidRPr="001C627A" w:rsidRDefault="00D1510D" w:rsidP="00C45DE6">
      <w:pPr>
        <w:spacing w:line="240" w:lineRule="auto"/>
        <w:jc w:val="center"/>
        <w:rPr>
          <w:rFonts w:ascii="Times New Roman" w:hAnsi="Times New Roman"/>
          <w:caps/>
          <w:sz w:val="24"/>
          <w:szCs w:val="24"/>
          <w:lang w:val="es-ES"/>
        </w:rPr>
      </w:pPr>
      <w:r w:rsidRPr="001C627A">
        <w:rPr>
          <w:rFonts w:ascii="Times New Roman" w:hAnsi="Times New Roman"/>
          <w:caps/>
          <w:sz w:val="24"/>
          <w:szCs w:val="24"/>
          <w:lang w:val="es-ES"/>
        </w:rPr>
        <w:t>Endnotes</w:t>
      </w:r>
      <w:bookmarkEnd w:id="0"/>
    </w:p>
    <w:sectPr w:rsidR="00D1510D" w:rsidRPr="001C627A" w:rsidSect="00D1510D">
      <w:endnotePr>
        <w:numFmt w:val="decimal"/>
      </w:endnotePr>
      <w:type w:val="continuous"/>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C6EC98" w14:textId="77777777" w:rsidR="00DB5550" w:rsidRDefault="00DB5550" w:rsidP="00530EF3">
      <w:pPr>
        <w:spacing w:after="0" w:line="240" w:lineRule="auto"/>
      </w:pPr>
      <w:r>
        <w:separator/>
      </w:r>
    </w:p>
  </w:endnote>
  <w:endnote w:type="continuationSeparator" w:id="0">
    <w:p w14:paraId="1CD9A216" w14:textId="77777777" w:rsidR="00DB5550" w:rsidRDefault="00DB5550" w:rsidP="00530EF3">
      <w:pPr>
        <w:spacing w:after="0" w:line="240" w:lineRule="auto"/>
      </w:pPr>
      <w:r>
        <w:continuationSeparator/>
      </w:r>
    </w:p>
  </w:endnote>
  <w:endnote w:id="1">
    <w:p w14:paraId="20D1BEAF" w14:textId="77777777" w:rsidR="002C24E7" w:rsidRPr="00F245FD" w:rsidRDefault="002C24E7" w:rsidP="00904FC2">
      <w:pPr>
        <w:pStyle w:val="Textonotaalfinal"/>
        <w:spacing w:line="480" w:lineRule="auto"/>
        <w:jc w:val="both"/>
        <w:rPr>
          <w:rFonts w:ascii="Times New Roman" w:hAnsi="Times New Roman"/>
          <w:lang w:val="en-US"/>
        </w:rPr>
      </w:pPr>
      <w:r w:rsidRPr="00F245FD">
        <w:rPr>
          <w:rStyle w:val="Refdenotaalfinal"/>
          <w:rFonts w:ascii="Times New Roman" w:hAnsi="Times New Roman"/>
        </w:rPr>
        <w:endnoteRef/>
      </w:r>
      <w:r w:rsidRPr="00F245FD">
        <w:rPr>
          <w:rFonts w:ascii="Times New Roman" w:hAnsi="Times New Roman"/>
          <w:lang w:val="en-US"/>
        </w:rPr>
        <w:t xml:space="preserve"> </w:t>
      </w:r>
      <w:r>
        <w:rPr>
          <w:rFonts w:ascii="Times New Roman" w:hAnsi="Times New Roman"/>
          <w:lang w:val="en-US"/>
        </w:rPr>
        <w:t>I</w:t>
      </w:r>
      <w:r w:rsidRPr="00F245FD">
        <w:rPr>
          <w:rFonts w:ascii="Times New Roman" w:hAnsi="Times New Roman"/>
          <w:lang w:val="en-US"/>
        </w:rPr>
        <w:t xml:space="preserve">t is worth noting that a </w:t>
      </w:r>
      <w:r w:rsidRPr="00F245FD">
        <w:rPr>
          <w:rFonts w:ascii="Times New Roman" w:hAnsi="Times New Roman"/>
          <w:i/>
          <w:lang w:val="en-US"/>
        </w:rPr>
        <w:t>Tribunal de Garantías Constitucionales</w:t>
      </w:r>
      <w:r w:rsidRPr="00F245FD">
        <w:rPr>
          <w:rFonts w:ascii="Times New Roman" w:hAnsi="Times New Roman"/>
          <w:lang w:val="en-US"/>
        </w:rPr>
        <w:t xml:space="preserve"> (Court for Constitutional Guarantees) </w:t>
      </w:r>
      <w:r>
        <w:rPr>
          <w:rFonts w:ascii="Times New Roman" w:hAnsi="Times New Roman"/>
          <w:lang w:val="en-US"/>
        </w:rPr>
        <w:t xml:space="preserve">was created in September 1933 under the Second Republic </w:t>
      </w:r>
      <w:r w:rsidRPr="00F245FD">
        <w:rPr>
          <w:rFonts w:ascii="Times New Roman" w:hAnsi="Times New Roman"/>
          <w:lang w:val="en-US"/>
        </w:rPr>
        <w:t xml:space="preserve">(Bassols Coma 2010).  </w:t>
      </w:r>
    </w:p>
  </w:endnote>
  <w:endnote w:id="2">
    <w:p w14:paraId="298CF380" w14:textId="77777777" w:rsidR="002C24E7" w:rsidRPr="00A8247B" w:rsidRDefault="002C24E7" w:rsidP="00904FC2">
      <w:pPr>
        <w:pStyle w:val="Textonotaalfinal"/>
        <w:spacing w:line="480" w:lineRule="auto"/>
        <w:jc w:val="both"/>
        <w:rPr>
          <w:rFonts w:ascii="Times New Roman" w:hAnsi="Times New Roman"/>
          <w:lang w:val="en-US"/>
        </w:rPr>
      </w:pPr>
      <w:r w:rsidRPr="00F245FD">
        <w:rPr>
          <w:rStyle w:val="Refdenotaalfinal"/>
          <w:rFonts w:ascii="Times New Roman" w:hAnsi="Times New Roman"/>
        </w:rPr>
        <w:endnoteRef/>
      </w:r>
      <w:r w:rsidRPr="00F245FD">
        <w:rPr>
          <w:rFonts w:ascii="Times New Roman" w:hAnsi="Times New Roman"/>
          <w:lang w:val="en-US"/>
        </w:rPr>
        <w:t xml:space="preserve"> The political role of the Constitutional Court became particularly evident when the former president of the Constitutional Court – Francisco Tomás y Valiente – was murdered by the Basque terrorist group ETA </w:t>
      </w:r>
      <w:r w:rsidRPr="00A8247B">
        <w:rPr>
          <w:rFonts w:ascii="Times New Roman" w:hAnsi="Times New Roman"/>
          <w:lang w:val="en-US"/>
        </w:rPr>
        <w:t>(</w:t>
      </w:r>
      <w:r w:rsidRPr="00A8247B">
        <w:rPr>
          <w:rFonts w:ascii="Times New Roman" w:hAnsi="Times New Roman"/>
          <w:i/>
          <w:lang w:val="en-US"/>
        </w:rPr>
        <w:t>Euskadi tha Askatasuna</w:t>
      </w:r>
      <w:r w:rsidRPr="00A8247B">
        <w:rPr>
          <w:rFonts w:ascii="Times New Roman" w:hAnsi="Times New Roman"/>
          <w:lang w:val="en-US"/>
        </w:rPr>
        <w:t>, Basque Country and Freedom) on 14 February 1996.</w:t>
      </w:r>
    </w:p>
  </w:endnote>
  <w:endnote w:id="3">
    <w:p w14:paraId="1F664A9F" w14:textId="499DA85C" w:rsidR="002C24E7" w:rsidRPr="00A8247B" w:rsidRDefault="002C24E7" w:rsidP="00904FC2">
      <w:pPr>
        <w:pStyle w:val="Textonotaalfinal"/>
        <w:spacing w:line="480" w:lineRule="auto"/>
        <w:jc w:val="both"/>
        <w:rPr>
          <w:rFonts w:ascii="Times New Roman" w:hAnsi="Times New Roman"/>
          <w:lang w:val="en-US"/>
        </w:rPr>
      </w:pPr>
      <w:r w:rsidRPr="00A8247B">
        <w:rPr>
          <w:rStyle w:val="Refdenotaalfinal"/>
          <w:rFonts w:ascii="Times New Roman" w:hAnsi="Times New Roman"/>
        </w:rPr>
        <w:endnoteRef/>
      </w:r>
      <w:r w:rsidRPr="00A8247B">
        <w:rPr>
          <w:rFonts w:ascii="Times New Roman" w:hAnsi="Times New Roman"/>
          <w:lang w:val="en-US"/>
        </w:rPr>
        <w:t xml:space="preserve"> MAP-LEXTER </w:t>
      </w:r>
      <w:r>
        <w:rPr>
          <w:rFonts w:ascii="Times New Roman" w:hAnsi="Times New Roman"/>
          <w:lang w:val="en-US"/>
        </w:rPr>
        <w:t>is produced by t</w:t>
      </w:r>
      <w:r w:rsidRPr="00A8247B">
        <w:rPr>
          <w:rFonts w:ascii="Times New Roman" w:hAnsi="Times New Roman"/>
          <w:lang w:val="en-US"/>
        </w:rPr>
        <w:t xml:space="preserve">he MINHAP, the Constitutional Court and the </w:t>
      </w:r>
      <w:r w:rsidRPr="00A8247B">
        <w:rPr>
          <w:rFonts w:ascii="Times New Roman" w:hAnsi="Times New Roman"/>
          <w:i/>
          <w:lang w:val="en-US"/>
        </w:rPr>
        <w:t>Boletín Oficial del Estado</w:t>
      </w:r>
      <w:r w:rsidRPr="00A8247B">
        <w:rPr>
          <w:rFonts w:ascii="Times New Roman" w:hAnsi="Times New Roman"/>
          <w:lang w:val="en-US"/>
        </w:rPr>
        <w:t xml:space="preserve"> (equivalent of the British Hansard).</w:t>
      </w:r>
    </w:p>
  </w:endnote>
  <w:endnote w:id="4">
    <w:p w14:paraId="3249766D" w14:textId="0B7E31FB" w:rsidR="002C24E7" w:rsidRPr="00F245FD" w:rsidRDefault="002C24E7" w:rsidP="00904FC2">
      <w:pPr>
        <w:pStyle w:val="Textonotaalfinal"/>
        <w:spacing w:line="480" w:lineRule="auto"/>
        <w:jc w:val="both"/>
        <w:rPr>
          <w:rFonts w:ascii="Times New Roman" w:hAnsi="Times New Roman"/>
          <w:lang w:val="en-US"/>
        </w:rPr>
      </w:pPr>
      <w:r w:rsidRPr="00A8247B">
        <w:rPr>
          <w:rStyle w:val="Refdenotaalfinal"/>
          <w:rFonts w:ascii="Times New Roman" w:hAnsi="Times New Roman"/>
        </w:rPr>
        <w:endnoteRef/>
      </w:r>
      <w:r w:rsidRPr="00A8247B">
        <w:rPr>
          <w:rFonts w:ascii="Times New Roman" w:hAnsi="Times New Roman"/>
          <w:lang w:val="en-US"/>
        </w:rPr>
        <w:t xml:space="preserve"> A former Basque senator interviewed in Seville</w:t>
      </w:r>
      <w:r w:rsidRPr="00F245FD">
        <w:rPr>
          <w:rFonts w:ascii="Times New Roman" w:hAnsi="Times New Roman"/>
          <w:lang w:val="en-US"/>
        </w:rPr>
        <w:t xml:space="preserve"> (February 2016) added that the Basque executive stopped challenging the whole regulations adopted by central government in 1991: </w:t>
      </w:r>
      <w:r w:rsidR="00F71474">
        <w:rPr>
          <w:rFonts w:ascii="Times New Roman" w:hAnsi="Times New Roman"/>
          <w:lang w:val="en-US"/>
        </w:rPr>
        <w:t>“</w:t>
      </w:r>
      <w:r w:rsidRPr="00F245FD">
        <w:rPr>
          <w:rFonts w:ascii="Times New Roman" w:hAnsi="Times New Roman"/>
          <w:lang w:val="en-US"/>
        </w:rPr>
        <w:t>[…] we understood that the Constitutional Court was a simple third chamber controlled by the PP and the PSOE. This is why we decided to adopt a more selec</w:t>
      </w:r>
      <w:r w:rsidR="00F71474">
        <w:rPr>
          <w:rFonts w:ascii="Times New Roman" w:hAnsi="Times New Roman"/>
          <w:lang w:val="en-US"/>
        </w:rPr>
        <w:t>tive judicial strategy”</w:t>
      </w:r>
      <w:r w:rsidRPr="00F245FD">
        <w:rPr>
          <w:rFonts w:ascii="Times New Roman" w:hAnsi="Times New Roman"/>
          <w:lang w:val="en-US"/>
        </w:rPr>
        <w:t xml:space="preserve">. </w:t>
      </w:r>
    </w:p>
  </w:endnote>
  <w:endnote w:id="5">
    <w:p w14:paraId="47510412" w14:textId="77777777" w:rsidR="002C24E7" w:rsidRPr="00C23D75" w:rsidRDefault="002C24E7" w:rsidP="00904FC2">
      <w:pPr>
        <w:pStyle w:val="Textonotaalfinal"/>
        <w:spacing w:line="480" w:lineRule="auto"/>
        <w:jc w:val="both"/>
        <w:rPr>
          <w:rFonts w:ascii="Times New Roman" w:hAnsi="Times New Roman"/>
          <w:lang w:val="en-US"/>
        </w:rPr>
      </w:pPr>
      <w:r w:rsidRPr="00C23D75">
        <w:rPr>
          <w:rStyle w:val="Refdenotaalfinal"/>
          <w:rFonts w:ascii="Times New Roman" w:hAnsi="Times New Roman"/>
        </w:rPr>
        <w:endnoteRef/>
      </w:r>
      <w:r w:rsidRPr="00C23D75">
        <w:rPr>
          <w:rFonts w:ascii="Times New Roman" w:hAnsi="Times New Roman"/>
          <w:lang w:val="en-US"/>
        </w:rPr>
        <w:t xml:space="preserve"> It is worth noting that in 2004, Premier Aznar decided to wait</w:t>
      </w:r>
      <w:r>
        <w:rPr>
          <w:rFonts w:ascii="Times New Roman" w:hAnsi="Times New Roman"/>
          <w:lang w:val="en-US"/>
        </w:rPr>
        <w:t xml:space="preserve"> until</w:t>
      </w:r>
      <w:r w:rsidRPr="00C23D75">
        <w:rPr>
          <w:rFonts w:ascii="Times New Roman" w:hAnsi="Times New Roman"/>
          <w:lang w:val="en-US"/>
        </w:rPr>
        <w:t xml:space="preserve"> after the general elections </w:t>
      </w:r>
      <w:r>
        <w:rPr>
          <w:rFonts w:ascii="Times New Roman" w:hAnsi="Times New Roman"/>
          <w:lang w:val="en-US"/>
        </w:rPr>
        <w:t>to</w:t>
      </w:r>
      <w:r w:rsidRPr="00C23D75">
        <w:rPr>
          <w:rFonts w:ascii="Times New Roman" w:hAnsi="Times New Roman"/>
          <w:lang w:val="en-US"/>
        </w:rPr>
        <w:t xml:space="preserve"> appoint new conservative judges. Nevertheless, the PSOE finally won the elections and reduced the gap between conservative and progressive justices by appointing two new progressive members.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55E02B" w14:textId="77777777" w:rsidR="00DB5550" w:rsidRDefault="00DB5550" w:rsidP="00530EF3">
      <w:pPr>
        <w:spacing w:after="0" w:line="240" w:lineRule="auto"/>
      </w:pPr>
      <w:r>
        <w:separator/>
      </w:r>
    </w:p>
  </w:footnote>
  <w:footnote w:type="continuationSeparator" w:id="0">
    <w:p w14:paraId="3499C4D8" w14:textId="77777777" w:rsidR="00DB5550" w:rsidRDefault="00DB5550" w:rsidP="00530E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EF3"/>
    <w:rsid w:val="000521FE"/>
    <w:rsid w:val="000902D4"/>
    <w:rsid w:val="000C3D27"/>
    <w:rsid w:val="00142A74"/>
    <w:rsid w:val="00197106"/>
    <w:rsid w:val="001C627A"/>
    <w:rsid w:val="001C7953"/>
    <w:rsid w:val="001F5311"/>
    <w:rsid w:val="002A6C62"/>
    <w:rsid w:val="002C24E7"/>
    <w:rsid w:val="00325EFB"/>
    <w:rsid w:val="00365CCE"/>
    <w:rsid w:val="003C5D4B"/>
    <w:rsid w:val="00426F50"/>
    <w:rsid w:val="0049719B"/>
    <w:rsid w:val="004C2AC6"/>
    <w:rsid w:val="00504FA0"/>
    <w:rsid w:val="00505AB5"/>
    <w:rsid w:val="00530EF3"/>
    <w:rsid w:val="00543DA1"/>
    <w:rsid w:val="005500A6"/>
    <w:rsid w:val="005A7F9B"/>
    <w:rsid w:val="005D2109"/>
    <w:rsid w:val="00636A9B"/>
    <w:rsid w:val="00667754"/>
    <w:rsid w:val="00685439"/>
    <w:rsid w:val="0069000E"/>
    <w:rsid w:val="006C1507"/>
    <w:rsid w:val="006D24F9"/>
    <w:rsid w:val="00715910"/>
    <w:rsid w:val="00744554"/>
    <w:rsid w:val="00751E83"/>
    <w:rsid w:val="0078713F"/>
    <w:rsid w:val="00790626"/>
    <w:rsid w:val="007A1B17"/>
    <w:rsid w:val="007C29F1"/>
    <w:rsid w:val="007D3B83"/>
    <w:rsid w:val="007E0D64"/>
    <w:rsid w:val="007F27D2"/>
    <w:rsid w:val="007F5F91"/>
    <w:rsid w:val="0082706F"/>
    <w:rsid w:val="00876A28"/>
    <w:rsid w:val="008E6E8B"/>
    <w:rsid w:val="00904D94"/>
    <w:rsid w:val="00904FC2"/>
    <w:rsid w:val="00922563"/>
    <w:rsid w:val="0096726B"/>
    <w:rsid w:val="00972D6E"/>
    <w:rsid w:val="009B0E42"/>
    <w:rsid w:val="009B3E77"/>
    <w:rsid w:val="009C190D"/>
    <w:rsid w:val="009E16E4"/>
    <w:rsid w:val="009F1DFD"/>
    <w:rsid w:val="00A43321"/>
    <w:rsid w:val="00AC5F9E"/>
    <w:rsid w:val="00AE7EC0"/>
    <w:rsid w:val="00B120F1"/>
    <w:rsid w:val="00B56567"/>
    <w:rsid w:val="00B62615"/>
    <w:rsid w:val="00B64B7C"/>
    <w:rsid w:val="00BE6D11"/>
    <w:rsid w:val="00BF2A28"/>
    <w:rsid w:val="00C32396"/>
    <w:rsid w:val="00C43452"/>
    <w:rsid w:val="00C44FF4"/>
    <w:rsid w:val="00C45DE6"/>
    <w:rsid w:val="00C52B0D"/>
    <w:rsid w:val="00CE11C4"/>
    <w:rsid w:val="00CE5BC5"/>
    <w:rsid w:val="00CF6E6A"/>
    <w:rsid w:val="00D001DE"/>
    <w:rsid w:val="00D1510D"/>
    <w:rsid w:val="00D25E34"/>
    <w:rsid w:val="00D454E7"/>
    <w:rsid w:val="00D95787"/>
    <w:rsid w:val="00DB5550"/>
    <w:rsid w:val="00DF3945"/>
    <w:rsid w:val="00E5131C"/>
    <w:rsid w:val="00E51739"/>
    <w:rsid w:val="00E7727E"/>
    <w:rsid w:val="00EF4AFA"/>
    <w:rsid w:val="00F16243"/>
    <w:rsid w:val="00F71474"/>
    <w:rsid w:val="00F75118"/>
    <w:rsid w:val="00FA1521"/>
    <w:rsid w:val="00FE0C02"/>
    <w:rsid w:val="00FE62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24F5E7"/>
  <w14:defaultImageDpi w14:val="300"/>
  <w15:docId w15:val="{BDABEE3B-8081-4798-942E-7EA951D4B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530EF3"/>
    <w:pPr>
      <w:spacing w:after="160" w:line="259" w:lineRule="auto"/>
    </w:pPr>
    <w:rPr>
      <w:rFonts w:ascii="Calibri" w:eastAsia="Calibri" w:hAnsi="Calibri" w:cs="Times New Roman"/>
      <w:sz w:val="22"/>
      <w:szCs w:val="22"/>
      <w:lang w:val="en-GB"/>
    </w:rPr>
  </w:style>
  <w:style w:type="paragraph" w:styleId="Ttulo1">
    <w:name w:val="heading 1"/>
    <w:basedOn w:val="Normal"/>
    <w:next w:val="Normal"/>
    <w:link w:val="Ttulo1Car"/>
    <w:qFormat/>
    <w:rsid w:val="00530EF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30EF3"/>
    <w:rPr>
      <w:rFonts w:asciiTheme="majorHAnsi" w:eastAsiaTheme="majorEastAsia" w:hAnsiTheme="majorHAnsi" w:cstheme="majorBidi"/>
      <w:color w:val="365F91" w:themeColor="accent1" w:themeShade="BF"/>
      <w:sz w:val="32"/>
      <w:szCs w:val="32"/>
      <w:lang w:val="en-GB"/>
    </w:rPr>
  </w:style>
  <w:style w:type="character" w:styleId="Hipervnculo">
    <w:name w:val="Hyperlink"/>
    <w:basedOn w:val="Fuentedeprrafopredeter"/>
    <w:uiPriority w:val="99"/>
    <w:rsid w:val="00530EF3"/>
    <w:rPr>
      <w:rFonts w:cs="Times New Roman"/>
      <w:color w:val="0000FF"/>
      <w:u w:val="single"/>
    </w:rPr>
  </w:style>
  <w:style w:type="paragraph" w:styleId="Textonotaalfinal">
    <w:name w:val="endnote text"/>
    <w:basedOn w:val="Normal"/>
    <w:link w:val="TextonotaalfinalCar"/>
    <w:uiPriority w:val="99"/>
    <w:semiHidden/>
    <w:rsid w:val="00530EF3"/>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30EF3"/>
    <w:rPr>
      <w:rFonts w:ascii="Calibri" w:eastAsia="Calibri" w:hAnsi="Calibri" w:cs="Times New Roman"/>
      <w:sz w:val="20"/>
      <w:szCs w:val="20"/>
      <w:lang w:val="en-GB"/>
    </w:rPr>
  </w:style>
  <w:style w:type="character" w:styleId="Refdenotaalfinal">
    <w:name w:val="endnote reference"/>
    <w:basedOn w:val="Fuentedeprrafopredeter"/>
    <w:uiPriority w:val="99"/>
    <w:semiHidden/>
    <w:rsid w:val="00530EF3"/>
    <w:rPr>
      <w:rFonts w:cs="Times New Roman"/>
      <w:vertAlign w:val="superscript"/>
    </w:rPr>
  </w:style>
  <w:style w:type="paragraph" w:styleId="Textonotapie">
    <w:name w:val="footnote text"/>
    <w:basedOn w:val="Normal"/>
    <w:link w:val="TextonotapieCar"/>
    <w:uiPriority w:val="99"/>
    <w:semiHidden/>
    <w:rsid w:val="00530EF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30EF3"/>
    <w:rPr>
      <w:rFonts w:ascii="Calibri" w:eastAsia="Calibri" w:hAnsi="Calibri" w:cs="Times New Roman"/>
      <w:sz w:val="20"/>
      <w:szCs w:val="20"/>
      <w:lang w:val="en-GB"/>
    </w:rPr>
  </w:style>
  <w:style w:type="character" w:styleId="Refdenotaalpie">
    <w:name w:val="footnote reference"/>
    <w:basedOn w:val="Fuentedeprrafopredeter"/>
    <w:uiPriority w:val="99"/>
    <w:semiHidden/>
    <w:rsid w:val="00530EF3"/>
    <w:rPr>
      <w:rFonts w:cs="Times New Roman"/>
      <w:vertAlign w:val="superscript"/>
    </w:rPr>
  </w:style>
  <w:style w:type="table" w:styleId="Tablaconcuadrcula">
    <w:name w:val="Table Grid"/>
    <w:basedOn w:val="Tablanormal"/>
    <w:uiPriority w:val="99"/>
    <w:rsid w:val="00530EF3"/>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530E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30EF3"/>
    <w:rPr>
      <w:rFonts w:ascii="Calibri" w:eastAsia="Calibri" w:hAnsi="Calibri" w:cs="Times New Roman"/>
      <w:sz w:val="22"/>
      <w:szCs w:val="22"/>
      <w:lang w:val="en-GB"/>
    </w:rPr>
  </w:style>
  <w:style w:type="paragraph" w:styleId="Piedepgina">
    <w:name w:val="footer"/>
    <w:basedOn w:val="Normal"/>
    <w:link w:val="PiedepginaCar"/>
    <w:uiPriority w:val="99"/>
    <w:unhideWhenUsed/>
    <w:rsid w:val="00530EF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30EF3"/>
    <w:rPr>
      <w:rFonts w:ascii="Calibri" w:eastAsia="Calibri" w:hAnsi="Calibri" w:cs="Times New Roman"/>
      <w:sz w:val="22"/>
      <w:szCs w:val="22"/>
      <w:lang w:val="en-GB"/>
    </w:rPr>
  </w:style>
  <w:style w:type="paragraph" w:styleId="Textodeglobo">
    <w:name w:val="Balloon Text"/>
    <w:basedOn w:val="Normal"/>
    <w:link w:val="TextodegloboCar"/>
    <w:uiPriority w:val="99"/>
    <w:semiHidden/>
    <w:unhideWhenUsed/>
    <w:rsid w:val="00530EF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30EF3"/>
    <w:rPr>
      <w:rFonts w:ascii="Tahoma" w:eastAsia="Calibri" w:hAnsi="Tahoma" w:cs="Tahoma"/>
      <w:sz w:val="16"/>
      <w:szCs w:val="16"/>
      <w:lang w:val="en-GB"/>
    </w:rPr>
  </w:style>
  <w:style w:type="character" w:styleId="Hipervnculovisitado">
    <w:name w:val="FollowedHyperlink"/>
    <w:basedOn w:val="Fuentedeprrafopredeter"/>
    <w:uiPriority w:val="99"/>
    <w:semiHidden/>
    <w:unhideWhenUsed/>
    <w:rsid w:val="00530EF3"/>
    <w:rPr>
      <w:color w:val="800080" w:themeColor="followedHyperlink"/>
      <w:u w:val="single"/>
    </w:rPr>
  </w:style>
  <w:style w:type="character" w:styleId="Refdecomentario">
    <w:name w:val="annotation reference"/>
    <w:basedOn w:val="Fuentedeprrafopredeter"/>
    <w:uiPriority w:val="99"/>
    <w:semiHidden/>
    <w:unhideWhenUsed/>
    <w:rsid w:val="00530EF3"/>
    <w:rPr>
      <w:sz w:val="18"/>
      <w:szCs w:val="18"/>
    </w:rPr>
  </w:style>
  <w:style w:type="paragraph" w:styleId="Textocomentario">
    <w:name w:val="annotation text"/>
    <w:basedOn w:val="Normal"/>
    <w:link w:val="TextocomentarioCar"/>
    <w:uiPriority w:val="99"/>
    <w:semiHidden/>
    <w:unhideWhenUsed/>
    <w:rsid w:val="00530EF3"/>
    <w:pPr>
      <w:spacing w:line="240" w:lineRule="auto"/>
    </w:pPr>
    <w:rPr>
      <w:sz w:val="24"/>
      <w:szCs w:val="24"/>
    </w:rPr>
  </w:style>
  <w:style w:type="character" w:customStyle="1" w:styleId="TextocomentarioCar">
    <w:name w:val="Texto comentario Car"/>
    <w:basedOn w:val="Fuentedeprrafopredeter"/>
    <w:link w:val="Textocomentario"/>
    <w:uiPriority w:val="99"/>
    <w:semiHidden/>
    <w:rsid w:val="00530EF3"/>
    <w:rPr>
      <w:rFonts w:ascii="Calibri" w:eastAsia="Calibri" w:hAnsi="Calibri" w:cs="Times New Roman"/>
      <w:lang w:val="en-GB"/>
    </w:rPr>
  </w:style>
  <w:style w:type="paragraph" w:styleId="Asuntodelcomentario">
    <w:name w:val="annotation subject"/>
    <w:basedOn w:val="Textocomentario"/>
    <w:next w:val="Textocomentario"/>
    <w:link w:val="AsuntodelcomentarioCar"/>
    <w:uiPriority w:val="99"/>
    <w:semiHidden/>
    <w:unhideWhenUsed/>
    <w:rsid w:val="00530EF3"/>
    <w:rPr>
      <w:b/>
      <w:bCs/>
      <w:sz w:val="20"/>
      <w:szCs w:val="20"/>
    </w:rPr>
  </w:style>
  <w:style w:type="character" w:customStyle="1" w:styleId="AsuntodelcomentarioCar">
    <w:name w:val="Asunto del comentario Car"/>
    <w:basedOn w:val="TextocomentarioCar"/>
    <w:link w:val="Asuntodelcomentario"/>
    <w:uiPriority w:val="99"/>
    <w:semiHidden/>
    <w:rsid w:val="00530EF3"/>
    <w:rPr>
      <w:rFonts w:ascii="Calibri" w:eastAsia="Calibri" w:hAnsi="Calibri" w:cs="Times New Roman"/>
      <w:b/>
      <w:bCs/>
      <w:sz w:val="20"/>
      <w:szCs w:val="20"/>
      <w:lang w:val="en-GB"/>
    </w:rPr>
  </w:style>
  <w:style w:type="paragraph" w:styleId="Revisin">
    <w:name w:val="Revision"/>
    <w:hidden/>
    <w:uiPriority w:val="99"/>
    <w:semiHidden/>
    <w:rsid w:val="00530EF3"/>
    <w:rPr>
      <w:rFonts w:ascii="Calibri" w:eastAsia="Calibri" w:hAnsi="Calibri" w:cs="Times New Roman"/>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pa/gsw035"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thecourt.ca/challenging-justices-disqualifying-the-constitutional-cour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nalisis.cis.es/BDConsultaSeriePrg.jsp" TargetMode="External"/><Relationship Id="rId11" Type="http://schemas.openxmlformats.org/officeDocument/2006/relationships/hyperlink" Target="http://hj.tribunalconstitucional.es/" TargetMode="External"/><Relationship Id="rId5" Type="http://schemas.openxmlformats.org/officeDocument/2006/relationships/endnotes" Target="endnotes.xml"/><Relationship Id="rId10" Type="http://schemas.openxmlformats.org/officeDocument/2006/relationships/hyperlink" Target="http://www.congreso.es/constitucion/ficheros/c78/cons_ingl.pdf" TargetMode="External"/><Relationship Id="rId4" Type="http://schemas.openxmlformats.org/officeDocument/2006/relationships/footnotes" Target="footnotes.xml"/><Relationship Id="rId9" Type="http://schemas.openxmlformats.org/officeDocument/2006/relationships/hyperlink" Target="http://dx.doi.org/10.2139/ssrn.18839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8427</Words>
  <Characters>46349</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Drugge</dc:creator>
  <cp:keywords/>
  <dc:description/>
  <cp:lastModifiedBy>Jean</cp:lastModifiedBy>
  <cp:revision>2</cp:revision>
  <dcterms:created xsi:type="dcterms:W3CDTF">2017-03-20T15:42:00Z</dcterms:created>
  <dcterms:modified xsi:type="dcterms:W3CDTF">2017-03-20T15:42:00Z</dcterms:modified>
</cp:coreProperties>
</file>