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cs="Arial"/>
          <w:b/>
          <w:b/>
        </w:rPr>
      </w:pPr>
      <w:r>
        <w:rPr>
          <w:rFonts w:cs="Arial" w:ascii="Arial" w:hAnsi="Arial"/>
          <w:b/>
        </w:rPr>
        <w:t>La gobernanza como motor de la innovación urbana y del desarrollo de las ciudades inteligentes.</w:t>
      </w:r>
    </w:p>
    <w:p>
      <w:pPr>
        <w:pStyle w:val="Normal"/>
        <w:jc w:val="both"/>
        <w:rPr>
          <w:rFonts w:ascii="Arial" w:hAnsi="Arial" w:cs="Arial"/>
        </w:rPr>
      </w:pPr>
      <w:r>
        <w:rPr>
          <w:rFonts w:cs="Arial" w:ascii="Arial" w:hAnsi="Arial"/>
        </w:rPr>
        <w:t>Lorena Alonso Suárez</w:t>
        <w:tab/>
      </w:r>
    </w:p>
    <w:p>
      <w:pPr>
        <w:pStyle w:val="Normal"/>
        <w:jc w:val="both"/>
        <w:rPr>
          <w:rFonts w:ascii="Arial" w:hAnsi="Arial" w:cs="Arial"/>
        </w:rPr>
      </w:pPr>
      <w:r>
        <w:rPr>
          <w:rFonts w:cs="Arial" w:ascii="Arial" w:hAnsi="Arial"/>
        </w:rPr>
        <w:t xml:space="preserve">Universidad de Santiago de Compostela </w:t>
      </w:r>
    </w:p>
    <w:p>
      <w:pPr>
        <w:pStyle w:val="Normal"/>
        <w:jc w:val="both"/>
        <w:rPr/>
      </w:pPr>
      <w:hyperlink r:id="rId2">
        <w:r>
          <w:rPr>
            <w:rStyle w:val="EnlacedeInternet"/>
            <w:rFonts w:cs="Arial" w:ascii="Arial" w:hAnsi="Arial"/>
          </w:rPr>
          <w:t>lorena.alonso.suarez@gmail.com</w:t>
        </w:r>
      </w:hyperlink>
      <w:r>
        <w:rPr>
          <w:rFonts w:cs="Arial" w:ascii="Arial" w:hAnsi="Arial"/>
        </w:rPr>
        <w:t xml:space="preserve"> </w:t>
      </w:r>
    </w:p>
    <w:p>
      <w:pPr>
        <w:pStyle w:val="Normal"/>
        <w:jc w:val="both"/>
        <w:rPr>
          <w:rFonts w:ascii="Arial" w:hAnsi="Arial" w:cs="Arial"/>
        </w:rPr>
      </w:pPr>
      <w:r>
        <w:rPr>
          <w:rFonts w:cs="Arial" w:ascii="Arial" w:hAnsi="Arial"/>
        </w:rPr>
        <w:t>Resumen:</w:t>
      </w:r>
    </w:p>
    <w:p>
      <w:pPr>
        <w:pStyle w:val="Normal"/>
        <w:jc w:val="both"/>
        <w:rPr/>
      </w:pPr>
      <w:r>
        <w:rPr>
          <w:rFonts w:cs="Arial" w:ascii="Arial" w:hAnsi="Arial"/>
        </w:rPr>
        <w:t>El estudio se basa en una revisión teórica, desde diferentes enfoques y perspectivas multidisciplina</w:t>
      </w:r>
      <w:r>
        <w:rPr>
          <w:rFonts w:cs="Arial" w:ascii="Arial" w:hAnsi="Arial"/>
        </w:rPr>
        <w:t>r</w:t>
      </w:r>
      <w:r>
        <w:rPr>
          <w:rFonts w:cs="Arial" w:ascii="Arial" w:hAnsi="Arial"/>
        </w:rPr>
        <w:t>es de lo que se conoce como innovación, en el ámbito urbano, y de aquellos factores y agentes que son determinantes en el desarrollo de los procesos innovadores. En esta línea, se pretende analizar aquellos argumentos a favor y en contra en relación al papel y protagonismo de los gobiernos y de sus políticas públicas en la efectividad y desarrollo de las ciudades del futuro.</w:t>
      </w:r>
    </w:p>
    <w:p>
      <w:pPr>
        <w:pStyle w:val="Normal"/>
        <w:jc w:val="both"/>
        <w:rPr>
          <w:rFonts w:ascii="Arial" w:hAnsi="Arial" w:cs="Arial"/>
        </w:rPr>
      </w:pPr>
      <w:r>
        <w:rPr>
          <w:rFonts w:cs="Arial" w:ascii="Arial" w:hAnsi="Arial"/>
        </w:rPr>
        <w:t>Nota biográfica:</w:t>
      </w:r>
    </w:p>
    <w:p>
      <w:pPr>
        <w:pStyle w:val="Normal"/>
        <w:jc w:val="both"/>
        <w:rPr>
          <w:rFonts w:ascii="Arial" w:hAnsi="Arial" w:cs="Arial"/>
        </w:rPr>
      </w:pPr>
      <w:r>
        <w:rPr>
          <w:rFonts w:cs="Arial" w:ascii="Arial" w:hAnsi="Arial"/>
        </w:rPr>
        <w:t>Licenciada en Economía por la Universidad de Santiago de Compostela. Máster en Gestión Pública por la Universidad de Santiago de Compostela. Doctoranda desde 2016 en la Universidad de Santiago de Compostela. Becaria en la Escuela Gallega de Administración Pública.</w:t>
      </w:r>
    </w:p>
    <w:p>
      <w:pPr>
        <w:pStyle w:val="Normal"/>
        <w:jc w:val="both"/>
        <w:rPr>
          <w:rFonts w:ascii="Arial" w:hAnsi="Arial" w:cs="Arial"/>
        </w:rPr>
      </w:pPr>
      <w:r>
        <w:rPr>
          <w:rFonts w:cs="Arial" w:ascii="Arial" w:hAnsi="Arial"/>
        </w:rPr>
        <w:t>Palabras clave: innovación, gobernanza, ciudades, innovación disruptiva, innovación social.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Ttulo2"/>
        <w:rPr>
          <w:rFonts w:ascii="Arial" w:hAnsi="Arial" w:eastAsia="Calibri" w:cs="Arial" w:eastAsiaTheme="minorHAnsi"/>
          <w:color w:val="00000A"/>
          <w:sz w:val="22"/>
          <w:szCs w:val="22"/>
        </w:rPr>
      </w:pPr>
      <w:r>
        <w:rPr>
          <w:rFonts w:eastAsia="Calibri" w:cs="Arial" w:eastAsiaTheme="minorHAnsi" w:ascii="Arial" w:hAnsi="Arial"/>
          <w:color w:val="00000A"/>
          <w:sz w:val="22"/>
          <w:szCs w:val="22"/>
        </w:rPr>
      </w:r>
    </w:p>
    <w:p>
      <w:pPr>
        <w:pStyle w:val="Normal"/>
        <w:rPr/>
      </w:pPr>
      <w:r>
        <w:rPr/>
      </w:r>
    </w:p>
    <w:p>
      <w:pPr>
        <w:pStyle w:val="Normal"/>
        <w:rPr/>
      </w:pPr>
      <w:r>
        <w:rPr/>
      </w:r>
    </w:p>
    <w:p>
      <w:pPr>
        <w:pStyle w:val="ListParagraph"/>
        <w:numPr>
          <w:ilvl w:val="0"/>
          <w:numId w:val="1"/>
        </w:numPr>
        <w:ind w:left="284" w:hanging="284"/>
        <w:rPr>
          <w:rFonts w:ascii="Arial" w:hAnsi="Arial" w:cs="Arial"/>
          <w:b/>
          <w:b/>
        </w:rPr>
      </w:pPr>
      <w:r>
        <w:rPr>
          <w:rFonts w:cs="Arial" w:ascii="Arial" w:hAnsi="Arial"/>
          <w:b/>
        </w:rPr>
        <w:t>Introducción</w:t>
      </w:r>
    </w:p>
    <w:p>
      <w:pPr>
        <w:pStyle w:val="Normal"/>
        <w:spacing w:lineRule="auto" w:line="276"/>
        <w:jc w:val="both"/>
        <w:rPr/>
      </w:pPr>
      <w:r>
        <w:rPr>
          <w:rFonts w:cs="Arial" w:ascii="Arial" w:hAnsi="Arial"/>
        </w:rPr>
        <w:t xml:space="preserve">En las últimas tres décadas, la gobernanza y gestión de las ciudades inteligentes y de aquellas iniciativas de innovación en los espacios urbanos es analizado por estudios e investigaciones realizadas en el ámbito académico e institucional, adquiriendo una relevancia importante en la Ciencia Política. Los diferentes enfoques existentes convierten el fenómeno </w:t>
      </w:r>
      <w:r>
        <w:rPr>
          <w:rFonts w:cs="Arial" w:ascii="Arial" w:hAnsi="Arial"/>
          <w:i/>
        </w:rPr>
        <w:t>smart</w:t>
      </w:r>
      <w:r>
        <w:rPr>
          <w:rFonts w:cs="Arial" w:ascii="Arial" w:hAnsi="Arial"/>
        </w:rPr>
        <w:t xml:space="preserve"> en el centro de atención de las políticas urbanas en multitud de ciudades europeas, donde la gobernanza local adquiere un protagonismo creciente y exponencial.</w:t>
      </w:r>
    </w:p>
    <w:p>
      <w:pPr>
        <w:pStyle w:val="Normal"/>
        <w:spacing w:lineRule="auto" w:line="276"/>
        <w:jc w:val="both"/>
        <w:rPr>
          <w:rFonts w:ascii="Arial" w:hAnsi="Arial" w:cs="Arial"/>
        </w:rPr>
      </w:pPr>
      <w:r>
        <w:rPr>
          <w:rFonts w:cs="Arial" w:ascii="Arial" w:hAnsi="Arial"/>
        </w:rPr>
        <w:t>En este contexto, el debate creado a raíz de determinar los motores y entornos más idóneos o adecuados para el desarrollo efectivo y real de los proyectos de ciudades inteligentes se advierte interesante y enriquecedor. La literatura y las revisiones teóricas realizadas desde finales de los años 90 en relación al complejo proceso de transformación de la ciudad y de los agentes e instituciones implicadas arroja argumentos y conclusiones que perfilan los fundamentos en los que se basa el desarrollo inteligente urbano (neutralidad, eficiencia, sostenibilidad, integración, politización o gobernanza, entre otros).</w:t>
      </w:r>
    </w:p>
    <w:p>
      <w:pPr>
        <w:pStyle w:val="Normal"/>
        <w:spacing w:lineRule="auto" w:line="276"/>
        <w:jc w:val="both"/>
        <w:rPr>
          <w:rFonts w:ascii="Arial" w:hAnsi="Arial" w:cs="Arial"/>
        </w:rPr>
      </w:pPr>
      <w:r>
        <w:rPr>
          <w:rFonts w:cs="Arial" w:ascii="Arial" w:hAnsi="Arial"/>
        </w:rPr>
        <w:t>Así, las líneas rojas o los aspectos más controvertidos y las consideraciones más relevantes de este proceso serán tratados en la ponencia que aquí se propone, a través de una definida revisión teórica y bibliográfica. En esta línea, la comprensión en profundidad de los debates teóricos sobre innovación o nuevas tecnologías implica perspectivas teóricas diferenciadas sobre el papel que debe jugar el gobierno y su aparato administrativo de planificación en el ámbito de la innovación y, por consiguiente, en los proyectos urbanos “smart”.</w:t>
      </w:r>
    </w:p>
    <w:p>
      <w:pPr>
        <w:pStyle w:val="Normal"/>
        <w:jc w:val="both"/>
        <w:rPr>
          <w:rFonts w:ascii="Arial" w:hAnsi="Arial" w:cs="Arial"/>
        </w:rPr>
      </w:pPr>
      <w:r>
        <w:rPr>
          <w:rFonts w:cs="Arial" w:ascii="Arial" w:hAnsi="Arial"/>
        </w:rPr>
        <w:t>El estudio comenzará con una aproximación teórica del concepto de gobernanza y de innovación en el entorno público. En concreto, se profundizará en la definición abstracta de innovación social y el protagonismo que adquieren los gobiernos y su capacidad e ineficiencia-eficiencia de adaptar sus políticas públicas a las dinámicas reales urbanas. En segundo lugar, se analizará la afirmación de que la intervención de los gobiernos y su aparato administrativo para el desarrollo de la innovación es ineludible. A continuación, se trata la innovación disruptiva como fenómeno fundamental de cambio social y el desarrollo de los innovadores catalíticos, así como ejemplos representativos de esta subcategoría.</w:t>
      </w:r>
    </w:p>
    <w:p>
      <w:pPr>
        <w:pStyle w:val="Normal"/>
        <w:jc w:val="both"/>
        <w:rPr>
          <w:rFonts w:ascii="Arial" w:hAnsi="Arial" w:cs="Arial"/>
        </w:rPr>
      </w:pPr>
      <w:r>
        <w:rPr>
          <w:rFonts w:cs="Arial" w:ascii="Arial" w:hAnsi="Arial"/>
        </w:rPr>
        <w:t xml:space="preserve">Todo lo analizado hasta este punto en torno a la innovación se trasladará al ámbito urbano y al desarrollo de las ciudades en un contexto tecnológico y actual marcado por las ciudades inteligentes o más comúnmente conocidas como </w:t>
      </w:r>
      <w:r>
        <w:rPr>
          <w:rFonts w:cs="Arial" w:ascii="Arial" w:hAnsi="Arial"/>
          <w:i/>
        </w:rPr>
        <w:t>smart cities</w:t>
      </w:r>
      <w:r>
        <w:rPr>
          <w:rFonts w:cs="Arial" w:ascii="Arial" w:hAnsi="Arial"/>
        </w:rPr>
        <w:t xml:space="preserve">. </w:t>
      </w:r>
    </w:p>
    <w:p>
      <w:pPr>
        <w:pStyle w:val="Normal"/>
        <w:jc w:val="both"/>
        <w:rPr>
          <w:rFonts w:ascii="Arial" w:hAnsi="Arial" w:cs="Arial"/>
        </w:rPr>
      </w:pPr>
      <w:r>
        <w:rPr>
          <w:rFonts w:cs="Arial" w:ascii="Arial" w:hAnsi="Arial"/>
        </w:rPr>
        <w:t>Por consiguiente, este documento pretende ofrecer una visión teórica de los argumentos y premisas existentes en las corrientes intelectuales a favor de la intervención estatal en el ámbito de la innovación, como propulsora del desarrollo de las ciudades y los espacios urbanos creados en las mismas; todo ello en contraposición a la visión liberal que establece al mercado y a la acción humana como la base del progreso urbano innovador, siendo la acción gubernamental el obstáculo fundamental al desarrollo siempre limitado de las procesos de innovación.</w:t>
      </w:r>
    </w:p>
    <w:p>
      <w:pPr>
        <w:pStyle w:val="ListParagraph"/>
        <w:numPr>
          <w:ilvl w:val="0"/>
          <w:numId w:val="1"/>
        </w:numPr>
        <w:ind w:left="284" w:hanging="284"/>
        <w:jc w:val="both"/>
        <w:rPr>
          <w:rFonts w:ascii="Arial" w:hAnsi="Arial" w:cs="Arial"/>
          <w:b/>
          <w:b/>
        </w:rPr>
      </w:pPr>
      <w:r>
        <w:rPr>
          <w:rFonts w:cs="Arial" w:ascii="Arial" w:hAnsi="Arial"/>
          <w:b/>
        </w:rPr>
        <w:t>La gobernanza en el entorno público</w:t>
      </w:r>
    </w:p>
    <w:p>
      <w:pPr>
        <w:pStyle w:val="Normal"/>
        <w:jc w:val="both"/>
        <w:rPr>
          <w:rFonts w:ascii="Arial" w:hAnsi="Arial" w:cs="Arial"/>
        </w:rPr>
      </w:pPr>
      <w:r>
        <w:rPr>
          <w:rFonts w:cs="Arial" w:ascii="Arial" w:hAnsi="Arial"/>
        </w:rPr>
        <w:t xml:space="preserve">En la actualidad, el concepto gobernanza se ha convertido en un concepto central de las ciencias sociales y, en particular, de aquella literatura que trata de analizar varias cuestiones asociadas con el desarrollo económico (James R. Wilson, 2014). El auge de este concepto coincide con una mayor complejidad de las relaciones socio-económicas y con los procesos de globalización e innovación. </w:t>
      </w:r>
    </w:p>
    <w:p>
      <w:pPr>
        <w:pStyle w:val="Normal"/>
        <w:jc w:val="both"/>
        <w:rPr>
          <w:rFonts w:ascii="Arial" w:hAnsi="Arial" w:cs="Arial"/>
        </w:rPr>
      </w:pPr>
      <w:r>
        <w:rPr>
          <w:rFonts w:cs="Arial" w:ascii="Arial" w:hAnsi="Arial"/>
        </w:rPr>
        <w:t xml:space="preserve">La gobernanza está frecuentemente asociada a debates sobre el papel del gobierno, desde un enfoque limitado de economía política. Por otro lado, también es habitual que se asocie específicamente a la empresa y, por tanto, al concepto de gobernanza corporativa. </w:t>
      </w:r>
    </w:p>
    <w:p>
      <w:pPr>
        <w:pStyle w:val="Normal"/>
        <w:jc w:val="both"/>
        <w:rPr>
          <w:rFonts w:ascii="Arial" w:hAnsi="Arial" w:cs="Arial"/>
        </w:rPr>
      </w:pPr>
      <w:r>
        <w:rPr>
          <w:rFonts w:cs="Arial" w:ascii="Arial" w:hAnsi="Arial"/>
        </w:rPr>
        <w:t>Sin embargo, y como afirma James R. Wilson, si nos referimos a un contexto de una economía en su totalidad, la gobernanza se refiere específicamente a estos procesos de coordinación de decisiones. Así las cosas, no se configura como un concepto de gobierno o de empresa, sino que engloba todas las relaciones existentes en una sociedad, las cuales pueden ser coordinadas de distintas formas donde pueden integrarse la gobernanza corporativa y de gobierno.</w:t>
      </w:r>
    </w:p>
    <w:p>
      <w:pPr>
        <w:pStyle w:val="Normal"/>
        <w:jc w:val="both"/>
        <w:rPr>
          <w:rFonts w:ascii="Arial" w:hAnsi="Arial" w:cs="Arial"/>
        </w:rPr>
      </w:pPr>
      <w:r>
        <w:rPr>
          <w:rFonts w:cs="Arial" w:ascii="Arial" w:hAnsi="Arial"/>
        </w:rPr>
        <w:t>Lo que sí que es indiscutible es que las diversas combinaciones de coordinación de mecanismos de gobernanza suponen implicaciones fundamentales para el desarrollo económico de un territorio, debido a las distintas formas de representar los intereses de los agentes involucrados en el proceso.</w:t>
      </w:r>
    </w:p>
    <w:p>
      <w:pPr>
        <w:pStyle w:val="ListParagraph"/>
        <w:numPr>
          <w:ilvl w:val="0"/>
          <w:numId w:val="1"/>
        </w:numPr>
        <w:ind w:left="284" w:hanging="284"/>
        <w:jc w:val="both"/>
        <w:rPr>
          <w:rFonts w:ascii="Arial" w:hAnsi="Arial" w:cs="Arial"/>
          <w:b/>
          <w:b/>
        </w:rPr>
      </w:pPr>
      <w:r>
        <w:rPr>
          <w:rFonts w:cs="Arial" w:ascii="Arial" w:hAnsi="Arial"/>
          <w:b/>
        </w:rPr>
        <w:t>La innovación y el entorno público</w:t>
      </w:r>
    </w:p>
    <w:p>
      <w:pPr>
        <w:pStyle w:val="Normal"/>
        <w:jc w:val="both"/>
        <w:rPr>
          <w:rFonts w:ascii="Arial" w:hAnsi="Arial" w:cs="Arial"/>
        </w:rPr>
      </w:pPr>
      <w:r>
        <w:rPr>
          <w:rFonts w:cs="Arial" w:ascii="Arial" w:hAnsi="Arial"/>
        </w:rPr>
        <w:t>El nacimiento de entornos y la actuación de motores en la innovación se consideran los recursos conceptuales primarios para entender la lógica y exponer los argumentos necesarios para entender las transformaciones reales e innovadoras que se están dando en las sociedades.</w:t>
      </w:r>
    </w:p>
    <w:p>
      <w:pPr>
        <w:pStyle w:val="Normal"/>
        <w:jc w:val="both"/>
        <w:rPr>
          <w:rFonts w:ascii="Arial" w:hAnsi="Arial" w:cs="Arial"/>
        </w:rPr>
      </w:pPr>
      <w:r>
        <w:rPr>
          <w:rFonts w:cs="Arial" w:ascii="Arial" w:hAnsi="Arial"/>
        </w:rPr>
        <w:t>Todos aquellos estudios realizados sobre innovación y que beben de la corriente y origen schumpeteriana buscan sus raíces en el sector privado y en las prácticas emprendedoras asociadas al mercado y al capitalismo. En los últimos 25 años, estas bases se trasladaron, en primer lugar, al ámbito del management público (Lynn, 1997; Osborne y Brown, 2005 o Moore y Hartley, 2008) y, recientemente, a lo que ahora se conoce como innovación social (Von Hippel, 2005; Bassi, 2011 o Subirats, 2015).</w:t>
      </w:r>
    </w:p>
    <w:p>
      <w:pPr>
        <w:pStyle w:val="Normal"/>
        <w:jc w:val="both"/>
        <w:rPr>
          <w:rFonts w:ascii="Arial" w:hAnsi="Arial" w:cs="Arial"/>
        </w:rPr>
      </w:pPr>
      <w:r>
        <w:rPr>
          <w:rFonts w:cs="Arial" w:ascii="Arial" w:hAnsi="Arial"/>
        </w:rPr>
        <w:t>En un estudio realizado por Quim Brugué, Ismael Blanco y Júlia Boada, donde se analizan los motores y entornos para la innovación en las políticas públicas, se afirma que las Administraciones públicas reflejan el mundo que las rodea y, al mismo tiempo, aspiran a transformarlo, por lo que necesitan que los vínculos existentes entre las Administraciones y los agentes sociales y económicos sean estrechos. En este contexto de intensas transformaciones que se denomina por algunos como un auténtico cambio de época (Subirats, 2011) donde impera la revolución tecnológica.</w:t>
      </w:r>
    </w:p>
    <w:p>
      <w:pPr>
        <w:pStyle w:val="ListParagraph"/>
        <w:numPr>
          <w:ilvl w:val="1"/>
          <w:numId w:val="5"/>
        </w:numPr>
        <w:jc w:val="both"/>
        <w:rPr>
          <w:rFonts w:ascii="Arial" w:hAnsi="Arial" w:cs="Arial"/>
          <w:b/>
          <w:b/>
        </w:rPr>
      </w:pPr>
      <w:r>
        <w:rPr>
          <w:rFonts w:cs="Arial" w:ascii="Arial" w:hAnsi="Arial"/>
          <w:b/>
        </w:rPr>
        <w:t>La innovación social como proceso de cambio urbano</w:t>
      </w:r>
    </w:p>
    <w:p>
      <w:pPr>
        <w:pStyle w:val="Normal"/>
        <w:jc w:val="both"/>
        <w:rPr>
          <w:rFonts w:ascii="Arial" w:hAnsi="Arial" w:cs="Arial"/>
        </w:rPr>
      </w:pPr>
      <w:r>
        <w:rPr>
          <w:rFonts w:cs="Arial" w:ascii="Arial" w:hAnsi="Arial"/>
        </w:rPr>
        <w:t>La innovación en el campo de lo social o lo que ya sabida y comúnmente se conoce como innovación social, posee múltiples definiciones, en las que generalmente se excluye explícitamente aquella innovación que proceda del ámbito mercantil. Además, existen también muy distintos niveles de exigencia a la hora de categorizar una idea o práctica como innovadora. Existe pues, una indefinición de este concepto y los teóricos expertos en esta materia no consideran que sea un tema que lidere la reflexión en el ámbito académico, ya que no se consiguen asentar determinadas evidencias, no solo en los imaginarios sociales, sino en el propio campo científico (Zubero, 2015).</w:t>
      </w:r>
    </w:p>
    <w:p>
      <w:pPr>
        <w:pStyle w:val="Normal"/>
        <w:jc w:val="both"/>
        <w:rPr>
          <w:rFonts w:ascii="Arial" w:hAnsi="Arial" w:cs="Arial"/>
        </w:rPr>
      </w:pPr>
      <w:r>
        <w:rPr>
          <w:rFonts w:cs="Arial" w:ascii="Arial" w:hAnsi="Arial"/>
        </w:rPr>
        <w:t>Partiendo del concepto de innovación, sabemos que el término ha tenido un gran interés para los estudiosos. La innovación es reconocida por muchos como el motor de desarrollo del capitalismo (Montagut, 2013).</w:t>
      </w:r>
    </w:p>
    <w:p>
      <w:pPr>
        <w:pStyle w:val="Normal"/>
        <w:jc w:val="both"/>
        <w:rPr>
          <w:rFonts w:ascii="Arial" w:hAnsi="Arial" w:cs="Arial"/>
        </w:rPr>
      </w:pPr>
      <w:r>
        <w:rPr>
          <w:rFonts w:cs="Arial" w:ascii="Arial" w:hAnsi="Arial"/>
        </w:rPr>
        <w:t>Los sociólogos clásicos, como Durkheim, Simmel o Weber, desde su propia perspectiva, se dedicaron a estudiar como tomaban cuerpo las transformaciones en un determinado orden social. Así, Durkheim (1982) estudió los hechos económicos como hechos sociales y sostuvo que las nuevas condiciones se crean con la división del trabajo. Por su parte, Simmel, sitúa el núcleo de su idea sobre la innovación “en la necesidad de encontrar una fuente de ganancia todavía no agotada” situando los procesos de interacción y aprendizaje en el mercado y más concretamente en las grandes ciudades (Simmel, 1986). La aportación de Weber y su perspectiva social entiende que los cambios sociales no solo tienen su origen en las condiciones de vida que ofrece el sistema, sino que están también influidas por los comportamientos individuales. De este modo, estudió la acción económica en términos dinámicos y evolutivos. A este autor también le debemos su análisis sobre los orígenes del capitalismo y de la modernidad, donde se producirá la innovación como consecuencia de esta dinámica de interacción social (Weber, 1985).</w:t>
      </w:r>
    </w:p>
    <w:p>
      <w:pPr>
        <w:pStyle w:val="Normal"/>
        <w:jc w:val="both"/>
        <w:rPr>
          <w:rFonts w:ascii="Arial" w:hAnsi="Arial" w:cs="Arial"/>
        </w:rPr>
      </w:pPr>
      <w:r>
        <w:rPr>
          <w:rFonts w:cs="Arial" w:ascii="Arial" w:hAnsi="Arial"/>
        </w:rPr>
        <w:t>Así las cosas, lo que estos y otros autores clásicos aportaron al estudio de los cambios sociales está íntimamente relacionado con la innovación.</w:t>
      </w:r>
    </w:p>
    <w:p>
      <w:pPr>
        <w:pStyle w:val="Normal"/>
        <w:jc w:val="both"/>
        <w:rPr>
          <w:rFonts w:ascii="Arial" w:hAnsi="Arial" w:cs="Arial"/>
        </w:rPr>
      </w:pPr>
      <w:r>
        <w:rPr>
          <w:rFonts w:cs="Arial" w:ascii="Arial" w:hAnsi="Arial"/>
        </w:rPr>
        <w:t>Otras disciplinas también contribuyeron con aportaciones relevantes sobre los procesos de innovación y cambio social. Desde la economía, debemos destacar la contribución de Joseph A. Schumpeter, que desarrolló una teoría de innovación aplicada al estudio de los procesos económicos. Para este teórico, la clave del desarrollo se encuentra en la innovación, que es inseparable de la labor del empresario (Schumpeter, 1976).</w:t>
      </w:r>
    </w:p>
    <w:p>
      <w:pPr>
        <w:pStyle w:val="Normal"/>
        <w:jc w:val="both"/>
        <w:rPr>
          <w:rFonts w:ascii="Arial" w:hAnsi="Arial" w:cs="Arial"/>
        </w:rPr>
      </w:pPr>
      <w:r>
        <w:rPr>
          <w:rFonts w:cs="Arial" w:ascii="Arial" w:hAnsi="Arial"/>
        </w:rPr>
        <w:t>La innovación en el ámbito social y sus aproximaciones dominantes recurren a fórmulas exhortativas, sin llegar a ser definiciones fundadas, como se denota en afirmaciones como “nuevas ideas que satisfagan necesidades insatisfechas” o “servicios y actividades innovadoras que estén motivadas por el objetivo de satisfacer una necesidad social y que se desarrollan y difunden por organizaciones que tengan propósitos sociales”. Estas definiciones son tan imprecisas como erróneas.</w:t>
      </w:r>
    </w:p>
    <w:p>
      <w:pPr>
        <w:pStyle w:val="Normal"/>
        <w:jc w:val="both"/>
        <w:rPr>
          <w:rFonts w:ascii="Arial" w:hAnsi="Arial" w:cs="Arial"/>
        </w:rPr>
      </w:pPr>
      <w:r>
        <w:rPr>
          <w:rFonts w:cs="Arial" w:ascii="Arial" w:hAnsi="Arial"/>
        </w:rPr>
        <w:t>Buztin realiza un interesante trabajo de revisión crítica del creciente cuerpo de literatura científica en torno a la innovación social, campo que considera insuficientemente codificado y sin un conjunto común de fundamentos teóricos, ni un acuerdo sobre evidencias o relaciones causales entre fenómenos (Butzin, 2014).</w:t>
      </w:r>
    </w:p>
    <w:p>
      <w:pPr>
        <w:pStyle w:val="Normal"/>
        <w:jc w:val="both"/>
        <w:rPr>
          <w:rFonts w:ascii="Arial" w:hAnsi="Arial" w:cs="Arial"/>
        </w:rPr>
      </w:pPr>
      <w:r>
        <w:rPr>
          <w:rFonts w:cs="Arial" w:ascii="Arial" w:hAnsi="Arial"/>
        </w:rPr>
        <w:t>Esta crítica realizada por Butzin no parece mal encaminada, ya que, si observamos el término innovación social, este siempre se encuentra acompañado de otros que están cargados de valor: desarrollo, progreso, mejora, evolución o transformación. Debemos considerar, pues, qué conceptos de esta magnitud emanan de la acción de los agentes que forman parte del día a día en la vida de las ciudades o de los espacios de interacción de los individuos.</w:t>
      </w:r>
    </w:p>
    <w:p>
      <w:pPr>
        <w:pStyle w:val="Normal"/>
        <w:jc w:val="both"/>
        <w:rPr>
          <w:rFonts w:ascii="Arial" w:hAnsi="Arial" w:cs="Arial"/>
        </w:rPr>
      </w:pPr>
      <w:r>
        <w:rPr>
          <w:rFonts w:cs="Arial" w:ascii="Arial" w:hAnsi="Arial"/>
        </w:rPr>
        <w:t>La inexactitud para establecer los fundamentos de este término demuestra que el proceso de innovación social, su estructura y sus fundamentos se construyen en base a las interacciones humanas (comerciales, voluntarias, empresariales, etc.) que dependen en gran parte, de las variables culturales, geográficas, económicas y políticas de cada territorio.</w:t>
      </w:r>
    </w:p>
    <w:p>
      <w:pPr>
        <w:pStyle w:val="Normal"/>
        <w:jc w:val="both"/>
        <w:rPr>
          <w:rFonts w:ascii="Arial" w:hAnsi="Arial" w:cs="Arial"/>
        </w:rPr>
      </w:pPr>
      <w:r>
        <w:rPr>
          <w:rFonts w:cs="Arial" w:ascii="Arial" w:hAnsi="Arial"/>
        </w:rPr>
        <w:t>Así, la gobernanza y la intervención estatal no debe considerarse el motor de la innovación o del desarrollo económico y social cuando entran en juego conceptos tan subjetivos y amplios. Sin embargo, en el contexto actual los gobiernos tienen la obligación de adaptarse para perpetuar su control y persistir como un agente protagonista en las prácticas innovadoras que surjan en las sociedades.</w:t>
      </w:r>
    </w:p>
    <w:p>
      <w:pPr>
        <w:pStyle w:val="ListParagraph"/>
        <w:numPr>
          <w:ilvl w:val="0"/>
          <w:numId w:val="1"/>
        </w:numPr>
        <w:ind w:left="284" w:hanging="284"/>
        <w:jc w:val="both"/>
        <w:rPr>
          <w:rFonts w:ascii="Arial" w:hAnsi="Arial" w:cs="Arial"/>
        </w:rPr>
      </w:pPr>
      <w:r>
        <w:rPr>
          <w:rFonts w:cs="Arial" w:ascii="Arial" w:hAnsi="Arial"/>
          <w:b/>
        </w:rPr>
        <w:t>La idea del estado innovador ¿Motor u obstáculo?</w:t>
      </w:r>
    </w:p>
    <w:p>
      <w:pPr>
        <w:pStyle w:val="Normal"/>
        <w:jc w:val="both"/>
        <w:rPr>
          <w:rFonts w:ascii="Arial" w:hAnsi="Arial" w:cs="Arial"/>
        </w:rPr>
      </w:pPr>
      <w:r>
        <w:rPr>
          <w:rFonts w:cs="Arial" w:ascii="Arial" w:hAnsi="Arial"/>
        </w:rPr>
        <w:t>Las políticas públicas y más concretamente todas aquellas políticas industriales que se han ido desarrollando a lo largo de la historia se perciben por algunos autores como acciones imprescindibles y necesarias para el progreso económico y social. Los argumentos a favor de la necesidad imperiosa de que los gobiernos sean los que provean y controlen la direccionalidad de las inversiones y del crecimiento perciben la falta de reconocimiento de la labor del Estado en impulsar la innovación como una amenaza para el aumento de la prosperidad, lo que puede ralentizar el ritmo de la innovación (Wolf, 2013).</w:t>
      </w:r>
    </w:p>
    <w:p>
      <w:pPr>
        <w:pStyle w:val="Normal"/>
        <w:jc w:val="both"/>
        <w:rPr>
          <w:rFonts w:ascii="Arial" w:hAnsi="Arial" w:cs="Arial"/>
        </w:rPr>
      </w:pPr>
      <w:r>
        <w:rPr>
          <w:rFonts w:cs="Arial" w:ascii="Arial" w:hAnsi="Arial"/>
        </w:rPr>
        <w:t xml:space="preserve">En torno a la idea del Estado como ente imprescindible para el progreso y prosperidad económica, nos encontramos la teoría desarrollada en la tan controvertida y “revolucionaria” obra </w:t>
      </w:r>
      <w:r>
        <w:rPr>
          <w:rFonts w:cs="Arial" w:ascii="Arial" w:hAnsi="Arial"/>
          <w:i/>
        </w:rPr>
        <w:t>El Estado emprendedor</w:t>
      </w:r>
      <w:r>
        <w:rPr>
          <w:rFonts w:cs="Arial" w:ascii="Arial" w:hAnsi="Arial"/>
        </w:rPr>
        <w:t xml:space="preserve"> de Mariana Mazzucato, que en la actualidad se define por muchos como una nueva perspectiva o enfoque del papel proactivo e imprescindible que debe tomar el Estado en la innovación. Así, Mazzucato asienta su argumento en la necesidad de que sea el gobierno quien provea la direccionalidad de las inversiones en I+D. Por ello, afirma que no se puede garantizar un crecimiento basado en la innovación si el sector público no es el motor o la clave de ese proceso.</w:t>
      </w:r>
    </w:p>
    <w:p>
      <w:pPr>
        <w:pStyle w:val="Normal"/>
        <w:jc w:val="both"/>
        <w:rPr>
          <w:rFonts w:ascii="Arial" w:hAnsi="Arial" w:cs="Arial"/>
        </w:rPr>
      </w:pPr>
      <w:r>
        <w:rPr>
          <w:rFonts w:cs="Arial" w:ascii="Arial" w:hAnsi="Arial"/>
        </w:rPr>
        <w:t>En realidad, su enfoque no debe considerarse novedoso. Otros autores como Uselding ya han argumentado en los años 90 que el gobierno federal ha sido el que alentó las innovaciones y su difusión en la mayor parte de nuestra historia (Uselding, 1993). A pesar de que la idea no es nueva, esta economista no sólo considera que la intervención del Estado sea propicia, sino que es estrictamente necesaria para la innovación.</w:t>
      </w:r>
    </w:p>
    <w:p>
      <w:pPr>
        <w:pStyle w:val="Normal"/>
        <w:jc w:val="both"/>
        <w:rPr>
          <w:rFonts w:ascii="Arial" w:hAnsi="Arial" w:cs="Arial"/>
        </w:rPr>
      </w:pPr>
      <w:r>
        <w:rPr>
          <w:rFonts w:cs="Arial" w:ascii="Arial" w:hAnsi="Arial"/>
        </w:rPr>
        <w:t>A pesar de que la idea generalizada y latente en las sociedades y entre muchos teóricos es que la política industrial es el motor de la innovación, cuando nos centramos, por ejemplo, en la revolución y desarrollo del ferrocarril es evidente que los grandes proyectos contemporáneos, como los trenes de alta velocidad, son financiados por los gobiernos, pero es importante tener en cuenta que lo que se considera innovación en el sector del ferrocarril es obra del sector privado. De hecho, los ferrocarriles de Italia, Estados Unidos e Inglaterra, que se consideran pioneros, fueron nacionalizados, lo que sugiere que el gobierno no era un inversionista temprano en compañías ferroviarias.</w:t>
      </w:r>
    </w:p>
    <w:p>
      <w:pPr>
        <w:pStyle w:val="Normal"/>
        <w:jc w:val="both"/>
        <w:rPr>
          <w:rFonts w:ascii="Arial" w:hAnsi="Arial" w:cs="Arial"/>
        </w:rPr>
      </w:pPr>
      <w:r>
        <w:rPr>
          <w:rFonts w:cs="Arial" w:ascii="Arial" w:hAnsi="Arial"/>
        </w:rPr>
        <w:t xml:space="preserve">Aunque la afirmación que se sostiene en los argumentos a favor del papel prioritario y fundamental del gobierno en la gestión de la innovación de un territorio defiende un estado fuerte que produzca una economía innovadora, es necesario analizarlo teniendo en cuenta factores y contextos más allá de las evidencias de los últimos 50 años. Así las cosas, es fundamental analizar qué fue lo acontecido en el siglo XIX en torno al financiamiento y desarrollo de la industrialización y las innovaciones que en ese momento tuvieron lugar, como muestra la crítica a la obra de Mazzucato elaborada por Alberto Mingardi u otros autores de corte liberal que argumentaron y analizaron las deficiencias que implica la planificación en la innovación. </w:t>
      </w:r>
    </w:p>
    <w:p>
      <w:pPr>
        <w:pStyle w:val="Normal"/>
        <w:jc w:val="both"/>
        <w:rPr>
          <w:rFonts w:ascii="Arial" w:hAnsi="Arial" w:cs="Arial"/>
        </w:rPr>
      </w:pPr>
      <w:r>
        <w:rPr>
          <w:rFonts w:cs="Arial" w:ascii="Arial" w:hAnsi="Arial"/>
        </w:rPr>
        <w:t>Por consiguiente, si nos centramos en la revolución industrial que tuvo lugar en Gran Bretaña, se puede observar que el gasto del gobierno se destinó a proporcionar la defensa nacional y a financiar guerras. Muchos autores que han estudiado la historia económica de Inglaterra han expuesto datos que demuestran que el Estado no subvencionó muchas de las industrias que estaban emergiendo y que provocaron la revolución y que, por lo tanto, su papel fue mínimo en comparativa con países como Japón o Alemania (Mingardi, 2015).</w:t>
      </w:r>
    </w:p>
    <w:p>
      <w:pPr>
        <w:pStyle w:val="Normal"/>
        <w:jc w:val="both"/>
        <w:rPr>
          <w:rFonts w:ascii="Arial" w:hAnsi="Arial" w:cs="Arial"/>
        </w:rPr>
      </w:pPr>
      <w:r>
        <w:rPr>
          <w:rFonts w:cs="Arial" w:ascii="Arial" w:hAnsi="Arial"/>
        </w:rPr>
        <w:t>Por el contrario, otros historiadores</w:t>
      </w:r>
      <w:r>
        <w:rPr>
          <w:rStyle w:val="Ancladenotaalpie"/>
          <w:rFonts w:cs="Arial" w:ascii="Arial" w:hAnsi="Arial"/>
        </w:rPr>
        <w:footnoteReference w:id="2"/>
      </w:r>
      <w:r>
        <w:rPr>
          <w:rFonts w:cs="Arial" w:ascii="Arial" w:hAnsi="Arial"/>
        </w:rPr>
        <w:t xml:space="preserve"> afirman que el Estado británico fomentó el crecimiento económico mediante políticas comerciales proteccionistas y mercantilistas. En este punto destacan la protección a la agricultura a través de las Leyes de Granos, los aranceles a la importación de productos siderúrgicos, subsidios a la exportación en determinados sectores, abolición de aranceles a las exportaciones de bienes industriales o la prohibición de que los trabajadores cualificados fueran contratados en otros países.</w:t>
      </w:r>
    </w:p>
    <w:p>
      <w:pPr>
        <w:pStyle w:val="Normal"/>
        <w:jc w:val="both"/>
        <w:rPr>
          <w:rFonts w:ascii="Arial" w:hAnsi="Arial" w:cs="Arial"/>
        </w:rPr>
      </w:pPr>
      <w:r>
        <w:rPr>
          <w:rFonts w:cs="Arial" w:ascii="Arial" w:hAnsi="Arial"/>
        </w:rPr>
        <w:t>Uno de los argumentos con más peso que niega la capacidad de los Estados y gobiernos de asignar eficientemente los recursos en una sociedad, es la imposibilidad del cálculo económico racional en un sistema económico socialista. En este punto, es imprescindible tener en cuenta la teoría desarrollada por la escuela de pensamiento austríaca e iniciada por algunos de los teóricos más representativos de esta corriente: Ludwing von Mises, Friedrich von Hayek y, en la actualidad, Jesús Huerta de Soto.</w:t>
      </w:r>
    </w:p>
    <w:p>
      <w:pPr>
        <w:pStyle w:val="Normal"/>
        <w:jc w:val="both"/>
        <w:rPr>
          <w:rFonts w:ascii="Arial" w:hAnsi="Arial" w:cs="Arial"/>
        </w:rPr>
      </w:pPr>
      <w:r>
        <w:rPr>
          <w:rFonts w:cs="Arial" w:ascii="Arial" w:hAnsi="Arial"/>
        </w:rPr>
        <w:t>El principal problema que plantea Mises es la imposibilidad del órgano de planificación central de hacerse con toda la información necesaria para coordinar la sociedad. Concretamente, esta información es subjetiva, se encuentra dispersa y no es articulable, por lo que no puede transferirse correctamente a ningún órgano central; además, explica que la misma intervención del Estado destruye y distorsiona tanto la información que se va creando en una sociedad como los mecanismos a través de los que se transmite la misma (los precios de mercado).</w:t>
      </w:r>
    </w:p>
    <w:p>
      <w:pPr>
        <w:pStyle w:val="Normal"/>
        <w:jc w:val="both"/>
        <w:rPr>
          <w:rFonts w:ascii="Arial" w:hAnsi="Arial" w:cs="Arial"/>
        </w:rPr>
      </w:pPr>
      <w:r>
        <w:rPr>
          <w:rFonts w:cs="Arial" w:ascii="Arial" w:hAnsi="Arial"/>
        </w:rPr>
        <w:t>En esta línea, otro de los teóricos más influyentes de la corriente de pensamiento austríaco, Friedrich von Hayek, plantea por primera vez en un artículo titulado “El uso del conocimiento en la sociedad” que el sistema de precios se establece a través de un desarrollo social que resulta de la evolución y no del diseño deliberado. Este sistema de precios es el encargado de detectar y transmitir la información económica que se encuentra dispersa y fragmentada entre miles de millones de individuos. Emerge así la teoría de que los procesos de mercado son métodos de transmisión y utilización del conocimiento (Hayek,1945).</w:t>
      </w:r>
    </w:p>
    <w:p>
      <w:pPr>
        <w:pStyle w:val="Normal"/>
        <w:jc w:val="both"/>
        <w:rPr>
          <w:rFonts w:ascii="Arial" w:hAnsi="Arial" w:cs="Arial"/>
        </w:rPr>
      </w:pPr>
      <w:r>
        <w:rPr>
          <w:rFonts w:cs="Arial" w:ascii="Arial" w:hAnsi="Arial"/>
        </w:rPr>
        <w:t>El análisis realizado en ese artículo arroja argumentos interesantes, sólidos y que plantean una reflexión en torno al papel protagonista del Estado en el desarrollo de las políticas públicas que dirigen el rumbo y funcionamiento de las sociedades y los espacios de interactuación entre los agentes implicados. Así, Hayek, parte de que los datos de los cuales se origina el cálculo económico no son nunca dados, ya que existen multitud de elementos dispersos de conocimiento incompleto y en poder de individuos diferentes. Desde esta premisa se deduce el problema de cómo lograr el mejor uso de los recursos conocidos para fines cuya importancia relativa solo conocen ellos. Nos encontramos, pues, con una mala interpretación de la naturaleza del problema económico de la sociedad.</w:t>
      </w:r>
    </w:p>
    <w:p>
      <w:pPr>
        <w:pStyle w:val="Normal"/>
        <w:jc w:val="both"/>
        <w:rPr>
          <w:rFonts w:ascii="Arial" w:hAnsi="Arial" w:cs="Arial"/>
        </w:rPr>
      </w:pPr>
      <w:r>
        <w:rPr>
          <w:rFonts w:cs="Arial" w:ascii="Arial" w:hAnsi="Arial"/>
        </w:rPr>
        <w:t>Como afirma Hayek, utilizamos el término planificación para describir un conjunto de decisiones interrelacionadas relativas a la asignación de nuestros recursos disponibles. En este sentido, toda actividad económica es planificación. Sin embargo, el economista austríaco sostiene que, en toda sociedad en la que participan muchas personas, esta planificación –sea quien sea quien la realice- tendrá que basarse en el conocimiento que no es dado al planificador o planificadores y que deberá ser comunicado a éste de algún modo, pero, ¿Cómo determinar cuál es la mejor forma de utilizar el conocimiento inicialmente disperso?</w:t>
      </w:r>
    </w:p>
    <w:p>
      <w:pPr>
        <w:pStyle w:val="Normal"/>
        <w:jc w:val="both"/>
        <w:rPr>
          <w:rFonts w:ascii="Arial" w:hAnsi="Arial" w:cs="Arial"/>
        </w:rPr>
      </w:pPr>
      <w:r>
        <w:rPr>
          <w:rFonts w:cs="Arial" w:ascii="Arial" w:hAnsi="Arial"/>
        </w:rPr>
        <w:t>Para responder a esa pregunta, primero es preciso determinar quién se hará cargo de esa planificación y si ésta deberá ser efectuada de un modo centralizado o si debe dividirse entre numerosos individuos.</w:t>
      </w:r>
    </w:p>
    <w:p>
      <w:pPr>
        <w:pStyle w:val="Normal"/>
        <w:jc w:val="both"/>
        <w:rPr>
          <w:rFonts w:ascii="Arial" w:hAnsi="Arial" w:cs="Arial"/>
        </w:rPr>
      </w:pPr>
      <w:r>
        <w:rPr>
          <w:rFonts w:cs="Arial" w:ascii="Arial" w:hAnsi="Arial"/>
        </w:rPr>
        <w:t>El término planificación en la historia reciente se ha relacionado íntimamente con la planificación central, es decir, la dirección de todo sistema económico conforme a un plan unificado. A esto se le añade la visión generaliza de que el conocimiento científico es la suma de todo el conocimiento. Sin embargo, en la actualidad no es posible sostener esta afirmación.</w:t>
      </w:r>
    </w:p>
    <w:p>
      <w:pPr>
        <w:pStyle w:val="Normal"/>
        <w:jc w:val="both"/>
        <w:rPr>
          <w:rFonts w:ascii="Arial" w:hAnsi="Arial" w:cs="Arial"/>
        </w:rPr>
      </w:pPr>
      <w:r>
        <w:rPr>
          <w:rFonts w:cs="Arial" w:ascii="Arial" w:hAnsi="Arial"/>
        </w:rPr>
        <w:t>A pesar de que como afirma Hayek, el conocimiento a disposición de una autoridad constituida por expertos- o el considerado conocimiento científico-se encuentra en mejor posición, existen otros tipos de conocimiento que no pueden denominarse como tal, en el sentido de conocimiento de reglas generales. Este es el denominado conocimiento de las circunstancias particulares de tiempo y lugar.</w:t>
      </w:r>
    </w:p>
    <w:p>
      <w:pPr>
        <w:pStyle w:val="Normal"/>
        <w:jc w:val="both"/>
        <w:rPr>
          <w:rFonts w:ascii="Arial" w:hAnsi="Arial" w:cs="Arial"/>
        </w:rPr>
      </w:pPr>
      <w:r>
        <w:rPr>
          <w:rFonts w:cs="Arial" w:ascii="Arial" w:hAnsi="Arial"/>
        </w:rPr>
        <w:t>En todos los ámbitos de la vida, lo realmente valioso es el conocimiento de las personas, las condiciones locales y las circunstancias específicas. Por consiguiente, el hecho de sacar una ventaja de un mejor conocimiento de los medios de comunicación o de transporte y hacer uso de las mejores oportunidades es tan importante como los descubrimientos científicos que puedan darse.</w:t>
      </w:r>
    </w:p>
    <w:p>
      <w:pPr>
        <w:pStyle w:val="Normal"/>
        <w:jc w:val="both"/>
        <w:rPr>
          <w:rFonts w:ascii="Arial" w:hAnsi="Arial" w:cs="Arial"/>
        </w:rPr>
      </w:pPr>
      <w:r>
        <w:rPr>
          <w:rFonts w:cs="Arial" w:ascii="Arial" w:hAnsi="Arial"/>
        </w:rPr>
        <w:t>La tendencia a minimizar la importancia del conocimiento de las circunstancias particulares de tiempo y lugar, con el objetivo claro –que posee el Estado- de estandarizar comportamientos y actuaciones, está estrechamente relacionado con la menor importancia que se le concede al cambio en sí, ya que en la medida en la que las cosas “siguen igual” no surgen nuevos problemas que requieran decisiones complejas o imprevistas. Sin lugar a dudas este razonamiento se convierte en la justificación clave para considerar a los estados obstáculos en la innovación.</w:t>
      </w:r>
    </w:p>
    <w:p>
      <w:pPr>
        <w:pStyle w:val="ListParagraph"/>
        <w:numPr>
          <w:ilvl w:val="0"/>
          <w:numId w:val="1"/>
        </w:numPr>
        <w:ind w:left="284" w:hanging="284"/>
        <w:jc w:val="both"/>
        <w:rPr>
          <w:rFonts w:ascii="Arial" w:hAnsi="Arial" w:cs="Arial"/>
        </w:rPr>
      </w:pPr>
      <w:r>
        <w:rPr>
          <w:rFonts w:cs="Arial" w:ascii="Arial" w:hAnsi="Arial"/>
          <w:b/>
        </w:rPr>
        <w:t>La innovación disruptiva y los innovadores catalíticos</w:t>
      </w:r>
    </w:p>
    <w:p>
      <w:pPr>
        <w:pStyle w:val="Normal"/>
        <w:jc w:val="both"/>
        <w:rPr>
          <w:rFonts w:ascii="Arial" w:hAnsi="Arial" w:cs="Arial"/>
        </w:rPr>
      </w:pPr>
      <w:r>
        <w:rPr>
          <w:rFonts w:cs="Arial" w:ascii="Arial" w:hAnsi="Arial"/>
        </w:rPr>
        <w:t>La innovación disruptiva para el cambio social es una de las premisas defendidas y analizadas por numerosos autores expertos en innovación tecnológica y desarrollo empresarial, siendo Clayton Christensen su mayor precursor.</w:t>
      </w:r>
    </w:p>
    <w:p>
      <w:pPr>
        <w:pStyle w:val="Normal"/>
        <w:jc w:val="both"/>
        <w:rPr>
          <w:rFonts w:ascii="Arial" w:hAnsi="Arial" w:cs="Arial"/>
        </w:rPr>
      </w:pPr>
      <w:r>
        <w:rPr>
          <w:rFonts w:cs="Arial" w:ascii="Arial" w:hAnsi="Arial"/>
        </w:rPr>
        <w:t>El método que este gran teórico defiende y promulga es lo que se denomina innovación disruptiva. El objetivo de este tipo de innovación es desafiar a los actores ya establecidos en una industria ofreciendo alternativas simples y suficientemente buenas a problemas de las sociedades que están siendo inadecuadamente abordados.</w:t>
      </w:r>
    </w:p>
    <w:p>
      <w:pPr>
        <w:pStyle w:val="Normal"/>
        <w:jc w:val="both"/>
        <w:rPr>
          <w:rFonts w:ascii="Arial" w:hAnsi="Arial" w:cs="Arial"/>
        </w:rPr>
      </w:pPr>
      <w:r>
        <w:rPr>
          <w:rFonts w:cs="Arial" w:ascii="Arial" w:hAnsi="Arial"/>
        </w:rPr>
        <w:t>En el espectro de innovaciones disruptivas que se han llevado a cabo se puede identificar un subconjunto de estas que son denominadas innovaciones catalíticas. Estas se distinguen por poner su foco principal en el cambio social.</w:t>
      </w:r>
    </w:p>
    <w:p>
      <w:pPr>
        <w:pStyle w:val="Normal"/>
        <w:jc w:val="both"/>
        <w:rPr>
          <w:rFonts w:ascii="Arial" w:hAnsi="Arial" w:cs="Arial"/>
        </w:rPr>
      </w:pPr>
      <w:r>
        <w:rPr>
          <w:rFonts w:cs="Arial" w:ascii="Arial" w:hAnsi="Arial"/>
        </w:rPr>
        <w:t>Para comenzar a desarrollar este método e idea de cambio, los autores que lo han analizado</w:t>
      </w:r>
      <w:r>
        <w:rPr>
          <w:rStyle w:val="Ancladenotaalpie"/>
          <w:rFonts w:cs="Arial" w:ascii="Arial" w:hAnsi="Arial"/>
        </w:rPr>
        <w:footnoteReference w:id="3"/>
      </w:r>
      <w:r>
        <w:rPr>
          <w:rFonts w:cs="Arial" w:ascii="Arial" w:hAnsi="Arial"/>
        </w:rPr>
        <w:t xml:space="preserve"> dividen las innovaciones que se dan en los diferentes sectores de una sociedad en dos categorías: las sustentadoras y las disruptivas. La mayoría de las innovaciones que se detectan son sustentadoras, es decir, proveen de mejor calidad o funcionalidad adicional a los clientes o usuarios más exigentes. Se configuran como mejoras incrementales o como productos o servicios más revolucionarios.</w:t>
      </w:r>
    </w:p>
    <w:p>
      <w:pPr>
        <w:pStyle w:val="Normal"/>
        <w:jc w:val="both"/>
        <w:rPr>
          <w:rFonts w:ascii="Arial" w:hAnsi="Arial" w:cs="Arial"/>
        </w:rPr>
      </w:pPr>
      <w:r>
        <w:rPr>
          <w:rFonts w:cs="Arial" w:ascii="Arial" w:hAnsi="Arial"/>
        </w:rPr>
        <w:t xml:space="preserve">Por otra parte, y en contraste, las innovaciones disruptivas no satisfacen las necesidades de los clientes tanto o más satisfactoriamente como los servidores o productores ya establecidos -o incluso carecen de ciertas funciones o capacidades- pero, sin embargo, son generalmente más simples y menos costosas, por lo que atraen a nuevos clientes, quizás menos exigentes. </w:t>
      </w:r>
    </w:p>
    <w:p>
      <w:pPr>
        <w:pStyle w:val="Normal"/>
        <w:jc w:val="both"/>
        <w:rPr>
          <w:rFonts w:ascii="Arial" w:hAnsi="Arial" w:cs="Arial"/>
        </w:rPr>
      </w:pPr>
      <w:r>
        <w:rPr>
          <w:rFonts w:cs="Arial" w:ascii="Arial" w:hAnsi="Arial"/>
        </w:rPr>
        <w:t>Algunos ejemplos claros de este tipo de innovaciones son los vuelos de bajo costo o los ordenadores personales. De todos modos, los autores afirman que en la mayoría de los casos de innovaciones disruptivas estas son no intencionales; es decir, se configuran como subproductos que surgen de perseguir una oportunidad de negocio. En el caso concreto de las innovaciones catalíticas, el cambio social es el objetivo fundamental y lo que las diferencia, configurándose como un subconjunto dentro de las innovaciones disruptivas.</w:t>
      </w:r>
    </w:p>
    <w:p>
      <w:pPr>
        <w:pStyle w:val="Normal"/>
        <w:jc w:val="both"/>
        <w:rPr>
          <w:rFonts w:ascii="Arial" w:hAnsi="Arial" w:cs="Arial"/>
        </w:rPr>
      </w:pPr>
      <w:r>
        <w:rPr>
          <w:rFonts w:cs="Arial" w:ascii="Arial" w:hAnsi="Arial"/>
        </w:rPr>
        <w:t xml:space="preserve">La implantación y consecución de innovaciones catalíticas se perciben como el hecho de que se quiera ofrecer un producto más simple, menos caro o más asequible, lo que puede provocar que los actores en ese sector se sientan saboteados y es casi imposible que se quiera perturbar el </w:t>
      </w:r>
      <w:r>
        <w:rPr>
          <w:rFonts w:cs="Arial" w:ascii="Arial" w:hAnsi="Arial"/>
          <w:i/>
        </w:rPr>
        <w:t>statu quo</w:t>
      </w:r>
      <w:r>
        <w:rPr>
          <w:rFonts w:cs="Arial" w:ascii="Arial" w:hAnsi="Arial"/>
        </w:rPr>
        <w:t>. Por consiguiente, las innovaciones catalíticas probablemente provengan de un contexto o escenario externo al grupo de actores ya establecido en el negocio.</w:t>
      </w:r>
    </w:p>
    <w:p>
      <w:pPr>
        <w:pStyle w:val="Normal"/>
        <w:jc w:val="both"/>
        <w:rPr>
          <w:rFonts w:ascii="Arial" w:hAnsi="Arial" w:cs="Arial"/>
        </w:rPr>
      </w:pPr>
      <w:r>
        <w:rPr>
          <w:rFonts w:cs="Arial" w:ascii="Arial" w:hAnsi="Arial"/>
        </w:rPr>
        <w:t>Las innovaciones catalíticas tienen cinco cualidades fundamentales:</w:t>
      </w:r>
    </w:p>
    <w:p>
      <w:pPr>
        <w:pStyle w:val="ListParagraph"/>
        <w:numPr>
          <w:ilvl w:val="0"/>
          <w:numId w:val="2"/>
        </w:numPr>
        <w:jc w:val="both"/>
        <w:rPr>
          <w:rFonts w:ascii="Arial" w:hAnsi="Arial" w:cs="Arial"/>
        </w:rPr>
      </w:pPr>
      <w:r>
        <w:rPr>
          <w:rFonts w:cs="Arial" w:ascii="Arial" w:hAnsi="Arial"/>
        </w:rPr>
        <w:t>General cambios sociales sistémicos mediante el escalamiento y la repetición o reiteración.</w:t>
      </w:r>
    </w:p>
    <w:p>
      <w:pPr>
        <w:pStyle w:val="ListParagraph"/>
        <w:numPr>
          <w:ilvl w:val="0"/>
          <w:numId w:val="2"/>
        </w:numPr>
        <w:jc w:val="both"/>
        <w:rPr>
          <w:rFonts w:ascii="Arial" w:hAnsi="Arial" w:cs="Arial"/>
        </w:rPr>
      </w:pPr>
      <w:r>
        <w:rPr>
          <w:rFonts w:cs="Arial" w:ascii="Arial" w:hAnsi="Arial"/>
        </w:rPr>
        <w:t>Satisfacen una necesidad que puede ser que esté siendo atendida en exceso, porque la solución existente es más compleja de lo que requieren los individuos, o bien no está siendo atendida en absoluto.</w:t>
      </w:r>
    </w:p>
    <w:p>
      <w:pPr>
        <w:pStyle w:val="ListParagraph"/>
        <w:numPr>
          <w:ilvl w:val="0"/>
          <w:numId w:val="2"/>
        </w:numPr>
        <w:jc w:val="both"/>
        <w:rPr>
          <w:rFonts w:ascii="Arial" w:hAnsi="Arial" w:cs="Arial"/>
        </w:rPr>
      </w:pPr>
      <w:r>
        <w:rPr>
          <w:rFonts w:cs="Arial" w:ascii="Arial" w:hAnsi="Arial"/>
        </w:rPr>
        <w:t>Ofrecen productos y servicios más simples y menos costosos que las alternativas existentes. Pueden ser percibidos como de menor desempeño o rigor, pero los usurarios los consideran lo suficientemente satisfactorios.</w:t>
      </w:r>
    </w:p>
    <w:p>
      <w:pPr>
        <w:pStyle w:val="ListParagraph"/>
        <w:numPr>
          <w:ilvl w:val="0"/>
          <w:numId w:val="2"/>
        </w:numPr>
        <w:jc w:val="both"/>
        <w:rPr>
          <w:rFonts w:ascii="Arial" w:hAnsi="Arial" w:cs="Arial"/>
        </w:rPr>
      </w:pPr>
      <w:r>
        <w:rPr>
          <w:rFonts w:cs="Arial" w:ascii="Arial" w:hAnsi="Arial"/>
        </w:rPr>
        <w:t>Generan recursos como donaciones, becas, voluntarios o capital intelectual que inicialmente son poco atractivos para los competidores ya establecidos.</w:t>
      </w:r>
    </w:p>
    <w:p>
      <w:pPr>
        <w:pStyle w:val="ListParagraph"/>
        <w:numPr>
          <w:ilvl w:val="0"/>
          <w:numId w:val="2"/>
        </w:numPr>
        <w:jc w:val="both"/>
        <w:rPr>
          <w:rFonts w:ascii="Arial" w:hAnsi="Arial" w:cs="Arial"/>
        </w:rPr>
      </w:pPr>
      <w:r>
        <w:rPr>
          <w:rFonts w:cs="Arial" w:ascii="Arial" w:hAnsi="Arial"/>
        </w:rPr>
        <w:t>Son, a menudo, ignorados o menospreciados para quienes ese modelo no le resulta rentable, y se retiran o evitan ese segmento de mercado.</w:t>
      </w:r>
    </w:p>
    <w:p>
      <w:pPr>
        <w:pStyle w:val="Normal"/>
        <w:jc w:val="both"/>
        <w:rPr>
          <w:rFonts w:ascii="Arial" w:hAnsi="Arial" w:cs="Arial"/>
        </w:rPr>
      </w:pPr>
      <w:r>
        <w:rPr>
          <w:rFonts w:cs="Arial" w:ascii="Arial" w:hAnsi="Arial"/>
        </w:rPr>
        <w:t>En muchas ocasiones se dispone el régimen tributario de una organización – es decir, si se configuran como organizaciones con fines de lucro o no- para medir la capacidad de generar cambios sociales positivos. La realidad muestra que las organizaciones pueden crear innovaciones catalíticas independientemente de su estructura de propiedad.</w:t>
      </w:r>
    </w:p>
    <w:p>
      <w:pPr>
        <w:pStyle w:val="Normal"/>
        <w:jc w:val="both"/>
        <w:rPr>
          <w:rFonts w:ascii="Arial" w:hAnsi="Arial" w:cs="Arial"/>
          <w:b/>
          <w:b/>
        </w:rPr>
      </w:pPr>
      <w:r>
        <w:rPr>
          <w:rFonts w:cs="Arial" w:ascii="Arial" w:hAnsi="Arial"/>
          <w:b/>
        </w:rPr>
        <w:t>4.1. Algunos ejemplos de innovaciones catalíticas</w:t>
      </w:r>
    </w:p>
    <w:p>
      <w:pPr>
        <w:pStyle w:val="Normal"/>
        <w:jc w:val="both"/>
        <w:rPr>
          <w:rFonts w:ascii="Arial" w:hAnsi="Arial" w:cs="Arial"/>
        </w:rPr>
      </w:pPr>
      <w:r>
        <w:rPr>
          <w:rFonts w:cs="Arial" w:ascii="Arial" w:hAnsi="Arial"/>
        </w:rPr>
        <w:t>Los siguientes ejemplos que se exponen muestran la estrategia de innovación catalítica a través de acciones ejecutadas en el ámbito sanitario y en el de los seguros, en el de la educación, en el campo financiero a través de los microcréditos o en el relativo a la movilidad.</w:t>
      </w:r>
    </w:p>
    <w:p>
      <w:pPr>
        <w:pStyle w:val="Normal"/>
        <w:jc w:val="both"/>
        <w:rPr>
          <w:rFonts w:ascii="Arial" w:hAnsi="Arial" w:cs="Arial"/>
        </w:rPr>
      </w:pPr>
      <w:r>
        <w:rPr>
          <w:rFonts w:cs="Arial" w:ascii="Arial" w:hAnsi="Arial"/>
        </w:rPr>
        <w:t>Las innovaciones catalíticas en el campo sanitario permiten que se puedan tratar a pacientes más graves con tecnologías y terapias más avanzadas, así como se llevan a cabo inversiones de productos o servicios más simples que son asequibles a una población más amplia. MinuteClinic se configuró como un innovador catalítico a través de la implantación de clínicas ambulatorias en Estados Unidos. En sus clínicas ofrecía diagnósticos ambulatorios rápidos, asequibles y tratamientos para problemas comunes de salud, así como vacunas. En su organización emplean enfermeras practicantes provistas de protocolos basados en rutinas y reglas estrictas que aseguran un servicio consistente. Debido a que el servicio que ofrece MinuteClinic es más barato que una visita de un médico, para muchas personas que no disponen de un seguro y además son más convenientes para aquellas que sí que disponen de seguro, el modelo posee el potencial de ofrecer atención básica a muchos individuos que de otra forma tendría un acceso limitado.</w:t>
      </w:r>
    </w:p>
    <w:p>
      <w:pPr>
        <w:pStyle w:val="Normal"/>
        <w:jc w:val="both"/>
        <w:rPr>
          <w:rFonts w:ascii="Arial" w:hAnsi="Arial" w:cs="Arial"/>
        </w:rPr>
      </w:pPr>
      <w:r>
        <w:rPr>
          <w:rFonts w:cs="Arial" w:ascii="Arial" w:hAnsi="Arial"/>
        </w:rPr>
        <w:t>Otro ejemplo en relación a la atención sanitaria que se puede extraer de la obra La cuarta revolución: la carrera global para reinvertar el estado de los autores John Micklethwait y Adrian Wooldridge y que supone una práctica de innovación catalítica en la desarrollada en los hospitales Shetty en Bangalore, la capital del estado indio de Karnataka. Estos hospitales, especializados en cirugía cardíaca consiguen, a través de nuevos métodos de organización y gestión hospitalaria pulverizar los costes de las operaciones, que millones de personas accedan a los servicios médicos de altas prestaciones por un precio razonable.</w:t>
      </w:r>
    </w:p>
    <w:p>
      <w:pPr>
        <w:pStyle w:val="Normal"/>
        <w:jc w:val="both"/>
        <w:rPr>
          <w:rFonts w:ascii="Arial" w:hAnsi="Arial" w:cs="Arial"/>
        </w:rPr>
      </w:pPr>
      <w:r>
        <w:rPr>
          <w:rFonts w:cs="Arial" w:ascii="Arial" w:hAnsi="Arial"/>
        </w:rPr>
        <w:t>La organización sin fines de lucro Freelancers Unión, supuso una innovación catalítica en la provisión de seguros de salud de bajo costo y otros servicios a individuos que trabajan como freelancers, consultores, contratistas independientes, temporeros y aquellos que son trabajadores autónomos en el área de Nueva York, que por su condición de trabajadores independientes no tienen acceso a los seguros de salud normalizados en esta ciudad. Así, son capaces de ofrecer seguros integrales de salud a precios un 30% o un 40% más bajos que las aseguradoras tradicionales. A lo largo de los años desde su fundación en 1995, han ganado poder de negociación con su compañía de seguros, lo que le permite continuar rebajando las primas.</w:t>
      </w:r>
    </w:p>
    <w:p>
      <w:pPr>
        <w:pStyle w:val="Normal"/>
        <w:jc w:val="both"/>
        <w:rPr>
          <w:rFonts w:ascii="Arial" w:hAnsi="Arial" w:cs="Arial"/>
        </w:rPr>
      </w:pPr>
      <w:r>
        <w:rPr>
          <w:rFonts w:cs="Arial" w:ascii="Arial" w:hAnsi="Arial"/>
        </w:rPr>
        <w:t>Las innovaciones catalíticas en el campo de la educación permiten una gana más amplia de formación de calidad, accesible para personas que de otro modo tendrían un acceso nulo o limitado a ciertos tipos de contenidos o a la obtención de títulos. En este sentido, la aparición del aprendizaje online también se considera un ejemplo de este tipo de innovación, como son los casos, en la formación universitaria, de Coursera o la Academia Khan, que se configuran como nuevas formas de enseñanza, a través de la cual los alumnos pueden acceder a través de internet y de forma gratuita a clases en directo o grabadas, ordenadas y estructuradas en forma de cursos especializados –cursos MOOC- y grados universitarios. Mediante esta modalidad formativa millones de personas puede acceder a clases magistrales y a enseñanzas impartidas por lo mejores profesores del mundo. En el ámbito de la enseñanza preuniversitaria también existen ejemplos como pueden ser Virtual High School o Apex Learning. A través de estas plataformas, por una parte, se permite a las escuelas ofrecer cursos con un coste considerablemente menor de lo que supondría una clase presencial, a la vez que brindan oportunidades de formación a estudiantes que de otra forma no podría acceder.</w:t>
      </w:r>
    </w:p>
    <w:p>
      <w:pPr>
        <w:pStyle w:val="Normal"/>
        <w:jc w:val="both"/>
        <w:rPr>
          <w:rFonts w:ascii="Arial" w:hAnsi="Arial" w:cs="Arial"/>
        </w:rPr>
      </w:pPr>
      <w:r>
        <w:rPr>
          <w:rFonts w:cs="Arial" w:ascii="Arial" w:hAnsi="Arial"/>
        </w:rPr>
        <w:t>En relación al desarrollo económico de los territorios, organizaciones como el Banco Mundial o el Fondo Monetario Internacional son entendidas como instituciones que actúan para promover el progreso económico aplicando recursos a una escala y alcance inigualables para las economías en desarrollo. Sin embargo, la aparición de las organizaciones de microcrédito como es el caso de Gramenn Bank en Blangadesh, que han adoptado un enfoque diferente ofreciendo posibilidades financieras a emprendedores que –por diferentes motivos- no son atendidos o tienen el acceso limitado por los bancos convencionales, han provocado un impacto global de gran magnitud. La gran relevancia del microcrédito no sólo supone una innovación catalítica en sí misma por posibilitar que millones de personas reciban crédito mediante este enfoque, sino porque su principal poder se encuentra en su capacidad para permitir el surgimiento de otras innovaciones catalíticas.</w:t>
      </w:r>
    </w:p>
    <w:p>
      <w:pPr>
        <w:pStyle w:val="Normal"/>
        <w:jc w:val="both"/>
        <w:rPr>
          <w:rFonts w:ascii="Arial" w:hAnsi="Arial" w:cs="Arial"/>
        </w:rPr>
      </w:pPr>
      <w:r>
        <w:rPr>
          <w:rFonts w:cs="Arial" w:ascii="Arial" w:hAnsi="Arial"/>
        </w:rPr>
        <w:t>Por ultimo destacar el papel que ahora mismo ocupa en el ámbito de la movilidad la organización Uber, una startup que comenzó a desarrollar su proyecto en torno idea fundamental de usar la tecnología para poner en contacto conductores y pasajeros para moverse juntos por la ciudad, con el objetivo de mejorar la vida en las ciudades, reducir el tráfico y promover modelos de movilidad más sostenibles y menos costosos para los ciudadanos. Es preciso considerar que Uber y todas aquellas plataformas online están permitiendo la interacción entre los distintos agentes de un entorno urbano para mejorar, agilizar y ampliar las capacidades y medios de movilidad a través de la colaboración voluntaria y pactada por las partes interesadas.</w:t>
      </w:r>
    </w:p>
    <w:p>
      <w:pPr>
        <w:pStyle w:val="Normal"/>
        <w:jc w:val="both"/>
        <w:rPr>
          <w:rFonts w:ascii="Arial" w:hAnsi="Arial" w:cs="Arial"/>
          <w:b/>
          <w:b/>
        </w:rPr>
      </w:pPr>
      <w:r>
        <w:rPr>
          <w:rFonts w:cs="Arial" w:ascii="Arial" w:hAnsi="Arial"/>
          <w:b/>
        </w:rPr>
        <w:t>4.2. El desarrollo innovador catalítico y los desafíos de la gobernanza en la interacción social urbana</w:t>
      </w:r>
    </w:p>
    <w:p>
      <w:pPr>
        <w:pStyle w:val="Normal"/>
        <w:jc w:val="both"/>
        <w:rPr>
          <w:rFonts w:ascii="Arial" w:hAnsi="Arial" w:cs="Arial"/>
        </w:rPr>
      </w:pPr>
      <w:r>
        <w:rPr>
          <w:rFonts w:cs="Arial" w:ascii="Arial" w:hAnsi="Arial"/>
        </w:rPr>
        <w:t xml:space="preserve">El desarrollo de estas y otras prácticas innovadoras, que no han precisado de ningún tipo de intervención estatal, han supuesto una ruptura con el modelo de servicio sanitario, educativo o de movilidad imperante hasta el momento cumpliendo las características de los innovadores catalíticos mencionados anteriormente. </w:t>
      </w:r>
    </w:p>
    <w:p>
      <w:pPr>
        <w:pStyle w:val="Normal"/>
        <w:jc w:val="both"/>
        <w:rPr>
          <w:rFonts w:ascii="Arial" w:hAnsi="Arial" w:cs="Arial"/>
        </w:rPr>
      </w:pPr>
      <w:r>
        <w:rPr>
          <w:rFonts w:cs="Arial" w:ascii="Arial" w:hAnsi="Arial"/>
        </w:rPr>
        <w:t xml:space="preserve">Ante el contexto actual los desafíos de la Administración y de los gobernantes a la hora de hacer política son evidentes. Por lo que se puede deducir que, a medio plazo, todas las estructuras tradicionales sobre las que descansan las políticas públicas de los gobiernos se ven y verán afectadas por la ya denominada economía colaborativa. Si los gobiernos y sus sistemas administrativos se mantuvieran al margen llevarían a sus sociedades al estancamiento dejando de ser competitivas. </w:t>
      </w:r>
    </w:p>
    <w:p>
      <w:pPr>
        <w:pStyle w:val="Normal"/>
        <w:jc w:val="both"/>
        <w:rPr>
          <w:rFonts w:ascii="Arial" w:hAnsi="Arial" w:cs="Arial"/>
        </w:rPr>
      </w:pPr>
      <w:r>
        <w:rPr>
          <w:rFonts w:cs="Arial" w:ascii="Arial" w:hAnsi="Arial"/>
        </w:rPr>
        <w:t>Es preciso, entonces, tener en cuenta que la expansión de las tecnologías de la información y la comunicación, y todos aquellos recursos o servicios que puedan generarse en torno a las mismas y que generan procesos de innovación, empoderan al individuo, es decir, a todos los agentes que poseen distintas capacidades y conocimientos en el desarrollo de los espacios de interacción en las sociedades –que no tienen por qué ser necesariamente físicos- y en todos aquellos bienes y servicios que se proveen en los mercados.</w:t>
      </w:r>
    </w:p>
    <w:p>
      <w:pPr>
        <w:pStyle w:val="Normal"/>
        <w:jc w:val="both"/>
        <w:rPr>
          <w:rFonts w:ascii="Arial" w:hAnsi="Arial" w:cs="Arial"/>
        </w:rPr>
      </w:pPr>
      <w:r>
        <w:rPr>
          <w:rFonts w:cs="Arial" w:ascii="Arial" w:hAnsi="Arial"/>
        </w:rPr>
        <w:t>Se generan dos implicaciones importantes:</w:t>
      </w:r>
    </w:p>
    <w:p>
      <w:pPr>
        <w:pStyle w:val="ListParagraph"/>
        <w:numPr>
          <w:ilvl w:val="0"/>
          <w:numId w:val="3"/>
        </w:numPr>
        <w:jc w:val="both"/>
        <w:rPr>
          <w:rFonts w:ascii="Arial" w:hAnsi="Arial" w:cs="Arial"/>
        </w:rPr>
      </w:pPr>
      <w:r>
        <w:rPr>
          <w:rFonts w:cs="Arial" w:ascii="Arial" w:hAnsi="Arial"/>
        </w:rPr>
        <w:t>La adaptación de los gobiernos multinivel y su paulatina transformación a través de la consecución de políticas públicas adaptadas a la realidad social, cultural, tecnológica y económica empodera a los aparatos de intervención estatal, asumiendo de forma generalizada que la acción de los gobiernos es imprescindible para el desarrollo de prácticas innovadoras.</w:t>
      </w:r>
    </w:p>
    <w:p>
      <w:pPr>
        <w:pStyle w:val="ListParagraph"/>
        <w:numPr>
          <w:ilvl w:val="0"/>
          <w:numId w:val="3"/>
        </w:numPr>
        <w:jc w:val="both"/>
        <w:rPr>
          <w:rFonts w:ascii="Arial" w:hAnsi="Arial" w:cs="Arial"/>
        </w:rPr>
      </w:pPr>
      <w:r>
        <w:rPr>
          <w:rFonts w:cs="Arial" w:ascii="Arial" w:hAnsi="Arial"/>
        </w:rPr>
        <w:t>Además, el peso que genera la idea de que el sector público no debe quedarse atrás en este proceso, implica la “necesidad” de que los gobiernos adapten su aparato administrativo y de gestión al ámbito de las tecnologías de información y la comunicación y de que intervengan –a través de tributos, regulación o licencias- para disponer “según el interés común”. En este punto, la consecuencia más inmediata es la ya comentada por la corriente de pensamiento liberal: la intervención y la planificación centralizada de la innovación provoca limitaciones e impide el desarrollo efectivo de los procesos de innovación que puedan surgir, a través del orden espontáneo, en los distintos entornos y espacios públicos de interacción de las sociedades.</w:t>
      </w:r>
    </w:p>
    <w:p>
      <w:pPr>
        <w:pStyle w:val="ListParagraph"/>
        <w:jc w:val="both"/>
        <w:rPr>
          <w:rFonts w:ascii="Arial" w:hAnsi="Arial" w:cs="Arial"/>
        </w:rPr>
      </w:pPr>
      <w:r>
        <w:rPr>
          <w:rFonts w:cs="Arial" w:ascii="Arial" w:hAnsi="Arial"/>
        </w:rPr>
      </w:r>
    </w:p>
    <w:p>
      <w:pPr>
        <w:pStyle w:val="ListParagraph"/>
        <w:numPr>
          <w:ilvl w:val="0"/>
          <w:numId w:val="1"/>
        </w:numPr>
        <w:ind w:left="284" w:hanging="284"/>
        <w:jc w:val="both"/>
        <w:rPr>
          <w:rFonts w:ascii="Arial" w:hAnsi="Arial" w:cs="Arial"/>
          <w:b/>
          <w:b/>
        </w:rPr>
      </w:pPr>
      <w:r>
        <w:rPr>
          <w:rFonts w:cs="Arial" w:ascii="Arial" w:hAnsi="Arial"/>
          <w:b/>
        </w:rPr>
        <w:t>La ciudad, los espacios urbanos y la innovación</w:t>
      </w:r>
    </w:p>
    <w:p>
      <w:pPr>
        <w:pStyle w:val="Normal"/>
        <w:jc w:val="both"/>
        <w:rPr>
          <w:rFonts w:ascii="Arial" w:hAnsi="Arial" w:cs="Arial"/>
        </w:rPr>
      </w:pPr>
      <w:r>
        <w:rPr>
          <w:rFonts w:cs="Arial" w:ascii="Arial" w:hAnsi="Arial"/>
        </w:rPr>
        <w:t>Si nos centramos en el estudio de las ciudades y en aquellos espacios urbanos en los que se llevan a cabo las interacciones entre los distintos agentes de las distintas comunidades que se desarrollan, observamos el papel dominante que ejercen los gobiernos locales o regionales ante la incorporación de procesos de innovación y toma de decisiones a través de las políticas públicas, más concretamente las urbanas.</w:t>
      </w:r>
    </w:p>
    <w:p>
      <w:pPr>
        <w:pStyle w:val="Normal"/>
        <w:jc w:val="both"/>
        <w:rPr>
          <w:rFonts w:ascii="Arial" w:hAnsi="Arial" w:cs="Arial"/>
        </w:rPr>
      </w:pPr>
      <w:r>
        <w:rPr>
          <w:rFonts w:cs="Arial" w:ascii="Arial" w:hAnsi="Arial"/>
        </w:rPr>
        <w:t>Teniendo en cuenta que los medios tecnológicos urbanos están teniendo un papel más importante en nuestra vida urbana diaria es importante no sólo definir bien los ideales urbanos a los que se tienden, sino saber qué significado y relevancia tienen todos estos medios tecnológicos para las sociedades urbanas.</w:t>
      </w:r>
    </w:p>
    <w:p>
      <w:pPr>
        <w:pStyle w:val="Normal"/>
        <w:jc w:val="both"/>
        <w:rPr>
          <w:rFonts w:ascii="Arial" w:hAnsi="Arial" w:cs="Arial"/>
        </w:rPr>
      </w:pPr>
      <w:r>
        <w:rPr>
          <w:rFonts w:cs="Arial" w:ascii="Arial" w:hAnsi="Arial"/>
        </w:rPr>
        <w:t>La posibilidad de buscar información sobre nuestro entorno, -como cafeterías, restaurantes o cajeros automáticos-; la generalización de sistemas de navegación en los medios de transporte, con información actualizada del tráfico registrado que nos pueda permitir evitar atascos; o las redes sociales o profesionales que ayudan a informar en tiempo real de lo que ocurre, donde te ubicas o que ofertas laborales hay cerca de ti son algunos de los ejemplos más cercanos de medios tecnológicos urbanos que influye de un modo u otro en cómo percibimos los espacios físicos.</w:t>
      </w:r>
    </w:p>
    <w:p>
      <w:pPr>
        <w:pStyle w:val="Normal"/>
        <w:jc w:val="both"/>
        <w:rPr>
          <w:rFonts w:ascii="Arial" w:hAnsi="Arial" w:cs="Arial"/>
        </w:rPr>
      </w:pPr>
      <w:r>
        <w:rPr>
          <w:rFonts w:cs="Arial" w:ascii="Arial" w:hAnsi="Arial"/>
        </w:rPr>
        <w:t>Por ello, la tecnología digital está cada vez más ligada a nuestra vida diaria. Gracias a la tecnología y a lo que aporta el desarrollo software en nuestras vidas se convierten en más útiles, más agradables y más cómodas. A la vez este tipo de sistemas innovadores y tecnológicos también nos garantizan que nuestras ciudades serán más seguras, más sostenibles y más eficaces.</w:t>
      </w:r>
    </w:p>
    <w:p>
      <w:pPr>
        <w:pStyle w:val="Normal"/>
        <w:jc w:val="both"/>
        <w:rPr>
          <w:rFonts w:ascii="Arial" w:hAnsi="Arial" w:cs="Arial"/>
        </w:rPr>
      </w:pPr>
      <w:r>
        <w:rPr>
          <w:rFonts w:cs="Arial" w:ascii="Arial" w:hAnsi="Arial"/>
        </w:rPr>
        <w:t>Phil Agre, investigador americano de estudios de comunicación argumenta que “La tecnología en la actualidad es filosofía encubierta” y el reto está en hacerla “más abiertamente filosófica”. Así, por una parte, la tecnología encierra una idea de cómo debería ser el mundo ideal, pero por otra parte esa misma tecnología también puede intervenir e interviene en nuestro día a día y es capaz de cambiar de un modo radical nuestra experiencia del mundo y la idea que tenemos sobre él.</w:t>
      </w:r>
    </w:p>
    <w:p>
      <w:pPr>
        <w:pStyle w:val="Normal"/>
        <w:jc w:val="both"/>
        <w:rPr>
          <w:rFonts w:ascii="Arial" w:hAnsi="Arial" w:cs="Arial"/>
          <w:b/>
          <w:b/>
        </w:rPr>
      </w:pPr>
      <w:r>
        <w:rPr>
          <w:rFonts w:cs="Arial" w:ascii="Arial" w:hAnsi="Arial"/>
          <w:b/>
        </w:rPr>
        <w:t>5.1. Los ideales urbanos</w:t>
      </w:r>
    </w:p>
    <w:p>
      <w:pPr>
        <w:pStyle w:val="Normal"/>
        <w:jc w:val="both"/>
        <w:rPr>
          <w:rFonts w:ascii="Arial" w:hAnsi="Arial" w:cs="Arial"/>
        </w:rPr>
      </w:pPr>
      <w:r>
        <w:rPr>
          <w:rFonts w:cs="Arial" w:ascii="Arial" w:hAnsi="Arial"/>
        </w:rPr>
        <w:t>Así las cosas, es importante precisar cuáles pueden ser los ideales urbanos ocultos en la tecnología, así como definir el significado que tienen todos los nuevos medios de comunicación para, especialmente, las sociedades urbanas.</w:t>
      </w:r>
    </w:p>
    <w:p>
      <w:pPr>
        <w:pStyle w:val="Normal"/>
        <w:jc w:val="both"/>
        <w:rPr>
          <w:rFonts w:ascii="Arial" w:hAnsi="Arial" w:cs="Arial"/>
        </w:rPr>
      </w:pPr>
      <w:r>
        <w:rPr>
          <w:rFonts w:cs="Arial" w:ascii="Arial" w:hAnsi="Arial"/>
        </w:rPr>
        <w:t>Por ejemplo, podemos observar como el teléfono móvil se ha convertido una herramienta que se emplea para personalizar la experiencia urbana (aplicaciones que recomiendan restaurantes o tiendas que se ajustan al perfil del usuario). Sin embargo, este planteamiento tiene sus críticas, que argumentan que, pese a que los medios tecnológicos nos permiten hacer más fácil la vida del consumidor, pueden suponer al mismo tiempo una amenaza para la sociedad urbana en su conjunto ya que es cuestionable que los ciudadanos continúen relacionándose en su entorno físico y por ello continúen participando de una vida comunitaria. Otra opinión no tan pesimista es la que concibe el aumento de los medios digitales y telefónicos como herramientas que otorgan a los habitantes de las ciudades un mayor control sobre sus vidas urbanas, como consumidores y como ciudadanos.</w:t>
      </w:r>
    </w:p>
    <w:p>
      <w:pPr>
        <w:pStyle w:val="Normal"/>
        <w:jc w:val="both"/>
        <w:rPr>
          <w:rFonts w:ascii="Arial" w:hAnsi="Arial" w:cs="Arial"/>
        </w:rPr>
      </w:pPr>
      <w:r>
        <w:rPr>
          <w:rFonts w:cs="Arial" w:ascii="Arial" w:hAnsi="Arial"/>
        </w:rPr>
        <w:t>Esta última concepción de la tecnología en las ciudades es la pronunciada por los defensores de la ciudad social -como el ensayista americano Andrew Blum-, que sostienen que los medios electrónicos pueden tener un papel fundamental en el desarrollo de vínculos en las distintas comunidades y espacios urbanos.</w:t>
      </w:r>
    </w:p>
    <w:p>
      <w:pPr>
        <w:pStyle w:val="Normal"/>
        <w:jc w:val="both"/>
        <w:rPr>
          <w:rFonts w:ascii="Arial" w:hAnsi="Arial" w:cs="Arial"/>
        </w:rPr>
      </w:pPr>
      <w:r>
        <w:rPr>
          <w:rFonts w:cs="Arial" w:ascii="Arial" w:hAnsi="Arial"/>
        </w:rPr>
        <w:t>Haciendo una revisión de la literatura (Martijn de Vaal, 2015) en este ámbito podemos deducir que de estas dos perspectivas ante la tecnología aplicada a la vida en la ciudad subyacen tres ideales urbanos básicos sobre el modo en que debe funcionar una comunidad urbana:</w:t>
      </w:r>
    </w:p>
    <w:p>
      <w:pPr>
        <w:pStyle w:val="ListParagraph"/>
        <w:numPr>
          <w:ilvl w:val="0"/>
          <w:numId w:val="4"/>
        </w:numPr>
        <w:jc w:val="both"/>
        <w:rPr>
          <w:rFonts w:ascii="Arial" w:hAnsi="Arial" w:cs="Arial"/>
        </w:rPr>
      </w:pPr>
      <w:r>
        <w:rPr>
          <w:rFonts w:cs="Arial" w:ascii="Arial" w:hAnsi="Arial"/>
        </w:rPr>
        <w:t>La ciudad liberal: basada en el ideal de la ciudad como mercado. Los individuos dirigen sus vidas libremente y son usuarios y consumidores de varios servicios. Aquí la ciudad actúa como una plataforma en la que concurren la oferta y la demanda de los distintos servicios o sectores. Siguiendo esta visión nos encontramos que se identifican dos deficiencias a la hora de estudiar o analizar la viabilidad y éxito de esta ideología urbana: los aspectos políticos y culturales de la ciudad pueden pasar a un segundo plano al considerarse asuntos privados y las ciudades libres se consideran un lugar donde los ciudadanos no tendrían prácticamente obligaciones o responsabilidades recíprocas.</w:t>
      </w:r>
    </w:p>
    <w:p>
      <w:pPr>
        <w:pStyle w:val="ListParagraph"/>
        <w:numPr>
          <w:ilvl w:val="0"/>
          <w:numId w:val="4"/>
        </w:numPr>
        <w:jc w:val="both"/>
        <w:rPr>
          <w:rFonts w:ascii="Arial" w:hAnsi="Arial" w:cs="Arial"/>
        </w:rPr>
      </w:pPr>
      <w:r>
        <w:rPr>
          <w:rFonts w:cs="Arial" w:ascii="Arial" w:hAnsi="Arial"/>
        </w:rPr>
        <w:t>La ciudad republicana: se concibe como aquella que proporciona la libertad necesaria para elegir entre diferentes estilos de vida, pero al mismo tiempo, los individuos comparten la responsabilidad de la ciudad en su totalidad. En este ideal urbano no se considera aceptable que un ciudadano se aísle por completo de la comunidad y de la sociedad urbana.</w:t>
      </w:r>
    </w:p>
    <w:p>
      <w:pPr>
        <w:pStyle w:val="ListParagraph"/>
        <w:numPr>
          <w:ilvl w:val="0"/>
          <w:numId w:val="4"/>
        </w:numPr>
        <w:jc w:val="both"/>
        <w:rPr>
          <w:rFonts w:ascii="Arial" w:hAnsi="Arial" w:cs="Arial"/>
        </w:rPr>
      </w:pPr>
      <w:r>
        <w:rPr>
          <w:rFonts w:cs="Arial" w:ascii="Arial" w:hAnsi="Arial"/>
        </w:rPr>
        <w:t>Por último, estaría la ciudad comunitaria, en la que todos sus habitantes comparten, en mayor o menor grado, el mismo estilo de vida. Este enfoque pone el énfasis en la identidad común del colectivo y no del individuo.</w:t>
      </w:r>
    </w:p>
    <w:p>
      <w:pPr>
        <w:pStyle w:val="Normal"/>
        <w:jc w:val="both"/>
        <w:rPr>
          <w:rFonts w:ascii="Arial" w:hAnsi="Arial" w:cs="Arial"/>
        </w:rPr>
      </w:pPr>
      <w:r>
        <w:rPr>
          <w:rFonts w:cs="Arial" w:ascii="Arial" w:hAnsi="Arial"/>
        </w:rPr>
        <w:t>Estas tres categorías de ciudades mencionadas no se encuentran claramente definidas en la realidad, sino que se solapan unas con otras dando lugar a otras categorías consideradas intermedias.</w:t>
      </w:r>
    </w:p>
    <w:p>
      <w:pPr>
        <w:pStyle w:val="Normal"/>
        <w:jc w:val="both"/>
        <w:rPr>
          <w:rFonts w:ascii="Arial" w:hAnsi="Arial" w:cs="Arial"/>
        </w:rPr>
      </w:pPr>
      <w:r>
        <w:rPr>
          <w:rFonts w:cs="Arial" w:ascii="Arial" w:hAnsi="Arial"/>
        </w:rPr>
        <w:t>En la actualidad se puede observar como la mayoría de los medios tecnológicos urbanos tienden hacia el ideal urbano liberal; con su énfasis en la eficacia y en la personalización, consideran a los ciudadanos consumidores individuales y aumentan la libertad de organizar sus vidas en función de sus propias expectativas.</w:t>
      </w:r>
    </w:p>
    <w:p>
      <w:pPr>
        <w:pStyle w:val="Normal"/>
        <w:jc w:val="both"/>
        <w:rPr>
          <w:rFonts w:ascii="Arial" w:hAnsi="Arial" w:cs="Arial"/>
        </w:rPr>
      </w:pPr>
      <w:r>
        <w:rPr>
          <w:rFonts w:cs="Arial" w:ascii="Arial" w:hAnsi="Arial"/>
        </w:rPr>
        <w:t>Se concibe el ideal urbano republicano como el correcto: la sociedad comunitaria resulta demasiado coactiva, al garantizar una libertad individual muy reducida, y la ciudad que funciona como un mercado ofrece un amplio margen de libertad, pero esta es consideraba exenta de compromiso. Esta afirmación es errónea ya que la libertad individual no exime de la responsabilidad asociada a las acciones que ejerzan los individuos al interactuar con el resto. Una ciudad bajo el ideal liberal no puede ser considerada nunca como un espacio libre de reglas o normas de convivencia, que emanan de la misma interactuación espontánea de los individuos que viven en comunidad o que ejercen sus actividades en espacios comunes.</w:t>
      </w:r>
    </w:p>
    <w:p>
      <w:pPr>
        <w:pStyle w:val="Normal"/>
        <w:jc w:val="both"/>
        <w:rPr>
          <w:rFonts w:ascii="Arial" w:hAnsi="Arial" w:cs="Arial"/>
        </w:rPr>
      </w:pPr>
      <w:r>
        <w:rPr>
          <w:rFonts w:cs="Arial" w:ascii="Arial" w:hAnsi="Arial"/>
        </w:rPr>
        <w:t>Martijn de Waal en su estudio sobre los ideales urbanos, caracteriza a una ciudad republicana con características propias de una ciudad libertaria o que se desarrolle en base a los principios de libertad individual. Y es que este investigador define los espacios públicos urbanos desde el ideal republicano como “lugares donde confluyen personas de diferentes orígenes con libertad de mercado, pero no libres de responsabilidad, sino que son zonas en las que cada individuo puede estar englobado en un todo mayor, a pesar de las diferencias entre individuos”. Como el afirma en ese mismo estudio, “después de todo, aquellos que usan la libertad de los principios liberales para aislarse podrían acabar en un mundo comunitario”. Sin embargo, la caracterización exacta de una ciudad que se perfila bajo un ideario liberal sería un debate muy fructífero pero independiente al tema que nos ocupa.</w:t>
      </w:r>
    </w:p>
    <w:p>
      <w:pPr>
        <w:pStyle w:val="Normal"/>
        <w:jc w:val="both"/>
        <w:rPr>
          <w:rFonts w:ascii="Arial" w:hAnsi="Arial" w:cs="Arial"/>
        </w:rPr>
      </w:pPr>
      <w:r>
        <w:rPr>
          <w:rFonts w:cs="Arial" w:ascii="Arial" w:hAnsi="Arial"/>
        </w:rPr>
        <w:t>De todas formas, es importante no olvidar que los espacios públicos urbanos se definen como puntos de encuentro entre los habitantes donde se desarrolla la confianza mutua, donde se resuelven los conflictos y donde los ciudadanos se relacionan unos con otros necesariamente. Además, la forma en la que los medios tecnológicos y las innovaciones urbanas intervienen en este proceso también determina la dirección en la que se desarrollan las ciudades.</w:t>
      </w:r>
    </w:p>
    <w:p>
      <w:pPr>
        <w:pStyle w:val="Normal"/>
        <w:jc w:val="both"/>
        <w:rPr>
          <w:rFonts w:ascii="Arial" w:hAnsi="Arial" w:cs="Arial"/>
        </w:rPr>
      </w:pPr>
      <w:r>
        <w:rPr>
          <w:rFonts w:cs="Arial" w:ascii="Arial" w:hAnsi="Arial"/>
        </w:rPr>
        <w:t>Existen multitud de argumentos con respecto a la clase de encuentros y mezclas culturales que pueden darse en las ciudades y en sus espacios. Para el filósofo alemán Habermas en que el siglo XVII aparece una espera pública política que se establecía en los cafés ingleses, donde los ciudadanos creaban un espacio de discusión y debate, que no se identificaba con el gobierno o con la burguesía, sino con el libre ejercicio de la crítica que emergía como un contrapoder.  También los bulevares de París a finales del siglo XIX son considerados como espacios públicos por autores como Charles Baudelaire. Explica como los burgueses que se paseaban por los bulevares compartían el espacio con otros individuos procedentes de barrios pobres, lo que provocaba que estos lugares se convirtieran en zonas donde los habitantes eran conscientes de la existencia de otros. En este punto, el filósofo Marshall Berman defiende que incluso los bulevares de París o San Petersburgo ayudaron en el aumento de una conciencia de clases (Berman, 1987).</w:t>
      </w:r>
    </w:p>
    <w:p>
      <w:pPr>
        <w:pStyle w:val="Normal"/>
        <w:jc w:val="both"/>
        <w:rPr>
          <w:rFonts w:ascii="Arial" w:hAnsi="Arial" w:cs="Arial"/>
        </w:rPr>
      </w:pPr>
      <w:r>
        <w:rPr>
          <w:rFonts w:cs="Arial" w:ascii="Arial" w:hAnsi="Arial"/>
        </w:rPr>
        <w:t>Desde otra perspectiva, nos encontramos con el enfoque de la famosa divulgadora científica, teórica del urbanismo y activista Jane Jacobs, para la que las zonas públicas son lugares de interacciones diarias más banales. En su gran obra Muerte y vida de las grandes ciudades describe que la confianza entre los residentes de un vecindario se puede generar gracias a los constantes encuentros en las calles, el breve intercambio de saludos o las charlas superficiales que se puedan mantener entre ellos.</w:t>
      </w:r>
    </w:p>
    <w:p>
      <w:pPr>
        <w:pStyle w:val="Normal"/>
        <w:jc w:val="both"/>
        <w:rPr>
          <w:rFonts w:ascii="Arial" w:hAnsi="Arial" w:cs="Arial"/>
        </w:rPr>
      </w:pPr>
      <w:r>
        <w:rPr>
          <w:rFonts w:cs="Arial" w:ascii="Arial" w:hAnsi="Arial"/>
        </w:rPr>
        <w:t>Estas consideraciones previas sobre lo que se puede considerar un espacio público urbano tienen un elemento en común: el hecho de que las interacciones y vínculos entre los ciudadanos siempre da lugar al desarrollo público urbano, compuesto por un grupo de personas en torno a objetivos o prácticas comunes. Sin embargo, en las ciudades modernas, los individuos se rodean de otros que no solamente no conocen, sino que son diferentes a ellos.</w:t>
      </w:r>
    </w:p>
    <w:p>
      <w:pPr>
        <w:pStyle w:val="Normal"/>
        <w:jc w:val="both"/>
        <w:rPr>
          <w:rFonts w:ascii="Arial" w:hAnsi="Arial" w:cs="Arial"/>
        </w:rPr>
      </w:pPr>
      <w:r>
        <w:rPr>
          <w:rFonts w:cs="Arial" w:ascii="Arial" w:hAnsi="Arial"/>
        </w:rPr>
        <w:t>Esto último nos lleva a un tema de enorme importancia en el debate ideológico sobre los espacios públicos urbanos y sobre cuál es la manera correcta de relacionarse entre ciudadanos más o menos diferentes, entre lo que podemos considerar el dominio privado y la esfera pública urbana. Lyn Lofland, socióloga americana, introduce una tercera esfera intermedia entre lo público y lo privado que es lo que denomina como la esfera localista, con la que se refiere a esos lugares de la ciudad donde los individuos con ideas afines se relacionan. Así, define que en esta esfera se puede identificar “un sentimiento común entre vecinos y conocidos que están implicados en redes interpersonales que se localizan dentro de las comunidades” (Lofland, 1973). Algunos ejemplos tomados por la socióloga sobre dominios localistas son la cantina de un equipo deportivo, un café turco en una ciudad holandesa o un simple banco de una plaza como punto de encuentro entre adolescentes.</w:t>
      </w:r>
    </w:p>
    <w:p>
      <w:pPr>
        <w:pStyle w:val="Normal"/>
        <w:jc w:val="both"/>
        <w:rPr>
          <w:rFonts w:ascii="Arial" w:hAnsi="Arial" w:cs="Arial"/>
        </w:rPr>
      </w:pPr>
      <w:r>
        <w:rPr>
          <w:rFonts w:cs="Arial" w:ascii="Arial" w:hAnsi="Arial"/>
        </w:rPr>
        <w:t>Sin lugar a dudas, los denominados dominios localistas cumplen una función muy importante: los ciudadanos que los conformen pueden estar englobados en todo tipo de colectivos, lo que enriquece exponencialmente el desarrollo del entorno urbano en el que individuos afines y no afines interactúan.</w:t>
      </w:r>
    </w:p>
    <w:p>
      <w:pPr>
        <w:pStyle w:val="Normal"/>
        <w:jc w:val="both"/>
        <w:rPr>
          <w:rFonts w:ascii="Arial" w:hAnsi="Arial" w:cs="Arial"/>
          <w:b/>
          <w:b/>
        </w:rPr>
      </w:pPr>
      <w:r>
        <w:rPr>
          <w:rFonts w:cs="Arial" w:ascii="Arial" w:hAnsi="Arial"/>
          <w:b/>
        </w:rPr>
        <w:t xml:space="preserve">5.3. Los procesos innovadores en los espacios urbanos </w:t>
      </w:r>
    </w:p>
    <w:p>
      <w:pPr>
        <w:pStyle w:val="Normal"/>
        <w:jc w:val="both"/>
        <w:rPr>
          <w:rFonts w:ascii="Arial" w:hAnsi="Arial" w:cs="Arial"/>
        </w:rPr>
      </w:pPr>
      <w:r>
        <w:rPr>
          <w:rFonts w:cs="Arial" w:ascii="Arial" w:hAnsi="Arial"/>
        </w:rPr>
        <w:t>La aparición y posterior desarrollo de los medios tecnológicos no sólo generan procesos de innovación en estos espacios, sino que introduce un aspecto revolucionario que permite que la esfera urbana se amplíe y ya no se limite al uso simultáneo del espacio entre los ciudadanos. Sin duda, la interacción y lo que Jane Jacobs consideraba “la vida callejera en las ciudades” es esencial para que la vida urbana y sus espacios públicos evolucionen (Jacobs, 2011).</w:t>
      </w:r>
    </w:p>
    <w:p>
      <w:pPr>
        <w:pStyle w:val="Normal"/>
        <w:jc w:val="both"/>
        <w:rPr>
          <w:rFonts w:ascii="Arial" w:hAnsi="Arial" w:cs="Arial"/>
        </w:rPr>
      </w:pPr>
      <w:r>
        <w:rPr>
          <w:rFonts w:cs="Arial" w:ascii="Arial" w:hAnsi="Arial"/>
        </w:rPr>
        <w:t>Sin embargo, en la actualidad las ciudades que llevan a cabo procesos de innovación gracias a la implantación de medios tecnológicos, que posibilitan que el espacio físico deje de ser una condición y el espacio virtual de convierta en una nueva oportunidad de mejora en muchos ámbitos de la vida urbana. Por esto último, hay que tener en cuenta que las concepciones específicas que se pueden dar sobre las ciudades condicionan los imaginarios que se construyen en torno a ellas.</w:t>
      </w:r>
    </w:p>
    <w:p>
      <w:pPr>
        <w:pStyle w:val="Normal"/>
        <w:jc w:val="both"/>
        <w:rPr>
          <w:rFonts w:ascii="Arial" w:hAnsi="Arial" w:cs="Arial"/>
        </w:rPr>
      </w:pPr>
      <w:r>
        <w:rPr>
          <w:rFonts w:cs="Arial" w:ascii="Arial" w:hAnsi="Arial"/>
        </w:rPr>
        <w:t>También en el ámbito urbano, el desarrollo potencial de los medios tecnológicos dependerá en gran medida de la regulación y grado de intervención –limitaciones- que se impongan por parte del Estado, mediante la imposición y distorsión de su progreso y madurez. Un ejemplo claro sobre esta cuestión es el surgimiento y posterior evolución de la radio. Este aparato, en su origen, se consideró un medio de comunicación que posibilitaba a sus usuarios comunicarse entre sí a través de largas distancias mediante ondas de radio. La legislación fue la que posteriormente determinó el uso de esto medio, convirtiéndolo en un medio de comunicación de masas donde solo se permiten retransmisiones de un grupo limitado, mientras el resto serían oyentes; en lugar de que fueran de las propias posibilidades de la tecnología en sí misma las que lo determinaran.</w:t>
      </w:r>
    </w:p>
    <w:p>
      <w:pPr>
        <w:pStyle w:val="Normal"/>
        <w:jc w:val="both"/>
        <w:rPr>
          <w:rFonts w:ascii="Arial" w:hAnsi="Arial" w:cs="Arial"/>
        </w:rPr>
      </w:pPr>
      <w:r>
        <w:rPr>
          <w:rFonts w:cs="Arial" w:ascii="Arial" w:hAnsi="Arial"/>
        </w:rPr>
        <w:t>Así pues, el hecho de que los medios tecnológicos en los entornos urbanos estén desarrollándose permeabiliza aún más que se pueda intervenir en su evolución mediante la política o la regulación.</w:t>
      </w:r>
    </w:p>
    <w:p>
      <w:pPr>
        <w:pStyle w:val="Normal"/>
        <w:jc w:val="both"/>
        <w:rPr>
          <w:rFonts w:ascii="Arial" w:hAnsi="Arial" w:cs="Arial"/>
        </w:rPr>
      </w:pPr>
      <w:r>
        <w:rPr>
          <w:rFonts w:cs="Arial" w:ascii="Arial" w:hAnsi="Arial"/>
        </w:rPr>
        <w:t xml:space="preserve">En la actualidad, el surgimiento y expansión del concepto </w:t>
      </w:r>
      <w:r>
        <w:rPr>
          <w:rFonts w:cs="Arial" w:ascii="Arial" w:hAnsi="Arial"/>
          <w:i/>
        </w:rPr>
        <w:t xml:space="preserve">smart city </w:t>
      </w:r>
      <w:r>
        <w:rPr>
          <w:rFonts w:cs="Arial" w:ascii="Arial" w:hAnsi="Arial"/>
        </w:rPr>
        <w:t>está conquistando y penetrando numerosas ciudades de distintos puntos del mundo. El paso del tiempo y las numerosas iniciativas de desarrollo inteligente que se están sucediendo en centenares de ciudades en nuestro país reflejan que estos proyectos, que están siendo dirigidos por gobiernos locales, se configuran a través de colaboraciones y fórmulas público- privadas.</w:t>
      </w:r>
    </w:p>
    <w:p>
      <w:pPr>
        <w:pStyle w:val="Normal"/>
        <w:spacing w:lineRule="auto" w:line="276"/>
        <w:jc w:val="both"/>
        <w:rPr>
          <w:rFonts w:ascii="Arial" w:hAnsi="Arial" w:cs="Arial"/>
        </w:rPr>
      </w:pPr>
      <w:r>
        <w:rPr>
          <w:rFonts w:cs="Arial" w:ascii="Arial" w:hAnsi="Arial"/>
        </w:rPr>
        <w:t xml:space="preserve">Sin embargo, nuestras ciudades, nuestro mejor invento, que nos hacen más ricos, inteligentes, saludables y felices, como expone Edward Glaeser en su libro "Triumph of the City", y sin las cuales no podríamos hablar de sociedades desarrolladas, no han sido capaces de mantener el ritmo de la tecnología. Se han intentado crear las </w:t>
      </w:r>
      <w:r>
        <w:rPr>
          <w:rFonts w:cs="Arial" w:ascii="Arial" w:hAnsi="Arial"/>
          <w:i/>
        </w:rPr>
        <w:t>smart cities</w:t>
      </w:r>
      <w:r>
        <w:rPr>
          <w:rFonts w:cs="Arial" w:ascii="Arial" w:hAnsi="Arial"/>
        </w:rPr>
        <w:t>, pero éstas no han tenido el éxito esperado, por lo menos por el momento. La principal causa de por qué estas ciudades u otras son incapaces de seguir a las tecnologías o no se han desarrollado tecnológicamente es la planificación central de las mismas mediante infinidad de leyes, regulaciones, planes y trabas administrativas.</w:t>
      </w:r>
    </w:p>
    <w:p>
      <w:pPr>
        <w:pStyle w:val="Normal"/>
        <w:jc w:val="both"/>
        <w:rPr>
          <w:rFonts w:ascii="Arial" w:hAnsi="Arial" w:cs="Arial"/>
          <w:color w:val="FF0000"/>
        </w:rPr>
      </w:pPr>
      <w:r>
        <w:rPr>
          <w:rFonts w:cs="Arial" w:ascii="Arial" w:hAnsi="Arial"/>
        </w:rPr>
        <w:t>Las ciudades españolas son un claro ejemplo. Las leyes urbanísticas en España impiden crear nuevos negocios, pues éstas prohíben crear nuevas ciudades o transformar las existentes libremente. Es totalmente imposible que ciudades planificadas centralizadamente con impuestos desproporcionados, ingentes trabas administrativas para las empresas y un modelo económico basado en el gasto público y el subsidio puedan convertirse en ciudades que se caracterizan por el predominio de la libertad y el mercado, como en el caso Silicon Valley repleto de tecnología; o transformarse en un lugar de oportunidades para las personas con menos recursos, como pueden ser Hong Kong o Singapur</w:t>
      </w:r>
      <w:r>
        <w:rPr>
          <w:rStyle w:val="Ancladenotaalpie"/>
          <w:rFonts w:cs="Arial" w:ascii="Arial" w:hAnsi="Arial"/>
        </w:rPr>
        <w:footnoteReference w:id="4"/>
      </w:r>
      <w:r>
        <w:rPr>
          <w:rFonts w:cs="Arial" w:ascii="Arial" w:hAnsi="Arial"/>
        </w:rPr>
        <w:t>.</w:t>
      </w:r>
    </w:p>
    <w:p>
      <w:pPr>
        <w:pStyle w:val="Normal"/>
        <w:jc w:val="both"/>
        <w:rPr>
          <w:rFonts w:ascii="Arial" w:hAnsi="Arial" w:cs="Arial"/>
        </w:rPr>
      </w:pPr>
      <w:r>
        <w:rPr>
          <w:rFonts w:cs="Arial" w:ascii="Arial" w:hAnsi="Arial"/>
        </w:rPr>
        <w:t xml:space="preserve">En este punto es fundamental abordar la idea desarrollada por Martijn de Waal sobre la ciudad como interfaz. Desde esta perspectiva nos acercamos a saber que es lo fundamental en los procesos de innovación urbana: es esencial disponer de la ciudad como un espacio dispuesto para facilitar la interacción entre los distintos actores involucrados en la vida cotidiana y que así se sintonice la identidad individual con la colectiva. A fin de cuentas, la ciudad es el reflejo material de las relaciones sociales, donde las personas buscan sentirse identificadas. </w:t>
      </w:r>
    </w:p>
    <w:p>
      <w:pPr>
        <w:pStyle w:val="Normal"/>
        <w:jc w:val="both"/>
        <w:rPr>
          <w:rFonts w:ascii="Arial" w:hAnsi="Arial" w:cs="Arial"/>
        </w:rPr>
      </w:pPr>
      <w:r>
        <w:rPr>
          <w:rFonts w:cs="Arial" w:ascii="Arial" w:hAnsi="Arial"/>
        </w:rPr>
        <w:t xml:space="preserve">Así, la habilidad que poseen las ciudades para organizar materialmente el “espacio operativo” compuesto por innumerables prácticas sociales, culturales y económicas específicas, es lo que las convierte en integradoras de creatividad. Ante este argumento, se precisa de gobiernos que dejen fluir las ciudades y que no obstaculicen todas esas prácticas e iniciativas innovadoras que surgen de la acción empresarial o voluntaria de aquellos individuos interesados en fortalecer la prosperidad urbana. </w:t>
      </w:r>
    </w:p>
    <w:p>
      <w:pPr>
        <w:pStyle w:val="Normal"/>
        <w:jc w:val="both"/>
        <w:rPr>
          <w:rFonts w:ascii="Arial" w:hAnsi="Arial" w:cs="Arial"/>
        </w:rPr>
      </w:pPr>
      <w:r>
        <w:rPr>
          <w:rFonts w:cs="Arial" w:ascii="Arial" w:hAnsi="Arial"/>
        </w:rPr>
        <w:t xml:space="preserve">La idea disruptiva de las ciudades libres podría ser definida como una gran </w:t>
      </w:r>
      <w:r>
        <w:rPr>
          <w:rFonts w:cs="Arial" w:ascii="Arial" w:hAnsi="Arial"/>
          <w:i/>
        </w:rPr>
        <w:t>startup</w:t>
      </w:r>
      <w:r>
        <w:rPr>
          <w:rFonts w:cs="Arial" w:ascii="Arial" w:hAnsi="Arial"/>
        </w:rPr>
        <w:t xml:space="preserve"> incubadora de nuevas ideas empresariales y empresas creadas por multitud de empresarios. De hecho, en los útimos años, el término de ciudades libres o </w:t>
      </w:r>
      <w:r>
        <w:rPr>
          <w:rFonts w:cs="Arial" w:ascii="Arial" w:hAnsi="Arial"/>
          <w:i/>
        </w:rPr>
        <w:t>freecities</w:t>
      </w:r>
      <w:r>
        <w:rPr>
          <w:rFonts w:cs="Arial" w:ascii="Arial" w:hAnsi="Arial"/>
        </w:rPr>
        <w:t xml:space="preserve"> se ha ido abandonando y ha sido sustituido con una gran aceptación por el de </w:t>
      </w:r>
      <w:r>
        <w:rPr>
          <w:rFonts w:cs="Arial" w:ascii="Arial" w:hAnsi="Arial"/>
          <w:i/>
        </w:rPr>
        <w:t>startup cities</w:t>
      </w:r>
      <w:r>
        <w:rPr>
          <w:rFonts w:cs="Arial" w:ascii="Arial" w:hAnsi="Arial"/>
        </w:rPr>
        <w:t xml:space="preserve">. Éstas ofrecerían el entorno preciso para la creación de nuevas empresas o </w:t>
      </w:r>
      <w:r>
        <w:rPr>
          <w:rFonts w:cs="Arial" w:ascii="Arial" w:hAnsi="Arial"/>
          <w:i/>
        </w:rPr>
        <w:t>startups</w:t>
      </w:r>
      <w:r>
        <w:rPr>
          <w:rFonts w:cs="Arial" w:ascii="Arial" w:hAnsi="Arial"/>
        </w:rPr>
        <w:t xml:space="preserve"> que proporcionarían innovadoras opciones en productos y servicios, crearían un gran número de puestos de trabajo e impulsarían la innovación y el crecimiento económico.</w:t>
      </w:r>
    </w:p>
    <w:p>
      <w:pPr>
        <w:pStyle w:val="Normal"/>
        <w:jc w:val="both"/>
        <w:rPr>
          <w:rFonts w:ascii="Arial" w:hAnsi="Arial" w:cs="Arial"/>
        </w:rPr>
      </w:pPr>
      <w:r>
        <w:rPr>
          <w:rFonts w:cs="Arial" w:ascii="Arial" w:hAnsi="Arial"/>
        </w:rPr>
        <w:t>Las nuevas ciudades tecnológicas y disruptivas implican una importante competencia a las ya existentes y, al igual que Hong Kong consiguió abrir los mercados en China y el país se vio beneficiado con la llegada de capitales extranjeros, la contratación de mano de obra y los desarrollos tecnológicos; allí donde se instalen estas nuevas ciudades, las consecuencias podrán ser las mismas: mayor libertad y desarrollo global.</w:t>
      </w:r>
    </w:p>
    <w:p>
      <w:pPr>
        <w:pStyle w:val="Normal"/>
        <w:jc w:val="both"/>
        <w:rPr>
          <w:rFonts w:ascii="Arial" w:hAnsi="Arial" w:cs="Arial"/>
        </w:rPr>
      </w:pPr>
      <w:r>
        <w:rPr>
          <w:rFonts w:cs="Arial" w:ascii="Arial" w:hAnsi="Arial"/>
        </w:rPr>
        <w:t>Honduras ha sido el primer país en cambiar su constitución para permitir crearlas, con lo que se logrará incluir a toda la sociedad en el crecimiento económico, dar a los empresarios las herramientas que necesitan para que sus ideas prosperen y ofrecer a aquellos que más lo necesitan una oportunidad de vida mejor. Ya han sido muchas las grandes empresas, como Goldman Sachs o la Fundación Abu Dhabi para el Desarrollo, las que han mostrado su interés por instalarse en esta futura ciudad hondureña. El futuro es incierto, pero si consiguen llevar a cabo esta iniciativa, podrán convertir la zona en uno de los lugares más prósperos del mundo.</w:t>
      </w:r>
    </w:p>
    <w:p>
      <w:pPr>
        <w:pStyle w:val="ListParagraph"/>
        <w:numPr>
          <w:ilvl w:val="0"/>
          <w:numId w:val="1"/>
        </w:numPr>
        <w:ind w:left="284" w:hanging="284"/>
        <w:jc w:val="both"/>
        <w:rPr>
          <w:rFonts w:ascii="Arial" w:hAnsi="Arial" w:cs="Arial"/>
          <w:b/>
          <w:b/>
        </w:rPr>
      </w:pPr>
      <w:r>
        <w:rPr>
          <w:rFonts w:cs="Arial" w:ascii="Arial" w:hAnsi="Arial"/>
          <w:b/>
        </w:rPr>
        <w:t>Conclusiones</w:t>
      </w:r>
    </w:p>
    <w:p>
      <w:pPr>
        <w:pStyle w:val="Normal"/>
        <w:jc w:val="both"/>
        <w:rPr>
          <w:rFonts w:ascii="Arial" w:hAnsi="Arial" w:cs="Arial"/>
        </w:rPr>
      </w:pPr>
      <w:r>
        <w:rPr>
          <w:rFonts w:cs="Arial" w:ascii="Arial" w:hAnsi="Arial"/>
        </w:rPr>
        <w:t>Después de una extensa revisión de la literatura que ha tratado la innovación y la expansión de los medios tecnológicos en el ámbito social, económico y político, se observa que el Estado y su aparato administrativo en todas sus formas y estructuras ha tenido una fuerte presencia en el funcionamiento empresarial e innovador que se ha desarrollado en los últimos 50 años. Así, la historia y la realidad actual de cómo la tecnología ha llegado hasta este punto y el hecho de que determinadas empresas existan en ciertos países y el poder de éstas pasa, necesariamente, por el proceso de planificación e intervención estatal.</w:t>
      </w:r>
    </w:p>
    <w:p>
      <w:pPr>
        <w:pStyle w:val="Normal"/>
        <w:jc w:val="both"/>
        <w:rPr>
          <w:rFonts w:ascii="Arial" w:hAnsi="Arial" w:cs="Arial"/>
        </w:rPr>
      </w:pPr>
      <w:r>
        <w:rPr>
          <w:rFonts w:cs="Arial" w:ascii="Arial" w:hAnsi="Arial"/>
        </w:rPr>
        <w:t>Los ejemplos más plausibles de intervenciones estatales exitosas están marcados por un Estado que, como mucho, se limita a apoyar u obstaculizar al verdadero motor de la innovación: la acción descentralizada, en un entorno de mercado, compuesto por los individuos que componen una sociedad y que se canaliza a través de una gran variedad de instituciones. En este sentido, la acción gubernamental ocasiona una serie de incentivos perversos a innovadores y empresarios: penaliza a unos y favorece a otros, fomenta la proliferación de grupos de presión en los sectores más intervenidos, genera el conocido como efecto expulsión o crowding out en la economía y desaprovecha los mecanismos de detección y selección de innovaciones y propuestas de valor que dispone el mercado.</w:t>
      </w:r>
    </w:p>
    <w:p>
      <w:pPr>
        <w:pStyle w:val="Normal"/>
        <w:jc w:val="both"/>
        <w:rPr>
          <w:rFonts w:ascii="Arial" w:hAnsi="Arial" w:cs="Arial"/>
        </w:rPr>
      </w:pPr>
      <w:r>
        <w:rPr>
          <w:rFonts w:cs="Arial" w:ascii="Arial" w:hAnsi="Arial"/>
        </w:rPr>
        <w:t>Las propuestas empresariales descentralizadas y variadas, así como todas aquellas innovaciones disruptivas que surgen en los espacios de interacción social promueven la continua introducción de innovaciones, ya sea por la incorporación de nuevos o mejores productos y servicios o por las mejoras de eficiencia en su producción. Ambas prácticas facilitan, asimismo, el disfrute por parte de la ciudadanía de la calidad, novedad y variedad creciente y, además, los costes menguantes de una producción más eficiente.</w:t>
      </w:r>
    </w:p>
    <w:p>
      <w:pPr>
        <w:pStyle w:val="Normal"/>
        <w:jc w:val="both"/>
        <w:rPr>
          <w:rFonts w:ascii="Arial" w:hAnsi="Arial" w:cs="Arial"/>
        </w:rPr>
      </w:pPr>
      <w:r>
        <w:rPr>
          <w:rFonts w:cs="Arial" w:ascii="Arial" w:hAnsi="Arial"/>
        </w:rPr>
        <w:t>Sin embargo, las economías planificadas no se rigen por la soberanía del consumidor o de la demanda. La ausencia de cálculo económico implica una distribución peligrosamente arbitraria de las cantidades, calidades y precios de los bienes y servicios que se prestan a los ciudadanos.</w:t>
      </w:r>
    </w:p>
    <w:p>
      <w:pPr>
        <w:pStyle w:val="Normal"/>
        <w:jc w:val="both"/>
        <w:rPr/>
      </w:pPr>
      <w:r>
        <w:rPr>
          <w:rFonts w:cs="Arial" w:ascii="Arial" w:hAnsi="Arial"/>
        </w:rPr>
        <w:t xml:space="preserve">Para finalizar, y poder obtener una panorámica más completa, es preciso cuestionarse ciertas afirmaciones o supuestos enraizados en </w:t>
      </w:r>
      <w:r>
        <w:rPr>
          <w:rFonts w:cs="Arial" w:ascii="Arial" w:hAnsi="Arial"/>
        </w:rPr>
        <w:t xml:space="preserve">la </w:t>
      </w:r>
      <w:r>
        <w:rPr>
          <w:rFonts w:cs="Arial" w:ascii="Arial" w:hAnsi="Arial"/>
        </w:rPr>
        <w:t xml:space="preserve">evolución </w:t>
      </w:r>
      <w:r>
        <w:rPr>
          <w:rFonts w:cs="Arial" w:ascii="Arial" w:hAnsi="Arial"/>
        </w:rPr>
        <w:t>de nuestras ciudades</w:t>
      </w:r>
      <w:r>
        <w:rPr>
          <w:rFonts w:cs="Arial" w:ascii="Arial" w:hAnsi="Arial"/>
        </w:rPr>
        <w:t>. Así, y sin negar la capacidad de maniobrar de los gobiernos, es interesante reflexionar si aquellos proyectos o investigaciones que impulsan son los que la realidad social y económica precisan en ese momento. De igual relevancia es planteare si las administraciones son capaces de hacerse con la información necesaria para llevar a cabo sus planes y acciones de gobernanza de la manera más adecuada y eficiente y, por último, conviene analizar cómo la propia intervención genera simultáneamente efectos distorsionadores en la toma de decisiones de empresarios o cualquier agente innovador.</w:t>
      </w:r>
    </w:p>
    <w:p>
      <w:pPr>
        <w:pStyle w:val="Normal"/>
        <w:jc w:val="both"/>
        <w:rPr>
          <w:rFonts w:ascii="Arial" w:hAnsi="Arial" w:cs="Arial"/>
        </w:rPr>
      </w:pPr>
      <w:r>
        <w:rPr>
          <w:rFonts w:cs="Arial" w:ascii="Arial" w:hAnsi="Arial"/>
        </w:rPr>
      </w:r>
    </w:p>
    <w:p>
      <w:pPr>
        <w:pStyle w:val="ListParagraph"/>
        <w:numPr>
          <w:ilvl w:val="0"/>
          <w:numId w:val="1"/>
        </w:numPr>
        <w:ind w:left="284" w:hanging="284"/>
        <w:jc w:val="both"/>
        <w:rPr>
          <w:rFonts w:ascii="Arial" w:hAnsi="Arial" w:cs="Arial"/>
          <w:b/>
          <w:b/>
        </w:rPr>
      </w:pPr>
      <w:r>
        <w:rPr>
          <w:rFonts w:cs="Arial" w:ascii="Arial" w:hAnsi="Arial"/>
          <w:b/>
        </w:rPr>
        <w:t>Bibliografía</w:t>
      </w:r>
    </w:p>
    <w:p>
      <w:pPr>
        <w:pStyle w:val="Normal"/>
        <w:jc w:val="both"/>
        <w:rPr>
          <w:rFonts w:ascii="Arial" w:hAnsi="Arial" w:cs="Arial"/>
          <w:i/>
          <w:i/>
        </w:rPr>
      </w:pPr>
      <w:r>
        <w:rPr>
          <w:rFonts w:cs="Arial" w:ascii="Arial" w:hAnsi="Arial"/>
        </w:rPr>
        <w:t xml:space="preserve">Antonio García, Juan F. Ojeda y Francisco J. Torres. 2008. “Hacia una nueva lectura de la ciudad y sus espacios: ausencias y emergencias en la ciudad inteligente”, en Junta de Andalucía, Consejería de Cultura (ed.), </w:t>
      </w:r>
      <w:r>
        <w:rPr>
          <w:rFonts w:cs="Arial" w:ascii="Arial" w:hAnsi="Arial"/>
          <w:i/>
        </w:rPr>
        <w:t>Espacio público, ciudad y conjuntos históricos.</w:t>
      </w:r>
    </w:p>
    <w:p>
      <w:pPr>
        <w:pStyle w:val="Normal"/>
        <w:jc w:val="both"/>
        <w:rPr>
          <w:rFonts w:ascii="Arial" w:hAnsi="Arial" w:cs="Arial"/>
        </w:rPr>
      </w:pPr>
      <w:r>
        <w:rPr>
          <w:rFonts w:cs="Arial" w:ascii="Arial" w:hAnsi="Arial"/>
        </w:rPr>
        <w:t xml:space="preserve">Bassi, Andrea. 2011. “Social innovation: some definitions”, </w:t>
      </w:r>
      <w:r>
        <w:rPr>
          <w:rFonts w:cs="Arial" w:ascii="Arial" w:hAnsi="Arial"/>
          <w:i/>
        </w:rPr>
        <w:t>CIES: Boletín del Centro de Investigación de Economía y Sociedad</w:t>
      </w:r>
      <w:r>
        <w:rPr>
          <w:rFonts w:cs="Arial" w:ascii="Arial" w:hAnsi="Arial"/>
        </w:rPr>
        <w:t>, 88.</w:t>
      </w:r>
    </w:p>
    <w:p>
      <w:pPr>
        <w:pStyle w:val="Normal"/>
        <w:jc w:val="both"/>
        <w:rPr/>
      </w:pPr>
      <w:r>
        <w:rPr>
          <w:rFonts w:cs="Arial" w:ascii="Arial" w:hAnsi="Arial"/>
          <w:lang w:val="en-US"/>
        </w:rPr>
        <w:t xml:space="preserve">Berman, Marshall. 1987. </w:t>
      </w:r>
      <w:r>
        <w:rPr>
          <w:rFonts w:cs="Arial" w:ascii="Arial" w:hAnsi="Arial"/>
          <w:i/>
          <w:lang w:val="en-US"/>
        </w:rPr>
        <w:t>All that is solid melts into air: the experience of modernity</w:t>
      </w:r>
      <w:r>
        <w:rPr>
          <w:rFonts w:cs="Arial" w:ascii="Arial" w:hAnsi="Arial"/>
          <w:lang w:val="en-US"/>
        </w:rPr>
        <w:t>. New York: Verso.</w:t>
      </w:r>
    </w:p>
    <w:p>
      <w:pPr>
        <w:pStyle w:val="Normal"/>
        <w:jc w:val="both"/>
        <w:rPr>
          <w:rFonts w:ascii="Arial" w:hAnsi="Arial" w:cs="Arial"/>
          <w:lang w:val="en-GB"/>
        </w:rPr>
      </w:pPr>
      <w:r>
        <w:rPr>
          <w:rFonts w:cs="Arial" w:ascii="Arial" w:hAnsi="Arial"/>
          <w:lang w:val="en-GB"/>
        </w:rPr>
        <w:t>Butzin, Anna et al. 2014</w:t>
      </w:r>
      <w:r>
        <w:rPr>
          <w:rFonts w:cs="Arial" w:ascii="Arial" w:hAnsi="Arial"/>
          <w:i/>
          <w:lang w:val="en-GB"/>
        </w:rPr>
        <w:t>. Theoretical approaches to social innovation- A critical literature review</w:t>
      </w:r>
      <w:r>
        <w:rPr>
          <w:rFonts w:cs="Arial" w:ascii="Arial" w:hAnsi="Arial"/>
          <w:lang w:val="en-GB"/>
        </w:rPr>
        <w:t>. SI-DRIVE Social Innovation: Driving Force of Social Change, European Union´s Seventh Framework Programme.</w:t>
      </w:r>
    </w:p>
    <w:p>
      <w:pPr>
        <w:pStyle w:val="Normal"/>
        <w:jc w:val="both"/>
        <w:rPr>
          <w:rFonts w:ascii="Arial" w:hAnsi="Arial" w:cs="Arial"/>
        </w:rPr>
      </w:pPr>
      <w:r>
        <w:rPr>
          <w:rFonts w:cs="Arial" w:ascii="Arial" w:hAnsi="Arial"/>
          <w:lang w:val="en-GB"/>
        </w:rPr>
        <w:t xml:space="preserve">Clayton M. Christensen, Heiner Baumann, Rudy Ruggles y Thomas M. Sadtler. </w:t>
      </w:r>
      <w:r>
        <w:rPr>
          <w:rFonts w:cs="Arial" w:ascii="Arial" w:hAnsi="Arial"/>
        </w:rPr>
        <w:t xml:space="preserve">2006. “Innovación disruptive para el cambio social”, </w:t>
      </w:r>
      <w:r>
        <w:rPr>
          <w:rFonts w:cs="Arial" w:ascii="Arial" w:hAnsi="Arial"/>
          <w:i/>
        </w:rPr>
        <w:t>Harvard Business Review</w:t>
      </w:r>
      <w:r>
        <w:rPr>
          <w:rFonts w:cs="Arial" w:ascii="Arial" w:hAnsi="Arial"/>
        </w:rPr>
        <w:t>, 84 (12): 58-65.</w:t>
      </w:r>
    </w:p>
    <w:p>
      <w:pPr>
        <w:pStyle w:val="Normal"/>
        <w:jc w:val="both"/>
        <w:rPr>
          <w:rFonts w:ascii="Arial" w:hAnsi="Arial" w:cs="Arial"/>
        </w:rPr>
      </w:pPr>
      <w:r>
        <w:rPr>
          <w:rFonts w:cs="Arial" w:ascii="Arial" w:hAnsi="Arial"/>
        </w:rPr>
        <w:t xml:space="preserve">De Waal, Martijn. 2015. “El futuro de la ciudad: ¿Una ciudad inteligente o una ciudad social?”, </w:t>
      </w:r>
      <w:r>
        <w:rPr>
          <w:rFonts w:cs="Arial" w:ascii="Arial" w:hAnsi="Arial"/>
          <w:i/>
        </w:rPr>
        <w:t>Arte y políticas de identidad</w:t>
      </w:r>
      <w:r>
        <w:rPr>
          <w:rFonts w:cs="Arial" w:ascii="Arial" w:hAnsi="Arial"/>
        </w:rPr>
        <w:t>, 12: 11-30.</w:t>
      </w:r>
    </w:p>
    <w:p>
      <w:pPr>
        <w:pStyle w:val="Normal"/>
        <w:jc w:val="both"/>
        <w:rPr>
          <w:rFonts w:ascii="Arial" w:hAnsi="Arial" w:cs="Arial"/>
          <w:lang w:val="en-US"/>
        </w:rPr>
      </w:pPr>
      <w:r>
        <w:rPr>
          <w:rFonts w:cs="Arial" w:ascii="Arial" w:hAnsi="Arial"/>
        </w:rPr>
        <w:t xml:space="preserve">Durkheim, Émile. 1982. </w:t>
      </w:r>
      <w:r>
        <w:rPr>
          <w:rFonts w:cs="Arial" w:ascii="Arial" w:hAnsi="Arial"/>
          <w:i/>
        </w:rPr>
        <w:t>La división del trabajo social</w:t>
      </w:r>
      <w:r>
        <w:rPr>
          <w:rFonts w:cs="Arial" w:ascii="Arial" w:hAnsi="Arial"/>
        </w:rPr>
        <w:t xml:space="preserve">. </w:t>
      </w:r>
      <w:r>
        <w:rPr>
          <w:rFonts w:cs="Arial" w:ascii="Arial" w:hAnsi="Arial"/>
          <w:lang w:val="en-US"/>
        </w:rPr>
        <w:t>Madrid: Akal.</w:t>
      </w:r>
    </w:p>
    <w:p>
      <w:pPr>
        <w:pStyle w:val="Normal"/>
        <w:jc w:val="both"/>
        <w:rPr>
          <w:rFonts w:ascii="Arial" w:hAnsi="Arial" w:cs="Arial"/>
          <w:lang w:val="en-GB"/>
        </w:rPr>
      </w:pPr>
      <w:r>
        <w:rPr>
          <w:rFonts w:cs="Arial" w:ascii="Arial" w:hAnsi="Arial"/>
          <w:lang w:val="en-GB"/>
        </w:rPr>
        <w:t xml:space="preserve">Hayek, Friedrich A. 1945. “The use knowledge in the society”, </w:t>
      </w:r>
      <w:r>
        <w:rPr>
          <w:rFonts w:cs="Arial" w:ascii="Arial" w:hAnsi="Arial"/>
          <w:i/>
          <w:lang w:val="en-GB"/>
        </w:rPr>
        <w:t>American Economic Review</w:t>
      </w:r>
      <w:r>
        <w:rPr>
          <w:rFonts w:cs="Arial" w:ascii="Arial" w:hAnsi="Arial"/>
          <w:lang w:val="en-GB"/>
        </w:rPr>
        <w:t>, 35 (4): 519-530.</w:t>
      </w:r>
    </w:p>
    <w:p>
      <w:pPr>
        <w:pStyle w:val="Normal"/>
        <w:jc w:val="both"/>
        <w:rPr>
          <w:rFonts w:ascii="Arial" w:hAnsi="Arial" w:cs="Arial"/>
        </w:rPr>
      </w:pPr>
      <w:r>
        <w:rPr>
          <w:rFonts w:cs="Arial" w:ascii="Arial" w:hAnsi="Arial"/>
        </w:rPr>
        <w:t xml:space="preserve">Jacobs, Jane. 2011. </w:t>
      </w:r>
      <w:r>
        <w:rPr>
          <w:rFonts w:cs="Arial" w:ascii="Arial" w:hAnsi="Arial"/>
          <w:i/>
        </w:rPr>
        <w:t>Muerte y vida de las grandes ciudades</w:t>
      </w:r>
      <w:r>
        <w:rPr>
          <w:rFonts w:cs="Arial" w:ascii="Arial" w:hAnsi="Arial"/>
        </w:rPr>
        <w:t>. Madrid: Capitán Swing Libros.</w:t>
      </w:r>
    </w:p>
    <w:p>
      <w:pPr>
        <w:pStyle w:val="Normal"/>
        <w:jc w:val="both"/>
        <w:rPr/>
      </w:pPr>
      <w:r>
        <w:rPr>
          <w:rFonts w:cs="Arial" w:ascii="Arial" w:hAnsi="Arial"/>
          <w:lang w:val="en-US"/>
        </w:rPr>
        <w:t xml:space="preserve">Lofland, Lyn H. 1973. </w:t>
      </w:r>
      <w:r>
        <w:rPr>
          <w:rFonts w:cs="Arial" w:ascii="Arial" w:hAnsi="Arial"/>
          <w:i/>
          <w:iCs/>
          <w:lang w:val="en-US"/>
        </w:rPr>
        <w:t>A word of strangers: order and action in urban public space</w:t>
      </w:r>
      <w:r>
        <w:rPr>
          <w:rFonts w:cs="Arial" w:ascii="Arial" w:hAnsi="Arial"/>
          <w:lang w:val="en-US"/>
        </w:rPr>
        <w:t>. New York: Basic Books.</w:t>
      </w:r>
    </w:p>
    <w:p>
      <w:pPr>
        <w:pStyle w:val="Normal"/>
        <w:jc w:val="both"/>
        <w:rPr>
          <w:rFonts w:ascii="Arial" w:hAnsi="Arial" w:cs="Arial"/>
          <w:lang w:val="en-GB"/>
        </w:rPr>
      </w:pPr>
      <w:r>
        <w:rPr>
          <w:rFonts w:cs="Arial" w:ascii="Arial" w:hAnsi="Arial"/>
        </w:rPr>
        <w:t xml:space="preserve">Lynn, Laurence. </w:t>
      </w:r>
      <w:r>
        <w:rPr>
          <w:rFonts w:cs="Arial" w:ascii="Arial" w:hAnsi="Arial"/>
          <w:lang w:val="en-US"/>
        </w:rPr>
        <w:t xml:space="preserve">1997. </w:t>
      </w:r>
      <w:r>
        <w:rPr>
          <w:rFonts w:cs="Arial" w:ascii="Arial" w:hAnsi="Arial"/>
          <w:lang w:val="en-GB"/>
        </w:rPr>
        <w:t xml:space="preserve">“Innovation and the Public Interest: insights from the private sector”, en Altschuler y R. Behn (eds.), </w:t>
      </w:r>
      <w:r>
        <w:rPr>
          <w:rFonts w:cs="Arial" w:ascii="Arial" w:hAnsi="Arial"/>
          <w:i/>
          <w:lang w:val="en-GB"/>
        </w:rPr>
        <w:t xml:space="preserve">Innovation in american government. </w:t>
      </w:r>
      <w:r>
        <w:rPr>
          <w:rFonts w:cs="Arial" w:ascii="Arial" w:hAnsi="Arial"/>
          <w:lang w:val="en-GB"/>
        </w:rPr>
        <w:t>Washington: Brookings Institution.</w:t>
      </w:r>
    </w:p>
    <w:p>
      <w:pPr>
        <w:pStyle w:val="Normal"/>
        <w:jc w:val="both"/>
        <w:rPr>
          <w:rFonts w:ascii="Arial" w:hAnsi="Arial" w:cs="Arial"/>
        </w:rPr>
      </w:pPr>
      <w:r>
        <w:rPr>
          <w:rFonts w:cs="Arial" w:ascii="Arial" w:hAnsi="Arial"/>
          <w:lang w:val="en-US"/>
        </w:rPr>
        <w:t xml:space="preserve">Mazzucato, Mariana. 2016. </w:t>
      </w:r>
      <w:r>
        <w:rPr>
          <w:rFonts w:cs="Arial" w:ascii="Arial" w:hAnsi="Arial"/>
          <w:i/>
        </w:rPr>
        <w:t>El Estado emprendedor. Mitos del sector público frente al privado</w:t>
      </w:r>
      <w:r>
        <w:rPr>
          <w:rFonts w:cs="Arial" w:ascii="Arial" w:hAnsi="Arial"/>
        </w:rPr>
        <w:t>. Barcelona: RBA.</w:t>
      </w:r>
    </w:p>
    <w:p>
      <w:pPr>
        <w:pStyle w:val="Normal"/>
        <w:jc w:val="both"/>
        <w:rPr>
          <w:rFonts w:ascii="Arial" w:hAnsi="Arial" w:cs="Arial"/>
        </w:rPr>
      </w:pPr>
      <w:r>
        <w:rPr>
          <w:rFonts w:cs="Arial" w:ascii="Arial" w:hAnsi="Arial"/>
        </w:rPr>
        <w:t xml:space="preserve">Mingardi, Alberto. 2015. “A critique of Mazzucatto’s entrepreneurial state”, </w:t>
      </w:r>
      <w:r>
        <w:rPr>
          <w:rFonts w:cs="Arial" w:ascii="Arial" w:hAnsi="Arial"/>
          <w:i/>
        </w:rPr>
        <w:t>Cato Journal</w:t>
      </w:r>
      <w:r>
        <w:rPr>
          <w:rFonts w:cs="Arial" w:ascii="Arial" w:hAnsi="Arial"/>
        </w:rPr>
        <w:t>, 35 (3): 603-625.</w:t>
      </w:r>
    </w:p>
    <w:p>
      <w:pPr>
        <w:pStyle w:val="Normal"/>
        <w:jc w:val="both"/>
        <w:rPr>
          <w:rFonts w:ascii="Arial" w:hAnsi="Arial" w:cs="Arial"/>
        </w:rPr>
      </w:pPr>
      <w:r>
        <w:rPr>
          <w:rFonts w:cs="Arial" w:ascii="Arial" w:hAnsi="Arial"/>
        </w:rPr>
        <w:t xml:space="preserve">Montagut, Teresa. 2014. “De la innovación a la </w:t>
      </w:r>
      <w:r>
        <w:rPr>
          <w:rFonts w:cs="Arial" w:ascii="Arial" w:hAnsi="Arial"/>
          <w:i/>
        </w:rPr>
        <w:t>innovación social</w:t>
      </w:r>
      <w:r>
        <w:rPr>
          <w:rFonts w:cs="Arial" w:ascii="Arial" w:hAnsi="Arial"/>
        </w:rPr>
        <w:t xml:space="preserve">”, </w:t>
      </w:r>
      <w:r>
        <w:rPr>
          <w:rFonts w:cs="Arial" w:ascii="Arial" w:hAnsi="Arial"/>
          <w:i/>
        </w:rPr>
        <w:t>Documentación Social</w:t>
      </w:r>
      <w:r>
        <w:rPr>
          <w:rFonts w:cs="Arial" w:ascii="Arial" w:hAnsi="Arial"/>
        </w:rPr>
        <w:t>, 174: 15-30.</w:t>
      </w:r>
    </w:p>
    <w:p>
      <w:pPr>
        <w:pStyle w:val="Normal"/>
        <w:jc w:val="both"/>
        <w:rPr>
          <w:rFonts w:ascii="Arial" w:hAnsi="Arial" w:cs="Arial"/>
          <w:lang w:val="en-GB"/>
        </w:rPr>
      </w:pPr>
      <w:r>
        <w:rPr>
          <w:rFonts w:cs="Arial" w:ascii="Arial" w:hAnsi="Arial"/>
          <w:lang w:val="en-GB"/>
        </w:rPr>
        <w:t xml:space="preserve">Moorem Mark y Hartley, Jean. 2008. “Innovations in governance”, </w:t>
      </w:r>
      <w:r>
        <w:rPr>
          <w:rFonts w:cs="Arial" w:ascii="Arial" w:hAnsi="Arial"/>
          <w:i/>
          <w:lang w:val="en-GB"/>
        </w:rPr>
        <w:t>Public Management Review</w:t>
      </w:r>
      <w:r>
        <w:rPr>
          <w:rFonts w:cs="Arial" w:ascii="Arial" w:hAnsi="Arial"/>
          <w:lang w:val="en-GB"/>
        </w:rPr>
        <w:t>, 10 (1): 3-20.</w:t>
      </w:r>
    </w:p>
    <w:p>
      <w:pPr>
        <w:pStyle w:val="Normal"/>
        <w:jc w:val="both"/>
        <w:rPr>
          <w:rFonts w:ascii="Arial" w:hAnsi="Arial" w:cs="Arial"/>
          <w:lang w:val="en-GB"/>
        </w:rPr>
      </w:pPr>
      <w:r>
        <w:rPr>
          <w:rFonts w:cs="Arial" w:ascii="Arial" w:hAnsi="Arial"/>
          <w:lang w:val="en-GB"/>
        </w:rPr>
        <w:t xml:space="preserve">Osborne, Stephen y Brown, Kerry. 2005. </w:t>
      </w:r>
      <w:r>
        <w:rPr>
          <w:rFonts w:cs="Arial" w:ascii="Arial" w:hAnsi="Arial"/>
          <w:i/>
          <w:lang w:val="en-GB"/>
        </w:rPr>
        <w:t>Managing change and innovation in public service organizations.</w:t>
      </w:r>
      <w:r>
        <w:rPr>
          <w:rFonts w:cs="Arial" w:ascii="Arial" w:hAnsi="Arial"/>
          <w:lang w:val="en-GB"/>
        </w:rPr>
        <w:t xml:space="preserve"> London: Routledge.</w:t>
      </w:r>
    </w:p>
    <w:p>
      <w:pPr>
        <w:pStyle w:val="Normal"/>
        <w:jc w:val="both"/>
        <w:rPr>
          <w:rFonts w:ascii="Arial" w:hAnsi="Arial" w:cs="Arial"/>
        </w:rPr>
      </w:pPr>
      <w:r>
        <w:rPr>
          <w:rFonts w:cs="Arial" w:ascii="Arial" w:hAnsi="Arial"/>
          <w:lang w:val="en-US"/>
        </w:rPr>
        <w:t xml:space="preserve">Quim Brugué, Ismael Blanco y Julia Boada. 2014. </w:t>
      </w:r>
      <w:r>
        <w:rPr>
          <w:rFonts w:cs="Arial" w:ascii="Arial" w:hAnsi="Arial"/>
        </w:rPr>
        <w:t xml:space="preserve">“Entornos y motores para la innovación en las políticas públicas”, </w:t>
      </w:r>
      <w:r>
        <w:rPr>
          <w:rFonts w:cs="Arial" w:ascii="Arial" w:hAnsi="Arial"/>
          <w:i/>
        </w:rPr>
        <w:t>Revista del CLAD Reforma y Democracia</w:t>
      </w:r>
      <w:r>
        <w:rPr>
          <w:rFonts w:cs="Arial" w:ascii="Arial" w:hAnsi="Arial"/>
        </w:rPr>
        <w:t>, 59: 5-34.</w:t>
      </w:r>
    </w:p>
    <w:p>
      <w:pPr>
        <w:pStyle w:val="Normal"/>
        <w:jc w:val="both"/>
        <w:rPr>
          <w:rFonts w:ascii="Arial" w:hAnsi="Arial" w:cs="Arial"/>
        </w:rPr>
      </w:pPr>
      <w:r>
        <w:rPr>
          <w:rFonts w:cs="Arial" w:ascii="Arial" w:hAnsi="Arial"/>
        </w:rPr>
        <w:t xml:space="preserve">Schumpeter Joseph A. 1976. </w:t>
      </w:r>
      <w:r>
        <w:rPr>
          <w:rFonts w:cs="Arial" w:ascii="Arial" w:hAnsi="Arial"/>
          <w:i/>
        </w:rPr>
        <w:t>Teoría del desenvolvimiento económico</w:t>
      </w:r>
      <w:r>
        <w:rPr>
          <w:rFonts w:cs="Arial" w:ascii="Arial" w:hAnsi="Arial"/>
        </w:rPr>
        <w:t>. México: Fondo de Cultura Económica.</w:t>
      </w:r>
    </w:p>
    <w:p>
      <w:pPr>
        <w:pStyle w:val="Normal"/>
        <w:jc w:val="both"/>
        <w:rPr>
          <w:rFonts w:ascii="Arial" w:hAnsi="Arial" w:cs="Arial"/>
        </w:rPr>
      </w:pPr>
      <w:r>
        <w:rPr>
          <w:rFonts w:cs="Arial" w:ascii="Arial" w:hAnsi="Arial"/>
        </w:rPr>
        <w:t xml:space="preserve">Simmel, Georg. 1986. “Las grandes ciudades y la vida del espítiru”, </w:t>
      </w:r>
      <w:r>
        <w:rPr>
          <w:rFonts w:cs="Arial" w:ascii="Arial" w:hAnsi="Arial"/>
          <w:i/>
        </w:rPr>
        <w:t>Cuadernos Políticos</w:t>
      </w:r>
      <w:r>
        <w:rPr>
          <w:rFonts w:cs="Arial" w:ascii="Arial" w:hAnsi="Arial"/>
        </w:rPr>
        <w:t>, 45: 5-10.</w:t>
      </w:r>
    </w:p>
    <w:p>
      <w:pPr>
        <w:pStyle w:val="Normal"/>
        <w:jc w:val="both"/>
        <w:rPr>
          <w:rFonts w:ascii="Arial" w:hAnsi="Arial" w:cs="Arial"/>
        </w:rPr>
      </w:pPr>
      <w:r>
        <w:rPr>
          <w:rFonts w:cs="Arial" w:ascii="Arial" w:hAnsi="Arial"/>
        </w:rPr>
        <w:t xml:space="preserve">Subirats, Joan y García, Ángela. 2015. </w:t>
      </w:r>
      <w:r>
        <w:rPr>
          <w:rFonts w:cs="Arial" w:ascii="Arial" w:hAnsi="Arial"/>
          <w:i/>
        </w:rPr>
        <w:t>Innovación social y políticas urbanas en España. Experiencias significativas en las grandes ciudades</w:t>
      </w:r>
      <w:r>
        <w:rPr>
          <w:rFonts w:cs="Arial" w:ascii="Arial" w:hAnsi="Arial"/>
        </w:rPr>
        <w:t>. Barcelona: Icaria editorial.</w:t>
      </w:r>
    </w:p>
    <w:p>
      <w:pPr>
        <w:pStyle w:val="Normal"/>
        <w:jc w:val="both"/>
        <w:rPr>
          <w:rFonts w:ascii="Arial" w:hAnsi="Arial" w:cs="Arial"/>
          <w:lang w:val="en-GB"/>
        </w:rPr>
      </w:pPr>
      <w:r>
        <w:rPr>
          <w:rFonts w:cs="Arial" w:ascii="Arial" w:hAnsi="Arial"/>
        </w:rPr>
        <w:t xml:space="preserve">Uselding, Paul. 1993. </w:t>
      </w:r>
      <w:r>
        <w:rPr>
          <w:rFonts w:cs="Arial" w:ascii="Arial" w:hAnsi="Arial"/>
          <w:lang w:val="en-GB"/>
        </w:rPr>
        <w:t xml:space="preserve">“Does government intervention in the economy hurt competitiveness- or help it?” en D. N. McCloskey (ed.), </w:t>
      </w:r>
      <w:r>
        <w:rPr>
          <w:rFonts w:cs="Arial" w:ascii="Arial" w:hAnsi="Arial"/>
          <w:i/>
          <w:lang w:val="en-GB"/>
        </w:rPr>
        <w:t>Second thoughts: Myths and morals of U.S. economic history</w:t>
      </w:r>
      <w:r>
        <w:rPr>
          <w:rFonts w:cs="Arial" w:ascii="Arial" w:hAnsi="Arial"/>
          <w:lang w:val="en-GB"/>
        </w:rPr>
        <w:t>. New York: Oxford University Press.</w:t>
      </w:r>
    </w:p>
    <w:p>
      <w:pPr>
        <w:pStyle w:val="Normal"/>
        <w:jc w:val="both"/>
        <w:rPr>
          <w:rFonts w:ascii="Arial" w:hAnsi="Arial" w:cs="Arial"/>
          <w:lang w:val="en-GB"/>
        </w:rPr>
      </w:pPr>
      <w:r>
        <w:rPr>
          <w:rFonts w:cs="Arial" w:ascii="Arial" w:hAnsi="Arial"/>
          <w:lang w:val="en-GB"/>
        </w:rPr>
        <w:t xml:space="preserve">Von Hippel, Eric. 2005. </w:t>
      </w:r>
      <w:r>
        <w:rPr>
          <w:rFonts w:cs="Arial" w:ascii="Arial" w:hAnsi="Arial"/>
          <w:i/>
          <w:lang w:val="en-GB"/>
        </w:rPr>
        <w:t>Democratizing innovations</w:t>
      </w:r>
      <w:r>
        <w:rPr>
          <w:rFonts w:cs="Arial" w:ascii="Arial" w:hAnsi="Arial"/>
          <w:lang w:val="en-GB"/>
        </w:rPr>
        <w:t>. Cambridge, MIT Press.</w:t>
      </w:r>
    </w:p>
    <w:p>
      <w:pPr>
        <w:pStyle w:val="Normal"/>
        <w:jc w:val="both"/>
        <w:rPr>
          <w:rFonts w:ascii="Arial" w:hAnsi="Arial" w:cs="Arial"/>
        </w:rPr>
      </w:pPr>
      <w:r>
        <w:rPr>
          <w:rFonts w:cs="Arial" w:ascii="Arial" w:hAnsi="Arial"/>
          <w:lang w:val="en-US"/>
        </w:rPr>
        <w:t xml:space="preserve">Weber, Max. 1985. </w:t>
      </w:r>
      <w:r>
        <w:rPr>
          <w:rFonts w:cs="Arial" w:ascii="Arial" w:hAnsi="Arial"/>
          <w:i/>
        </w:rPr>
        <w:t>Economía y sociedad</w:t>
      </w:r>
      <w:r>
        <w:rPr>
          <w:rFonts w:cs="Arial" w:ascii="Arial" w:hAnsi="Arial"/>
        </w:rPr>
        <w:t>. México: FCE.</w:t>
      </w:r>
    </w:p>
    <w:p>
      <w:pPr>
        <w:pStyle w:val="Normal"/>
        <w:jc w:val="both"/>
        <w:rPr>
          <w:rFonts w:ascii="Arial" w:hAnsi="Arial" w:cs="Arial"/>
        </w:rPr>
      </w:pPr>
      <w:r>
        <w:rPr>
          <w:rFonts w:cs="Arial" w:ascii="Arial" w:hAnsi="Arial"/>
        </w:rPr>
        <w:t xml:space="preserve">Wilson, James R. 2010. “Gobernanza y desarrollo socio-económico: hacia nuevas políticas de competitividad”, </w:t>
      </w:r>
      <w:r>
        <w:rPr>
          <w:rFonts w:cs="Arial" w:ascii="Arial" w:hAnsi="Arial"/>
          <w:i/>
        </w:rPr>
        <w:t>Boletín de Estudios Económicos</w:t>
      </w:r>
      <w:r>
        <w:rPr>
          <w:rFonts w:cs="Arial" w:ascii="Arial" w:hAnsi="Arial"/>
        </w:rPr>
        <w:t>, 65 (200): 241-262.</w:t>
      </w:r>
    </w:p>
    <w:p>
      <w:pPr>
        <w:pStyle w:val="Normal"/>
        <w:jc w:val="both"/>
        <w:rPr>
          <w:rFonts w:ascii="Arial" w:hAnsi="Arial" w:cs="Arial"/>
          <w:lang w:val="en-US"/>
        </w:rPr>
      </w:pPr>
      <w:bookmarkStart w:id="0" w:name="_GoBack"/>
      <w:bookmarkStart w:id="1" w:name="_GoBack"/>
      <w:bookmarkEnd w:id="1"/>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jc w:val="both"/>
        <w:rPr>
          <w:rFonts w:ascii="Arial" w:hAnsi="Arial" w:cs="Arial"/>
          <w:lang w:val="en-US"/>
        </w:rPr>
      </w:pPr>
      <w:r>
        <w:rPr>
          <w:rFonts w:cs="Arial" w:ascii="Arial" w:hAnsi="Arial"/>
          <w:lang w:val="en-US"/>
        </w:rPr>
      </w:r>
    </w:p>
    <w:p>
      <w:pPr>
        <w:pStyle w:val="Normal"/>
        <w:spacing w:before="0" w:after="160"/>
        <w:jc w:val="both"/>
        <w:rPr/>
      </w:pPr>
      <w:r>
        <w:rPr/>
      </w:r>
    </w:p>
    <w:sectPr>
      <w:footnotePr>
        <w:numFmt w:val="decimal"/>
      </w:footnotePr>
      <w:type w:val="nextPage"/>
      <w:pgSz w:w="11906" w:h="16838"/>
      <w:pgMar w:left="1701" w:right="1701"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spacing w:before="0" w:after="160"/>
        <w:jc w:val="both"/>
        <w:rPr/>
      </w:pPr>
      <w:r>
        <w:rPr>
          <w:rStyle w:val="Footnotereference"/>
          <w:sz w:val="20"/>
          <w:szCs w:val="20"/>
        </w:rPr>
        <w:footnoteRef/>
        <w:tab/>
      </w:r>
      <w:r>
        <w:rPr>
          <w:rFonts w:cs="Arial" w:ascii="Arial" w:hAnsi="Arial"/>
          <w:sz w:val="20"/>
          <w:szCs w:val="20"/>
          <w:lang w:val="en-US"/>
        </w:rPr>
        <w:t xml:space="preserve"> </w:t>
      </w:r>
      <w:r>
        <w:rPr>
          <w:rFonts w:cs="Arial" w:ascii="Arial" w:hAnsi="Arial"/>
          <w:sz w:val="20"/>
          <w:szCs w:val="20"/>
          <w:lang w:val="en-US"/>
        </w:rPr>
        <w:t>Hudson, 1992; Chang, 2002; Winch y O`Brien, 2002.</w:t>
      </w:r>
    </w:p>
  </w:footnote>
  <w:footnote w:id="3">
    <w:p>
      <w:pPr>
        <w:pStyle w:val="Footnotetext"/>
        <w:spacing w:lineRule="auto" w:line="480" w:before="0" w:after="160"/>
        <w:jc w:val="both"/>
        <w:rPr/>
      </w:pPr>
      <w:r>
        <w:rPr>
          <w:rStyle w:val="Footnotereference"/>
          <w:sz w:val="20"/>
          <w:szCs w:val="20"/>
        </w:rPr>
        <w:footnoteRef/>
        <w:tab/>
      </w:r>
      <w:r>
        <w:rPr>
          <w:rStyle w:val="Footnotereference"/>
          <w:sz w:val="20"/>
          <w:szCs w:val="20"/>
          <w:lang w:val="en-GB"/>
        </w:rPr>
        <w:t xml:space="preserve"> </w:t>
      </w:r>
      <w:r>
        <w:rPr>
          <w:rFonts w:cs="Arial" w:ascii="Arial" w:hAnsi="Arial"/>
          <w:sz w:val="20"/>
          <w:szCs w:val="20"/>
          <w:lang w:val="en-US"/>
        </w:rPr>
        <w:t>C. Christensen y L. Bower en “Disruptive Technologies: Catching the Wave”.</w:t>
      </w:r>
    </w:p>
  </w:footnote>
  <w:footnote w:id="4">
    <w:p>
      <w:pPr>
        <w:pStyle w:val="Footnotetext"/>
        <w:spacing w:before="0" w:after="160"/>
        <w:rPr/>
      </w:pPr>
      <w:r>
        <w:rPr>
          <w:rStyle w:val="Footnotereference"/>
          <w:rFonts w:cs="Arial" w:ascii="Arial" w:hAnsi="Arial"/>
          <w:sz w:val="20"/>
          <w:szCs w:val="20"/>
        </w:rPr>
        <w:footnoteRef/>
        <w:tab/>
      </w:r>
      <w:r>
        <w:rPr>
          <w:rFonts w:cs="Arial" w:ascii="Arial" w:hAnsi="Arial"/>
          <w:sz w:val="20"/>
          <w:szCs w:val="20"/>
        </w:rPr>
        <w:t xml:space="preserve"> </w:t>
      </w:r>
      <w:r>
        <w:rPr>
          <w:rFonts w:cs="Arial" w:ascii="Arial" w:hAnsi="Arial"/>
          <w:sz w:val="20"/>
          <w:szCs w:val="20"/>
        </w:rPr>
        <w:t>Ciudad en la que, desde el año 2014, la organización industrial Association of Crypton-Currency Enterprises and Start-ups promueve el uso del bitcoin.</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644" w:hanging="360"/>
      </w:pPr>
      <w:rPr>
        <w:b/>
        <w:rFonts w:ascii="Arial" w:hAnsi="Arial"/>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s-ES" w:eastAsia="en-US" w:bidi="ar-SA"/>
    </w:rPr>
  </w:style>
  <w:style w:type="paragraph" w:styleId="Ttulo1">
    <w:name w:val="Heading 1"/>
    <w:basedOn w:val="Normal"/>
    <w:next w:val="Normal"/>
    <w:link w:val="Ttulo1Car"/>
    <w:uiPriority w:val="9"/>
    <w:qFormat/>
    <w:rsid w:val="00b8647b"/>
    <w:pPr>
      <w:keepNext/>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Ttulo2">
    <w:name w:val="Heading 2"/>
    <w:basedOn w:val="Normal"/>
    <w:next w:val="Normal"/>
    <w:link w:val="Ttulo2Car"/>
    <w:uiPriority w:val="9"/>
    <w:unhideWhenUsed/>
    <w:qFormat/>
    <w:rsid w:val="008e65f4"/>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EnlacedeInternet" w:customStyle="1">
    <w:name w:val="Enlace de Internet"/>
    <w:basedOn w:val="DefaultParagraphFont"/>
    <w:uiPriority w:val="99"/>
    <w:unhideWhenUsed/>
    <w:rsid w:val="00627c45"/>
    <w:rPr>
      <w:color w:val="0563C1" w:themeColor="hyperlink"/>
      <w:u w:val="single"/>
    </w:rPr>
  </w:style>
  <w:style w:type="character" w:styleId="Ttulo2Car" w:customStyle="1">
    <w:name w:val="Título 2 Car"/>
    <w:basedOn w:val="DefaultParagraphFont"/>
    <w:link w:val="Ttulo2"/>
    <w:uiPriority w:val="9"/>
    <w:qFormat/>
    <w:rsid w:val="008e65f4"/>
    <w:rPr>
      <w:rFonts w:ascii="Calibri Light" w:hAnsi="Calibri Light" w:eastAsia="" w:cs="" w:asciiTheme="majorHAnsi" w:cstheme="majorBidi" w:eastAsiaTheme="majorEastAsia" w:hAnsiTheme="majorHAnsi"/>
      <w:color w:val="2E74B5" w:themeColor="accent1" w:themeShade="bf"/>
      <w:sz w:val="26"/>
      <w:szCs w:val="26"/>
    </w:rPr>
  </w:style>
  <w:style w:type="character" w:styleId="TextonotapieCar" w:customStyle="1">
    <w:name w:val="Texto nota pie Car"/>
    <w:basedOn w:val="DefaultParagraphFont"/>
    <w:link w:val="Textonotapie"/>
    <w:uiPriority w:val="99"/>
    <w:semiHidden/>
    <w:qFormat/>
    <w:rsid w:val="00ec6a3d"/>
    <w:rPr>
      <w:sz w:val="20"/>
      <w:szCs w:val="20"/>
    </w:rPr>
  </w:style>
  <w:style w:type="character" w:styleId="Footnotereference">
    <w:name w:val="footnote reference"/>
    <w:basedOn w:val="DefaultParagraphFont"/>
    <w:uiPriority w:val="99"/>
    <w:semiHidden/>
    <w:unhideWhenUsed/>
    <w:qFormat/>
    <w:rsid w:val="00ec6a3d"/>
    <w:rPr>
      <w:vertAlign w:val="superscript"/>
    </w:rPr>
  </w:style>
  <w:style w:type="character" w:styleId="ListLabel1" w:customStyle="1">
    <w:name w:val="ListLabel 1"/>
    <w:qFormat/>
    <w:rPr>
      <w:rFonts w:ascii="Arial" w:hAnsi="Arial"/>
      <w:b/>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b/>
    </w:rPr>
  </w:style>
  <w:style w:type="character" w:styleId="ListLabel6" w:customStyle="1">
    <w:name w:val="ListLabel 6"/>
    <w:qFormat/>
    <w:rPr>
      <w:rFonts w:cs="Courier New"/>
    </w:rPr>
  </w:style>
  <w:style w:type="character" w:styleId="ListLabel7" w:customStyle="1">
    <w:name w:val="ListLabel 7"/>
    <w:qFormat/>
    <w:rPr>
      <w:rFonts w:cs="Courier New"/>
    </w:rPr>
  </w:style>
  <w:style w:type="character" w:styleId="ListLabel8" w:customStyle="1">
    <w:name w:val="ListLabel 8"/>
    <w:qFormat/>
    <w:rPr>
      <w:rFonts w:cs="Courier New"/>
    </w:rPr>
  </w:style>
  <w:style w:type="character" w:styleId="ListLabel9" w:customStyle="1">
    <w:name w:val="ListLabel 9"/>
    <w:qFormat/>
    <w:rPr>
      <w:rFonts w:cs="Courier New"/>
    </w:rPr>
  </w:style>
  <w:style w:type="character" w:styleId="ListLabel10" w:customStyle="1">
    <w:name w:val="ListLabel 10"/>
    <w:qFormat/>
    <w:rPr>
      <w:rFonts w:cs="Courier New"/>
    </w:rPr>
  </w:style>
  <w:style w:type="character" w:styleId="ListLabel11" w:customStyle="1">
    <w:name w:val="ListLabel 11"/>
    <w:qFormat/>
    <w:rPr>
      <w:rFonts w:cs="Courier New"/>
    </w:rPr>
  </w:style>
  <w:style w:type="character" w:styleId="ListLabel12" w:customStyle="1">
    <w:name w:val="ListLabel 12"/>
    <w:qFormat/>
    <w:rPr>
      <w:rFonts w:cs="Courier New"/>
    </w:rPr>
  </w:style>
  <w:style w:type="character" w:styleId="ListLabel13" w:customStyle="1">
    <w:name w:val="ListLabel 13"/>
    <w:qFormat/>
    <w:rPr>
      <w:rFonts w:cs="Courier New"/>
    </w:rPr>
  </w:style>
  <w:style w:type="character" w:styleId="ListLabel14" w:customStyle="1">
    <w:name w:val="ListLabel 14"/>
    <w:qFormat/>
    <w:rPr>
      <w:rFonts w:cs="Courier New"/>
    </w:rPr>
  </w:style>
  <w:style w:type="character" w:styleId="Caracteresdenotaalpie" w:customStyle="1">
    <w:name w:val="Caracteres de nota al pie"/>
    <w:qFormat/>
    <w:rPr/>
  </w:style>
  <w:style w:type="character" w:styleId="Ancladenotaalpie" w:customStyle="1">
    <w:name w:val="Ancla de nota al pie"/>
    <w:rPr>
      <w:vertAlign w:val="superscript"/>
    </w:rPr>
  </w:style>
  <w:style w:type="character" w:styleId="Ancladenotafinal" w:customStyle="1">
    <w:name w:val="Ancla de nota final"/>
    <w:rPr>
      <w:vertAlign w:val="superscript"/>
    </w:rPr>
  </w:style>
  <w:style w:type="character" w:styleId="Caracteresdenotafinal" w:customStyle="1">
    <w:name w:val="Caracteres de nota final"/>
    <w:qFormat/>
    <w:rPr/>
  </w:style>
  <w:style w:type="character" w:styleId="Ttulo1Car" w:customStyle="1">
    <w:name w:val="Título 1 Car"/>
    <w:basedOn w:val="DefaultParagraphFont"/>
    <w:link w:val="Ttulo1"/>
    <w:uiPriority w:val="9"/>
    <w:qFormat/>
    <w:rsid w:val="00b8647b"/>
    <w:rPr>
      <w:rFonts w:ascii="Calibri Light" w:hAnsi="Calibri Light" w:eastAsia="" w:cs="" w:asciiTheme="majorHAnsi" w:cstheme="majorBidi" w:eastAsiaTheme="majorEastAsia" w:hAnsiTheme="majorHAnsi"/>
      <w:color w:val="2E74B5" w:themeColor="accent1" w:themeShade="bf"/>
      <w:sz w:val="32"/>
      <w:szCs w:val="32"/>
    </w:rPr>
  </w:style>
  <w:style w:type="character" w:styleId="ListLabel15">
    <w:name w:val="ListLabel 15"/>
    <w:qFormat/>
    <w:rPr>
      <w:rFonts w:ascii="Arial" w:hAnsi="Arial"/>
      <w:b/>
    </w:rPr>
  </w:style>
  <w:style w:type="character" w:styleId="ListLabel16">
    <w:name w:val="ListLabel 16"/>
    <w:qFormat/>
    <w:rPr>
      <w:rFonts w:ascii="Arial" w:hAnsi="Arial"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ascii="Arial" w:hAnsi="Arial"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ascii="Arial" w:hAnsi="Arial"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Symbol"/>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ascii="Arial" w:hAnsi="Arial"/>
      <w:b/>
    </w:rPr>
  </w:style>
  <w:style w:type="character" w:styleId="ListLabel44">
    <w:name w:val="ListLabel 44"/>
    <w:qFormat/>
    <w:rPr>
      <w:rFonts w:ascii="Arial" w:hAnsi="Arial"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ascii="Arial" w:hAnsi="Arial"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ascii="Arial" w:hAnsi="Arial"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paragraph" w:styleId="Ttulo">
    <w:name w:val="Título"/>
    <w:basedOn w:val="Normal"/>
    <w:next w:val="Cuerpodetexto"/>
    <w:qFormat/>
    <w:pPr>
      <w:keepNext/>
      <w:spacing w:before="240" w:after="120"/>
    </w:pPr>
    <w:rPr>
      <w:rFonts w:ascii="Liberation Sans" w:hAnsi="Liberation Sans" w:eastAsia="Microsoft YaHei" w:cs="Arial Unicode M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pPr>
      <w:suppressLineNumbers/>
    </w:pPr>
    <w:rPr>
      <w:rFonts w:cs="Arial Unicode MS"/>
    </w:rPr>
  </w:style>
  <w:style w:type="paragraph" w:styleId="Titular">
    <w:name w:val="Title"/>
    <w:basedOn w:val="Normal"/>
    <w:qFormat/>
    <w:pPr>
      <w:keepNext/>
      <w:spacing w:before="240" w:after="120"/>
    </w:pPr>
    <w:rPr>
      <w:rFonts w:ascii="Liberation Sans" w:hAnsi="Liberation Sans" w:eastAsia="Microsoft YaHei" w:cs="Arial Unicode MS"/>
      <w:sz w:val="28"/>
      <w:szCs w:val="28"/>
    </w:rPr>
  </w:style>
  <w:style w:type="paragraph" w:styleId="Caption">
    <w:name w:val="caption"/>
    <w:basedOn w:val="Normal"/>
    <w:qFormat/>
    <w:pPr>
      <w:suppressLineNumbers/>
      <w:spacing w:before="120" w:after="120"/>
    </w:pPr>
    <w:rPr>
      <w:rFonts w:cs="Arial Unicode MS"/>
      <w:i/>
      <w:iCs/>
      <w:sz w:val="24"/>
      <w:szCs w:val="24"/>
    </w:rPr>
  </w:style>
  <w:style w:type="paragraph" w:styleId="ListParagraph">
    <w:name w:val="List Paragraph"/>
    <w:basedOn w:val="Normal"/>
    <w:uiPriority w:val="34"/>
    <w:qFormat/>
    <w:rsid w:val="008e65f4"/>
    <w:pPr>
      <w:spacing w:before="0" w:after="160"/>
      <w:ind w:left="720" w:hanging="0"/>
      <w:contextualSpacing/>
    </w:pPr>
    <w:rPr/>
  </w:style>
  <w:style w:type="paragraph" w:styleId="Footnotetext">
    <w:name w:val="footnote text"/>
    <w:basedOn w:val="Normal"/>
    <w:link w:val="TextonotapieCar"/>
    <w:qFormat/>
    <w:pPr/>
    <w:rPr/>
  </w:style>
  <w:style w:type="paragraph" w:styleId="Notaalpie">
    <w:name w:val="Footnote Text"/>
    <w:basedOn w:val="Normal"/>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orena.alonso.suarez@gmail.com"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0856F-1EE9-4FD8-8A88-A9E98AB54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LibreOffice/5.2.7.2$Windows_x86 LibreOffice_project/2b7f1e640c46ceb28adf43ee075a6e8b8439ed10</Application>
  <Pages>18</Pages>
  <Words>8835</Words>
  <Characters>48111</Characters>
  <CharactersWithSpaces>56787</CharactersWithSpaces>
  <Paragraphs>155</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2017-07-12T09:16:00Z</dcterms:created>
  <dc:creator>Lorena</dc:creator>
  <dc:description/>
  <dc:language>es-ES</dc:language>
  <cp:lastModifiedBy/>
  <dcterms:modified xsi:type="dcterms:W3CDTF">2017-07-12T14:55:07Z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