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9295F" w:rsidRDefault="00052D02">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Implementar políticas de atención para promover la igualdad de género inclusiva</w:t>
      </w:r>
    </w:p>
    <w:p w:rsidR="0099295F" w:rsidRDefault="0099295F">
      <w:pPr>
        <w:pStyle w:val="normal0"/>
        <w:spacing w:after="200" w:line="360" w:lineRule="auto"/>
        <w:rPr>
          <w:rFonts w:ascii="Times New Roman" w:eastAsia="Times New Roman" w:hAnsi="Times New Roman" w:cs="Times New Roman"/>
          <w:sz w:val="24"/>
          <w:szCs w:val="24"/>
        </w:rPr>
      </w:pPr>
    </w:p>
    <w:p w:rsidR="0099295F" w:rsidRDefault="00052D02">
      <w:pPr>
        <w:pStyle w:val="normal0"/>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Almudena Cabezas González</w:t>
      </w:r>
      <w:r>
        <w:rPr>
          <w:rFonts w:ascii="Times New Roman" w:eastAsia="Times New Roman" w:hAnsi="Times New Roman" w:cs="Times New Roman"/>
          <w:sz w:val="24"/>
          <w:szCs w:val="24"/>
        </w:rPr>
        <w:t xml:space="preserve">. Universidad Complutense de Madrid (UCM). </w:t>
      </w:r>
      <w:r>
        <w:rPr>
          <w:rFonts w:ascii="Times New Roman" w:eastAsia="Times New Roman" w:hAnsi="Times New Roman" w:cs="Times New Roman"/>
          <w:sz w:val="24"/>
          <w:szCs w:val="24"/>
          <w:highlight w:val="white"/>
        </w:rPr>
        <w:t>macabeza@cps.ucm.es</w:t>
      </w:r>
    </w:p>
    <w:p w:rsidR="0099295F" w:rsidRDefault="00052D02">
      <w:pPr>
        <w:pStyle w:val="normal0"/>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 Fernández Arrúe. </w:t>
      </w:r>
      <w:r>
        <w:rPr>
          <w:rFonts w:ascii="Times New Roman" w:eastAsia="Times New Roman" w:hAnsi="Times New Roman" w:cs="Times New Roman"/>
          <w:sz w:val="24"/>
          <w:szCs w:val="24"/>
        </w:rPr>
        <w:t xml:space="preserve">Universidad Complutense de Madrid (UCM). </w:t>
      </w:r>
    </w:p>
    <w:p w:rsidR="0099295F" w:rsidRDefault="00052D02">
      <w:pPr>
        <w:pStyle w:val="normal0"/>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efarrue@ucm.es</w:t>
      </w:r>
    </w:p>
    <w:p w:rsidR="0099295F" w:rsidRDefault="0099295F">
      <w:pPr>
        <w:pStyle w:val="normal0"/>
        <w:spacing w:after="200"/>
        <w:rPr>
          <w:rFonts w:ascii="Times New Roman" w:eastAsia="Times New Roman" w:hAnsi="Times New Roman" w:cs="Times New Roman"/>
          <w:b/>
          <w:sz w:val="24"/>
          <w:szCs w:val="24"/>
        </w:rPr>
      </w:pPr>
    </w:p>
    <w:p w:rsidR="0099295F" w:rsidRDefault="00052D02">
      <w:pPr>
        <w:pStyle w:val="normal0"/>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Resumen</w:t>
      </w:r>
    </w:p>
    <w:p w:rsidR="0099295F" w:rsidRDefault="00052D02">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artículo a presentar muestra las políticas de cuidados en el sur de Europa, concretamente Portugal y España, que han desarrollado medidas para asistir a la población dependiente, como establece el mandato europeo (Recomendación Nº (98) 9 del Comité de </w:t>
      </w:r>
      <w:r>
        <w:rPr>
          <w:rFonts w:ascii="Times New Roman" w:eastAsia="Times New Roman" w:hAnsi="Times New Roman" w:cs="Times New Roman"/>
          <w:sz w:val="24"/>
          <w:szCs w:val="24"/>
        </w:rPr>
        <w:t xml:space="preserve">Ministros y Recomendación del Consejo, de 31 de marzo de 1992, sobre el cuidado de los niños y de las </w:t>
      </w:r>
      <w:proofErr w:type="gramStart"/>
      <w:r>
        <w:rPr>
          <w:rFonts w:ascii="Times New Roman" w:eastAsia="Times New Roman" w:hAnsi="Times New Roman" w:cs="Times New Roman"/>
          <w:sz w:val="24"/>
          <w:szCs w:val="24"/>
        </w:rPr>
        <w:t>niñas</w:t>
      </w:r>
      <w:proofErr w:type="gramEnd"/>
      <w:r>
        <w:rPr>
          <w:rFonts w:ascii="Times New Roman" w:eastAsia="Times New Roman" w:hAnsi="Times New Roman" w:cs="Times New Roman"/>
          <w:sz w:val="24"/>
          <w:szCs w:val="24"/>
        </w:rPr>
        <w:t>) Para un análisis más detallado se comparan las políticas de cuidados de España y Portugal con las de Costa Rica y Uruguay, países que poseen sistem</w:t>
      </w:r>
      <w:r>
        <w:rPr>
          <w:rFonts w:ascii="Times New Roman" w:eastAsia="Times New Roman" w:hAnsi="Times New Roman" w:cs="Times New Roman"/>
          <w:sz w:val="24"/>
          <w:szCs w:val="24"/>
        </w:rPr>
        <w:t xml:space="preserve">as integrales de cuidado que abarcan una población y unos servicios más amplios. </w:t>
      </w:r>
    </w:p>
    <w:p w:rsidR="0099295F" w:rsidRDefault="00052D02">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Considerando que estas medidas promueven la igualdad de género, al fomentar la corresponsabilidad en los cuidados de la población dependiente, haciendo partícipes de los mism</w:t>
      </w:r>
      <w:r>
        <w:rPr>
          <w:rFonts w:ascii="Times New Roman" w:eastAsia="Times New Roman" w:hAnsi="Times New Roman" w:cs="Times New Roman"/>
          <w:sz w:val="24"/>
          <w:szCs w:val="24"/>
        </w:rPr>
        <w:t>os al Estado, la familia, la comunidad y los agentes sociales, enfocamos el artículo en los cambios que han supuesto estas políticas para las mujeres. De este modo, destacamos dos aspectos, la familiarización de los cuidados y los servicios que facilitan l</w:t>
      </w:r>
      <w:r>
        <w:rPr>
          <w:rFonts w:ascii="Times New Roman" w:eastAsia="Times New Roman" w:hAnsi="Times New Roman" w:cs="Times New Roman"/>
          <w:sz w:val="24"/>
          <w:szCs w:val="24"/>
        </w:rPr>
        <w:t xml:space="preserve">a integración femenina en el mercado laboral. </w:t>
      </w:r>
      <w:r>
        <w:rPr>
          <w:rFonts w:ascii="Times New Roman" w:eastAsia="Times New Roman" w:hAnsi="Times New Roman" w:cs="Times New Roman"/>
          <w:sz w:val="24"/>
          <w:szCs w:val="24"/>
        </w:rPr>
        <w:t>L</w:t>
      </w:r>
      <w:r>
        <w:rPr>
          <w:rFonts w:ascii="Times New Roman" w:eastAsia="Times New Roman" w:hAnsi="Times New Roman" w:cs="Times New Roman"/>
          <w:sz w:val="24"/>
          <w:szCs w:val="24"/>
        </w:rPr>
        <w:t>a persistente familiarización de los cuidados y su enfoque hacia la equidad socioeconómica, más que de género, se aprecia en la comparativa de los países estudiados, donde se destaca que estas medidas ayudan a</w:t>
      </w:r>
      <w:r>
        <w:rPr>
          <w:rFonts w:ascii="Times New Roman" w:eastAsia="Times New Roman" w:hAnsi="Times New Roman" w:cs="Times New Roman"/>
          <w:sz w:val="24"/>
          <w:szCs w:val="24"/>
        </w:rPr>
        <w:t xml:space="preserve"> conciliar la vida laboral y familiar, pero no integran la perspectiva de género ni incluyen a los hombres en la corresponsabilidad de cuidados.</w:t>
      </w:r>
    </w:p>
    <w:p w:rsidR="0099295F" w:rsidRDefault="0099295F">
      <w:pPr>
        <w:pStyle w:val="normal0"/>
        <w:jc w:val="both"/>
        <w:rPr>
          <w:rFonts w:ascii="Times New Roman" w:eastAsia="Times New Roman" w:hAnsi="Times New Roman" w:cs="Times New Roman"/>
          <w:sz w:val="24"/>
          <w:szCs w:val="24"/>
        </w:rPr>
      </w:pPr>
    </w:p>
    <w:p w:rsidR="0099295F" w:rsidRDefault="00052D02">
      <w:pPr>
        <w:pStyle w:val="norm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Palabras clave</w:t>
      </w:r>
    </w:p>
    <w:p w:rsidR="0099295F" w:rsidRDefault="00052D02">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Sistemas de cuidados, género, población dependiente, </w:t>
      </w:r>
      <w:proofErr w:type="spellStart"/>
      <w:r>
        <w:rPr>
          <w:rFonts w:ascii="Times New Roman" w:eastAsia="Times New Roman" w:hAnsi="Times New Roman" w:cs="Times New Roman"/>
          <w:sz w:val="24"/>
          <w:szCs w:val="24"/>
        </w:rPr>
        <w:t>cuidadanía</w:t>
      </w:r>
      <w:proofErr w:type="spellEnd"/>
    </w:p>
    <w:p w:rsidR="0099295F" w:rsidRDefault="0099295F">
      <w:pPr>
        <w:pStyle w:val="normal0"/>
        <w:jc w:val="both"/>
        <w:rPr>
          <w:rFonts w:ascii="Times New Roman" w:eastAsia="Times New Roman" w:hAnsi="Times New Roman" w:cs="Times New Roman"/>
          <w:sz w:val="24"/>
          <w:szCs w:val="24"/>
        </w:rPr>
      </w:pPr>
    </w:p>
    <w:p w:rsidR="0099295F" w:rsidRDefault="0099295F">
      <w:pPr>
        <w:pStyle w:val="normal0"/>
        <w:spacing w:after="200" w:line="312" w:lineRule="auto"/>
        <w:jc w:val="both"/>
        <w:rPr>
          <w:rFonts w:ascii="Times New Roman" w:eastAsia="Times New Roman" w:hAnsi="Times New Roman" w:cs="Times New Roman"/>
          <w:b/>
          <w:sz w:val="24"/>
          <w:szCs w:val="24"/>
        </w:rPr>
      </w:pPr>
    </w:p>
    <w:p w:rsidR="0099295F" w:rsidRDefault="0099295F">
      <w:pPr>
        <w:pStyle w:val="normal0"/>
        <w:spacing w:after="200" w:line="312" w:lineRule="auto"/>
        <w:jc w:val="both"/>
        <w:rPr>
          <w:rFonts w:ascii="Times New Roman" w:eastAsia="Times New Roman" w:hAnsi="Times New Roman" w:cs="Times New Roman"/>
          <w:b/>
          <w:sz w:val="24"/>
          <w:szCs w:val="24"/>
        </w:rPr>
      </w:pPr>
    </w:p>
    <w:p w:rsidR="0099295F" w:rsidRDefault="00052D02">
      <w:pPr>
        <w:pStyle w:val="normal0"/>
        <w:spacing w:after="200" w:line="312" w:lineRule="auto"/>
        <w:jc w:val="both"/>
        <w:rPr>
          <w:rFonts w:ascii="Times New Roman" w:eastAsia="Times New Roman" w:hAnsi="Times New Roman" w:cs="Times New Roman"/>
          <w:b/>
          <w:sz w:val="24"/>
          <w:szCs w:val="24"/>
        </w:rPr>
      </w:pPr>
      <w:r>
        <w:br w:type="page"/>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Los debates de los</w:t>
      </w:r>
      <w:r>
        <w:rPr>
          <w:rFonts w:ascii="Times New Roman" w:eastAsia="Times New Roman" w:hAnsi="Times New Roman" w:cs="Times New Roman"/>
          <w:b/>
          <w:sz w:val="24"/>
          <w:szCs w:val="24"/>
        </w:rPr>
        <w:t xml:space="preserve"> cuidados y las desigualdades de género</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Cuando la vida cotidiana se convierte en objeto de análisis y de las políticas públicas es inevitable reflexionar sobre el trabajo que realizan las mujeres para sostener a las familias, y de fondo, sostener también e</w:t>
      </w:r>
      <w:r>
        <w:rPr>
          <w:rFonts w:ascii="Times New Roman" w:eastAsia="Times New Roman" w:hAnsi="Times New Roman" w:cs="Times New Roman"/>
          <w:sz w:val="24"/>
          <w:szCs w:val="24"/>
        </w:rPr>
        <w:t>l sistema capitalista. Desde un inicio el debate sobre las políticas de cuidado y el trabajo doméstico se plantea en torno a la imposibilidad de mercantilizar completamente las actividades al interior del hogar (Dalla, 2006), pero desde los años setenta de</w:t>
      </w:r>
      <w:r>
        <w:rPr>
          <w:rFonts w:ascii="Times New Roman" w:eastAsia="Times New Roman" w:hAnsi="Times New Roman" w:cs="Times New Roman"/>
          <w:sz w:val="24"/>
          <w:szCs w:val="24"/>
        </w:rPr>
        <w:t xml:space="preserve">l siglo pasado a la actualidad, pasando por su entrada en la agenda pública en los noventa, los cuidados son un </w:t>
      </w:r>
      <w:proofErr w:type="spellStart"/>
      <w:r>
        <w:rPr>
          <w:rFonts w:ascii="Times New Roman" w:eastAsia="Times New Roman" w:hAnsi="Times New Roman" w:cs="Times New Roman"/>
          <w:i/>
          <w:sz w:val="24"/>
          <w:szCs w:val="24"/>
        </w:rPr>
        <w:t>hot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topic</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de la política actual</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primeros análisis del cuidado se centran en la división sexual del trabajo, es decir, la diferencia entre el espacio privado y público que hacen del trabajo productivo y reproductivo dos esferas diferenciadas. Anteriormente a la industrialización esta </w:t>
      </w:r>
      <w:r>
        <w:rPr>
          <w:rFonts w:ascii="Times New Roman" w:eastAsia="Times New Roman" w:hAnsi="Times New Roman" w:cs="Times New Roman"/>
          <w:sz w:val="24"/>
          <w:szCs w:val="24"/>
        </w:rPr>
        <w:t>división no era tan visible y el trabajo de cuidados se realizaba en el entorno familiar, incluyendo a menores desde muy temprana edad. Sin embargo, la pérdida del papel productivo de la familia frente al mercado disuelve las instituciones comunales, las r</w:t>
      </w:r>
      <w:r>
        <w:rPr>
          <w:rFonts w:ascii="Times New Roman" w:eastAsia="Times New Roman" w:hAnsi="Times New Roman" w:cs="Times New Roman"/>
          <w:sz w:val="24"/>
          <w:szCs w:val="24"/>
        </w:rPr>
        <w:t xml:space="preserve">elaciones de vecindad y parentesco, y la proliferación del trabajo fabril y los horarios estrictos de trabajo modifican la organización familiar, el trabajo doméstico y los cuidados (Valcárcel, 1991; Carrasco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2011). En este proceso, también cabe de</w:t>
      </w:r>
      <w:r>
        <w:rPr>
          <w:rFonts w:ascii="Times New Roman" w:eastAsia="Times New Roman" w:hAnsi="Times New Roman" w:cs="Times New Roman"/>
          <w:sz w:val="24"/>
          <w:szCs w:val="24"/>
        </w:rPr>
        <w:t xml:space="preserve">stacar el papel de los discursos médicos que van a vincular la maternidad con el cuidado (Cabezas y </w:t>
      </w:r>
      <w:proofErr w:type="spellStart"/>
      <w:r>
        <w:rPr>
          <w:rFonts w:ascii="Times New Roman" w:eastAsia="Times New Roman" w:hAnsi="Times New Roman" w:cs="Times New Roman"/>
          <w:sz w:val="24"/>
          <w:szCs w:val="24"/>
        </w:rPr>
        <w:t>Berná</w:t>
      </w:r>
      <w:proofErr w:type="spellEnd"/>
      <w:r>
        <w:rPr>
          <w:rFonts w:ascii="Times New Roman" w:eastAsia="Times New Roman" w:hAnsi="Times New Roman" w:cs="Times New Roman"/>
          <w:sz w:val="24"/>
          <w:szCs w:val="24"/>
        </w:rPr>
        <w:t xml:space="preserve">, 2013).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Cuando las mujeres abandonan progresivamente el trabajo formal, éste pasa a ser territorio masculino y los hombres se convierten los proveed</w:t>
      </w:r>
      <w:r>
        <w:rPr>
          <w:rFonts w:ascii="Times New Roman" w:eastAsia="Times New Roman" w:hAnsi="Times New Roman" w:cs="Times New Roman"/>
          <w:sz w:val="24"/>
          <w:szCs w:val="24"/>
        </w:rPr>
        <w:t>ores de recursos de las familias, mientras las mujeres quedan como dependientes de esos varones trabajadores, a excepción de aquellas que no se encuentran en una relación heterosexual, las que han perdido al cónyuge, o están en situación de abandono o serv</w:t>
      </w:r>
      <w:r>
        <w:rPr>
          <w:rFonts w:ascii="Times New Roman" w:eastAsia="Times New Roman" w:hAnsi="Times New Roman" w:cs="Times New Roman"/>
          <w:sz w:val="24"/>
          <w:szCs w:val="24"/>
        </w:rPr>
        <w:t>icio militar, quiénes se verán obligadas a compaginar un trabajo formal con el de cuidados y doméstico. “</w:t>
      </w:r>
      <w:r>
        <w:rPr>
          <w:rFonts w:ascii="Times New Roman" w:eastAsia="Times New Roman" w:hAnsi="Times New Roman" w:cs="Times New Roman"/>
          <w:i/>
          <w:sz w:val="24"/>
          <w:szCs w:val="24"/>
        </w:rPr>
        <w:t>El resultado fue la familia nuclear, la mujer-madre y el pacto del salario familiar</w:t>
      </w:r>
      <w:r>
        <w:rPr>
          <w:rFonts w:ascii="Times New Roman" w:eastAsia="Times New Roman" w:hAnsi="Times New Roman" w:cs="Times New Roman"/>
          <w:sz w:val="24"/>
          <w:szCs w:val="24"/>
        </w:rPr>
        <w:t>” (Miranda, 2006:</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48). Posteriormente, la progresiva reincorporación</w:t>
      </w:r>
      <w:r>
        <w:rPr>
          <w:rFonts w:ascii="Times New Roman" w:eastAsia="Times New Roman" w:hAnsi="Times New Roman" w:cs="Times New Roman"/>
          <w:sz w:val="24"/>
          <w:szCs w:val="24"/>
        </w:rPr>
        <w:t xml:space="preserve"> de las mujeres al mercado laboral trae consigo la visibilización de la sobrecarga de trabajo que supone la denominada doble jornada (</w:t>
      </w:r>
      <w:proofErr w:type="spellStart"/>
      <w:r>
        <w:rPr>
          <w:rFonts w:ascii="Times New Roman" w:eastAsia="Times New Roman" w:hAnsi="Times New Roman" w:cs="Times New Roman"/>
          <w:sz w:val="24"/>
          <w:szCs w:val="24"/>
        </w:rPr>
        <w:t>Ferguson</w:t>
      </w:r>
      <w:proofErr w:type="spellEnd"/>
      <w:r>
        <w:rPr>
          <w:rFonts w:ascii="Times New Roman" w:eastAsia="Times New Roman" w:hAnsi="Times New Roman" w:cs="Times New Roman"/>
          <w:sz w:val="24"/>
          <w:szCs w:val="24"/>
        </w:rPr>
        <w:t xml:space="preserve">: 337 en </w:t>
      </w:r>
      <w:proofErr w:type="spellStart"/>
      <w:r>
        <w:rPr>
          <w:rFonts w:ascii="Times New Roman" w:eastAsia="Times New Roman" w:hAnsi="Times New Roman" w:cs="Times New Roman"/>
          <w:sz w:val="24"/>
          <w:szCs w:val="24"/>
        </w:rPr>
        <w:t>Waylen</w:t>
      </w:r>
      <w:proofErr w:type="spellEnd"/>
      <w:r>
        <w:rPr>
          <w:rFonts w:ascii="Times New Roman" w:eastAsia="Times New Roman" w:hAnsi="Times New Roman" w:cs="Times New Roman"/>
          <w:sz w:val="24"/>
          <w:szCs w:val="24"/>
        </w:rPr>
        <w:t xml:space="preserve"> et al., 2013). No en vano, ya en el siglo XIX hubo reivindicaciones de mujeres trabajadoras, solic</w:t>
      </w:r>
      <w:r>
        <w:rPr>
          <w:rFonts w:ascii="Times New Roman" w:eastAsia="Times New Roman" w:hAnsi="Times New Roman" w:cs="Times New Roman"/>
          <w:sz w:val="24"/>
          <w:szCs w:val="24"/>
        </w:rPr>
        <w:t xml:space="preserve">itando reducción de jornada, y de aquellas que no trabajaban formalmente, demandando un salario para las amas de casa (Carrasco et al., 2011).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sentido</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la división sexual del trabajo es uno de los pilares del Estado de Bienestar que necesita del ma</w:t>
      </w:r>
      <w:r>
        <w:rPr>
          <w:rFonts w:ascii="Times New Roman" w:eastAsia="Times New Roman" w:hAnsi="Times New Roman" w:cs="Times New Roman"/>
          <w:sz w:val="24"/>
          <w:szCs w:val="24"/>
        </w:rPr>
        <w:t xml:space="preserve">trimonio para suplir las carencias del bienestar cotidiano, como son los cuidados de dependientes, que hacen a las mujeres responsables de la reproducción en general. De este modo, junto a las desigualdades que enfrentan las mujeres en el empleo </w:t>
      </w:r>
      <w:r>
        <w:rPr>
          <w:rFonts w:ascii="Times New Roman" w:eastAsia="Times New Roman" w:hAnsi="Times New Roman" w:cs="Times New Roman"/>
          <w:sz w:val="24"/>
          <w:szCs w:val="24"/>
        </w:rPr>
        <w:lastRenderedPageBreak/>
        <w:t>formal -me</w:t>
      </w:r>
      <w:r>
        <w:rPr>
          <w:rFonts w:ascii="Times New Roman" w:eastAsia="Times New Roman" w:hAnsi="Times New Roman" w:cs="Times New Roman"/>
          <w:sz w:val="24"/>
          <w:szCs w:val="24"/>
        </w:rPr>
        <w:t>nor remuneración, mayor presencia en sectores de poca cualificación y menor acceso a puestos de responsabilidad-, la carga de las tareas del hogar y los cuidados dificultan una vida laboral continua. Las mujeres entran y salen del mercado a causa de sus re</w:t>
      </w:r>
      <w:r>
        <w:rPr>
          <w:rFonts w:ascii="Times New Roman" w:eastAsia="Times New Roman" w:hAnsi="Times New Roman" w:cs="Times New Roman"/>
          <w:sz w:val="24"/>
          <w:szCs w:val="24"/>
        </w:rPr>
        <w:t>sponsabilidades familiares, y en general, “optan” en mayor proporción que los hombres a trabajos de jornada parcial (Huertas et al., 2016). Aunque el trabajo reproductivo supone una importante aportación gratuita de las mujeres a las cuentas nacionales (Du</w:t>
      </w:r>
      <w:r>
        <w:rPr>
          <w:rFonts w:ascii="Times New Roman" w:eastAsia="Times New Roman" w:hAnsi="Times New Roman" w:cs="Times New Roman"/>
          <w:sz w:val="24"/>
          <w:szCs w:val="24"/>
        </w:rPr>
        <w:t>rán, 2002, 2011), y como evidencian las encuestas de uso del tiempo las tareas domésticas y de cuidado en el hogar son un trabajo (Dalla, 2006; Aguirre et al., 2014; Pereira, 2014; Jiménez-Fontana, 2016); sabemos que la valoración social del mismo es escas</w:t>
      </w:r>
      <w:r>
        <w:rPr>
          <w:rFonts w:ascii="Times New Roman" w:eastAsia="Times New Roman" w:hAnsi="Times New Roman" w:cs="Times New Roman"/>
          <w:sz w:val="24"/>
          <w:szCs w:val="24"/>
        </w:rPr>
        <w:t xml:space="preserve">a. La naturalización del rol de cuidadora supone para las mujeres una fuerte pérdida de autonomía para ellas.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el pensamiento feminista se ha tratado de retar esta subvaloración de la contribución de las mujeres a la economía y a las sociedades en su</w:t>
      </w:r>
      <w:r>
        <w:rPr>
          <w:rFonts w:ascii="Times New Roman" w:eastAsia="Times New Roman" w:hAnsi="Times New Roman" w:cs="Times New Roman"/>
          <w:sz w:val="24"/>
          <w:szCs w:val="24"/>
        </w:rPr>
        <w:t xml:space="preserve"> conjunto. Existen diferentes expresiones para resignificar las tareas de la esfera privada asignadas socialmente a las mujeres, pero tanto </w:t>
      </w:r>
      <w:r>
        <w:rPr>
          <w:rFonts w:ascii="Times New Roman" w:eastAsia="Times New Roman" w:hAnsi="Times New Roman" w:cs="Times New Roman"/>
          <w:i/>
          <w:sz w:val="24"/>
          <w:szCs w:val="24"/>
        </w:rPr>
        <w:t>trabajo doméstico</w:t>
      </w:r>
      <w:r>
        <w:rPr>
          <w:rFonts w:ascii="Times New Roman" w:eastAsia="Times New Roman" w:hAnsi="Times New Roman" w:cs="Times New Roman"/>
          <w:sz w:val="24"/>
          <w:szCs w:val="24"/>
        </w:rPr>
        <w:t xml:space="preserve"> como </w:t>
      </w:r>
      <w:r>
        <w:rPr>
          <w:rFonts w:ascii="Times New Roman" w:eastAsia="Times New Roman" w:hAnsi="Times New Roman" w:cs="Times New Roman"/>
          <w:i/>
          <w:sz w:val="24"/>
          <w:szCs w:val="24"/>
        </w:rPr>
        <w:t>trabajo de cuidados</w:t>
      </w:r>
      <w:r>
        <w:rPr>
          <w:rFonts w:ascii="Times New Roman" w:eastAsia="Times New Roman" w:hAnsi="Times New Roman" w:cs="Times New Roman"/>
          <w:sz w:val="24"/>
          <w:szCs w:val="24"/>
        </w:rPr>
        <w:t xml:space="preserve"> forman parte de las demandas sociales que se incluyen progresivamente en </w:t>
      </w:r>
      <w:r>
        <w:rPr>
          <w:rFonts w:ascii="Times New Roman" w:eastAsia="Times New Roman" w:hAnsi="Times New Roman" w:cs="Times New Roman"/>
          <w:sz w:val="24"/>
          <w:szCs w:val="24"/>
        </w:rPr>
        <w:t>las políticas públicas europeas (</w:t>
      </w:r>
      <w:proofErr w:type="spellStart"/>
      <w:r>
        <w:rPr>
          <w:rFonts w:ascii="Times New Roman" w:eastAsia="Times New Roman" w:hAnsi="Times New Roman" w:cs="Times New Roman"/>
          <w:sz w:val="24"/>
          <w:szCs w:val="24"/>
        </w:rPr>
        <w:t>Pfau-Effinger</w:t>
      </w:r>
      <w:proofErr w:type="spellEnd"/>
      <w:r>
        <w:rPr>
          <w:rFonts w:ascii="Times New Roman" w:eastAsia="Times New Roman" w:hAnsi="Times New Roman" w:cs="Times New Roman"/>
          <w:sz w:val="24"/>
          <w:szCs w:val="24"/>
        </w:rPr>
        <w:t>, 2014) y latinoamericanas (Vega y Gutiérrez, 2014). Su consideración como trabajo busca incidir en la persistente división entre trabajo productivo y reproductivo, dotando de valor económico y social al trabaj</w:t>
      </w:r>
      <w:r>
        <w:rPr>
          <w:rFonts w:ascii="Times New Roman" w:eastAsia="Times New Roman" w:hAnsi="Times New Roman" w:cs="Times New Roman"/>
          <w:sz w:val="24"/>
          <w:szCs w:val="24"/>
        </w:rPr>
        <w:t xml:space="preserve">o en el hogar no remunerado.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Aunque se ha avanzado en un consenso político sobre la consideración del trabajo doméstico o del hogar</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lo cierto es que el debate sobre los cuidados permanece abierto a fin de  visibilizar todo el trabajo que se articula en </w:t>
      </w:r>
      <w:r>
        <w:rPr>
          <w:rFonts w:ascii="Times New Roman" w:eastAsia="Times New Roman" w:hAnsi="Times New Roman" w:cs="Times New Roman"/>
          <w:sz w:val="24"/>
          <w:szCs w:val="24"/>
        </w:rPr>
        <w:t>torno a lo doméstico. Así, el concepto de “economía del cuidado”, que utilizan las economistas feministas, enfatiza la relevancia económica y social de este trabajo, mientras desde la sociología se apuesta por “régimen de cuidados”, “organización social de</w:t>
      </w:r>
      <w:r>
        <w:rPr>
          <w:rFonts w:ascii="Times New Roman" w:eastAsia="Times New Roman" w:hAnsi="Times New Roman" w:cs="Times New Roman"/>
          <w:sz w:val="24"/>
          <w:szCs w:val="24"/>
        </w:rPr>
        <w:t>l cuidado” o “cuidado social” a fin de criticar el papel que tiene el Estado, la familia y el mercado en el acceso al mismo (</w:t>
      </w:r>
      <w:proofErr w:type="spellStart"/>
      <w:r>
        <w:rPr>
          <w:rFonts w:ascii="Times New Roman" w:eastAsia="Times New Roman" w:hAnsi="Times New Roman" w:cs="Times New Roman"/>
          <w:sz w:val="24"/>
          <w:szCs w:val="24"/>
        </w:rPr>
        <w:t>Sainsbury</w:t>
      </w:r>
      <w:proofErr w:type="spellEnd"/>
      <w:r>
        <w:rPr>
          <w:rFonts w:ascii="Times New Roman" w:eastAsia="Times New Roman" w:hAnsi="Times New Roman" w:cs="Times New Roman"/>
          <w:sz w:val="24"/>
          <w:szCs w:val="24"/>
        </w:rPr>
        <w:t xml:space="preserve">, 1999; </w:t>
      </w:r>
      <w:proofErr w:type="spellStart"/>
      <w:r>
        <w:rPr>
          <w:rFonts w:ascii="Times New Roman" w:eastAsia="Times New Roman" w:hAnsi="Times New Roman" w:cs="Times New Roman"/>
          <w:sz w:val="24"/>
          <w:szCs w:val="24"/>
        </w:rPr>
        <w:t>Daly</w:t>
      </w:r>
      <w:proofErr w:type="spellEnd"/>
      <w:r>
        <w:rPr>
          <w:rFonts w:ascii="Times New Roman" w:eastAsia="Times New Roman" w:hAnsi="Times New Roman" w:cs="Times New Roman"/>
          <w:sz w:val="24"/>
          <w:szCs w:val="24"/>
        </w:rPr>
        <w:t xml:space="preserve"> y Lewis, 2000; </w:t>
      </w:r>
      <w:proofErr w:type="spellStart"/>
      <w:r>
        <w:rPr>
          <w:rFonts w:ascii="Times New Roman" w:eastAsia="Times New Roman" w:hAnsi="Times New Roman" w:cs="Times New Roman"/>
          <w:sz w:val="24"/>
          <w:szCs w:val="24"/>
        </w:rPr>
        <w:t>Faur</w:t>
      </w:r>
      <w:proofErr w:type="spellEnd"/>
      <w:r>
        <w:rPr>
          <w:rFonts w:ascii="Times New Roman" w:eastAsia="Times New Roman" w:hAnsi="Times New Roman" w:cs="Times New Roman"/>
          <w:sz w:val="24"/>
          <w:szCs w:val="24"/>
        </w:rPr>
        <w:t xml:space="preserve">, 2011). Igualmente, en ocasiones “cuidados” es considerado un concepto más apropiado que </w:t>
      </w:r>
      <w:r>
        <w:rPr>
          <w:rFonts w:ascii="Times New Roman" w:eastAsia="Times New Roman" w:hAnsi="Times New Roman" w:cs="Times New Roman"/>
          <w:sz w:val="24"/>
          <w:szCs w:val="24"/>
        </w:rPr>
        <w:t>“trabajo de cuidado” por su significado más amplio (Esquivel, 2015). A pesar de las diferencias en todas ellas se trata de desnaturalizar la vinculación entre cuidados y mujeres y reconocer el derecho a recibir cuidados y a proporcionarlos en condiciones a</w:t>
      </w:r>
      <w:r>
        <w:rPr>
          <w:rFonts w:ascii="Times New Roman" w:eastAsia="Times New Roman" w:hAnsi="Times New Roman" w:cs="Times New Roman"/>
          <w:sz w:val="24"/>
          <w:szCs w:val="24"/>
        </w:rPr>
        <w:t xml:space="preserve">decuadas.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este modo, la concepción pionera que relega el cuidado a la esfera privada y naturaliza el rol de género de las mujeres, y su infravaloración social por sus inherentes dimensiones </w:t>
      </w:r>
      <w:r>
        <w:rPr>
          <w:rFonts w:ascii="Times New Roman" w:eastAsia="Times New Roman" w:hAnsi="Times New Roman" w:cs="Times New Roman"/>
          <w:sz w:val="24"/>
          <w:szCs w:val="24"/>
        </w:rPr>
        <w:lastRenderedPageBreak/>
        <w:t>emocionales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es superada. Además de cuestionar la división en</w:t>
      </w:r>
      <w:r>
        <w:rPr>
          <w:rFonts w:ascii="Times New Roman" w:eastAsia="Times New Roman" w:hAnsi="Times New Roman" w:cs="Times New Roman"/>
          <w:sz w:val="24"/>
          <w:szCs w:val="24"/>
        </w:rPr>
        <w:t xml:space="preserve">tre lo público y lo privado, se trata de </w:t>
      </w:r>
      <w:proofErr w:type="spellStart"/>
      <w:r>
        <w:rPr>
          <w:rFonts w:ascii="Times New Roman" w:eastAsia="Times New Roman" w:hAnsi="Times New Roman" w:cs="Times New Roman"/>
          <w:sz w:val="24"/>
          <w:szCs w:val="24"/>
        </w:rPr>
        <w:t>deconstruir</w:t>
      </w:r>
      <w:proofErr w:type="spellEnd"/>
      <w:r>
        <w:rPr>
          <w:rFonts w:ascii="Times New Roman" w:eastAsia="Times New Roman" w:hAnsi="Times New Roman" w:cs="Times New Roman"/>
          <w:sz w:val="24"/>
          <w:szCs w:val="24"/>
        </w:rPr>
        <w:t xml:space="preserve"> la idea de que existe un “trabajador ideal” exento de responsabilidades. De esta forma, el énfasis se traslada a las políticas de conciliación de la vida privada y laboral tales como las licencias remune</w:t>
      </w:r>
      <w:r>
        <w:rPr>
          <w:rFonts w:ascii="Times New Roman" w:eastAsia="Times New Roman" w:hAnsi="Times New Roman" w:cs="Times New Roman"/>
          <w:sz w:val="24"/>
          <w:szCs w:val="24"/>
        </w:rPr>
        <w:t>radas, espacios de cuidado en los lugares de trabajo o excedencias laborales por cuidado (Huertas et al., 2016), a la corresponsabilidad en las parejas. Con ello se busca hacer frente a la tensión trabajo-cuidados y modificar la división sexual del trabajo</w:t>
      </w:r>
      <w:r>
        <w:rPr>
          <w:rFonts w:ascii="Times New Roman" w:eastAsia="Times New Roman" w:hAnsi="Times New Roman" w:cs="Times New Roman"/>
          <w:sz w:val="24"/>
          <w:szCs w:val="24"/>
        </w:rPr>
        <w:t xml:space="preserve"> de forma compensatoria hacia las mujeres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Las políticas de cuidado</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tensión entre las distintas formas de articular la relación trabajo-cuidados permite reclamar al Estado respuestas y políticas específicas para el cuidado de la población que superen el marco de las políticas de conciliación familia-trabajo. Ahora bien,</w:t>
      </w:r>
      <w:r>
        <w:rPr>
          <w:rFonts w:ascii="Times New Roman" w:eastAsia="Times New Roman" w:hAnsi="Times New Roman" w:cs="Times New Roman"/>
          <w:sz w:val="24"/>
          <w:szCs w:val="24"/>
        </w:rPr>
        <w:t xml:space="preserve"> el menor reconocimiento social de las tareas de cuidados genera menores prestaciones de seguridad social y salarios por debajo del mínimo profesional, y no alcanza para cubrir las demandas existentes en tiempo y recursos del trabajo de cuidados. Por lo ta</w:t>
      </w:r>
      <w:r>
        <w:rPr>
          <w:rFonts w:ascii="Times New Roman" w:eastAsia="Times New Roman" w:hAnsi="Times New Roman" w:cs="Times New Roman"/>
          <w:sz w:val="24"/>
          <w:szCs w:val="24"/>
        </w:rPr>
        <w:t>nto, la insuficiencia de las prestaciones económicas y la baja remuneración asignada al trabajo de cuidados provoca inseguridad financiera entre quienes deben dejar un trabajo formal por la responsabilidad de cuidar a un familiar dependiente; y esta situac</w:t>
      </w:r>
      <w:r>
        <w:rPr>
          <w:rFonts w:ascii="Times New Roman" w:eastAsia="Times New Roman" w:hAnsi="Times New Roman" w:cs="Times New Roman"/>
          <w:sz w:val="24"/>
          <w:szCs w:val="24"/>
        </w:rPr>
        <w:t xml:space="preserve">ión de riesgo, se considera mayor cuando el familiar que cuida no es parte de un matrimonio heterosexual (Vega y Gutiérrez, 2014; </w:t>
      </w:r>
      <w:proofErr w:type="spellStart"/>
      <w:r>
        <w:rPr>
          <w:rFonts w:ascii="Times New Roman" w:eastAsia="Times New Roman" w:hAnsi="Times New Roman" w:cs="Times New Roman"/>
          <w:sz w:val="24"/>
          <w:szCs w:val="24"/>
        </w:rPr>
        <w:t>Pfau-Effinge</w:t>
      </w:r>
      <w:proofErr w:type="spellEnd"/>
      <w:r>
        <w:rPr>
          <w:rFonts w:ascii="Times New Roman" w:eastAsia="Times New Roman" w:hAnsi="Times New Roman" w:cs="Times New Roman"/>
          <w:sz w:val="24"/>
          <w:szCs w:val="24"/>
        </w:rPr>
        <w:t xml:space="preserve">, 2014).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los servicios se han mercantilizado permitiendo a las familias que poseen recursos económ</w:t>
      </w:r>
      <w:r>
        <w:rPr>
          <w:rFonts w:ascii="Times New Roman" w:eastAsia="Times New Roman" w:hAnsi="Times New Roman" w:cs="Times New Roman"/>
          <w:sz w:val="24"/>
          <w:szCs w:val="24"/>
        </w:rPr>
        <w:t>icos la contratación de alguien para el cuidado, reduciendo las cargas del mismo; pero su acceso es limitado para las familias con menos recursos, siendo las mujeres de clases bajas las contratadas para el cuidado. En el caso europeo, las mujeres contratad</w:t>
      </w:r>
      <w:r>
        <w:rPr>
          <w:rFonts w:ascii="Times New Roman" w:eastAsia="Times New Roman" w:hAnsi="Times New Roman" w:cs="Times New Roman"/>
          <w:sz w:val="24"/>
          <w:szCs w:val="24"/>
        </w:rPr>
        <w:t xml:space="preserve">as para cuidar suelen ser migrantes y en el contexto latinoamericano indígenas y afrodescendientes (Vega y Gutiérrez, 2014), fenómeno que genera las llamadas “cadenas mundiales de afectos y asistencia” o “cadenas de cuidado global” (Carrasco, </w:t>
      </w:r>
      <w:proofErr w:type="spellStart"/>
      <w:r>
        <w:rPr>
          <w:rFonts w:ascii="Times New Roman" w:eastAsia="Times New Roman" w:hAnsi="Times New Roman" w:cs="Times New Roman"/>
          <w:sz w:val="24"/>
          <w:szCs w:val="24"/>
        </w:rPr>
        <w:t>Borderías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w:t>
      </w:r>
      <w:r>
        <w:rPr>
          <w:rFonts w:ascii="Times New Roman" w:eastAsia="Times New Roman" w:hAnsi="Times New Roman" w:cs="Times New Roman"/>
          <w:sz w:val="24"/>
          <w:szCs w:val="24"/>
        </w:rPr>
        <w:t>rns</w:t>
      </w:r>
      <w:proofErr w:type="spellEnd"/>
      <w:r>
        <w:rPr>
          <w:rFonts w:ascii="Times New Roman" w:eastAsia="Times New Roman" w:hAnsi="Times New Roman" w:cs="Times New Roman"/>
          <w:sz w:val="24"/>
          <w:szCs w:val="24"/>
        </w:rPr>
        <w:t>, 2011; Orozco, 2008). De este modo, optar por las prestaciones económicas en vez de la conformación de servicios sin resignificar el valor de las actividades de cuidados ha supuesto la descentralización de los cuidados hacia poblaciones de bajos recurs</w:t>
      </w:r>
      <w:r>
        <w:rPr>
          <w:rFonts w:ascii="Times New Roman" w:eastAsia="Times New Roman" w:hAnsi="Times New Roman" w:cs="Times New Roman"/>
          <w:sz w:val="24"/>
          <w:szCs w:val="24"/>
        </w:rPr>
        <w:t xml:space="preserve">os económicos (Artiaga, 2015). Las mujeres y niñas de los hogares de menores ingresos o migrantes son las responsables del cuidado de sus familiares, a la vez que son las contratadas </w:t>
      </w:r>
      <w:r>
        <w:rPr>
          <w:rFonts w:ascii="Times New Roman" w:eastAsia="Times New Roman" w:hAnsi="Times New Roman" w:cs="Times New Roman"/>
          <w:sz w:val="24"/>
          <w:szCs w:val="24"/>
        </w:rPr>
        <w:lastRenderedPageBreak/>
        <w:t>por las clases medias y/o pudientes en condiciones precarias. En definiti</w:t>
      </w:r>
      <w:r>
        <w:rPr>
          <w:rFonts w:ascii="Times New Roman" w:eastAsia="Times New Roman" w:hAnsi="Times New Roman" w:cs="Times New Roman"/>
          <w:sz w:val="24"/>
          <w:szCs w:val="24"/>
        </w:rPr>
        <w:t xml:space="preserve">va, la mercantilización del cuidado y la baja remuneración trae consigo la perpetuación de las desigualdades de género, así como las de clase y étnicas que se retroalimentan como bien ha señalado la literatura feminista sobre </w:t>
      </w:r>
      <w:proofErr w:type="spellStart"/>
      <w:r>
        <w:rPr>
          <w:rFonts w:ascii="Times New Roman" w:eastAsia="Times New Roman" w:hAnsi="Times New Roman" w:cs="Times New Roman"/>
          <w:sz w:val="24"/>
          <w:szCs w:val="24"/>
        </w:rPr>
        <w:t>interseccionalidad</w:t>
      </w:r>
      <w:proofErr w:type="spellEnd"/>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Por ello, </w:t>
      </w:r>
      <w:r>
        <w:rPr>
          <w:rFonts w:ascii="Times New Roman" w:eastAsia="Times New Roman" w:hAnsi="Times New Roman" w:cs="Times New Roman"/>
          <w:sz w:val="24"/>
          <w:szCs w:val="24"/>
        </w:rPr>
        <w:t xml:space="preserve">tener en cuenta la división entre trabajo productivo y reproductivo y su vinculación con los roles masculino y femenino respectivamente no es suficiente para pensar el cuidado y articular las políticas públicas al respecto, es preciso pensar en las mismas </w:t>
      </w:r>
      <w:r>
        <w:rPr>
          <w:rFonts w:ascii="Times New Roman" w:eastAsia="Times New Roman" w:hAnsi="Times New Roman" w:cs="Times New Roman"/>
          <w:sz w:val="24"/>
          <w:szCs w:val="24"/>
        </w:rPr>
        <w:t>más allá de los contextos urbanos, pues las mujeres en entornos rurales son especialmente activas en las tareas agrícolas y las necesidades de cuidados tienen sus especificidades. Asimismo, debe irse más allá de la familia heterosexual nuclear y valorar lo</w:t>
      </w:r>
      <w:r>
        <w:rPr>
          <w:rFonts w:ascii="Times New Roman" w:eastAsia="Times New Roman" w:hAnsi="Times New Roman" w:cs="Times New Roman"/>
          <w:sz w:val="24"/>
          <w:szCs w:val="24"/>
        </w:rPr>
        <w:t xml:space="preserve">s diferentes arreglos familiares existentes, </w:t>
      </w:r>
      <w:proofErr w:type="spellStart"/>
      <w:r>
        <w:rPr>
          <w:rFonts w:ascii="Times New Roman" w:eastAsia="Times New Roman" w:hAnsi="Times New Roman" w:cs="Times New Roman"/>
          <w:sz w:val="24"/>
          <w:szCs w:val="24"/>
        </w:rPr>
        <w:t>monomarentales</w:t>
      </w:r>
      <w:proofErr w:type="spellEnd"/>
      <w:r>
        <w:rPr>
          <w:rFonts w:ascii="Times New Roman" w:eastAsia="Times New Roman" w:hAnsi="Times New Roman" w:cs="Times New Roman"/>
          <w:sz w:val="24"/>
          <w:szCs w:val="24"/>
        </w:rPr>
        <w:t xml:space="preserve"> de diverso cuño, parentales pero sin un varón proveedor de recursos económicos o donde cohabitan diferentes generaciones ampliando los familiares dependientes. Además, la centralidad de la familia</w:t>
      </w:r>
      <w:r>
        <w:rPr>
          <w:rFonts w:ascii="Times New Roman" w:eastAsia="Times New Roman" w:hAnsi="Times New Roman" w:cs="Times New Roman"/>
          <w:sz w:val="24"/>
          <w:szCs w:val="24"/>
        </w:rPr>
        <w:t xml:space="preserve"> en el debate vuelve a oscurecer que la carga de los cuidados recae sobre las mujeres siendo un problema de toda la sociedad.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debates sobre el derecho al cuidado suponen diferentes desarrollos teóricos y prácticos, desde la mercantilización de los ser</w:t>
      </w:r>
      <w:r>
        <w:rPr>
          <w:rFonts w:ascii="Times New Roman" w:eastAsia="Times New Roman" w:hAnsi="Times New Roman" w:cs="Times New Roman"/>
          <w:sz w:val="24"/>
          <w:szCs w:val="24"/>
        </w:rPr>
        <w:t>vicios al reclamo de la sostenibilidad de la vida como centro de la sociedad a través del concepto de</w:t>
      </w:r>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cuidadanía</w:t>
      </w:r>
      <w:proofErr w:type="spellEnd"/>
      <w:r>
        <w:rPr>
          <w:rFonts w:ascii="Times New Roman" w:eastAsia="Times New Roman" w:hAnsi="Times New Roman" w:cs="Times New Roman"/>
          <w:sz w:val="24"/>
          <w:szCs w:val="24"/>
        </w:rPr>
        <w:t xml:space="preserve"> (Junco et al., 2004) o su consideración dentro del “buen vivir” sudamericano (León, 2009). Estas cuestiones se aprecian en los modelos que no h</w:t>
      </w:r>
      <w:r>
        <w:rPr>
          <w:rFonts w:ascii="Times New Roman" w:eastAsia="Times New Roman" w:hAnsi="Times New Roman" w:cs="Times New Roman"/>
          <w:sz w:val="24"/>
          <w:szCs w:val="24"/>
        </w:rPr>
        <w:t>an universalizado el derecho al cuidado y forman parte de un debate público sobre el cuidado como una cuestión social en la que deben participar la familia, el Estado, el mercado y las organizaciones sin ánimo de lucro.</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Los Modelos de cuidados: tradicio</w:t>
      </w:r>
      <w:r>
        <w:rPr>
          <w:rFonts w:ascii="Times New Roman" w:eastAsia="Times New Roman" w:hAnsi="Times New Roman" w:cs="Times New Roman"/>
          <w:b/>
          <w:sz w:val="24"/>
          <w:szCs w:val="24"/>
        </w:rPr>
        <w:t xml:space="preserve">nal, </w:t>
      </w:r>
      <w:proofErr w:type="spellStart"/>
      <w:r>
        <w:rPr>
          <w:rFonts w:ascii="Times New Roman" w:eastAsia="Times New Roman" w:hAnsi="Times New Roman" w:cs="Times New Roman"/>
          <w:b/>
          <w:sz w:val="24"/>
          <w:szCs w:val="24"/>
        </w:rPr>
        <w:t>semi</w:t>
      </w:r>
      <w:proofErr w:type="spellEnd"/>
      <w:r>
        <w:rPr>
          <w:rFonts w:ascii="Times New Roman" w:eastAsia="Times New Roman" w:hAnsi="Times New Roman" w:cs="Times New Roman"/>
          <w:b/>
          <w:sz w:val="24"/>
          <w:szCs w:val="24"/>
        </w:rPr>
        <w:t>-formal y formal</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politización de los cuidados ha supuesto el desarrollo de políticas públicas que buscan ampliar los derechos clásicos de los Estados de bienestar, educación, salud y seguridad social, incluyendo la atención en situaciones de de</w:t>
      </w:r>
      <w:r>
        <w:rPr>
          <w:rFonts w:ascii="Times New Roman" w:eastAsia="Times New Roman" w:hAnsi="Times New Roman" w:cs="Times New Roman"/>
          <w:sz w:val="24"/>
          <w:szCs w:val="24"/>
        </w:rPr>
        <w:t xml:space="preserve">pendencia (Aguirre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2014). Su impacto alcanza hasta a los Objetivos de Desarrollo Sostenible, que articulan el derecho a recibir cuidados con la autonomía económica y social de las mujeres: </w:t>
      </w:r>
      <w:r>
        <w:rPr>
          <w:rFonts w:ascii="Times New Roman" w:eastAsia="Times New Roman" w:hAnsi="Times New Roman" w:cs="Times New Roman"/>
          <w:i/>
          <w:sz w:val="24"/>
          <w:szCs w:val="24"/>
        </w:rPr>
        <w:t>Lograr la igualdad entre los géneros y empoderar a todas la</w:t>
      </w:r>
      <w:r>
        <w:rPr>
          <w:rFonts w:ascii="Times New Roman" w:eastAsia="Times New Roman" w:hAnsi="Times New Roman" w:cs="Times New Roman"/>
          <w:i/>
          <w:sz w:val="24"/>
          <w:szCs w:val="24"/>
        </w:rPr>
        <w:t>s mujeres y las niñas</w:t>
      </w:r>
      <w:r>
        <w:rPr>
          <w:rFonts w:ascii="Times New Roman" w:eastAsia="Times New Roman" w:hAnsi="Times New Roman" w:cs="Times New Roman"/>
          <w:sz w:val="24"/>
          <w:szCs w:val="24"/>
        </w:rPr>
        <w:t>, y la meta de “</w:t>
      </w:r>
      <w:r>
        <w:rPr>
          <w:rFonts w:ascii="Times New Roman" w:eastAsia="Times New Roman" w:hAnsi="Times New Roman" w:cs="Times New Roman"/>
          <w:i/>
          <w:sz w:val="24"/>
          <w:szCs w:val="24"/>
        </w:rPr>
        <w:t>Reconocer y valorar los cuidados no remunerados y el trabajo doméstico no remunerado mediante la prestación de servicios públicos, la provisión de infraestructuras y la formulación de políticas de protección social, así</w:t>
      </w:r>
      <w:r>
        <w:rPr>
          <w:rFonts w:ascii="Times New Roman" w:eastAsia="Times New Roman" w:hAnsi="Times New Roman" w:cs="Times New Roman"/>
          <w:i/>
          <w:sz w:val="24"/>
          <w:szCs w:val="24"/>
        </w:rPr>
        <w:t xml:space="preserve"> como mediante la promoción de la responsabilidad compartida en el hogar y la familia, según proceda en cada país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1998, la Unión Europea integra el concepto de </w:t>
      </w:r>
      <w:proofErr w:type="spellStart"/>
      <w:r>
        <w:rPr>
          <w:rFonts w:ascii="Times New Roman" w:eastAsia="Times New Roman" w:hAnsi="Times New Roman" w:cs="Times New Roman"/>
          <w:i/>
          <w:sz w:val="24"/>
          <w:szCs w:val="24"/>
        </w:rPr>
        <w:t>Gender</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Maisntreaming</w:t>
      </w:r>
      <w:proofErr w:type="spellEnd"/>
      <w:r>
        <w:rPr>
          <w:rFonts w:ascii="Times New Roman" w:eastAsia="Times New Roman" w:hAnsi="Times New Roman" w:cs="Times New Roman"/>
          <w:sz w:val="24"/>
          <w:szCs w:val="24"/>
        </w:rPr>
        <w:t xml:space="preserve"> como mecanismo integral para incidir en las desigualdades que enf</w:t>
      </w:r>
      <w:r>
        <w:rPr>
          <w:rFonts w:ascii="Times New Roman" w:eastAsia="Times New Roman" w:hAnsi="Times New Roman" w:cs="Times New Roman"/>
          <w:sz w:val="24"/>
          <w:szCs w:val="24"/>
        </w:rPr>
        <w:t xml:space="preserve">rentan las mujeres. Una </w:t>
      </w:r>
      <w:r>
        <w:rPr>
          <w:rFonts w:ascii="Times New Roman" w:eastAsia="Times New Roman" w:hAnsi="Times New Roman" w:cs="Times New Roman"/>
          <w:sz w:val="24"/>
          <w:szCs w:val="24"/>
        </w:rPr>
        <w:lastRenderedPageBreak/>
        <w:t>concepción amplia de las desigualdades incluye a las responsabilidades del hogar en el debate político. La articulación de las políticas de cuidado europeas se plantean como una respuesta al envejecimiento de la población y la falta</w:t>
      </w:r>
      <w:r>
        <w:rPr>
          <w:rFonts w:ascii="Times New Roman" w:eastAsia="Times New Roman" w:hAnsi="Times New Roman" w:cs="Times New Roman"/>
          <w:sz w:val="24"/>
          <w:szCs w:val="24"/>
        </w:rPr>
        <w:t xml:space="preserve"> de personal para su cuidado tras la inclusión de las mujeres en el mercado laboral (Durán,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2002, 2011, 2016). Apelando al trabajo realizado por las familias para ayudar a la población dependiente y la responsabilidad estatal al respecto, los sistemas de c</w:t>
      </w:r>
      <w:r>
        <w:rPr>
          <w:rFonts w:ascii="Times New Roman" w:eastAsia="Times New Roman" w:hAnsi="Times New Roman" w:cs="Times New Roman"/>
          <w:sz w:val="24"/>
          <w:szCs w:val="24"/>
        </w:rPr>
        <w:t xml:space="preserve">uidado que </w:t>
      </w:r>
      <w:proofErr w:type="gramStart"/>
      <w:r>
        <w:rPr>
          <w:rFonts w:ascii="Times New Roman" w:eastAsia="Times New Roman" w:hAnsi="Times New Roman" w:cs="Times New Roman"/>
          <w:sz w:val="24"/>
          <w:szCs w:val="24"/>
        </w:rPr>
        <w:t>surgen</w:t>
      </w:r>
      <w:proofErr w:type="gramEnd"/>
      <w:r>
        <w:rPr>
          <w:rFonts w:ascii="Times New Roman" w:eastAsia="Times New Roman" w:hAnsi="Times New Roman" w:cs="Times New Roman"/>
          <w:sz w:val="24"/>
          <w:szCs w:val="24"/>
        </w:rPr>
        <w:t xml:space="preserve"> siguen una lógica mercantil amparada en estrategias de empleo. Así, frente a la demanda de cuidados, mayoritariamente de gente adulta y personas con grados altos de dependencia se oferta un trabajo de cuidados desde lo familiar a lo profe</w:t>
      </w:r>
      <w:r>
        <w:rPr>
          <w:rFonts w:ascii="Times New Roman" w:eastAsia="Times New Roman" w:hAnsi="Times New Roman" w:cs="Times New Roman"/>
          <w:sz w:val="24"/>
          <w:szCs w:val="24"/>
        </w:rPr>
        <w:t>sional como forma de inserción laboral femenina (Artiaga, 2015). Sin embargo, para los cuidados de la población menor de tres años las políticas públicas difieren enormemente en cada país de la UE, estando menos desarrolladas que aquellas dirigidas a la po</w:t>
      </w:r>
      <w:r>
        <w:rPr>
          <w:rFonts w:ascii="Times New Roman" w:eastAsia="Times New Roman" w:hAnsi="Times New Roman" w:cs="Times New Roman"/>
          <w:sz w:val="24"/>
          <w:szCs w:val="24"/>
        </w:rPr>
        <w:t>blación mayor o con altos grados de dependencia. Estas políticas se basan en la Estrategia Europea sobre el Empleo (EES) que establece las directrices para la creación de empleo bajo la premisa de la igualdad de trato para mujeres y hombres en el mercado l</w:t>
      </w:r>
      <w:r>
        <w:rPr>
          <w:rFonts w:ascii="Times New Roman" w:eastAsia="Times New Roman" w:hAnsi="Times New Roman" w:cs="Times New Roman"/>
          <w:sz w:val="24"/>
          <w:szCs w:val="24"/>
        </w:rPr>
        <w:t>aboral. Se trata de una política económica cuya finalidad última es aumentar la tasa de empleo a través de la reducción de la “inactividad femenina”, que no aborda las cuestiones del cuidado y el trabajo no remunerado. La EES se adapta a los cambios económ</w:t>
      </w:r>
      <w:r>
        <w:rPr>
          <w:rFonts w:ascii="Times New Roman" w:eastAsia="Times New Roman" w:hAnsi="Times New Roman" w:cs="Times New Roman"/>
          <w:sz w:val="24"/>
          <w:szCs w:val="24"/>
        </w:rPr>
        <w:t>icos sin tener en cuenta la inamovilidad del trabajo de cuidados que se oculta detrás (</w:t>
      </w:r>
      <w:proofErr w:type="spellStart"/>
      <w:r>
        <w:rPr>
          <w:rFonts w:ascii="Times New Roman" w:eastAsia="Times New Roman" w:hAnsi="Times New Roman" w:cs="Times New Roman"/>
          <w:sz w:val="24"/>
          <w:szCs w:val="24"/>
        </w:rPr>
        <w:t>Rai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Waylen</w:t>
      </w:r>
      <w:proofErr w:type="spellEnd"/>
      <w:r>
        <w:rPr>
          <w:rFonts w:ascii="Times New Roman" w:eastAsia="Times New Roman" w:hAnsi="Times New Roman" w:cs="Times New Roman"/>
          <w:sz w:val="24"/>
          <w:szCs w:val="24"/>
        </w:rPr>
        <w:t xml:space="preserve">, 2008).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caso de América Latina las políticas públicas se han planteado de forma semejante a las de la UE, considerando la dependencia de la poblaci</w:t>
      </w:r>
      <w:r>
        <w:rPr>
          <w:rFonts w:ascii="Times New Roman" w:eastAsia="Times New Roman" w:hAnsi="Times New Roman" w:cs="Times New Roman"/>
          <w:sz w:val="24"/>
          <w:szCs w:val="24"/>
        </w:rPr>
        <w:t xml:space="preserve">ón mayor y su articulación con las políticas para erradicar la pobreza. La orientación anti-pobreza convierte en sujetos de las mismas a las madres denominadas </w:t>
      </w:r>
      <w:r>
        <w:rPr>
          <w:rFonts w:ascii="Times New Roman" w:eastAsia="Times New Roman" w:hAnsi="Times New Roman" w:cs="Times New Roman"/>
          <w:i/>
          <w:sz w:val="24"/>
          <w:szCs w:val="24"/>
        </w:rPr>
        <w:t>jefas de hogar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dotandolas</w:t>
      </w:r>
      <w:proofErr w:type="spellEnd"/>
      <w:r>
        <w:rPr>
          <w:rFonts w:ascii="Times New Roman" w:eastAsia="Times New Roman" w:hAnsi="Times New Roman" w:cs="Times New Roman"/>
          <w:sz w:val="24"/>
          <w:szCs w:val="24"/>
        </w:rPr>
        <w:t xml:space="preserve"> de recursos a cambio de compromisos como la asistencia a las consulta</w:t>
      </w:r>
      <w:r>
        <w:rPr>
          <w:rFonts w:ascii="Times New Roman" w:eastAsia="Times New Roman" w:hAnsi="Times New Roman" w:cs="Times New Roman"/>
          <w:sz w:val="24"/>
          <w:szCs w:val="24"/>
        </w:rPr>
        <w:t>s médicas o a cursos de formación (Huertas et al., 2016). Las políticas para reducir la tensión trabajo-cuidados se enfocan en mayor medida en las familias con menos recursos que tienen menores dependientes, priorizando a aquellas encabezadas por mujeres p</w:t>
      </w:r>
      <w:r>
        <w:rPr>
          <w:rFonts w:ascii="Times New Roman" w:eastAsia="Times New Roman" w:hAnsi="Times New Roman" w:cs="Times New Roman"/>
          <w:sz w:val="24"/>
          <w:szCs w:val="24"/>
        </w:rPr>
        <w:t>orque, a diferencia de Europa, el envejecimiento y el modelo de familia nuclear heterosexual no son las características dominantes en todas las sociedades latinoamericanas (Vega y Gutiérrez, 2014), a pesar de estar presente en países con transición demográ</w:t>
      </w:r>
      <w:r>
        <w:rPr>
          <w:rFonts w:ascii="Times New Roman" w:eastAsia="Times New Roman" w:hAnsi="Times New Roman" w:cs="Times New Roman"/>
          <w:sz w:val="24"/>
          <w:szCs w:val="24"/>
        </w:rPr>
        <w:t>fica adelantada como Argentina, Chile, Costa Rica y Uruguay.</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políticas en torno al cuidado de América Latina y Europa comparten el reconocimiento del mismo y de la sobrecarga que supone para las familias tener que responsabilizarse del cuidado de famil</w:t>
      </w:r>
      <w:r>
        <w:rPr>
          <w:rFonts w:ascii="Times New Roman" w:eastAsia="Times New Roman" w:hAnsi="Times New Roman" w:cs="Times New Roman"/>
          <w:sz w:val="24"/>
          <w:szCs w:val="24"/>
        </w:rPr>
        <w:t>iares dependientes. Se entiende que la población dependiente es aquella que necesitan de otra persona para sus actividades básicas diarias; y, según cada legislación, se considera la dependencia derivada de la edad, las enfermedades o diversas incapacidade</w:t>
      </w:r>
      <w:r>
        <w:rPr>
          <w:rFonts w:ascii="Times New Roman" w:eastAsia="Times New Roman" w:hAnsi="Times New Roman" w:cs="Times New Roman"/>
          <w:sz w:val="24"/>
          <w:szCs w:val="24"/>
        </w:rPr>
        <w:t>s (Huertas et al., 2016). Esta asunción da pie a un debate en torno a la población menor de 3 años que se encuentra incluida en algunos sistemas de cuidados, pero que está mayoritariamente excluida pues se asume que las políticas de conciliación laboral cu</w:t>
      </w:r>
      <w:r>
        <w:rPr>
          <w:rFonts w:ascii="Times New Roman" w:eastAsia="Times New Roman" w:hAnsi="Times New Roman" w:cs="Times New Roman"/>
          <w:sz w:val="24"/>
          <w:szCs w:val="24"/>
        </w:rPr>
        <w:t>bren las demandas de cuidado de esta población.</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Como se ha establecido en la literatura especializada, la visibilización del cuidado en el hogar ha generado tres modelos: dos de ellos vinculados a políticas públicas, y el modelo de organización familiar do</w:t>
      </w:r>
      <w:r>
        <w:rPr>
          <w:rFonts w:ascii="Times New Roman" w:eastAsia="Times New Roman" w:hAnsi="Times New Roman" w:cs="Times New Roman"/>
          <w:sz w:val="24"/>
          <w:szCs w:val="24"/>
        </w:rPr>
        <w:t>nde no hay intervención estatal. Este último, el modelo tradicional de provisión de cuidados es aquel llevado a cabo por las mujeres de la familia bajo la informalidad, al considerarse responsabilidad exclusiva de ellas las tareas vinculadas al espacio pri</w:t>
      </w:r>
      <w:r>
        <w:rPr>
          <w:rFonts w:ascii="Times New Roman" w:eastAsia="Times New Roman" w:hAnsi="Times New Roman" w:cs="Times New Roman"/>
          <w:sz w:val="24"/>
          <w:szCs w:val="24"/>
        </w:rPr>
        <w:t>vado. Para su mantenimiento las mujeres ejercen el rol de amas de casa y los varones de proveedores de recursos: las primeras realizan tareas en el espacio privado, infravaloradas y no remuneradas, mientras los hombres trabajan en el sector formal, espacio</w:t>
      </w:r>
      <w:r>
        <w:rPr>
          <w:rFonts w:ascii="Times New Roman" w:eastAsia="Times New Roman" w:hAnsi="Times New Roman" w:cs="Times New Roman"/>
          <w:sz w:val="24"/>
          <w:szCs w:val="24"/>
        </w:rPr>
        <w:t xml:space="preserve"> de prestigio y que aporta recursos y derechos. En este modelo tradicional de cuidados no participa el Estado directamente y los derechos de quien lo realiza dependen del familiar empleado formalmente, y al regularse como solidaridad familiar no se conside</w:t>
      </w:r>
      <w:r>
        <w:rPr>
          <w:rFonts w:ascii="Times New Roman" w:eastAsia="Times New Roman" w:hAnsi="Times New Roman" w:cs="Times New Roman"/>
          <w:sz w:val="24"/>
          <w:szCs w:val="24"/>
        </w:rPr>
        <w:t>ra “trabajo” (</w:t>
      </w:r>
      <w:proofErr w:type="spellStart"/>
      <w:r>
        <w:rPr>
          <w:rFonts w:ascii="Times New Roman" w:eastAsia="Times New Roman" w:hAnsi="Times New Roman" w:cs="Times New Roman"/>
          <w:sz w:val="24"/>
          <w:szCs w:val="24"/>
        </w:rPr>
        <w:t>Pfau-Effinger</w:t>
      </w:r>
      <w:proofErr w:type="spellEnd"/>
      <w:r>
        <w:rPr>
          <w:rFonts w:ascii="Times New Roman" w:eastAsia="Times New Roman" w:hAnsi="Times New Roman" w:cs="Times New Roman"/>
          <w:sz w:val="24"/>
          <w:szCs w:val="24"/>
        </w:rPr>
        <w:t>, 2014).</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otros dos modelos surgen al reincorporarse las mujeres al mercado laboral formal y mantener sus responsabilidades de las tareas no remuneradas del hogar, y reclamar ante la sobrecarga de trabajo que suponen las </w:t>
      </w:r>
      <w:r>
        <w:rPr>
          <w:rFonts w:ascii="Times New Roman" w:eastAsia="Times New Roman" w:hAnsi="Times New Roman" w:cs="Times New Roman"/>
          <w:i/>
          <w:sz w:val="24"/>
          <w:szCs w:val="24"/>
        </w:rPr>
        <w:t>doble</w:t>
      </w:r>
      <w:r>
        <w:rPr>
          <w:rFonts w:ascii="Times New Roman" w:eastAsia="Times New Roman" w:hAnsi="Times New Roman" w:cs="Times New Roman"/>
          <w:i/>
          <w:sz w:val="24"/>
          <w:szCs w:val="24"/>
        </w:rPr>
        <w:t>s jornadas</w:t>
      </w:r>
      <w:r>
        <w:rPr>
          <w:rFonts w:ascii="Times New Roman" w:eastAsia="Times New Roman" w:hAnsi="Times New Roman" w:cs="Times New Roman"/>
          <w:sz w:val="24"/>
          <w:szCs w:val="24"/>
        </w:rPr>
        <w:t>. La deconstrucción del modelo tradicional familiar y el reconocimiento de las tareas domésticas y los cuidados como trabajo, al igual que el derecho a recibir cuidados, obligan a una respuesta estatal ante la demanda de atención a los diferentes</w:t>
      </w:r>
      <w:r>
        <w:rPr>
          <w:rFonts w:ascii="Times New Roman" w:eastAsia="Times New Roman" w:hAnsi="Times New Roman" w:cs="Times New Roman"/>
          <w:sz w:val="24"/>
          <w:szCs w:val="24"/>
        </w:rPr>
        <w:t xml:space="preserve"> miembros dependientes de las familias. Estos modelos, aprobados en cada Estado, han sido agrupados en dos tipos ideales de regímenes de atención: el modelo de atención </w:t>
      </w:r>
      <w:proofErr w:type="spellStart"/>
      <w:r>
        <w:rPr>
          <w:rFonts w:ascii="Times New Roman" w:eastAsia="Times New Roman" w:hAnsi="Times New Roman" w:cs="Times New Roman"/>
          <w:sz w:val="24"/>
          <w:szCs w:val="24"/>
        </w:rPr>
        <w:t>semi</w:t>
      </w:r>
      <w:proofErr w:type="spellEnd"/>
      <w:r>
        <w:rPr>
          <w:rFonts w:ascii="Times New Roman" w:eastAsia="Times New Roman" w:hAnsi="Times New Roman" w:cs="Times New Roman"/>
          <w:sz w:val="24"/>
          <w:szCs w:val="24"/>
        </w:rPr>
        <w:t>-formal y el modelo de atención formal (</w:t>
      </w:r>
      <w:proofErr w:type="spellStart"/>
      <w:r>
        <w:rPr>
          <w:rFonts w:ascii="Times New Roman" w:eastAsia="Times New Roman" w:hAnsi="Times New Roman" w:cs="Times New Roman"/>
          <w:sz w:val="24"/>
          <w:szCs w:val="24"/>
        </w:rPr>
        <w:t>Pfau-Effinger</w:t>
      </w:r>
      <w:proofErr w:type="spellEnd"/>
      <w:r>
        <w:rPr>
          <w:rFonts w:ascii="Times New Roman" w:eastAsia="Times New Roman" w:hAnsi="Times New Roman" w:cs="Times New Roman"/>
          <w:sz w:val="24"/>
          <w:szCs w:val="24"/>
        </w:rPr>
        <w:t xml:space="preserve">, 2014; Artiaga, 2015).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mo</w:t>
      </w:r>
      <w:r>
        <w:rPr>
          <w:rFonts w:ascii="Times New Roman" w:eastAsia="Times New Roman" w:hAnsi="Times New Roman" w:cs="Times New Roman"/>
          <w:sz w:val="24"/>
          <w:szCs w:val="24"/>
        </w:rPr>
        <w:t xml:space="preserve">delo de atención </w:t>
      </w:r>
      <w:proofErr w:type="spellStart"/>
      <w:r>
        <w:rPr>
          <w:rFonts w:ascii="Times New Roman" w:eastAsia="Times New Roman" w:hAnsi="Times New Roman" w:cs="Times New Roman"/>
          <w:sz w:val="24"/>
          <w:szCs w:val="24"/>
        </w:rPr>
        <w:t>semi</w:t>
      </w:r>
      <w:proofErr w:type="spellEnd"/>
      <w:r>
        <w:rPr>
          <w:rFonts w:ascii="Times New Roman" w:eastAsia="Times New Roman" w:hAnsi="Times New Roman" w:cs="Times New Roman"/>
          <w:sz w:val="24"/>
          <w:szCs w:val="24"/>
        </w:rPr>
        <w:t>-formal implica prestaciones monetarias públicas que permiten la contratación de un familiar o alguien externo para el cuidado de la persona dependiente; pero no desarrolla servicios de atención. El intercambio económico puede traer co</w:t>
      </w:r>
      <w:r>
        <w:rPr>
          <w:rFonts w:ascii="Times New Roman" w:eastAsia="Times New Roman" w:hAnsi="Times New Roman" w:cs="Times New Roman"/>
          <w:sz w:val="24"/>
          <w:szCs w:val="24"/>
        </w:rPr>
        <w:t xml:space="preserve">nsigo un contrato laboral, que permite reconocer el cuidado como un trabajo, pero no posee los mismos derechos laborales que tienen otros empleos formales y, además, el salario suele ser inferior al mínimo establecido y no proporciona todos los beneficios </w:t>
      </w:r>
      <w:r>
        <w:rPr>
          <w:rFonts w:ascii="Times New Roman" w:eastAsia="Times New Roman" w:hAnsi="Times New Roman" w:cs="Times New Roman"/>
          <w:sz w:val="24"/>
          <w:szCs w:val="24"/>
        </w:rPr>
        <w:t xml:space="preserve">de la Seguridad Social. Este modelo permite reducir la carga familiar al repartir las responsabilidades o ver reconocido económicamente el trabajo de cuidado, pero sigue basándose en el papel central de la familia (mujeres), y se desarrolla, por lo tanto, </w:t>
      </w:r>
      <w:r>
        <w:rPr>
          <w:rFonts w:ascii="Times New Roman" w:eastAsia="Times New Roman" w:hAnsi="Times New Roman" w:cs="Times New Roman"/>
          <w:sz w:val="24"/>
          <w:szCs w:val="24"/>
        </w:rPr>
        <w:t xml:space="preserve">como un sistema asistencial.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segundo modelo, el de la atención formal se </w:t>
      </w:r>
      <w:proofErr w:type="gramStart"/>
      <w:r>
        <w:rPr>
          <w:rFonts w:ascii="Times New Roman" w:eastAsia="Times New Roman" w:hAnsi="Times New Roman" w:cs="Times New Roman"/>
          <w:sz w:val="24"/>
          <w:szCs w:val="24"/>
        </w:rPr>
        <w:t>externalizan</w:t>
      </w:r>
      <w:proofErr w:type="gramEnd"/>
      <w:r>
        <w:rPr>
          <w:rFonts w:ascii="Times New Roman" w:eastAsia="Times New Roman" w:hAnsi="Times New Roman" w:cs="Times New Roman"/>
          <w:sz w:val="24"/>
          <w:szCs w:val="24"/>
        </w:rPr>
        <w:t xml:space="preserve"> los servicios de cuidado a través de un contrato con una institución pública. Este modelo apunta hacia la </w:t>
      </w:r>
      <w:proofErr w:type="spellStart"/>
      <w:r>
        <w:rPr>
          <w:rFonts w:ascii="Times New Roman" w:eastAsia="Times New Roman" w:hAnsi="Times New Roman" w:cs="Times New Roman"/>
          <w:sz w:val="24"/>
          <w:szCs w:val="24"/>
        </w:rPr>
        <w:t>desfamiliarización</w:t>
      </w:r>
      <w:proofErr w:type="spellEnd"/>
      <w:r>
        <w:rPr>
          <w:rFonts w:ascii="Times New Roman" w:eastAsia="Times New Roman" w:hAnsi="Times New Roman" w:cs="Times New Roman"/>
          <w:sz w:val="24"/>
          <w:szCs w:val="24"/>
        </w:rPr>
        <w:t xml:space="preserve">  (Martínez, 2008), pues el cuidado es </w:t>
      </w:r>
      <w:r>
        <w:rPr>
          <w:rFonts w:ascii="Times New Roman" w:eastAsia="Times New Roman" w:hAnsi="Times New Roman" w:cs="Times New Roman"/>
          <w:sz w:val="24"/>
          <w:szCs w:val="24"/>
        </w:rPr>
        <w:t>un derecho que cubre el Estado y cuidar es un trabajo formal regulado que conforma dos tipos de contrato con las autoridades públicas: el de la persona que va a ser cuidada y el de la persona que va a cuidar. La persona cuidadora puede ser un familiar o no</w:t>
      </w:r>
      <w:r>
        <w:rPr>
          <w:rFonts w:ascii="Times New Roman" w:eastAsia="Times New Roman" w:hAnsi="Times New Roman" w:cs="Times New Roman"/>
          <w:sz w:val="24"/>
          <w:szCs w:val="24"/>
        </w:rPr>
        <w:t xml:space="preserve">, y sus condiciones laborales se ajustan a las de otros empleos, tanto en prestaciones de la Seguridad Social como en el salario. A su vez, se desarrollan servicios de cuidado más allá de la atención domiciliaria como son las residencias </w:t>
      </w:r>
      <w:r>
        <w:rPr>
          <w:rFonts w:ascii="Times New Roman" w:eastAsia="Times New Roman" w:hAnsi="Times New Roman" w:cs="Times New Roman"/>
          <w:sz w:val="24"/>
          <w:szCs w:val="24"/>
        </w:rPr>
        <w:lastRenderedPageBreak/>
        <w:t>de mayores, los ce</w:t>
      </w:r>
      <w:r>
        <w:rPr>
          <w:rFonts w:ascii="Times New Roman" w:eastAsia="Times New Roman" w:hAnsi="Times New Roman" w:cs="Times New Roman"/>
          <w:sz w:val="24"/>
          <w:szCs w:val="24"/>
        </w:rPr>
        <w:t>ntros de día, centros especializados, centros educativos o unidades hospitalarias concretas, entre otros. Este modelo puede basarse en un sistema universal donde el Estado cubre las demandas de atención de cuidados como lo hace con la educación o la sanida</w:t>
      </w:r>
      <w:r>
        <w:rPr>
          <w:rFonts w:ascii="Times New Roman" w:eastAsia="Times New Roman" w:hAnsi="Times New Roman" w:cs="Times New Roman"/>
          <w:sz w:val="24"/>
          <w:szCs w:val="24"/>
        </w:rPr>
        <w:t>d, como se ha desarrollado en los países nórdicos; o si se basa en las prestaciones de la seguridad social, el sistema depende de las cotizaciones realizadas durante la vida laboral, como se aprecia en los países continentales europeos (</w:t>
      </w:r>
      <w:proofErr w:type="spellStart"/>
      <w:r>
        <w:rPr>
          <w:rFonts w:ascii="Times New Roman" w:eastAsia="Times New Roman" w:hAnsi="Times New Roman" w:cs="Times New Roman"/>
          <w:sz w:val="24"/>
          <w:szCs w:val="24"/>
        </w:rPr>
        <w:t>Pfau-Effinger</w:t>
      </w:r>
      <w:proofErr w:type="spellEnd"/>
      <w:r>
        <w:rPr>
          <w:rFonts w:ascii="Times New Roman" w:eastAsia="Times New Roman" w:hAnsi="Times New Roman" w:cs="Times New Roman"/>
          <w:sz w:val="24"/>
          <w:szCs w:val="24"/>
        </w:rPr>
        <w:t>, 2014</w:t>
      </w:r>
      <w:r>
        <w:rPr>
          <w:rFonts w:ascii="Times New Roman" w:eastAsia="Times New Roman" w:hAnsi="Times New Roman" w:cs="Times New Roman"/>
          <w:sz w:val="24"/>
          <w:szCs w:val="24"/>
        </w:rPr>
        <w:t>; Artiaga, 2015).</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diferencia del modelo tradicional de cuidados, el </w:t>
      </w:r>
      <w:proofErr w:type="spellStart"/>
      <w:r>
        <w:rPr>
          <w:rFonts w:ascii="Times New Roman" w:eastAsia="Times New Roman" w:hAnsi="Times New Roman" w:cs="Times New Roman"/>
          <w:sz w:val="24"/>
          <w:szCs w:val="24"/>
        </w:rPr>
        <w:t>semi</w:t>
      </w:r>
      <w:proofErr w:type="spellEnd"/>
      <w:r>
        <w:rPr>
          <w:rFonts w:ascii="Times New Roman" w:eastAsia="Times New Roman" w:hAnsi="Times New Roman" w:cs="Times New Roman"/>
          <w:sz w:val="24"/>
          <w:szCs w:val="24"/>
        </w:rPr>
        <w:t>-formal y el formal suponen el reconocimiento de los cuidados como un trabajo y ser cuidado como un derecho, y tienden a facilitar la inserción laboral femenina. Por un lado, las muj</w:t>
      </w:r>
      <w:r>
        <w:rPr>
          <w:rFonts w:ascii="Times New Roman" w:eastAsia="Times New Roman" w:hAnsi="Times New Roman" w:cs="Times New Roman"/>
          <w:sz w:val="24"/>
          <w:szCs w:val="24"/>
        </w:rPr>
        <w:t>eres pueden formalizar el trabajo de cuidados que realizan al regularizarse este trabajo, tanto a través de la contratación de sus servicios en centros especializados como en los hogares. Por otro lado, al externalizar el cuidado en dichos servicios, las m</w:t>
      </w:r>
      <w:r>
        <w:rPr>
          <w:rFonts w:ascii="Times New Roman" w:eastAsia="Times New Roman" w:hAnsi="Times New Roman" w:cs="Times New Roman"/>
          <w:sz w:val="24"/>
          <w:szCs w:val="24"/>
        </w:rPr>
        <w:t>ujeres pueden acceder al mercado laboral sin tener las responsabilidades completas del cuidado de la población dependiente. Sin embargo, dentro del modelo formal la cobertura universal es menos extendida y, los sistemas de cuidados estudiados contemplan en</w:t>
      </w:r>
      <w:r>
        <w:rPr>
          <w:rFonts w:ascii="Times New Roman" w:eastAsia="Times New Roman" w:hAnsi="Times New Roman" w:cs="Times New Roman"/>
          <w:sz w:val="24"/>
          <w:szCs w:val="24"/>
        </w:rPr>
        <w:t xml:space="preserve"> su legislación el desarrollo de servicios externos especializados pero priorizan las prestaciones económicas para el cuidado, ya sea para la contratación de un servicio o de personal cuidador; pues esta fórmula supone un menor coste para las arcas pública</w:t>
      </w:r>
      <w:r>
        <w:rPr>
          <w:rFonts w:ascii="Times New Roman" w:eastAsia="Times New Roman" w:hAnsi="Times New Roman" w:cs="Times New Roman"/>
          <w:sz w:val="24"/>
          <w:szCs w:val="24"/>
        </w:rPr>
        <w:t xml:space="preserve">s.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este modo, la provisión de servicios se integra en una lógica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mercantil o lucrativa que convierte a la población dependiente en clientes. Al no ser el Estado quien desarrolla los servicios y no cubrir todas las necesidades con las prestaciones económicas, el acceso a los servicios depende del nivel de renta y los ava</w:t>
      </w:r>
      <w:r>
        <w:rPr>
          <w:rFonts w:ascii="Times New Roman" w:eastAsia="Times New Roman" w:hAnsi="Times New Roman" w:cs="Times New Roman"/>
          <w:sz w:val="24"/>
          <w:szCs w:val="24"/>
        </w:rPr>
        <w:t xml:space="preserve">nces en la </w:t>
      </w:r>
      <w:proofErr w:type="spellStart"/>
      <w:r>
        <w:rPr>
          <w:rFonts w:ascii="Times New Roman" w:eastAsia="Times New Roman" w:hAnsi="Times New Roman" w:cs="Times New Roman"/>
          <w:sz w:val="24"/>
          <w:szCs w:val="24"/>
        </w:rPr>
        <w:t>desfamiliarización</w:t>
      </w:r>
      <w:proofErr w:type="spellEnd"/>
      <w:r>
        <w:rPr>
          <w:rFonts w:ascii="Times New Roman" w:eastAsia="Times New Roman" w:hAnsi="Times New Roman" w:cs="Times New Roman"/>
          <w:sz w:val="24"/>
          <w:szCs w:val="24"/>
        </w:rPr>
        <w:t xml:space="preserve"> de los cuidados son escasos.</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Los sistemas de cuidados en Costa Rica, España, Portugal y Uruguay</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continuación abordamos los modelos legislativos aprobados e implementados en Costa Rica, España, Portugal y Uruguay, a partir</w:t>
      </w:r>
      <w:r>
        <w:rPr>
          <w:rFonts w:ascii="Times New Roman" w:eastAsia="Times New Roman" w:hAnsi="Times New Roman" w:cs="Times New Roman"/>
          <w:sz w:val="24"/>
          <w:szCs w:val="24"/>
        </w:rPr>
        <w:t xml:space="preserve"> de su desarrollo y los debates y críticas que han suscitado. Los cuatro sistemas son una combinación de los modelos </w:t>
      </w:r>
      <w:proofErr w:type="spellStart"/>
      <w:r>
        <w:rPr>
          <w:rFonts w:ascii="Times New Roman" w:eastAsia="Times New Roman" w:hAnsi="Times New Roman" w:cs="Times New Roman"/>
          <w:sz w:val="24"/>
          <w:szCs w:val="24"/>
        </w:rPr>
        <w:t>semi</w:t>
      </w:r>
      <w:proofErr w:type="spellEnd"/>
      <w:r>
        <w:rPr>
          <w:rFonts w:ascii="Times New Roman" w:eastAsia="Times New Roman" w:hAnsi="Times New Roman" w:cs="Times New Roman"/>
          <w:sz w:val="24"/>
          <w:szCs w:val="24"/>
        </w:rPr>
        <w:t>-familiar y formal, y se caracterizan por la regulación del trabajo de cuidados, las prestaciones monetarias públicas y el desarrollo d</w:t>
      </w:r>
      <w:r>
        <w:rPr>
          <w:rFonts w:ascii="Times New Roman" w:eastAsia="Times New Roman" w:hAnsi="Times New Roman" w:cs="Times New Roman"/>
          <w:sz w:val="24"/>
          <w:szCs w:val="24"/>
        </w:rPr>
        <w:t>e servicios de cuidados. Además, en los cuatro países se articula como una política pública universal de la que se derivan sistemas o redes de atención que buscan cubrir las necesidades de cuidado y de desarrollo de la autonomía de la población objeto.</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w:t>
      </w:r>
      <w:r>
        <w:rPr>
          <w:rFonts w:ascii="Times New Roman" w:eastAsia="Times New Roman" w:hAnsi="Times New Roman" w:cs="Times New Roman"/>
          <w:b/>
          <w:sz w:val="24"/>
          <w:szCs w:val="24"/>
        </w:rPr>
        <w:t>vicios y prestaciones a la población beneficiaria</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las similitudes encontramos que se han desarrollado servicios en los cuatro sistemas de cuidado tanto de centros especializados según el tipo de dependencia o la edad como de personal cualificad</w:t>
      </w:r>
      <w:r>
        <w:rPr>
          <w:rFonts w:ascii="Times New Roman" w:eastAsia="Times New Roman" w:hAnsi="Times New Roman" w:cs="Times New Roman"/>
          <w:sz w:val="24"/>
          <w:szCs w:val="24"/>
        </w:rPr>
        <w:t xml:space="preserve">o para asistencia domiciliaria. A su vez, en los cuatro sistemas se </w:t>
      </w:r>
      <w:r>
        <w:rPr>
          <w:rFonts w:ascii="Times New Roman" w:eastAsia="Times New Roman" w:hAnsi="Times New Roman" w:cs="Times New Roman"/>
          <w:sz w:val="24"/>
          <w:szCs w:val="24"/>
        </w:rPr>
        <w:lastRenderedPageBreak/>
        <w:t xml:space="preserve">conceden prestaciones monetarias, ahora bien, las diferencias más notables de servicios y prestaciones tienen que ver con la edad de la población dependiente, pues como se ha señalado dos </w:t>
      </w:r>
      <w:r>
        <w:rPr>
          <w:rFonts w:ascii="Times New Roman" w:eastAsia="Times New Roman" w:hAnsi="Times New Roman" w:cs="Times New Roman"/>
          <w:sz w:val="24"/>
          <w:szCs w:val="24"/>
        </w:rPr>
        <w:t>de ellos integran a la primera infancia. Para las personas mayores de 65 años o con falta de autonomía se han creado centros de día o residencias con gestión mixta, pública y privada, y las prestaciones económicas permiten además contratar personal, extern</w:t>
      </w:r>
      <w:r>
        <w:rPr>
          <w:rFonts w:ascii="Times New Roman" w:eastAsia="Times New Roman" w:hAnsi="Times New Roman" w:cs="Times New Roman"/>
          <w:sz w:val="24"/>
          <w:szCs w:val="24"/>
        </w:rPr>
        <w:t xml:space="preserve">o o familiar, ante la carencia de plazas en los centros. Para la infancia, especialmente de cero a tres años que no entran en la educación reglada, las prestaciones económicas se han destinado a la creación de centros de desarrollo infantil comunitarios o </w:t>
      </w:r>
      <w:r>
        <w:rPr>
          <w:rFonts w:ascii="Times New Roman" w:eastAsia="Times New Roman" w:hAnsi="Times New Roman" w:cs="Times New Roman"/>
          <w:sz w:val="24"/>
          <w:szCs w:val="24"/>
        </w:rPr>
        <w:t>guarderías públicas; por lo tanto, no están pensadas para el cuidado domiciliario individualizado.</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principal diferencia entre estos sistemas se encuentra en el alcance de las prestaciones al delimitar la población dependiente que es objeto de las mismas</w:t>
      </w:r>
      <w:r>
        <w:rPr>
          <w:rFonts w:ascii="Times New Roman" w:eastAsia="Times New Roman" w:hAnsi="Times New Roman" w:cs="Times New Roman"/>
          <w:sz w:val="24"/>
          <w:szCs w:val="24"/>
        </w:rPr>
        <w:t xml:space="preserve">. Por ejemplo, la población mayor de 65 años que no puede valerse por sí misma, por diferentes motivos derivados de la edad o enfermedades, está presente en los cuatro sistemas. Pero más allá de esta población se aprecian las diferencias: España, Portugal </w:t>
      </w:r>
      <w:r>
        <w:rPr>
          <w:rFonts w:ascii="Times New Roman" w:eastAsia="Times New Roman" w:hAnsi="Times New Roman" w:cs="Times New Roman"/>
          <w:sz w:val="24"/>
          <w:szCs w:val="24"/>
        </w:rPr>
        <w:t>y Uruguay amplían la situación de dependencia a aquellas personas que necesitan de otra para sus actividades diarias a causa de enfermedades que generan falta de autonomía física, psíquica o intelectual, sin que tengan que derivarse de la edad. A su vez, C</w:t>
      </w:r>
      <w:r>
        <w:rPr>
          <w:rFonts w:ascii="Times New Roman" w:eastAsia="Times New Roman" w:hAnsi="Times New Roman" w:cs="Times New Roman"/>
          <w:sz w:val="24"/>
          <w:szCs w:val="24"/>
        </w:rPr>
        <w:t>osta Rica y Uruguay incluyen en sus sistemas a la población menor de siete y doce años respectivamente con redes de cuidado y desarrollo infantil, haciendo especial hincapié en las edades comprendidas entre los cero y tres años.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hemos comentado, la au</w:t>
      </w:r>
      <w:r>
        <w:rPr>
          <w:rFonts w:ascii="Times New Roman" w:eastAsia="Times New Roman" w:hAnsi="Times New Roman" w:cs="Times New Roman"/>
          <w:sz w:val="24"/>
          <w:szCs w:val="24"/>
        </w:rPr>
        <w:t>sencia de consideración de la población infantil en los casos europeos analizados se relaciona con el envejecimiento poblacional en estos países y la puesta en marcha de políticas de conciliación entre trabajo y vida familiar que se basan en la maternidad,</w:t>
      </w:r>
      <w:r>
        <w:rPr>
          <w:rFonts w:ascii="Times New Roman" w:eastAsia="Times New Roman" w:hAnsi="Times New Roman" w:cs="Times New Roman"/>
          <w:sz w:val="24"/>
          <w:szCs w:val="24"/>
        </w:rPr>
        <w:t xml:space="preserve"> la lactancia o el parto (Huertas et al., 2016).</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España y Portugal ante las dependencias</w:t>
      </w:r>
    </w:p>
    <w:p w:rsidR="0099295F" w:rsidRDefault="00052D02">
      <w:pPr>
        <w:pStyle w:val="normal0"/>
        <w:spacing w:before="60"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sistemas español y portugués se centran en la población dependiente cuya situación es permanente, derivada de la edad o enfermedades. Con la Ley 39/2006 del 14 de </w:t>
      </w:r>
      <w:r>
        <w:rPr>
          <w:rFonts w:ascii="Times New Roman" w:eastAsia="Times New Roman" w:hAnsi="Times New Roman" w:cs="Times New Roman"/>
          <w:sz w:val="24"/>
          <w:szCs w:val="24"/>
        </w:rPr>
        <w:t xml:space="preserve">diciembre, de </w:t>
      </w:r>
      <w:r>
        <w:rPr>
          <w:rFonts w:ascii="Times New Roman" w:eastAsia="Times New Roman" w:hAnsi="Times New Roman" w:cs="Times New Roman"/>
          <w:b/>
          <w:sz w:val="24"/>
          <w:szCs w:val="24"/>
        </w:rPr>
        <w:t>Promoción de la Autonomía Personal y Atención a las personas en Situación de Dependencia</w:t>
      </w:r>
      <w:r>
        <w:rPr>
          <w:rFonts w:ascii="Times New Roman" w:eastAsia="Times New Roman" w:hAnsi="Times New Roman" w:cs="Times New Roman"/>
          <w:sz w:val="24"/>
          <w:szCs w:val="24"/>
        </w:rPr>
        <w:t>, la legislación española reconoce el derecho al cuidado. Los servicios ofertados se centran en el desarrollo de la autonomía personal, incluyendo la ayud</w:t>
      </w:r>
      <w:r>
        <w:rPr>
          <w:rFonts w:ascii="Times New Roman" w:eastAsia="Times New Roman" w:hAnsi="Times New Roman" w:cs="Times New Roman"/>
          <w:sz w:val="24"/>
          <w:szCs w:val="24"/>
        </w:rPr>
        <w:t xml:space="preserve">a a domicilio y la </w:t>
      </w:r>
      <w:proofErr w:type="spellStart"/>
      <w:r>
        <w:rPr>
          <w:rFonts w:ascii="Times New Roman" w:eastAsia="Times New Roman" w:hAnsi="Times New Roman" w:cs="Times New Roman"/>
          <w:sz w:val="24"/>
          <w:szCs w:val="24"/>
        </w:rPr>
        <w:t>teleasistencia</w:t>
      </w:r>
      <w:proofErr w:type="spellEnd"/>
      <w:r>
        <w:rPr>
          <w:rFonts w:ascii="Times New Roman" w:eastAsia="Times New Roman" w:hAnsi="Times New Roman" w:cs="Times New Roman"/>
          <w:sz w:val="24"/>
          <w:szCs w:val="24"/>
        </w:rPr>
        <w:t>, a la vez que se amplía la oferta de centros diurnos y nocturnos especializados en las necesidades de esta población, conformando el Sistema de Promoción de la Autonomía Personal y Atención a la Dependencia (SAAD). Se trat</w:t>
      </w:r>
      <w:r>
        <w:rPr>
          <w:rFonts w:ascii="Times New Roman" w:eastAsia="Times New Roman" w:hAnsi="Times New Roman" w:cs="Times New Roman"/>
          <w:sz w:val="24"/>
          <w:szCs w:val="24"/>
        </w:rPr>
        <w:t>a de una política guiada por los principios de universalidad, equidad y accesibilidad, aunque la financiación es cruzada con una dotación de presupuesto estatal, de las Comunidades Autónomas y con la aportación de las familias de las personas dependientes.</w:t>
      </w:r>
      <w:r>
        <w:rPr>
          <w:rFonts w:ascii="Times New Roman" w:eastAsia="Times New Roman" w:hAnsi="Times New Roman" w:cs="Times New Roman"/>
          <w:sz w:val="24"/>
          <w:szCs w:val="24"/>
        </w:rPr>
        <w:t xml:space="preserve"> En consecuencia, los servicios ofertados no son gratuitos y para acceder a ellos, es necesaria una evaluación de las características </w:t>
      </w:r>
      <w:r>
        <w:rPr>
          <w:rFonts w:ascii="Times New Roman" w:eastAsia="Times New Roman" w:hAnsi="Times New Roman" w:cs="Times New Roman"/>
          <w:sz w:val="24"/>
          <w:szCs w:val="24"/>
        </w:rPr>
        <w:lastRenderedPageBreak/>
        <w:t>socioeconómicas de las familias beneficiarias y, según su situación económica, se financia parte de los servicios que se p</w:t>
      </w:r>
      <w:r>
        <w:rPr>
          <w:rFonts w:ascii="Times New Roman" w:eastAsia="Times New Roman" w:hAnsi="Times New Roman" w:cs="Times New Roman"/>
          <w:sz w:val="24"/>
          <w:szCs w:val="24"/>
        </w:rPr>
        <w:t>resten a la persona dependiente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w:t>
      </w:r>
    </w:p>
    <w:p w:rsidR="0099295F" w:rsidRDefault="00052D02">
      <w:pPr>
        <w:pStyle w:val="normal0"/>
        <w:spacing w:before="60"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Igualmente, las prestaciones monetarias se otorgan según la situación socioeconómica de la familia de la persona dependiente, sirviendo exclusivamente para la contratación de un servicio, ya sea una plaza en un centro priv</w:t>
      </w:r>
      <w:r>
        <w:rPr>
          <w:rFonts w:ascii="Times New Roman" w:eastAsia="Times New Roman" w:hAnsi="Times New Roman" w:cs="Times New Roman"/>
          <w:sz w:val="24"/>
          <w:szCs w:val="24"/>
        </w:rPr>
        <w:t>ado o cuidados a domicilio. Estas prestaciones posibilitan la contratación de cuidados no profesionales, como los realizados por las mujeres de la familia, y sólo se conceden en caso de no poder acceder a un servicio público o concertado. La institucionali</w:t>
      </w:r>
      <w:r>
        <w:rPr>
          <w:rFonts w:ascii="Times New Roman" w:eastAsia="Times New Roman" w:hAnsi="Times New Roman" w:cs="Times New Roman"/>
          <w:sz w:val="24"/>
          <w:szCs w:val="24"/>
        </w:rPr>
        <w:t>zación de estas prestaciones y de los servicios está descentralizada, de modo que los municipios, los centros públicos o concertados y las empresas son responsables de la ejecución (Ibíd.).</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caso de Portugal, tras la puesta en marcha de diversas polít</w:t>
      </w:r>
      <w:r>
        <w:rPr>
          <w:rFonts w:ascii="Times New Roman" w:eastAsia="Times New Roman" w:hAnsi="Times New Roman" w:cs="Times New Roman"/>
          <w:sz w:val="24"/>
          <w:szCs w:val="24"/>
        </w:rPr>
        <w:t>icas desde 1994 para hacer frente a la demanda de cuidados de las personas mayores, en 2006 se reconoce el derecho al cuidado con la aprobación del Decreto-</w:t>
      </w:r>
      <w:proofErr w:type="spellStart"/>
      <w:r>
        <w:rPr>
          <w:rFonts w:ascii="Times New Roman" w:eastAsia="Times New Roman" w:hAnsi="Times New Roman" w:cs="Times New Roman"/>
          <w:sz w:val="24"/>
          <w:szCs w:val="24"/>
        </w:rPr>
        <w:t>Lei</w:t>
      </w:r>
      <w:proofErr w:type="spellEnd"/>
      <w:r>
        <w:rPr>
          <w:rFonts w:ascii="Times New Roman" w:eastAsia="Times New Roman" w:hAnsi="Times New Roman" w:cs="Times New Roman"/>
          <w:sz w:val="24"/>
          <w:szCs w:val="24"/>
        </w:rPr>
        <w:t xml:space="preserve"> 101/2006 que crea la </w:t>
      </w:r>
      <w:r>
        <w:rPr>
          <w:rFonts w:ascii="Times New Roman" w:eastAsia="Times New Roman" w:hAnsi="Times New Roman" w:cs="Times New Roman"/>
          <w:b/>
          <w:sz w:val="24"/>
          <w:szCs w:val="24"/>
        </w:rPr>
        <w:t>Rede Nacional de Cuidados Continuados Integrados</w:t>
      </w:r>
      <w:r>
        <w:rPr>
          <w:rFonts w:ascii="Times New Roman" w:eastAsia="Times New Roman" w:hAnsi="Times New Roman" w:cs="Times New Roman"/>
          <w:sz w:val="24"/>
          <w:szCs w:val="24"/>
        </w:rPr>
        <w:t xml:space="preserve"> (RNCCI). Los servicios des</w:t>
      </w:r>
      <w:r>
        <w:rPr>
          <w:rFonts w:ascii="Times New Roman" w:eastAsia="Times New Roman" w:hAnsi="Times New Roman" w:cs="Times New Roman"/>
          <w:sz w:val="24"/>
          <w:szCs w:val="24"/>
        </w:rPr>
        <w:t>arrollados son de dos tipos: aquellos centrados en la enfermedad en sí, vinculados a unidades hospitalarias o centros especializados, y aquellos orientados al apoyo en las actividades cotidianas, en las necesidades básicas y en la educación en salud a fami</w:t>
      </w:r>
      <w:r>
        <w:rPr>
          <w:rFonts w:ascii="Times New Roman" w:eastAsia="Times New Roman" w:hAnsi="Times New Roman" w:cs="Times New Roman"/>
          <w:sz w:val="24"/>
          <w:szCs w:val="24"/>
        </w:rPr>
        <w:t>liares y demás personal de cuidados, a través de planes individualizados que corresponsabilizan a la familia. Su institucionalización es semejante a la española, con la coordinación de servicios a nivel nacional, la gestión y el planeamiento de responsabil</w:t>
      </w:r>
      <w:r>
        <w:rPr>
          <w:rFonts w:ascii="Times New Roman" w:eastAsia="Times New Roman" w:hAnsi="Times New Roman" w:cs="Times New Roman"/>
          <w:sz w:val="24"/>
          <w:szCs w:val="24"/>
        </w:rPr>
        <w:t xml:space="preserve">idad regional y el acompañamiento desarrollado al nivel local por las </w:t>
      </w:r>
      <w:proofErr w:type="spellStart"/>
      <w:r>
        <w:rPr>
          <w:rFonts w:ascii="Times New Roman" w:eastAsia="Times New Roman" w:hAnsi="Times New Roman" w:cs="Times New Roman"/>
          <w:i/>
          <w:sz w:val="24"/>
          <w:szCs w:val="24"/>
        </w:rPr>
        <w:t>freguesías</w:t>
      </w:r>
      <w:proofErr w:type="spellEnd"/>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RNCCI tiene una respuesta diversificada con servicios y prestaciones monetarias. En el caso de los servicios, el personal contratado tiene que estar cualificado según el p</w:t>
      </w:r>
      <w:r>
        <w:rPr>
          <w:rFonts w:ascii="Times New Roman" w:eastAsia="Times New Roman" w:hAnsi="Times New Roman" w:cs="Times New Roman"/>
          <w:sz w:val="24"/>
          <w:szCs w:val="24"/>
        </w:rPr>
        <w:t>uesto a ocupar, lo que impide la contratación dentro de los mismos de personas dedicadas al cuidado en el hogar. La regulación del trabajo de cuidados viene dada a través de las ayudas a domicilio donde es posible contratar cuidados no cualificados (2013).</w:t>
      </w:r>
      <w:r>
        <w:rPr>
          <w:rFonts w:ascii="Times New Roman" w:eastAsia="Times New Roman" w:hAnsi="Times New Roman" w:cs="Times New Roman"/>
          <w:sz w:val="24"/>
          <w:szCs w:val="24"/>
        </w:rPr>
        <w:t xml:space="preserve"> En este caso, el acceso a los servicios y las prestaciones monetarias depende del nivel de renta y del patrimonio de la familia demandante de cuidados.</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 cuidado ampliado en Costa Rica y Uruguay</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Costa Rica y Uruguay ponen en marcha diversas estrategias para la población dependiente por enfermedad o edad que engloban centros diurnos, programas de asistencia personal y subsidios monetarios para cuidados domiciliarios. Su objetivo es reducir las carg</w:t>
      </w:r>
      <w:r>
        <w:rPr>
          <w:rFonts w:ascii="Times New Roman" w:eastAsia="Times New Roman" w:hAnsi="Times New Roman" w:cs="Times New Roman"/>
          <w:sz w:val="24"/>
          <w:szCs w:val="24"/>
        </w:rPr>
        <w:t xml:space="preserve">as familiares y garantizar una vejez con dignidad. En el caso costarricense, a través de la </w:t>
      </w:r>
      <w:r>
        <w:rPr>
          <w:rFonts w:ascii="Times New Roman" w:eastAsia="Times New Roman" w:hAnsi="Times New Roman" w:cs="Times New Roman"/>
          <w:b/>
          <w:sz w:val="24"/>
          <w:szCs w:val="24"/>
          <w:highlight w:val="white"/>
        </w:rPr>
        <w:t>Red de Atención Progresiva para el Cuido Integral de las Personas Adultas Mayores</w:t>
      </w:r>
      <w:r>
        <w:rPr>
          <w:rFonts w:ascii="Times New Roman" w:eastAsia="Times New Roman" w:hAnsi="Times New Roman" w:cs="Times New Roman"/>
          <w:sz w:val="24"/>
          <w:szCs w:val="24"/>
        </w:rPr>
        <w:t xml:space="preserve"> de 2012 se prioriza a </w:t>
      </w:r>
      <w:r>
        <w:rPr>
          <w:rFonts w:ascii="Times New Roman" w:eastAsia="Times New Roman" w:hAnsi="Times New Roman" w:cs="Times New Roman"/>
          <w:sz w:val="24"/>
          <w:szCs w:val="24"/>
        </w:rPr>
        <w:lastRenderedPageBreak/>
        <w:t xml:space="preserve">las personas mayores de 65 años en situación de pobreza, dependencia y/o riesgo social; y el </w:t>
      </w:r>
      <w:r>
        <w:rPr>
          <w:rFonts w:ascii="Times New Roman" w:eastAsia="Times New Roman" w:hAnsi="Times New Roman" w:cs="Times New Roman"/>
          <w:b/>
          <w:sz w:val="24"/>
          <w:szCs w:val="24"/>
        </w:rPr>
        <w:t>Sistema Nacional Integrado de Cuidados</w:t>
      </w:r>
      <w:r>
        <w:rPr>
          <w:rFonts w:ascii="Times New Roman" w:eastAsia="Times New Roman" w:hAnsi="Times New Roman" w:cs="Times New Roman"/>
          <w:sz w:val="24"/>
          <w:szCs w:val="24"/>
        </w:rPr>
        <w:t xml:space="preserve"> uruguayo se centra en las personas dependientes que no puedan valerse por sí mismas.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ya hemos de</w:t>
      </w:r>
      <w:r>
        <w:rPr>
          <w:rFonts w:ascii="Times New Roman" w:eastAsia="Times New Roman" w:hAnsi="Times New Roman" w:cs="Times New Roman"/>
          <w:sz w:val="24"/>
          <w:szCs w:val="24"/>
        </w:rPr>
        <w:t xml:space="preserve">stacado las mayores diferencias en estos sistemas están en las acciones centradas en la infancia. Costa Rica aprueba en 2014 la </w:t>
      </w:r>
      <w:r>
        <w:rPr>
          <w:rFonts w:ascii="Times New Roman" w:eastAsia="Times New Roman" w:hAnsi="Times New Roman" w:cs="Times New Roman"/>
          <w:b/>
          <w:sz w:val="24"/>
          <w:szCs w:val="24"/>
        </w:rPr>
        <w:t xml:space="preserve">Red Nacional de Cuido y Desarrollo Infantil </w:t>
      </w:r>
      <w:r>
        <w:rPr>
          <w:rFonts w:ascii="Times New Roman" w:eastAsia="Times New Roman" w:hAnsi="Times New Roman" w:cs="Times New Roman"/>
          <w:sz w:val="24"/>
          <w:szCs w:val="24"/>
        </w:rPr>
        <w:t>creando un sistema de centros de atención al desarrollo y la nutrición infantil para</w:t>
      </w:r>
      <w:r>
        <w:rPr>
          <w:rFonts w:ascii="Times New Roman" w:eastAsia="Times New Roman" w:hAnsi="Times New Roman" w:cs="Times New Roman"/>
          <w:sz w:val="24"/>
          <w:szCs w:val="24"/>
        </w:rPr>
        <w:t xml:space="preserve"> menores entre 0 y 7 años. El sistema es de carácter público y coordinado por el Instituto Mixto de Ayuda Social. Ahora bien, los centros de atención pueden ser públicos, privados o mixtos, y pueden organizarse de forma comunitaria, regulando el trabajo qu</w:t>
      </w:r>
      <w:r>
        <w:rPr>
          <w:rFonts w:ascii="Times New Roman" w:eastAsia="Times New Roman" w:hAnsi="Times New Roman" w:cs="Times New Roman"/>
          <w:sz w:val="24"/>
          <w:szCs w:val="24"/>
        </w:rPr>
        <w:t>e hacían redes de solidaridad más amplias que la familia; ofrece tres modalidades de cuidado: Hogares Comunitarios, Centros de Atención Integral y Centros de Educación y Nutrición y Centros Infantiles de Nutrición y Atención Integral (Guzmán, 2014). El acc</w:t>
      </w:r>
      <w:r>
        <w:rPr>
          <w:rFonts w:ascii="Times New Roman" w:eastAsia="Times New Roman" w:hAnsi="Times New Roman" w:cs="Times New Roman"/>
          <w:sz w:val="24"/>
          <w:szCs w:val="24"/>
        </w:rPr>
        <w:t>eso a los mismos se organiza en base a plazas públicas o subsidios para centros concertados o privados que son otorgadas a mujeres que trabajan en el mercado laboral formal y poseen pocos recursos económicos (Jiménez-Fontana, 2016).</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caso uruguayo, de</w:t>
      </w:r>
      <w:r>
        <w:rPr>
          <w:rFonts w:ascii="Times New Roman" w:eastAsia="Times New Roman" w:hAnsi="Times New Roman" w:cs="Times New Roman"/>
          <w:sz w:val="24"/>
          <w:szCs w:val="24"/>
        </w:rPr>
        <w:t xml:space="preserve">ntro del </w:t>
      </w:r>
      <w:r>
        <w:rPr>
          <w:rFonts w:ascii="Times New Roman" w:eastAsia="Times New Roman" w:hAnsi="Times New Roman" w:cs="Times New Roman"/>
          <w:b/>
          <w:sz w:val="24"/>
          <w:szCs w:val="24"/>
        </w:rPr>
        <w:t>Sistema Nacional Integrado de Cuidados</w:t>
      </w:r>
      <w:r>
        <w:rPr>
          <w:rFonts w:ascii="Times New Roman" w:eastAsia="Times New Roman" w:hAnsi="Times New Roman" w:cs="Times New Roman"/>
          <w:sz w:val="24"/>
          <w:szCs w:val="24"/>
        </w:rPr>
        <w:t xml:space="preserve"> se considera a la población menor de 12 años objeto de esta política, ampliándose los lugares para atender sus necesidades de desarrollo, especialmente a menores entre 0 y 3 años. Se garantiza su acceso a cas</w:t>
      </w:r>
      <w:r>
        <w:rPr>
          <w:rFonts w:ascii="Times New Roman" w:eastAsia="Times New Roman" w:hAnsi="Times New Roman" w:cs="Times New Roman"/>
          <w:sz w:val="24"/>
          <w:szCs w:val="24"/>
        </w:rPr>
        <w:t>as comunitarias de cuidado y a guarderías y centros pertenecientes al Instituto del Niño y Adolescente del Uruguay (INAU), otorgando ayudas parciales o totales a aquellas familias que no puedan costear el servicio o residan en territorios con insuficientes</w:t>
      </w:r>
      <w:r>
        <w:rPr>
          <w:rFonts w:ascii="Times New Roman" w:eastAsia="Times New Roman" w:hAnsi="Times New Roman" w:cs="Times New Roman"/>
          <w:sz w:val="24"/>
          <w:szCs w:val="24"/>
        </w:rPr>
        <w:t xml:space="preserve"> servicios públicos de cuidado (Becas de Inclusión Socioeducativa). La oferta de centros, públicos y privados, para mayores de 3 años es mucho mayor a que la existente para menores a los que se atiende en los Centros de Atención en Infancia y la Familia (C</w:t>
      </w:r>
      <w:r>
        <w:rPr>
          <w:rFonts w:ascii="Times New Roman" w:eastAsia="Times New Roman" w:hAnsi="Times New Roman" w:cs="Times New Roman"/>
          <w:sz w:val="24"/>
          <w:szCs w:val="24"/>
        </w:rPr>
        <w:t>AIF) gestionados por entes privados pero financiados y supervisados por el INAU. Se trata de cubrir la demanda de los estratos poblacionales con menores ingresos, de forma que para el resto de la población este servicio es privado (Vera et al., 2016)</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 Costa Rica y Uruguay el acceso a centros infantiles se articula en base a las características socioeconómicas, priorizando las familias de bajos recursos y las mujeres trabajadoras y/o jefas de hogar, como parte de las políticas anti-pobreza. Estas accion</w:t>
      </w:r>
      <w:r>
        <w:rPr>
          <w:rFonts w:ascii="Times New Roman" w:eastAsia="Times New Roman" w:hAnsi="Times New Roman" w:cs="Times New Roman"/>
          <w:sz w:val="24"/>
          <w:szCs w:val="24"/>
        </w:rPr>
        <w:t>es se centran en ayudas a mujeres que están trabajando formalmente, lo que perpetúa la dificultad de que aquellas que no están formalmente empleadas, debido a sus responsabilidades familiares, accedan a un trabajo formal (Aguirre et al., 2014; Jiménez-Font</w:t>
      </w:r>
      <w:r>
        <w:rPr>
          <w:rFonts w:ascii="Times New Roman" w:eastAsia="Times New Roman" w:hAnsi="Times New Roman" w:cs="Times New Roman"/>
          <w:sz w:val="24"/>
          <w:szCs w:val="24"/>
        </w:rPr>
        <w:t>ana, 2016).</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Mientras, en España y Portugal, las prestaciones económicas para población adulta o con dependencia permanente se otorgan en base a la renta de las familias, aumentando las ayudas cuanto más baja sea la renta familiar. En ambos casos, las prest</w:t>
      </w:r>
      <w:r>
        <w:rPr>
          <w:rFonts w:ascii="Times New Roman" w:eastAsia="Times New Roman" w:hAnsi="Times New Roman" w:cs="Times New Roman"/>
          <w:sz w:val="24"/>
          <w:szCs w:val="24"/>
        </w:rPr>
        <w:t>aciones económicas son lo más demandado, lo que se corresponde con su tipología de “</w:t>
      </w:r>
      <w:r>
        <w:rPr>
          <w:rFonts w:ascii="Times New Roman" w:eastAsia="Times New Roman" w:hAnsi="Times New Roman" w:cs="Times New Roman"/>
          <w:i/>
          <w:sz w:val="24"/>
          <w:szCs w:val="24"/>
        </w:rPr>
        <w:t>países basados en la familia</w:t>
      </w:r>
      <w:r>
        <w:rPr>
          <w:rFonts w:ascii="Times New Roman" w:eastAsia="Times New Roman" w:hAnsi="Times New Roman" w:cs="Times New Roman"/>
          <w:sz w:val="24"/>
          <w:szCs w:val="24"/>
        </w:rPr>
        <w:t>” y la preferencia de los pacientes de ser cuidados por un familiar en el hogar (</w:t>
      </w:r>
      <w:proofErr w:type="spellStart"/>
      <w:r>
        <w:rPr>
          <w:rFonts w:ascii="Times New Roman" w:eastAsia="Times New Roman" w:hAnsi="Times New Roman" w:cs="Times New Roman"/>
          <w:sz w:val="24"/>
          <w:szCs w:val="24"/>
        </w:rPr>
        <w:t>Lopes</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Mourão</w:t>
      </w:r>
      <w:proofErr w:type="spellEnd"/>
      <w:r>
        <w:rPr>
          <w:rFonts w:ascii="Times New Roman" w:eastAsia="Times New Roman" w:hAnsi="Times New Roman" w:cs="Times New Roman"/>
          <w:sz w:val="24"/>
          <w:szCs w:val="24"/>
        </w:rPr>
        <w:t>, 2015; Artiga, 2015). A pesar de establecerse en</w:t>
      </w:r>
      <w:r>
        <w:rPr>
          <w:rFonts w:ascii="Times New Roman" w:eastAsia="Times New Roman" w:hAnsi="Times New Roman" w:cs="Times New Roman"/>
          <w:sz w:val="24"/>
          <w:szCs w:val="24"/>
        </w:rPr>
        <w:t xml:space="preserve"> la ley las prestaciones monetarias como una excepción, esta concesión permite reducir la inversión en el desarrollo de servicios especializados, que suponen mayores costes. Este rasgo se ha exacerbado durante la crisis económica y el recorte presupuestari</w:t>
      </w:r>
      <w:r>
        <w:rPr>
          <w:rFonts w:ascii="Times New Roman" w:eastAsia="Times New Roman" w:hAnsi="Times New Roman" w:cs="Times New Roman"/>
          <w:sz w:val="24"/>
          <w:szCs w:val="24"/>
        </w:rPr>
        <w:t>o destinado a la dependencia por imperativo de la UE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Órganos y actores que participan en los sistemas de cuidados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Sistema Nacional Integrado de Cuidado uruguayo está organizado en la Junta Nacional de Cuidados, donde hay representante de ministerios a</w:t>
      </w:r>
      <w:r>
        <w:rPr>
          <w:rFonts w:ascii="Times New Roman" w:eastAsia="Times New Roman" w:hAnsi="Times New Roman" w:cs="Times New Roman"/>
          <w:sz w:val="24"/>
          <w:szCs w:val="24"/>
        </w:rPr>
        <w:t xml:space="preserve">sí como del Banco de Previsión Social, el  </w:t>
      </w:r>
      <w:proofErr w:type="spellStart"/>
      <w:r>
        <w:rPr>
          <w:rFonts w:ascii="Times New Roman" w:eastAsia="Times New Roman" w:hAnsi="Times New Roman" w:cs="Times New Roman"/>
          <w:sz w:val="24"/>
          <w:szCs w:val="24"/>
        </w:rPr>
        <w:t>INMujeres</w:t>
      </w:r>
      <w:proofErr w:type="spellEnd"/>
      <w:r>
        <w:rPr>
          <w:rFonts w:ascii="Times New Roman" w:eastAsia="Times New Roman" w:hAnsi="Times New Roman" w:cs="Times New Roman"/>
          <w:sz w:val="24"/>
          <w:szCs w:val="24"/>
        </w:rPr>
        <w:t xml:space="preserve"> o el INAU, y en la Secretaría Nacional de cuidados. En ésta última participan comisiones interdisciplinares y delegados de organizaciones civiles vinculadas a cuidados, a la academia, a sindicatos y a en</w:t>
      </w:r>
      <w:r>
        <w:rPr>
          <w:rFonts w:ascii="Times New Roman" w:eastAsia="Times New Roman" w:hAnsi="Times New Roman" w:cs="Times New Roman"/>
          <w:sz w:val="24"/>
          <w:szCs w:val="24"/>
        </w:rPr>
        <w:t>tidades privadas que prestan servicios de cuidados.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Dependiente del IMSERSO el SAAD español está vinculado al Ministerio de Sanidad, Servicios Sociales e Igualdad y se organiza por niveles territoriales a través de órganos de cooperación; a su vez, tiene ó</w:t>
      </w:r>
      <w:r>
        <w:rPr>
          <w:rFonts w:ascii="Times New Roman" w:eastAsia="Times New Roman" w:hAnsi="Times New Roman" w:cs="Times New Roman"/>
          <w:sz w:val="24"/>
          <w:szCs w:val="24"/>
        </w:rPr>
        <w:t>rganos consultivos en los que participan representantes de las Administraciones públicas, de organizaciones empresariales y sindicales. Igualmente, el Consejo Estatal de Personas Mayores, el Consejo Nacional de la Discapacidad y el Consejo Estatal de Organ</w:t>
      </w:r>
      <w:r>
        <w:rPr>
          <w:rFonts w:ascii="Times New Roman" w:eastAsia="Times New Roman" w:hAnsi="Times New Roman" w:cs="Times New Roman"/>
          <w:sz w:val="24"/>
          <w:szCs w:val="24"/>
        </w:rPr>
        <w:t>izaciones no Gubernamentales de Acción Social forman parte del éste órgano asesorando en el diseño y ejecución de las políticas de atención.</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REDCUDI de Costa Rica depende de la Presidencia de la República, asesorada por el Ministerio de Bienestar Social</w:t>
      </w:r>
      <w:r>
        <w:rPr>
          <w:rFonts w:ascii="Times New Roman" w:eastAsia="Times New Roman" w:hAnsi="Times New Roman" w:cs="Times New Roman"/>
          <w:sz w:val="24"/>
          <w:szCs w:val="24"/>
        </w:rPr>
        <w:t xml:space="preserve"> y Familia y un Consejo Consultivo; su implementación depende el Ministerio a través de la Secretaría Técnica y la Comisión Técnica Interinstitucional. Dentro de la Comisión participan las instituciones gubernamentales responsables de la educación y la niñ</w:t>
      </w:r>
      <w:r>
        <w:rPr>
          <w:rFonts w:ascii="Times New Roman" w:eastAsia="Times New Roman" w:hAnsi="Times New Roman" w:cs="Times New Roman"/>
          <w:sz w:val="24"/>
          <w:szCs w:val="24"/>
        </w:rPr>
        <w:t xml:space="preserve">ez o de la financiación junto a organizaciones no gubernamentales así como internacionales (BID, OIT y UNICEF) Todos estos actores organizan la red, coordinando los servicios existentes, ampliando la oferta y proporcionado los subsidios a las familias con </w:t>
      </w:r>
      <w:r>
        <w:rPr>
          <w:rFonts w:ascii="Times New Roman" w:eastAsia="Times New Roman" w:hAnsi="Times New Roman" w:cs="Times New Roman"/>
          <w:sz w:val="24"/>
          <w:szCs w:val="24"/>
        </w:rPr>
        <w:t>menores recursos. Para ello se coordinan con los diferentes Municipios, los cuales aportan a la red a través de servicios o dinero.</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RNCCI portuguesa se limita a coordinar los servicios hospitalarios y la asistencia domiciliaria por cuestiones de salud; </w:t>
      </w:r>
      <w:r>
        <w:rPr>
          <w:rFonts w:ascii="Times New Roman" w:eastAsia="Times New Roman" w:hAnsi="Times New Roman" w:cs="Times New Roman"/>
          <w:sz w:val="24"/>
          <w:szCs w:val="24"/>
        </w:rPr>
        <w:t xml:space="preserve">es por ello que depende de una Coordinación Nacional que se divide en una Comisión de coordinación, que la conforman seis personas, y un equipo </w:t>
      </w:r>
      <w:r>
        <w:rPr>
          <w:rFonts w:ascii="Times New Roman" w:eastAsia="Times New Roman" w:hAnsi="Times New Roman" w:cs="Times New Roman"/>
          <w:sz w:val="24"/>
          <w:szCs w:val="24"/>
        </w:rPr>
        <w:lastRenderedPageBreak/>
        <w:t>de apoyo técnico de 18 personas, donde la mayoría tiene formación en salud. En la actualidad, todo este equipo s</w:t>
      </w:r>
      <w:r>
        <w:rPr>
          <w:rFonts w:ascii="Times New Roman" w:eastAsia="Times New Roman" w:hAnsi="Times New Roman" w:cs="Times New Roman"/>
          <w:sz w:val="24"/>
          <w:szCs w:val="24"/>
        </w:rPr>
        <w:t>e encuentra modificando las prestaciones de servicios para ampliar la atención a la población en edad pediátrica, así como a quienes tiene enfermedades mentales.</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Estructuras poblacionales y mercantilización de los cuidados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prioridad de la población objeto de los sistemas de cuidados, incluyendo a la infancia en los casos latinoamericanos, se establece entonces según las diferencias etarias en la estructura de la población. Ninguno de los cuatro sistemas es universal, a pe</w:t>
      </w:r>
      <w:r>
        <w:rPr>
          <w:rFonts w:ascii="Times New Roman" w:eastAsia="Times New Roman" w:hAnsi="Times New Roman" w:cs="Times New Roman"/>
          <w:sz w:val="24"/>
          <w:szCs w:val="24"/>
        </w:rPr>
        <w:t xml:space="preserve">sar de sus denominaciones, y son estas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las que inciden en el desarrollo y cobertura de los sistemas de cuidados, más allá del género. Al respecto, de los cuatro países estudiados sólo España es un país mediano con </w:t>
      </w:r>
      <w:r>
        <w:rPr>
          <w:rFonts w:ascii="Times New Roman" w:eastAsia="Times New Roman" w:hAnsi="Times New Roman" w:cs="Times New Roman"/>
          <w:sz w:val="24"/>
          <w:szCs w:val="24"/>
          <w:highlight w:val="white"/>
        </w:rPr>
        <w:t>46.468.1</w:t>
      </w:r>
      <w:r>
        <w:rPr>
          <w:rFonts w:ascii="Times New Roman" w:eastAsia="Times New Roman" w:hAnsi="Times New Roman" w:cs="Times New Roman"/>
          <w:sz w:val="24"/>
          <w:szCs w:val="24"/>
          <w:highlight w:val="white"/>
        </w:rPr>
        <w:t xml:space="preserve">02 personas; siendo en Portugal la población de </w:t>
      </w:r>
      <w:r>
        <w:rPr>
          <w:rFonts w:ascii="Times New Roman" w:eastAsia="Times New Roman" w:hAnsi="Times New Roman" w:cs="Times New Roman"/>
          <w:sz w:val="24"/>
          <w:szCs w:val="24"/>
        </w:rPr>
        <w:t>10.341.330; en Costa Rica de 4.918.000 y en Uruguay de 3.480.221 de personas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la población uruguaya se caracteriza por una tasa de migración negativa y un envejecimiento creciente, que se sitú</w:t>
      </w:r>
      <w:r>
        <w:rPr>
          <w:rFonts w:ascii="Times New Roman" w:eastAsia="Times New Roman" w:hAnsi="Times New Roman" w:cs="Times New Roman"/>
          <w:sz w:val="24"/>
          <w:szCs w:val="24"/>
        </w:rPr>
        <w:t>a actualmente en el 68,3%, lo que supondrá el progresivo incremento de la demanda de cuidados. Portugal y España ya se enfrentan a esta demanda con un envejecimiento de 146% y 116% respectivamente, y que va en aumento por la baja natalidad y una tasa migra</w:t>
      </w:r>
      <w:r>
        <w:rPr>
          <w:rFonts w:ascii="Times New Roman" w:eastAsia="Times New Roman" w:hAnsi="Times New Roman" w:cs="Times New Roman"/>
          <w:sz w:val="24"/>
          <w:szCs w:val="24"/>
        </w:rPr>
        <w:t xml:space="preserve">toria negativa en los últimos años. La prospectiva poblacional para Costa Rica, cuyo envejecimiento todavía es moderado con un índice del 32% y un saldo migratorio positivo, es alcanzar a Uruguay a medio plazo.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hecho, aunque los cuatro sistemas aspiran</w:t>
      </w:r>
      <w:r>
        <w:rPr>
          <w:rFonts w:ascii="Times New Roman" w:eastAsia="Times New Roman" w:hAnsi="Times New Roman" w:cs="Times New Roman"/>
          <w:sz w:val="24"/>
          <w:szCs w:val="24"/>
        </w:rPr>
        <w:t xml:space="preserve"> a una oferta universal finalmente vinculan los servicios y las prestaciones a la renta de las familias, priorizando a la población que recibe prestaciones en función de su estructura demográfica y socioeconómica. Por un lado, condicionan las prestaciones </w:t>
      </w:r>
      <w:r>
        <w:rPr>
          <w:rFonts w:ascii="Times New Roman" w:eastAsia="Times New Roman" w:hAnsi="Times New Roman" w:cs="Times New Roman"/>
          <w:sz w:val="24"/>
          <w:szCs w:val="24"/>
        </w:rPr>
        <w:t xml:space="preserve">recibidas o se articulan para una población de bajos recursos, como sucede con los centros infantiles; y, por otro lado, al no ser los servicios gratuitos y fomentarse los concertados, el acceso a los mismos depende de la renta. Esta </w:t>
      </w:r>
      <w:r>
        <w:rPr>
          <w:rFonts w:ascii="Times New Roman" w:eastAsia="Times New Roman" w:hAnsi="Times New Roman" w:cs="Times New Roman"/>
          <w:i/>
          <w:sz w:val="24"/>
          <w:szCs w:val="24"/>
        </w:rPr>
        <w:t>mercantilización de lo</w:t>
      </w:r>
      <w:r>
        <w:rPr>
          <w:rFonts w:ascii="Times New Roman" w:eastAsia="Times New Roman" w:hAnsi="Times New Roman" w:cs="Times New Roman"/>
          <w:i/>
          <w:sz w:val="24"/>
          <w:szCs w:val="24"/>
        </w:rPr>
        <w:t>s cuidados</w:t>
      </w:r>
      <w:r>
        <w:rPr>
          <w:rFonts w:ascii="Times New Roman" w:eastAsia="Times New Roman" w:hAnsi="Times New Roman" w:cs="Times New Roman"/>
          <w:sz w:val="24"/>
          <w:szCs w:val="24"/>
        </w:rPr>
        <w:t xml:space="preserve"> se explica por una legislación basada en la creación de empleo, la ampliación de la protección social o la profesionalización frente al familiarismo (Artiga, 2015).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Nos interesa destacar que los sistemas de cuidado se organizan en base a una de</w:t>
      </w:r>
      <w:r>
        <w:rPr>
          <w:rFonts w:ascii="Times New Roman" w:eastAsia="Times New Roman" w:hAnsi="Times New Roman" w:cs="Times New Roman"/>
          <w:sz w:val="24"/>
          <w:szCs w:val="24"/>
        </w:rPr>
        <w:t xml:space="preserve">manda de cuidados mayoritariamente de personas mayores dependientes, dejando de lado las necesidades de quienes cuidan. Este hecho, unido a la infravaloración social que tienen los </w:t>
      </w:r>
      <w:r>
        <w:rPr>
          <w:rFonts w:ascii="Times New Roman" w:eastAsia="Times New Roman" w:hAnsi="Times New Roman" w:cs="Times New Roman"/>
          <w:sz w:val="24"/>
          <w:szCs w:val="24"/>
        </w:rPr>
        <w:lastRenderedPageBreak/>
        <w:t xml:space="preserve">cuidados y su vinculación con las mujeres ha supuesto el reconocimiento de </w:t>
      </w:r>
      <w:r>
        <w:rPr>
          <w:rFonts w:ascii="Times New Roman" w:eastAsia="Times New Roman" w:hAnsi="Times New Roman" w:cs="Times New Roman"/>
          <w:sz w:val="24"/>
          <w:szCs w:val="24"/>
        </w:rPr>
        <w:t>menos derechos laborales en el trabajo de cuidados no especializado. Cuando los cuidados no se organizan como una responsabilidad colectiva y no se reconoce el derecho al cuidado de forma universal, los sistemas analizados perpetúan el nexo cuidados-desigu</w:t>
      </w:r>
      <w:r>
        <w:rPr>
          <w:rFonts w:ascii="Times New Roman" w:eastAsia="Times New Roman" w:hAnsi="Times New Roman" w:cs="Times New Roman"/>
          <w:sz w:val="24"/>
          <w:szCs w:val="24"/>
        </w:rPr>
        <w:t>aldad-exclusión (Orozco y Gil, 2011).</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ello, los cuatro sistemas reconocen el derecho a recibir cuidados, al desarrollar servicios y prestaciones, y también el cuidado como un trabajo, con sus respectivas regulaciones laborales. Todo ello permite</w:t>
      </w:r>
      <w:r>
        <w:rPr>
          <w:rFonts w:ascii="Times New Roman" w:eastAsia="Times New Roman" w:hAnsi="Times New Roman" w:cs="Times New Roman"/>
          <w:sz w:val="24"/>
          <w:szCs w:val="24"/>
        </w:rPr>
        <w:t xml:space="preserve"> en cierto modo reducir las cargas familiares y debiera facilitar el acceso de las mujeres al mercado laboral, especialmente de aquellas pertenecientes a estratos más bajos, ocupando puestos no cualificados de cuidado; o bien, que ellas puedan delegar part</w:t>
      </w:r>
      <w:r>
        <w:rPr>
          <w:rFonts w:ascii="Times New Roman" w:eastAsia="Times New Roman" w:hAnsi="Times New Roman" w:cs="Times New Roman"/>
          <w:sz w:val="24"/>
          <w:szCs w:val="24"/>
        </w:rPr>
        <w:t>e del cuidado en terceras personas y tener acceso a trabajos remunerados formales. Sin embargo, en los casos portugués y español la contratación de personal dentro de los centros o la red de cuidado se limita a personal cualificado, lo que supone que las m</w:t>
      </w:r>
      <w:r>
        <w:rPr>
          <w:rFonts w:ascii="Times New Roman" w:eastAsia="Times New Roman" w:hAnsi="Times New Roman" w:cs="Times New Roman"/>
          <w:sz w:val="24"/>
          <w:szCs w:val="24"/>
        </w:rPr>
        <w:t xml:space="preserve">ujeres dedicadas al cuidado informal acceden a un contrato laboral dentro del cuidado domiciliario cuya regulación concede menos beneficios. </w:t>
      </w:r>
    </w:p>
    <w:p w:rsidR="0099295F" w:rsidRDefault="00052D02">
      <w:pPr>
        <w:pStyle w:val="normal0"/>
        <w:spacing w:after="200" w:line="312"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Género y cuidados: una tarea pendiente</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que se ha denominado </w:t>
      </w:r>
      <w:r>
        <w:rPr>
          <w:rFonts w:ascii="Times New Roman" w:eastAsia="Times New Roman" w:hAnsi="Times New Roman" w:cs="Times New Roman"/>
          <w:i/>
          <w:sz w:val="24"/>
          <w:szCs w:val="24"/>
        </w:rPr>
        <w:t>profesionalización de los cuidados</w:t>
      </w:r>
      <w:r>
        <w:rPr>
          <w:rFonts w:ascii="Times New Roman" w:eastAsia="Times New Roman" w:hAnsi="Times New Roman" w:cs="Times New Roman"/>
          <w:sz w:val="24"/>
          <w:szCs w:val="24"/>
        </w:rPr>
        <w:t xml:space="preserve"> perpetúa la i</w:t>
      </w:r>
      <w:r>
        <w:rPr>
          <w:rFonts w:ascii="Times New Roman" w:eastAsia="Times New Roman" w:hAnsi="Times New Roman" w:cs="Times New Roman"/>
          <w:sz w:val="24"/>
          <w:szCs w:val="24"/>
        </w:rPr>
        <w:t xml:space="preserve">nfravaloración del trabajo domiciliario que realizan tradicionalmente las mujeres e impide avanzar en la corresponsabilidad y la </w:t>
      </w:r>
      <w:proofErr w:type="spellStart"/>
      <w:r>
        <w:rPr>
          <w:rFonts w:ascii="Times New Roman" w:eastAsia="Times New Roman" w:hAnsi="Times New Roman" w:cs="Times New Roman"/>
          <w:sz w:val="24"/>
          <w:szCs w:val="24"/>
        </w:rPr>
        <w:t>desfamiliarización</w:t>
      </w:r>
      <w:proofErr w:type="spellEnd"/>
      <w:r>
        <w:rPr>
          <w:rFonts w:ascii="Times New Roman" w:eastAsia="Times New Roman" w:hAnsi="Times New Roman" w:cs="Times New Roman"/>
          <w:sz w:val="24"/>
          <w:szCs w:val="24"/>
        </w:rPr>
        <w:t xml:space="preserve"> de los cuidados.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Aunque los cuidados se conciben bajo la premisa de que no pueden abolirse, socializarse o </w:t>
      </w:r>
      <w:r>
        <w:rPr>
          <w:rFonts w:ascii="Times New Roman" w:eastAsia="Times New Roman" w:hAnsi="Times New Roman" w:cs="Times New Roman"/>
          <w:sz w:val="24"/>
          <w:szCs w:val="24"/>
        </w:rPr>
        <w:t>mercantilizarse completamente, las políticas públicas a través de la ampliación de servicios de cuidado pretenden redistribuir esta labor entre los miembros del hogar y la esfera pública. De hecho las demandas feministas de visibilización de los cuidados h</w:t>
      </w:r>
      <w:r>
        <w:rPr>
          <w:rFonts w:ascii="Times New Roman" w:eastAsia="Times New Roman" w:hAnsi="Times New Roman" w:cs="Times New Roman"/>
          <w:sz w:val="24"/>
          <w:szCs w:val="24"/>
        </w:rPr>
        <w:t>a permitido que el Estado genere políticas públicas para reducir las cargas de las tareas realizadas al interior del hogar, lo que ha supuesto el reconocimiento de las actividades de cuidado como trabajo y, por lo tanto, su remuneración (Esquivel, 2015). A</w:t>
      </w:r>
      <w:r>
        <w:rPr>
          <w:rFonts w:ascii="Times New Roman" w:eastAsia="Times New Roman" w:hAnsi="Times New Roman" w:cs="Times New Roman"/>
          <w:sz w:val="24"/>
          <w:szCs w:val="24"/>
        </w:rPr>
        <w:t xml:space="preserve">hora bien, es necesario conocer el impacto que dichas políticas tienen sobre las desigualdades de género.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PNUD plantea cuatro categorías que nos sirven para caracterizar los  sistemas de cuidados analizados (García, 2008): insensibles al género, que re</w:t>
      </w:r>
      <w:r>
        <w:rPr>
          <w:rFonts w:ascii="Times New Roman" w:eastAsia="Times New Roman" w:hAnsi="Times New Roman" w:cs="Times New Roman"/>
          <w:sz w:val="24"/>
          <w:szCs w:val="24"/>
        </w:rPr>
        <w:t>fuerzan las desigualdades de género; como neutras, que tratan por igual a mujeres y hombres sin modificar las relaciones de género; sensible al género, que dan respuestas diferenciadas según el género, pudiendo reforzar los roles tradicionales; y, género t</w:t>
      </w:r>
      <w:r>
        <w:rPr>
          <w:rFonts w:ascii="Times New Roman" w:eastAsia="Times New Roman" w:hAnsi="Times New Roman" w:cs="Times New Roman"/>
          <w:sz w:val="24"/>
          <w:szCs w:val="24"/>
        </w:rPr>
        <w:t xml:space="preserve">ransformativas, con estrategias que buscan incidir en las desigualdades a través del empoderamiento, la equidad y la modificación de aquellos patrones de conducta que limitan el ejercicio de los derechos de las mujeres .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Los sistemas de cuidados de los cu</w:t>
      </w:r>
      <w:r>
        <w:rPr>
          <w:rFonts w:ascii="Times New Roman" w:eastAsia="Times New Roman" w:hAnsi="Times New Roman" w:cs="Times New Roman"/>
          <w:sz w:val="24"/>
          <w:szCs w:val="24"/>
        </w:rPr>
        <w:t>atro países se han legislado bajo la universalidad del acceso a la atención de la población dependiente, pues comparten su articulación en torno a la demanda de cuidados de una población cada vez más envejecida y se han planteado como una estrategia de ins</w:t>
      </w:r>
      <w:r>
        <w:rPr>
          <w:rFonts w:ascii="Times New Roman" w:eastAsia="Times New Roman" w:hAnsi="Times New Roman" w:cs="Times New Roman"/>
          <w:sz w:val="24"/>
          <w:szCs w:val="24"/>
        </w:rPr>
        <w:t xml:space="preserve">erción laboral femenina. Ahora bien, los servicios y prestaciones desarrollados para cubrir las necesidades de atención de la población mayor de 65 años, reconocen su derecho a recibir cuidados bajo una lógica mercantil que crea jerarquías en el acceso al </w:t>
      </w:r>
      <w:r>
        <w:rPr>
          <w:rFonts w:ascii="Times New Roman" w:eastAsia="Times New Roman" w:hAnsi="Times New Roman" w:cs="Times New Roman"/>
          <w:sz w:val="24"/>
          <w:szCs w:val="24"/>
        </w:rPr>
        <w:t xml:space="preserve">derecho. Ya hemos señalado que ello incumple el mandato de universalidad.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segundo lugar, en relación a la estrategia de inserción laboral femenina, a pesar del reconocimiento explícito a las tareas de cuidados que realizan las familias en el hogar, la </w:t>
      </w:r>
      <w:r>
        <w:rPr>
          <w:rFonts w:ascii="Times New Roman" w:eastAsia="Times New Roman" w:hAnsi="Times New Roman" w:cs="Times New Roman"/>
          <w:sz w:val="24"/>
          <w:szCs w:val="24"/>
        </w:rPr>
        <w:t>intención de generar empleo se ha basado en la premisa de la inactividad, entendiendo esta como no trabajar, ni estar buscando empleo. Ello supone la no consideración del trabajo realizado mayoritariamente por mujeres, responsables de los cuidados familiar</w:t>
      </w:r>
      <w:r>
        <w:rPr>
          <w:rFonts w:ascii="Times New Roman" w:eastAsia="Times New Roman" w:hAnsi="Times New Roman" w:cs="Times New Roman"/>
          <w:sz w:val="24"/>
          <w:szCs w:val="24"/>
        </w:rPr>
        <w:t xml:space="preserve">es o subcontratadas para ello, que figuran como inactivas al no estar inmersas en contratos laborales formales, desconsiderando la intensidad que conlleva y, en muchas ocasiones, la imposibilidad de conciliación con otro empleo (Artiaga, 2015; </w:t>
      </w:r>
      <w:proofErr w:type="spellStart"/>
      <w:r>
        <w:rPr>
          <w:rFonts w:ascii="Times New Roman" w:eastAsia="Times New Roman" w:hAnsi="Times New Roman" w:cs="Times New Roman"/>
          <w:sz w:val="24"/>
          <w:szCs w:val="24"/>
        </w:rPr>
        <w:t>Rai</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Waylen</w:t>
      </w:r>
      <w:proofErr w:type="spellEnd"/>
      <w:r>
        <w:rPr>
          <w:rFonts w:ascii="Times New Roman" w:eastAsia="Times New Roman" w:hAnsi="Times New Roman" w:cs="Times New Roman"/>
          <w:sz w:val="24"/>
          <w:szCs w:val="24"/>
        </w:rPr>
        <w:t>, 2008)</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Debemos subrayar que los dos sistemas latinoamericanos analizados amplían a la población infantil el derecho a recibir cuidados a través de centros de desarrollo y nutrición infantil, a pesar de que no cubren la demanda de cuidados, especialment</w:t>
      </w:r>
      <w:r>
        <w:rPr>
          <w:rFonts w:ascii="Times New Roman" w:eastAsia="Times New Roman" w:hAnsi="Times New Roman" w:cs="Times New Roman"/>
          <w:sz w:val="24"/>
          <w:szCs w:val="24"/>
        </w:rPr>
        <w:t>e en menores de tres años, y se orientan a mujeres con bajos ingresos que se encuentran empleadas formalmente (Vega y Gutiérrez, 2014).  En este sentido, se consideran medidas insensibles al género, pues al no otorgar ayudas a las mujeres que no están trab</w:t>
      </w:r>
      <w:r>
        <w:rPr>
          <w:rFonts w:ascii="Times New Roman" w:eastAsia="Times New Roman" w:hAnsi="Times New Roman" w:cs="Times New Roman"/>
          <w:sz w:val="24"/>
          <w:szCs w:val="24"/>
        </w:rPr>
        <w:t>ajando formalmente debido a las cargas familiares se reproduce su exclusión, al impedirles entrar al mercado laboral. Asimismo, al ser ellas las beneficiarias de estas ayudas se está perpetuando la responsabilidad del cuidado en las mujeres.</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sentido los sistemas de cuidados, incluyendo las políticas centradas en la conciliación entre trabajo remunerado y trabajo en el hogar, comparten su articulación sobre bases </w:t>
      </w:r>
      <w:proofErr w:type="spellStart"/>
      <w:r>
        <w:rPr>
          <w:rFonts w:ascii="Times New Roman" w:eastAsia="Times New Roman" w:hAnsi="Times New Roman" w:cs="Times New Roman"/>
          <w:sz w:val="24"/>
          <w:szCs w:val="24"/>
        </w:rPr>
        <w:t>familistas</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maternalistas</w:t>
      </w:r>
      <w:proofErr w:type="spellEnd"/>
      <w:r>
        <w:rPr>
          <w:rFonts w:ascii="Times New Roman" w:eastAsia="Times New Roman" w:hAnsi="Times New Roman" w:cs="Times New Roman"/>
          <w:sz w:val="24"/>
          <w:szCs w:val="24"/>
        </w:rPr>
        <w:t xml:space="preserve"> (Vera et al., 2016). El énfasis en la inserción</w:t>
      </w:r>
      <w:r>
        <w:rPr>
          <w:rFonts w:ascii="Times New Roman" w:eastAsia="Times New Roman" w:hAnsi="Times New Roman" w:cs="Times New Roman"/>
          <w:sz w:val="24"/>
          <w:szCs w:val="24"/>
        </w:rPr>
        <w:t xml:space="preserve"> laboral femenina ha supuesto políticas centradas en aspectos como la maternidad, el parto y la lactancia, que excluyen otras situaciones de cuidados como las enfermedades de familiares que se organizan en base a una lógica mercantil de acceso por niveles </w:t>
      </w:r>
      <w:r>
        <w:rPr>
          <w:rFonts w:ascii="Times New Roman" w:eastAsia="Times New Roman" w:hAnsi="Times New Roman" w:cs="Times New Roman"/>
          <w:sz w:val="24"/>
          <w:szCs w:val="24"/>
        </w:rPr>
        <w:t>de renta. Además de limitar las responsabilidades de los hombres en los cuidados, es decir, lo poco que se ha avanzado en cuanto a corresponsabilidad, es importante considerar otros arreglos familiares que no son propios de la pareja heterosexual nuclear.</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otro lado, la mercantilización de los cuidados reproduce dos desigualdades sociales específicas. En primer lugar, mantiene el menor valor social asignado a las tareas reproductivas dado el menor reconocimiento económico del trabajo doméstico y de cuida</w:t>
      </w:r>
      <w:r>
        <w:rPr>
          <w:rFonts w:ascii="Times New Roman" w:eastAsia="Times New Roman" w:hAnsi="Times New Roman" w:cs="Times New Roman"/>
          <w:sz w:val="24"/>
          <w:szCs w:val="24"/>
        </w:rPr>
        <w:t>dos en relación a otro tipo de empleos, con salarios más bajos y limitadas prestaciones de la Seguridad Social (Huertas et al., 2016). Además, la posibilidad de pagar por los cuidados en los sistemas donde no es un derecho universal facilita que las clases</w:t>
      </w:r>
      <w:r>
        <w:rPr>
          <w:rFonts w:ascii="Times New Roman" w:eastAsia="Times New Roman" w:hAnsi="Times New Roman" w:cs="Times New Roman"/>
          <w:sz w:val="24"/>
          <w:szCs w:val="24"/>
        </w:rPr>
        <w:t xml:space="preserve"> medias y altas contraten a mujeres de hogares con pocos ingresos para encargarse de los cuidados, lo que reproduce la pobreza y limita el acceso de las mujeres empobrecidas a servicios de cuidados para sus dependientes. En ambos casos se reducen las oport</w:t>
      </w:r>
      <w:r>
        <w:rPr>
          <w:rFonts w:ascii="Times New Roman" w:eastAsia="Times New Roman" w:hAnsi="Times New Roman" w:cs="Times New Roman"/>
          <w:sz w:val="24"/>
          <w:szCs w:val="24"/>
        </w:rPr>
        <w:t xml:space="preserve">unidades de las mujeres, teniendo en cuenta los ejes de discriminación por edades, clase social, procedencia o nacionalidad, así como pertenencia étnica. En este sentido, la </w:t>
      </w:r>
      <w:proofErr w:type="spellStart"/>
      <w:r>
        <w:rPr>
          <w:rFonts w:ascii="Times New Roman" w:eastAsia="Times New Roman" w:hAnsi="Times New Roman" w:cs="Times New Roman"/>
          <w:sz w:val="24"/>
          <w:szCs w:val="24"/>
        </w:rPr>
        <w:t>interseccionalidad</w:t>
      </w:r>
      <w:proofErr w:type="spellEnd"/>
      <w:r>
        <w:rPr>
          <w:rFonts w:ascii="Times New Roman" w:eastAsia="Times New Roman" w:hAnsi="Times New Roman" w:cs="Times New Roman"/>
          <w:sz w:val="24"/>
          <w:szCs w:val="24"/>
        </w:rPr>
        <w:t xml:space="preserve"> que revelan los estudios sobre cadenas de cuidado global es un </w:t>
      </w:r>
      <w:r>
        <w:rPr>
          <w:rFonts w:ascii="Times New Roman" w:eastAsia="Times New Roman" w:hAnsi="Times New Roman" w:cs="Times New Roman"/>
          <w:sz w:val="24"/>
          <w:szCs w:val="24"/>
        </w:rPr>
        <w:t xml:space="preserve">aspecto fundamental para seguir considerando las políticas de cuidado como sensibles al género pero con escasa potencialidad transformadora.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Tanto las políticas centradas en la vejez como en la infancia se basan en el derecho de estas poblaciones a recibi</w:t>
      </w:r>
      <w:r>
        <w:rPr>
          <w:rFonts w:ascii="Times New Roman" w:eastAsia="Times New Roman" w:hAnsi="Times New Roman" w:cs="Times New Roman"/>
          <w:sz w:val="24"/>
          <w:szCs w:val="24"/>
        </w:rPr>
        <w:t>r cuidados en los ámbitos de la salud y la educación, pero no se plantean como instrumentos para liberar de cargas familiares a las mujeres y resignificar la división de tareas al interior de los hogares. Las potencialidades de cambio social ligados a un e</w:t>
      </w:r>
      <w:r>
        <w:rPr>
          <w:rFonts w:ascii="Times New Roman" w:eastAsia="Times New Roman" w:hAnsi="Times New Roman" w:cs="Times New Roman"/>
          <w:sz w:val="24"/>
          <w:szCs w:val="24"/>
        </w:rPr>
        <w:t xml:space="preserve">nfoque de género feminista han sido abandonadas en el camino de la elaboración y puesta en marcha de estas políticas públicas en los casos analizados.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las políticas de cuidado no tienen en cuenta los derechos de las personas que cuidan no se modifica</w:t>
      </w:r>
      <w:r>
        <w:rPr>
          <w:rFonts w:ascii="Times New Roman" w:eastAsia="Times New Roman" w:hAnsi="Times New Roman" w:cs="Times New Roman"/>
          <w:sz w:val="24"/>
          <w:szCs w:val="24"/>
        </w:rPr>
        <w:t xml:space="preserve"> el modelo </w:t>
      </w:r>
      <w:proofErr w:type="spellStart"/>
      <w:r>
        <w:rPr>
          <w:rFonts w:ascii="Times New Roman" w:eastAsia="Times New Roman" w:hAnsi="Times New Roman" w:cs="Times New Roman"/>
          <w:sz w:val="24"/>
          <w:szCs w:val="24"/>
        </w:rPr>
        <w:t>familista</w:t>
      </w:r>
      <w:proofErr w:type="spellEnd"/>
      <w:r>
        <w:rPr>
          <w:rFonts w:ascii="Times New Roman" w:eastAsia="Times New Roman" w:hAnsi="Times New Roman" w:cs="Times New Roman"/>
          <w:sz w:val="24"/>
          <w:szCs w:val="24"/>
        </w:rPr>
        <w:t xml:space="preserve"> dominante en el que las mujeres somos las principales responsables del trabajo reproductivo. De esta forma, los sistemas de cuidado perpetúan la división sexual del trabajo clásica centrada en los pares cuidadora/proveedor para las muj</w:t>
      </w:r>
      <w:r>
        <w:rPr>
          <w:rFonts w:ascii="Times New Roman" w:eastAsia="Times New Roman" w:hAnsi="Times New Roman" w:cs="Times New Roman"/>
          <w:sz w:val="24"/>
          <w:szCs w:val="24"/>
        </w:rPr>
        <w:t>eres y los hombres respectivamente, que mantienen los estereotipos de género al considerar el cuidado un trabajo cargado de sentimientos y emociones, que se vinculan a la identidad femenina y a la maternidad (Carrasco et al., 2011).</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Igualmente, la persistente familiarización de los cuidados y su enfoque hacia la equidad socioeconómica más que de género, se aprecia en la comparativa de los países estudiados. Las medidas adoptadas ayudan a conciliar la vida laboral y familiar pero no in</w:t>
      </w:r>
      <w:r>
        <w:rPr>
          <w:rFonts w:ascii="Times New Roman" w:eastAsia="Times New Roman" w:hAnsi="Times New Roman" w:cs="Times New Roman"/>
          <w:sz w:val="24"/>
          <w:szCs w:val="24"/>
        </w:rPr>
        <w:t xml:space="preserve">tegran la perspectiva de género ni incluyen a los hombres en la corresponsabilidad de los cuidados. La persistente subvaloración de los cuidados y el menor reconocimiento de derechos laborales como sucede también en el trabajo doméstico, en general, junto </w:t>
      </w:r>
      <w:r>
        <w:rPr>
          <w:rFonts w:ascii="Times New Roman" w:eastAsia="Times New Roman" w:hAnsi="Times New Roman" w:cs="Times New Roman"/>
          <w:sz w:val="24"/>
          <w:szCs w:val="24"/>
        </w:rPr>
        <w:t>a la mercantilización y profesionalización del cuidado, limita al ámbito domiciliario las labores de las mujeres que no poseen formación específica.</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sentido, para producir cambios sociales que permitan caminar hacia la igualdad de género es fundame</w:t>
      </w:r>
      <w:r>
        <w:rPr>
          <w:rFonts w:ascii="Times New Roman" w:eastAsia="Times New Roman" w:hAnsi="Times New Roman" w:cs="Times New Roman"/>
          <w:sz w:val="24"/>
          <w:szCs w:val="24"/>
        </w:rPr>
        <w:t xml:space="preserve">ntal modificar las prestaciones de cuidado considerando estos aspectos, </w:t>
      </w:r>
      <w:r>
        <w:rPr>
          <w:rFonts w:ascii="Times New Roman" w:eastAsia="Times New Roman" w:hAnsi="Times New Roman" w:cs="Times New Roman"/>
          <w:sz w:val="24"/>
          <w:szCs w:val="24"/>
        </w:rPr>
        <w:lastRenderedPageBreak/>
        <w:t>sobre todo en un marco de mantenimiento de la tendencia al envejecimiento poblacional</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por el incremento de la esperanza de vida y la baja natalidad. La proyección es que la demanda d</w:t>
      </w:r>
      <w:r>
        <w:rPr>
          <w:rFonts w:ascii="Times New Roman" w:eastAsia="Times New Roman" w:hAnsi="Times New Roman" w:cs="Times New Roman"/>
          <w:sz w:val="24"/>
          <w:szCs w:val="24"/>
        </w:rPr>
        <w:t xml:space="preserve">e cuidados seguirá aumentando y en el estado en que nos encontramos seguirán aumentando las cargas familiares de las mujeres (Durán, 2011).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necesidad de políticas públicas </w:t>
      </w:r>
      <w:proofErr w:type="spellStart"/>
      <w:r>
        <w:rPr>
          <w:rFonts w:ascii="Times New Roman" w:eastAsia="Times New Roman" w:hAnsi="Times New Roman" w:cs="Times New Roman"/>
          <w:sz w:val="24"/>
          <w:szCs w:val="24"/>
        </w:rPr>
        <w:t>desmercantilizadoras</w:t>
      </w:r>
      <w:proofErr w:type="spellEnd"/>
      <w:r>
        <w:rPr>
          <w:rFonts w:ascii="Times New Roman" w:eastAsia="Times New Roman" w:hAnsi="Times New Roman" w:cs="Times New Roman"/>
          <w:sz w:val="24"/>
          <w:szCs w:val="24"/>
        </w:rPr>
        <w:t xml:space="preserve"> que hagan posible el acceso al cuidado de toda la población</w:t>
      </w:r>
      <w:r>
        <w:rPr>
          <w:rFonts w:ascii="Times New Roman" w:eastAsia="Times New Roman" w:hAnsi="Times New Roman" w:cs="Times New Roman"/>
          <w:sz w:val="24"/>
          <w:szCs w:val="24"/>
        </w:rPr>
        <w:t xml:space="preserve"> dependiente y el reconocimiento del trabajo de cuidados en igualdad de condiciones al resto de empleos son imperativos para alcanzar una sociedad realmente inclusiva e igualitaria. La resignificación de los cuidados y su desvinculación con la extensión na</w:t>
      </w:r>
      <w:r>
        <w:rPr>
          <w:rFonts w:ascii="Times New Roman" w:eastAsia="Times New Roman" w:hAnsi="Times New Roman" w:cs="Times New Roman"/>
          <w:sz w:val="24"/>
          <w:szCs w:val="24"/>
        </w:rPr>
        <w:t xml:space="preserve">turalista de la maternidad, así como el cuestionamiento del individualismo derivado del modelo familiar heterosexual, son parte de la legítima aspiración a una corresponsabilidad efectiva entre familia, Estado y sociedad. </w:t>
      </w:r>
    </w:p>
    <w:p w:rsidR="0099295F" w:rsidRDefault="00052D02">
      <w:pPr>
        <w:pStyle w:val="normal0"/>
        <w:spacing w:after="20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Cuidarnos bien y que las personas</w:t>
      </w:r>
      <w:r>
        <w:rPr>
          <w:rFonts w:ascii="Times New Roman" w:eastAsia="Times New Roman" w:hAnsi="Times New Roman" w:cs="Times New Roman"/>
          <w:sz w:val="24"/>
          <w:szCs w:val="24"/>
        </w:rPr>
        <w:t xml:space="preserve"> que cuidan tengas derechos pasa por favorecer el ejercicio de los derechos sociales, económicos y políticos de las mujeres, incluyendo también a los hombres en los trabajos de cuidados. Esta visión que apela a la responsabilidad colectiva permitiría desar</w:t>
      </w:r>
      <w:r>
        <w:rPr>
          <w:rFonts w:ascii="Times New Roman" w:eastAsia="Times New Roman" w:hAnsi="Times New Roman" w:cs="Times New Roman"/>
          <w:sz w:val="24"/>
          <w:szCs w:val="24"/>
        </w:rPr>
        <w:t>rollar el “cuidado social” como un pilar del Estado de Bienestar, en momentos de fuerte cuestionamiento a sus pilares. La universalización de los cuidados cotidianos debe ser parte de los derechos y deberes de la ciudadanía, como lo eran hasta hace poco la</w:t>
      </w:r>
      <w:r>
        <w:rPr>
          <w:rFonts w:ascii="Times New Roman" w:eastAsia="Times New Roman" w:hAnsi="Times New Roman" w:cs="Times New Roman"/>
          <w:sz w:val="24"/>
          <w:szCs w:val="24"/>
        </w:rPr>
        <w:t xml:space="preserve"> sanidad, la educación o la seguridad social. Se torna fundamental </w:t>
      </w:r>
      <w:r>
        <w:rPr>
          <w:rFonts w:ascii="Times New Roman" w:eastAsia="Times New Roman" w:hAnsi="Times New Roman" w:cs="Times New Roman"/>
          <w:b/>
          <w:sz w:val="24"/>
          <w:szCs w:val="24"/>
        </w:rPr>
        <w:t xml:space="preserve">avanzar en la </w:t>
      </w:r>
      <w:proofErr w:type="spellStart"/>
      <w:r>
        <w:rPr>
          <w:rFonts w:ascii="Times New Roman" w:eastAsia="Times New Roman" w:hAnsi="Times New Roman" w:cs="Times New Roman"/>
          <w:b/>
          <w:sz w:val="24"/>
          <w:szCs w:val="24"/>
        </w:rPr>
        <w:t>Cuidadanía</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considerar la vida y las necesidades humanas como eje central de la organización socioeconómica. </w:t>
      </w:r>
    </w:p>
    <w:p w:rsidR="0099295F" w:rsidRDefault="0099295F">
      <w:pPr>
        <w:pStyle w:val="normal0"/>
        <w:spacing w:after="200" w:line="312" w:lineRule="auto"/>
        <w:jc w:val="both"/>
        <w:rPr>
          <w:rFonts w:ascii="Times New Roman" w:eastAsia="Times New Roman" w:hAnsi="Times New Roman" w:cs="Times New Roman"/>
          <w:sz w:val="24"/>
          <w:szCs w:val="24"/>
        </w:rPr>
      </w:pPr>
    </w:p>
    <w:p w:rsidR="0099295F" w:rsidRDefault="00052D02">
      <w:pPr>
        <w:pStyle w:val="normal0"/>
        <w:widowControl w:val="0"/>
        <w:spacing w:after="120" w:line="312"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Bibliografía</w:t>
      </w:r>
    </w:p>
    <w:p w:rsidR="0099295F" w:rsidRDefault="00052D02">
      <w:pPr>
        <w:pStyle w:val="normal0"/>
        <w:widowControl w:val="0"/>
        <w:numPr>
          <w:ilvl w:val="0"/>
          <w:numId w:val="5"/>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Aguirre, R.; </w:t>
      </w:r>
      <w:proofErr w:type="spellStart"/>
      <w:r>
        <w:rPr>
          <w:rFonts w:ascii="Times New Roman" w:eastAsia="Times New Roman" w:hAnsi="Times New Roman" w:cs="Times New Roman"/>
          <w:sz w:val="24"/>
          <w:szCs w:val="24"/>
          <w:highlight w:val="white"/>
        </w:rPr>
        <w:t>Batthyány</w:t>
      </w:r>
      <w:proofErr w:type="spellEnd"/>
      <w:r>
        <w:rPr>
          <w:rFonts w:ascii="Times New Roman" w:eastAsia="Times New Roman" w:hAnsi="Times New Roman" w:cs="Times New Roman"/>
          <w:sz w:val="24"/>
          <w:szCs w:val="24"/>
          <w:highlight w:val="white"/>
        </w:rPr>
        <w:t xml:space="preserve">, K.; Genta, N. y </w:t>
      </w:r>
      <w:proofErr w:type="spellStart"/>
      <w:r>
        <w:rPr>
          <w:rFonts w:ascii="Times New Roman" w:eastAsia="Times New Roman" w:hAnsi="Times New Roman" w:cs="Times New Roman"/>
          <w:sz w:val="24"/>
          <w:szCs w:val="24"/>
          <w:highlight w:val="white"/>
        </w:rPr>
        <w:t>Perrotta</w:t>
      </w:r>
      <w:proofErr w:type="spellEnd"/>
      <w:r>
        <w:rPr>
          <w:rFonts w:ascii="Times New Roman" w:eastAsia="Times New Roman" w:hAnsi="Times New Roman" w:cs="Times New Roman"/>
          <w:sz w:val="24"/>
          <w:szCs w:val="24"/>
          <w:highlight w:val="white"/>
        </w:rPr>
        <w:t>, V. (2014) Los cuidados en la agenda de investigación y en las políticas públicas en Uruguay. Í</w:t>
      </w:r>
      <w:r>
        <w:rPr>
          <w:rFonts w:ascii="Times New Roman" w:eastAsia="Times New Roman" w:hAnsi="Times New Roman" w:cs="Times New Roman"/>
          <w:i/>
          <w:sz w:val="24"/>
          <w:szCs w:val="24"/>
          <w:highlight w:val="white"/>
        </w:rPr>
        <w:t>conos, Revista de Ciencias Sociales</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Num.</w:t>
      </w:r>
      <w:proofErr w:type="spellEnd"/>
      <w:r>
        <w:rPr>
          <w:rFonts w:ascii="Times New Roman" w:eastAsia="Times New Roman" w:hAnsi="Times New Roman" w:cs="Times New Roman"/>
          <w:sz w:val="24"/>
          <w:szCs w:val="24"/>
          <w:highlight w:val="white"/>
        </w:rPr>
        <w:t xml:space="preserve"> 50, Quito, septiembre, pp. 43-60. Facultad Latinoamericana de Ciencias Sociales-Sede Académica de Ecuador.</w:t>
      </w:r>
    </w:p>
    <w:p w:rsidR="0099295F" w:rsidRDefault="00052D02">
      <w:pPr>
        <w:pStyle w:val="normal0"/>
        <w:widowControl w:val="0"/>
        <w:numPr>
          <w:ilvl w:val="0"/>
          <w:numId w:val="5"/>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Artiaga, A. (2015) Producción política de los cuidados y de la dependencia: políticas públicas y experiencias de organización social de los cuidados. Tesis doctoral; Universidad Complutense de Madrid, Facultad de Ciencias Políticas y Sociología, Departamen</w:t>
      </w:r>
      <w:r>
        <w:rPr>
          <w:rFonts w:ascii="Times New Roman" w:eastAsia="Times New Roman" w:hAnsi="Times New Roman" w:cs="Times New Roman"/>
          <w:sz w:val="24"/>
          <w:szCs w:val="24"/>
          <w:highlight w:val="white"/>
        </w:rPr>
        <w:t>to de Sociología I (Cambio Social) Directores: Amparo Serrano Pascual y Carlos Prieto Rodríguez.</w:t>
      </w:r>
    </w:p>
    <w:p w:rsidR="0099295F" w:rsidRDefault="00052D02">
      <w:pPr>
        <w:pStyle w:val="normal0"/>
        <w:widowControl w:val="0"/>
        <w:numPr>
          <w:ilvl w:val="0"/>
          <w:numId w:val="5"/>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Cabezas, A. y </w:t>
      </w:r>
      <w:proofErr w:type="spellStart"/>
      <w:r>
        <w:rPr>
          <w:rFonts w:ascii="Times New Roman" w:eastAsia="Times New Roman" w:hAnsi="Times New Roman" w:cs="Times New Roman"/>
          <w:sz w:val="24"/>
          <w:szCs w:val="24"/>
          <w:highlight w:val="white"/>
        </w:rPr>
        <w:t>Berná</w:t>
      </w:r>
      <w:proofErr w:type="spellEnd"/>
      <w:r>
        <w:rPr>
          <w:rFonts w:ascii="Times New Roman" w:eastAsia="Times New Roman" w:hAnsi="Times New Roman" w:cs="Times New Roman"/>
          <w:sz w:val="24"/>
          <w:szCs w:val="24"/>
          <w:highlight w:val="white"/>
        </w:rPr>
        <w:t xml:space="preserve">, D. (2013) Cuerpos, espacios y violencias. La construcción de “lo femenino” en los regímenes </w:t>
      </w:r>
      <w:proofErr w:type="spellStart"/>
      <w:r>
        <w:rPr>
          <w:rFonts w:ascii="Times New Roman" w:eastAsia="Times New Roman" w:hAnsi="Times New Roman" w:cs="Times New Roman"/>
          <w:sz w:val="24"/>
          <w:szCs w:val="24"/>
          <w:highlight w:val="white"/>
        </w:rPr>
        <w:t>biopolíticos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Revista Políticas y Sociedad</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Vo</w:t>
      </w:r>
      <w:r>
        <w:rPr>
          <w:rFonts w:ascii="Times New Roman" w:eastAsia="Times New Roman" w:hAnsi="Times New Roman" w:cs="Times New Roman"/>
          <w:sz w:val="24"/>
          <w:szCs w:val="24"/>
          <w:highlight w:val="white"/>
        </w:rPr>
        <w:t>l</w:t>
      </w:r>
      <w:proofErr w:type="spellEnd"/>
      <w:r>
        <w:rPr>
          <w:rFonts w:ascii="Times New Roman" w:eastAsia="Times New Roman" w:hAnsi="Times New Roman" w:cs="Times New Roman"/>
          <w:sz w:val="24"/>
          <w:szCs w:val="24"/>
          <w:highlight w:val="white"/>
        </w:rPr>
        <w:t xml:space="preserve"> 50, No 3. Madrid.</w:t>
      </w:r>
    </w:p>
    <w:p w:rsidR="0099295F" w:rsidRDefault="00052D02">
      <w:pPr>
        <w:pStyle w:val="normal0"/>
        <w:widowControl w:val="0"/>
        <w:numPr>
          <w:ilvl w:val="0"/>
          <w:numId w:val="5"/>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Carrasco, C.; </w:t>
      </w:r>
      <w:proofErr w:type="spellStart"/>
      <w:r>
        <w:rPr>
          <w:rFonts w:ascii="Times New Roman" w:eastAsia="Times New Roman" w:hAnsi="Times New Roman" w:cs="Times New Roman"/>
          <w:sz w:val="24"/>
          <w:szCs w:val="24"/>
          <w:highlight w:val="white"/>
        </w:rPr>
        <w:t>Borderías</w:t>
      </w:r>
      <w:proofErr w:type="spellEnd"/>
      <w:r>
        <w:rPr>
          <w:rFonts w:ascii="Times New Roman" w:eastAsia="Times New Roman" w:hAnsi="Times New Roman" w:cs="Times New Roman"/>
          <w:sz w:val="24"/>
          <w:szCs w:val="24"/>
          <w:highlight w:val="white"/>
        </w:rPr>
        <w:t xml:space="preserve">, C. y </w:t>
      </w:r>
      <w:proofErr w:type="spellStart"/>
      <w:r>
        <w:rPr>
          <w:rFonts w:ascii="Times New Roman" w:eastAsia="Times New Roman" w:hAnsi="Times New Roman" w:cs="Times New Roman"/>
          <w:sz w:val="24"/>
          <w:szCs w:val="24"/>
          <w:highlight w:val="white"/>
        </w:rPr>
        <w:t>Torns</w:t>
      </w:r>
      <w:proofErr w:type="spellEnd"/>
      <w:r>
        <w:rPr>
          <w:rFonts w:ascii="Times New Roman" w:eastAsia="Times New Roman" w:hAnsi="Times New Roman" w:cs="Times New Roman"/>
          <w:sz w:val="24"/>
          <w:szCs w:val="24"/>
          <w:highlight w:val="white"/>
        </w:rPr>
        <w:t>, T. (Ed.) (2011) El trabajo de cuidados. Historia, política y teoría. Ed. Los libros de la Catarata; colección economía crítica y ecologismo social. Madrid</w:t>
      </w:r>
    </w:p>
    <w:p w:rsidR="0099295F" w:rsidRPr="001F0D79" w:rsidRDefault="00052D02">
      <w:pPr>
        <w:pStyle w:val="normal0"/>
        <w:widowControl w:val="0"/>
        <w:numPr>
          <w:ilvl w:val="0"/>
          <w:numId w:val="6"/>
        </w:numPr>
        <w:spacing w:line="312" w:lineRule="auto"/>
        <w:ind w:hanging="360"/>
        <w:contextualSpacing/>
        <w:jc w:val="both"/>
        <w:rPr>
          <w:rFonts w:ascii="Times New Roman" w:eastAsia="Times New Roman" w:hAnsi="Times New Roman" w:cs="Times New Roman"/>
          <w:sz w:val="24"/>
          <w:szCs w:val="24"/>
          <w:highlight w:val="white"/>
          <w:lang w:val="pt-PT"/>
        </w:rPr>
      </w:pPr>
      <w:r w:rsidRPr="001F0D79">
        <w:rPr>
          <w:rFonts w:ascii="Times New Roman" w:eastAsia="Times New Roman" w:hAnsi="Times New Roman" w:cs="Times New Roman"/>
          <w:sz w:val="24"/>
          <w:szCs w:val="24"/>
          <w:highlight w:val="white"/>
          <w:lang w:val="pt-PT"/>
        </w:rPr>
        <w:t>Coelho, L. (2011) Mulheres e Desigualdades e</w:t>
      </w:r>
      <w:r w:rsidRPr="001F0D79">
        <w:rPr>
          <w:rFonts w:ascii="Times New Roman" w:eastAsia="Times New Roman" w:hAnsi="Times New Roman" w:cs="Times New Roman"/>
          <w:sz w:val="24"/>
          <w:szCs w:val="24"/>
          <w:highlight w:val="white"/>
          <w:lang w:val="pt-PT"/>
        </w:rPr>
        <w:t>m Portugal: conquistas, obstáculos, contradições e ameaças. Centro de Estudos Sociais, CES, Coimbra, Portugal. Comunicação apresentada no Seminário Igualdade de Género.</w:t>
      </w:r>
    </w:p>
    <w:p w:rsidR="0099295F" w:rsidRDefault="00052D02">
      <w:pPr>
        <w:pStyle w:val="normal0"/>
        <w:widowControl w:val="0"/>
        <w:numPr>
          <w:ilvl w:val="0"/>
          <w:numId w:val="1"/>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Dalla, M. (2006) De las lucha por la renta a la salvaguarda de la vida. En Transformaci</w:t>
      </w:r>
      <w:r>
        <w:rPr>
          <w:rFonts w:ascii="Times New Roman" w:eastAsia="Times New Roman" w:hAnsi="Times New Roman" w:cs="Times New Roman"/>
          <w:sz w:val="24"/>
          <w:szCs w:val="24"/>
          <w:highlight w:val="white"/>
        </w:rPr>
        <w:t xml:space="preserve">ones del trabajo desde una perspectiva feminista: producción, reproducción, deseo, consumo. Coordinan </w:t>
      </w:r>
      <w:proofErr w:type="spellStart"/>
      <w:r>
        <w:rPr>
          <w:rFonts w:ascii="Times New Roman" w:eastAsia="Times New Roman" w:hAnsi="Times New Roman" w:cs="Times New Roman"/>
          <w:sz w:val="24"/>
          <w:szCs w:val="24"/>
          <w:highlight w:val="white"/>
        </w:rPr>
        <w:t>Matxalen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Legarreta</w:t>
      </w:r>
      <w:proofErr w:type="spellEnd"/>
      <w:r>
        <w:rPr>
          <w:rFonts w:ascii="Times New Roman" w:eastAsia="Times New Roman" w:hAnsi="Times New Roman" w:cs="Times New Roman"/>
          <w:sz w:val="24"/>
          <w:szCs w:val="24"/>
          <w:highlight w:val="white"/>
        </w:rPr>
        <w:t xml:space="preserve"> Iza, Débora Ávila Cantos y Amaia Pérez Orozco, Ed. </w:t>
      </w:r>
      <w:proofErr w:type="spellStart"/>
      <w:r>
        <w:rPr>
          <w:rFonts w:ascii="Times New Roman" w:eastAsia="Times New Roman" w:hAnsi="Times New Roman" w:cs="Times New Roman"/>
          <w:sz w:val="24"/>
          <w:szCs w:val="24"/>
          <w:highlight w:val="white"/>
        </w:rPr>
        <w:t>Tierradenadie</w:t>
      </w:r>
      <w:proofErr w:type="spellEnd"/>
      <w:r>
        <w:rPr>
          <w:rFonts w:ascii="Times New Roman" w:eastAsia="Times New Roman" w:hAnsi="Times New Roman" w:cs="Times New Roman"/>
          <w:sz w:val="24"/>
          <w:szCs w:val="24"/>
          <w:highlight w:val="white"/>
        </w:rPr>
        <w:t>, España. pp. 59-78</w:t>
      </w:r>
    </w:p>
    <w:p w:rsidR="0099295F" w:rsidRDefault="00052D02">
      <w:pPr>
        <w:pStyle w:val="normal0"/>
        <w:widowControl w:val="0"/>
        <w:numPr>
          <w:ilvl w:val="0"/>
          <w:numId w:val="2"/>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en-US"/>
        </w:rPr>
        <w:t>Daly, Mary y Lewis, Jane (2000), The concept of soc</w:t>
      </w:r>
      <w:r w:rsidRPr="001F0D79">
        <w:rPr>
          <w:rFonts w:ascii="Times New Roman" w:eastAsia="Times New Roman" w:hAnsi="Times New Roman" w:cs="Times New Roman"/>
          <w:sz w:val="24"/>
          <w:szCs w:val="24"/>
          <w:highlight w:val="white"/>
          <w:lang w:val="en-US"/>
        </w:rPr>
        <w:t xml:space="preserve">ial care and the analysis of contemporary welfare states, </w:t>
      </w:r>
      <w:r w:rsidRPr="001F0D79">
        <w:rPr>
          <w:rFonts w:ascii="Times New Roman" w:eastAsia="Times New Roman" w:hAnsi="Times New Roman" w:cs="Times New Roman"/>
          <w:i/>
          <w:sz w:val="24"/>
          <w:szCs w:val="24"/>
          <w:highlight w:val="white"/>
          <w:lang w:val="en-US"/>
        </w:rPr>
        <w:t>British Journal of Sociology</w:t>
      </w:r>
      <w:r w:rsidRPr="001F0D79">
        <w:rPr>
          <w:rFonts w:ascii="Times New Roman" w:eastAsia="Times New Roman" w:hAnsi="Times New Roman" w:cs="Times New Roman"/>
          <w:sz w:val="24"/>
          <w:szCs w:val="24"/>
          <w:highlight w:val="white"/>
          <w:lang w:val="en-US"/>
        </w:rPr>
        <w:t xml:space="preserve"> 51/2, 281-298.Durán, M. A. (2002) La contabilidad del tiempo.  </w:t>
      </w:r>
      <w:r>
        <w:rPr>
          <w:rFonts w:ascii="Times New Roman" w:eastAsia="Times New Roman" w:hAnsi="Times New Roman" w:cs="Times New Roman"/>
          <w:i/>
          <w:sz w:val="24"/>
          <w:szCs w:val="24"/>
          <w:highlight w:val="white"/>
        </w:rPr>
        <w:t>Praxis Sociológica</w:t>
      </w:r>
      <w:r>
        <w:rPr>
          <w:rFonts w:ascii="Times New Roman" w:eastAsia="Times New Roman" w:hAnsi="Times New Roman" w:cs="Times New Roman"/>
          <w:sz w:val="24"/>
          <w:szCs w:val="24"/>
          <w:highlight w:val="white"/>
        </w:rPr>
        <w:t xml:space="preserve">, Nº 6, </w:t>
      </w:r>
      <w:proofErr w:type="spellStart"/>
      <w:r>
        <w:rPr>
          <w:rFonts w:ascii="Times New Roman" w:eastAsia="Times New Roman" w:hAnsi="Times New Roman" w:cs="Times New Roman"/>
          <w:sz w:val="24"/>
          <w:szCs w:val="24"/>
          <w:highlight w:val="white"/>
        </w:rPr>
        <w:t>pags</w:t>
      </w:r>
      <w:proofErr w:type="spellEnd"/>
      <w:r>
        <w:rPr>
          <w:rFonts w:ascii="Times New Roman" w:eastAsia="Times New Roman" w:hAnsi="Times New Roman" w:cs="Times New Roman"/>
          <w:sz w:val="24"/>
          <w:szCs w:val="24"/>
          <w:highlight w:val="white"/>
        </w:rPr>
        <w:t>. 41-62.</w:t>
      </w:r>
    </w:p>
    <w:p w:rsidR="0099295F" w:rsidRDefault="00052D02">
      <w:pPr>
        <w:pStyle w:val="normal0"/>
        <w:widowControl w:val="0"/>
        <w:numPr>
          <w:ilvl w:val="0"/>
          <w:numId w:val="2"/>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Durán, M. A. Dir. (2011): El trabajo del cuidado en América Latina </w:t>
      </w:r>
      <w:r>
        <w:rPr>
          <w:rFonts w:ascii="Times New Roman" w:eastAsia="Times New Roman" w:hAnsi="Times New Roman" w:cs="Times New Roman"/>
          <w:sz w:val="24"/>
          <w:szCs w:val="24"/>
          <w:highlight w:val="white"/>
        </w:rPr>
        <w:t>y España. Ed. Fundación Carolina, Documento de trabajo Nº 54.</w:t>
      </w:r>
    </w:p>
    <w:p w:rsidR="0099295F" w:rsidRDefault="00052D02">
      <w:pPr>
        <w:pStyle w:val="normal0"/>
        <w:widowControl w:val="0"/>
        <w:numPr>
          <w:ilvl w:val="0"/>
          <w:numId w:val="2"/>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Durán, M. A. (2016) El futuro del cuidado: El envejecimiento de la población y sus consecuencias.</w:t>
      </w:r>
      <w:r>
        <w:rPr>
          <w:rFonts w:ascii="Times New Roman" w:eastAsia="Times New Roman" w:hAnsi="Times New Roman" w:cs="Times New Roman"/>
          <w:color w:val="1155CC"/>
          <w:sz w:val="24"/>
          <w:szCs w:val="24"/>
          <w:highlight w:val="white"/>
          <w:u w:val="single"/>
        </w:rPr>
        <w:t xml:space="preserve"> </w:t>
      </w:r>
      <w:r>
        <w:rPr>
          <w:rFonts w:ascii="Times New Roman" w:eastAsia="Times New Roman" w:hAnsi="Times New Roman" w:cs="Times New Roman"/>
          <w:i/>
          <w:sz w:val="24"/>
          <w:szCs w:val="24"/>
          <w:highlight w:val="white"/>
        </w:rPr>
        <w:t>Revista de pensamiento contemporáneo</w:t>
      </w:r>
      <w:r>
        <w:rPr>
          <w:rFonts w:ascii="Times New Roman" w:eastAsia="Times New Roman" w:hAnsi="Times New Roman" w:cs="Times New Roman"/>
          <w:sz w:val="24"/>
          <w:szCs w:val="24"/>
          <w:highlight w:val="white"/>
        </w:rPr>
        <w:t>, Nº 50, págs. 114-127.</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Esquivel, V. (2012) “Cuidado, econom</w:t>
      </w:r>
      <w:r>
        <w:rPr>
          <w:rFonts w:ascii="Times New Roman" w:eastAsia="Times New Roman" w:hAnsi="Times New Roman" w:cs="Times New Roman"/>
          <w:sz w:val="24"/>
          <w:szCs w:val="24"/>
          <w:highlight w:val="white"/>
        </w:rPr>
        <w:t xml:space="preserve">ía y agendas políticas: una mirada conceptual sobre la “organización social del cuidado” en América Latina”, en Valeria Esquivel Ed.: </w:t>
      </w:r>
      <w:r>
        <w:rPr>
          <w:rFonts w:ascii="Times New Roman" w:eastAsia="Times New Roman" w:hAnsi="Times New Roman" w:cs="Times New Roman"/>
          <w:i/>
          <w:sz w:val="24"/>
          <w:szCs w:val="24"/>
          <w:highlight w:val="white"/>
        </w:rPr>
        <w:t xml:space="preserve">La economía feminista desde América Latina. Una hoja de ruta sobre los debates actuales en la región, </w:t>
      </w:r>
      <w:r>
        <w:rPr>
          <w:rFonts w:ascii="Times New Roman" w:eastAsia="Times New Roman" w:hAnsi="Times New Roman" w:cs="Times New Roman"/>
          <w:sz w:val="24"/>
          <w:szCs w:val="24"/>
          <w:highlight w:val="white"/>
        </w:rPr>
        <w:t>ONU Mujeres, 141-189</w:t>
      </w:r>
      <w:r>
        <w:rPr>
          <w:rFonts w:ascii="Times New Roman" w:eastAsia="Times New Roman" w:hAnsi="Times New Roman" w:cs="Times New Roman"/>
          <w:sz w:val="24"/>
          <w:szCs w:val="24"/>
          <w:highlight w:val="white"/>
        </w:rPr>
        <w:t xml:space="preserve">. </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Esquivel, V. (2015) El cuidado: de concepto analítico a agenda política. </w:t>
      </w:r>
      <w:r>
        <w:rPr>
          <w:rFonts w:ascii="Times New Roman" w:eastAsia="Times New Roman" w:hAnsi="Times New Roman" w:cs="Times New Roman"/>
          <w:i/>
          <w:sz w:val="24"/>
          <w:szCs w:val="24"/>
          <w:highlight w:val="white"/>
        </w:rPr>
        <w:t>Nueva Sociedad</w:t>
      </w:r>
      <w:r>
        <w:rPr>
          <w:rFonts w:ascii="Times New Roman" w:eastAsia="Times New Roman" w:hAnsi="Times New Roman" w:cs="Times New Roman"/>
          <w:sz w:val="24"/>
          <w:szCs w:val="24"/>
          <w:highlight w:val="white"/>
        </w:rPr>
        <w:t xml:space="preserve"> Nº 256, marzo-abril.</w:t>
      </w:r>
    </w:p>
    <w:p w:rsidR="0099295F" w:rsidRPr="001F0D79"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lang w:val="en-US"/>
        </w:rPr>
      </w:pPr>
      <w:r w:rsidRPr="001F0D79">
        <w:rPr>
          <w:rFonts w:ascii="Times New Roman" w:eastAsia="Times New Roman" w:hAnsi="Times New Roman" w:cs="Times New Roman"/>
          <w:sz w:val="24"/>
          <w:szCs w:val="24"/>
          <w:highlight w:val="white"/>
          <w:lang w:val="en-US"/>
        </w:rPr>
        <w:t xml:space="preserve">Faur, Eleonor (2011a), A Widening Gap? The Political and Social Organization of Childcare in Argentina, </w:t>
      </w:r>
      <w:r w:rsidRPr="001F0D79">
        <w:rPr>
          <w:rFonts w:ascii="Times New Roman" w:eastAsia="Times New Roman" w:hAnsi="Times New Roman" w:cs="Times New Roman"/>
          <w:i/>
          <w:sz w:val="24"/>
          <w:szCs w:val="24"/>
          <w:highlight w:val="white"/>
          <w:lang w:val="en-US"/>
        </w:rPr>
        <w:t>Development &amp; Change</w:t>
      </w:r>
      <w:r w:rsidRPr="001F0D79">
        <w:rPr>
          <w:rFonts w:ascii="Times New Roman" w:eastAsia="Times New Roman" w:hAnsi="Times New Roman" w:cs="Times New Roman"/>
          <w:sz w:val="24"/>
          <w:szCs w:val="24"/>
          <w:highlight w:val="white"/>
          <w:lang w:val="en-US"/>
        </w:rPr>
        <w:t>, 3/ 42.</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García, E. (2008): Políticas de Igualdad, Equidad y </w:t>
      </w:r>
      <w:proofErr w:type="spellStart"/>
      <w:r>
        <w:rPr>
          <w:rFonts w:ascii="Times New Roman" w:eastAsia="Times New Roman" w:hAnsi="Times New Roman" w:cs="Times New Roman"/>
          <w:sz w:val="24"/>
          <w:szCs w:val="24"/>
          <w:highlight w:val="white"/>
        </w:rPr>
        <w:t>Gender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Mainstreaming</w:t>
      </w:r>
      <w:proofErr w:type="spellEnd"/>
      <w:r>
        <w:rPr>
          <w:rFonts w:ascii="Times New Roman" w:eastAsia="Times New Roman" w:hAnsi="Times New Roman" w:cs="Times New Roman"/>
          <w:sz w:val="24"/>
          <w:szCs w:val="24"/>
          <w:highlight w:val="white"/>
        </w:rPr>
        <w:t xml:space="preserve"> ¿de qué estamos hablando?: marco conceptual. Para el Área de Género del Centro Regional del PNUD para América Latina y el Caribe.</w:t>
      </w:r>
      <w:r>
        <w:rPr>
          <w:rFonts w:ascii="Times New Roman" w:eastAsia="Times New Roman" w:hAnsi="Times New Roman" w:cs="Times New Roman"/>
          <w:sz w:val="24"/>
          <w:szCs w:val="24"/>
        </w:rPr>
        <w:t xml:space="preserve"> </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Guzmán León, </w:t>
      </w:r>
      <w:proofErr w:type="spellStart"/>
      <w:r>
        <w:rPr>
          <w:rFonts w:ascii="Times New Roman" w:eastAsia="Times New Roman" w:hAnsi="Times New Roman" w:cs="Times New Roman"/>
          <w:sz w:val="24"/>
          <w:szCs w:val="24"/>
        </w:rPr>
        <w:t>Juany</w:t>
      </w:r>
      <w:proofErr w:type="spellEnd"/>
      <w:r>
        <w:rPr>
          <w:rFonts w:ascii="Times New Roman" w:eastAsia="Times New Roman" w:hAnsi="Times New Roman" w:cs="Times New Roman"/>
          <w:sz w:val="24"/>
          <w:szCs w:val="24"/>
        </w:rPr>
        <w:t xml:space="preserve"> (Coord.) (2014) Red Nacional de C</w:t>
      </w:r>
      <w:r>
        <w:rPr>
          <w:rFonts w:ascii="Times New Roman" w:eastAsia="Times New Roman" w:hAnsi="Times New Roman" w:cs="Times New Roman"/>
          <w:sz w:val="24"/>
          <w:szCs w:val="24"/>
        </w:rPr>
        <w:t>uido y Desarrollo Infantil en Costa Rica. El proceso de construcción 2010-2014. Ed. CEPAL, Santiago de Chile.</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Huertas B., T.; Cabezas G., A.; </w:t>
      </w:r>
      <w:proofErr w:type="spellStart"/>
      <w:r>
        <w:rPr>
          <w:rFonts w:ascii="Times New Roman" w:eastAsia="Times New Roman" w:hAnsi="Times New Roman" w:cs="Times New Roman"/>
          <w:sz w:val="24"/>
          <w:szCs w:val="24"/>
          <w:highlight w:val="white"/>
        </w:rPr>
        <w:t>Torrents</w:t>
      </w:r>
      <w:proofErr w:type="spellEnd"/>
      <w:r>
        <w:rPr>
          <w:rFonts w:ascii="Times New Roman" w:eastAsia="Times New Roman" w:hAnsi="Times New Roman" w:cs="Times New Roman"/>
          <w:sz w:val="24"/>
          <w:szCs w:val="24"/>
          <w:highlight w:val="white"/>
        </w:rPr>
        <w:t xml:space="preserve"> M., J. y Fernández A., E.  (2016) La equidad de género en las legislaciones de Seguridad Social Iberoamericanas. Ed. Organización Iberoamericana de Seguridad Social. Madrid, España.</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Jiménez-Fontana, P. (2016) Retos </w:t>
      </w:r>
      <w:r>
        <w:rPr>
          <w:rFonts w:ascii="Times New Roman" w:eastAsia="Times New Roman" w:hAnsi="Times New Roman" w:cs="Times New Roman"/>
          <w:sz w:val="24"/>
          <w:szCs w:val="24"/>
          <w:highlight w:val="white"/>
        </w:rPr>
        <w:t xml:space="preserve">para materializar el dividendo de género. Perfiles de uso de tiempo en Costa Rica. </w:t>
      </w:r>
      <w:r>
        <w:rPr>
          <w:rFonts w:ascii="Times New Roman" w:eastAsia="Times New Roman" w:hAnsi="Times New Roman" w:cs="Times New Roman"/>
          <w:i/>
          <w:sz w:val="24"/>
          <w:szCs w:val="24"/>
          <w:highlight w:val="white"/>
        </w:rPr>
        <w:t>Revista Población y Salud en Mesoamérica</w:t>
      </w:r>
      <w:r>
        <w:rPr>
          <w:rFonts w:ascii="Times New Roman" w:eastAsia="Times New Roman" w:hAnsi="Times New Roman" w:cs="Times New Roman"/>
          <w:sz w:val="24"/>
          <w:szCs w:val="24"/>
          <w:highlight w:val="white"/>
        </w:rPr>
        <w:t>. Vol. 13, Nº 2, artículo 4, enero-junio.</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Junco, C.; Pérez Orozco, A.; del Río, S. (2004) Hacia un derecho universal de la ciudadanía</w:t>
      </w:r>
      <w:r>
        <w:rPr>
          <w:rFonts w:ascii="Times New Roman" w:eastAsia="Times New Roman" w:hAnsi="Times New Roman" w:cs="Times New Roman"/>
          <w:sz w:val="24"/>
          <w:szCs w:val="24"/>
          <w:highlight w:val="white"/>
        </w:rPr>
        <w:t xml:space="preserve"> (Si, de </w:t>
      </w:r>
      <w:proofErr w:type="spellStart"/>
      <w:r>
        <w:rPr>
          <w:rFonts w:ascii="Times New Roman" w:eastAsia="Times New Roman" w:hAnsi="Times New Roman" w:cs="Times New Roman"/>
          <w:sz w:val="24"/>
          <w:szCs w:val="24"/>
          <w:highlight w:val="white"/>
        </w:rPr>
        <w:t>cuidadanía</w:t>
      </w:r>
      <w:proofErr w:type="spellEnd"/>
      <w:r>
        <w:rPr>
          <w:rFonts w:ascii="Times New Roman" w:eastAsia="Times New Roman" w:hAnsi="Times New Roman" w:cs="Times New Roman"/>
          <w:sz w:val="24"/>
          <w:szCs w:val="24"/>
          <w:highlight w:val="white"/>
        </w:rPr>
        <w:t>). CGT, Comisión Confederal contra la Precariedad.</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León, M. (2008) Después del ‘desarrollo’: ‘el buen vivir’ y las perspectivas feministas para otro modelo en América Latina. </w:t>
      </w:r>
      <w:r>
        <w:rPr>
          <w:rFonts w:ascii="Times New Roman" w:eastAsia="Times New Roman" w:hAnsi="Times New Roman" w:cs="Times New Roman"/>
          <w:i/>
          <w:sz w:val="24"/>
          <w:szCs w:val="24"/>
          <w:highlight w:val="white"/>
        </w:rPr>
        <w:t>Revista Umbrales</w:t>
      </w:r>
      <w:r>
        <w:rPr>
          <w:rFonts w:ascii="Times New Roman" w:eastAsia="Times New Roman" w:hAnsi="Times New Roman" w:cs="Times New Roman"/>
          <w:sz w:val="24"/>
          <w:szCs w:val="24"/>
          <w:highlight w:val="white"/>
        </w:rPr>
        <w:t>, Nº 18, pp. 35-44.</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León, M. (2009) Cambiar la</w:t>
      </w:r>
      <w:r>
        <w:rPr>
          <w:rFonts w:ascii="Times New Roman" w:eastAsia="Times New Roman" w:hAnsi="Times New Roman" w:cs="Times New Roman"/>
          <w:sz w:val="24"/>
          <w:szCs w:val="24"/>
          <w:highlight w:val="white"/>
        </w:rPr>
        <w:t xml:space="preserve"> economía para cambiar la vida. Desafíos de una economía para la </w:t>
      </w:r>
      <w:proofErr w:type="spellStart"/>
      <w:r>
        <w:rPr>
          <w:rFonts w:ascii="Times New Roman" w:eastAsia="Times New Roman" w:hAnsi="Times New Roman" w:cs="Times New Roman"/>
          <w:sz w:val="24"/>
          <w:szCs w:val="24"/>
          <w:highlight w:val="white"/>
        </w:rPr>
        <w:t>vida.Publicado</w:t>
      </w:r>
      <w:proofErr w:type="spellEnd"/>
      <w:r>
        <w:rPr>
          <w:rFonts w:ascii="Times New Roman" w:eastAsia="Times New Roman" w:hAnsi="Times New Roman" w:cs="Times New Roman"/>
          <w:sz w:val="24"/>
          <w:szCs w:val="24"/>
          <w:highlight w:val="white"/>
        </w:rPr>
        <w:t xml:space="preserve"> en El buen vivir, Alberto Acosta y Esperanza Martínez (</w:t>
      </w:r>
      <w:proofErr w:type="spellStart"/>
      <w:r>
        <w:rPr>
          <w:rFonts w:ascii="Times New Roman" w:eastAsia="Times New Roman" w:hAnsi="Times New Roman" w:cs="Times New Roman"/>
          <w:sz w:val="24"/>
          <w:szCs w:val="24"/>
          <w:highlight w:val="white"/>
        </w:rPr>
        <w:t>comp</w:t>
      </w:r>
      <w:proofErr w:type="spellEnd"/>
      <w:r>
        <w:rPr>
          <w:rFonts w:ascii="Times New Roman" w:eastAsia="Times New Roman" w:hAnsi="Times New Roman" w:cs="Times New Roman"/>
          <w:sz w:val="24"/>
          <w:szCs w:val="24"/>
          <w:highlight w:val="white"/>
        </w:rPr>
        <w:t xml:space="preserve">.), Ed. </w:t>
      </w:r>
      <w:proofErr w:type="spellStart"/>
      <w:r>
        <w:rPr>
          <w:rFonts w:ascii="Times New Roman" w:eastAsia="Times New Roman" w:hAnsi="Times New Roman" w:cs="Times New Roman"/>
          <w:sz w:val="24"/>
          <w:szCs w:val="24"/>
          <w:highlight w:val="white"/>
        </w:rPr>
        <w:t>Abya-Yala</w:t>
      </w:r>
      <w:proofErr w:type="spellEnd"/>
      <w:r>
        <w:rPr>
          <w:rFonts w:ascii="Times New Roman" w:eastAsia="Times New Roman" w:hAnsi="Times New Roman" w:cs="Times New Roman"/>
          <w:sz w:val="24"/>
          <w:szCs w:val="24"/>
          <w:highlight w:val="white"/>
        </w:rPr>
        <w:t>. Quito.</w:t>
      </w:r>
    </w:p>
    <w:p w:rsidR="0099295F" w:rsidRPr="001F0D79"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lang w:val="pt-PT"/>
        </w:rPr>
      </w:pPr>
      <w:r w:rsidRPr="001F0D79">
        <w:rPr>
          <w:rFonts w:ascii="Times New Roman" w:eastAsia="Times New Roman" w:hAnsi="Times New Roman" w:cs="Times New Roman"/>
          <w:sz w:val="24"/>
          <w:szCs w:val="24"/>
          <w:highlight w:val="white"/>
          <w:lang w:val="pt-PT"/>
        </w:rPr>
        <w:t>Lopes B., M. (2014) Política de saúde e de cuidados continuados integrados em Portugal. O p</w:t>
      </w:r>
      <w:r w:rsidRPr="001F0D79">
        <w:rPr>
          <w:rFonts w:ascii="Times New Roman" w:eastAsia="Times New Roman" w:hAnsi="Times New Roman" w:cs="Times New Roman"/>
          <w:sz w:val="24"/>
          <w:szCs w:val="24"/>
          <w:highlight w:val="white"/>
          <w:lang w:val="pt-PT"/>
        </w:rPr>
        <w:t xml:space="preserve">laneamento da alta em Serviço Social. </w:t>
      </w:r>
      <w:r w:rsidRPr="001F0D79">
        <w:rPr>
          <w:rFonts w:ascii="Times New Roman" w:eastAsia="Times New Roman" w:hAnsi="Times New Roman" w:cs="Times New Roman"/>
          <w:i/>
          <w:sz w:val="24"/>
          <w:szCs w:val="24"/>
          <w:highlight w:val="white"/>
          <w:lang w:val="pt-PT"/>
        </w:rPr>
        <w:t>Revista Katál</w:t>
      </w:r>
      <w:r w:rsidRPr="001F0D79">
        <w:rPr>
          <w:rFonts w:ascii="Times New Roman" w:eastAsia="Times New Roman" w:hAnsi="Times New Roman" w:cs="Times New Roman"/>
          <w:sz w:val="24"/>
          <w:szCs w:val="24"/>
          <w:highlight w:val="white"/>
          <w:lang w:val="pt-PT"/>
        </w:rPr>
        <w:t>, Florianópolis, vol. 17, nº 2, p. 261-271, jul./dez.</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pt-PT"/>
        </w:rPr>
        <w:t>Lopes da Costa, J. y Mourão, V. (2015) A perspectiva do risco na Rede Nacional de Cuidados Continuados Integrados (RNCCI) em Portugal: uma refexão de p</w:t>
      </w:r>
      <w:r w:rsidRPr="001F0D79">
        <w:rPr>
          <w:rFonts w:ascii="Times New Roman" w:eastAsia="Times New Roman" w:hAnsi="Times New Roman" w:cs="Times New Roman"/>
          <w:sz w:val="24"/>
          <w:szCs w:val="24"/>
          <w:highlight w:val="white"/>
          <w:lang w:val="pt-PT"/>
        </w:rPr>
        <w:t xml:space="preserve">eritos e decisores em saúde. </w:t>
      </w:r>
      <w:proofErr w:type="spellStart"/>
      <w:r>
        <w:rPr>
          <w:rFonts w:ascii="Times New Roman" w:eastAsia="Times New Roman" w:hAnsi="Times New Roman" w:cs="Times New Roman"/>
          <w:i/>
          <w:sz w:val="24"/>
          <w:szCs w:val="24"/>
          <w:highlight w:val="white"/>
        </w:rPr>
        <w:t>Saúde</w:t>
      </w:r>
      <w:proofErr w:type="spellEnd"/>
      <w:r>
        <w:rPr>
          <w:rFonts w:ascii="Times New Roman" w:eastAsia="Times New Roman" w:hAnsi="Times New Roman" w:cs="Times New Roman"/>
          <w:i/>
          <w:sz w:val="24"/>
          <w:szCs w:val="24"/>
          <w:highlight w:val="white"/>
        </w:rPr>
        <w:t xml:space="preserve"> Soc</w:t>
      </w:r>
      <w:r>
        <w:rPr>
          <w:rFonts w:ascii="Times New Roman" w:eastAsia="Times New Roman" w:hAnsi="Times New Roman" w:cs="Times New Roman"/>
          <w:sz w:val="24"/>
          <w:szCs w:val="24"/>
          <w:highlight w:val="white"/>
        </w:rPr>
        <w:t>. São Paulo, vol. 24, nº 2, pp. 501-514.</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Martínez, J. (2008) Seguridad Social y equidad de género en Costa Rica. FLACSO. Costa Rica.</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Miranda, Mª. J. (2006) El paso de la sociedad fábrica a la Metrópoli. En Transformaci</w:t>
      </w:r>
      <w:r>
        <w:rPr>
          <w:rFonts w:ascii="Times New Roman" w:eastAsia="Times New Roman" w:hAnsi="Times New Roman" w:cs="Times New Roman"/>
          <w:sz w:val="24"/>
          <w:szCs w:val="24"/>
          <w:highlight w:val="white"/>
        </w:rPr>
        <w:t xml:space="preserve">ones del trabajo desde una perspectiva feminista: producción, reproducción, deseo, consumo. Coordinan </w:t>
      </w:r>
      <w:proofErr w:type="spellStart"/>
      <w:r>
        <w:rPr>
          <w:rFonts w:ascii="Times New Roman" w:eastAsia="Times New Roman" w:hAnsi="Times New Roman" w:cs="Times New Roman"/>
          <w:sz w:val="24"/>
          <w:szCs w:val="24"/>
          <w:highlight w:val="white"/>
        </w:rPr>
        <w:t>Matxalen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Legarreta</w:t>
      </w:r>
      <w:proofErr w:type="spellEnd"/>
      <w:r>
        <w:rPr>
          <w:rFonts w:ascii="Times New Roman" w:eastAsia="Times New Roman" w:hAnsi="Times New Roman" w:cs="Times New Roman"/>
          <w:sz w:val="24"/>
          <w:szCs w:val="24"/>
          <w:highlight w:val="white"/>
        </w:rPr>
        <w:t xml:space="preserve"> Iza, Débora </w:t>
      </w:r>
      <w:proofErr w:type="spellStart"/>
      <w:r>
        <w:rPr>
          <w:rFonts w:ascii="Times New Roman" w:eastAsia="Times New Roman" w:hAnsi="Times New Roman" w:cs="Times New Roman"/>
          <w:sz w:val="24"/>
          <w:szCs w:val="24"/>
          <w:highlight w:val="white"/>
        </w:rPr>
        <w:t>Avila</w:t>
      </w:r>
      <w:proofErr w:type="spellEnd"/>
      <w:r>
        <w:rPr>
          <w:rFonts w:ascii="Times New Roman" w:eastAsia="Times New Roman" w:hAnsi="Times New Roman" w:cs="Times New Roman"/>
          <w:sz w:val="24"/>
          <w:szCs w:val="24"/>
          <w:highlight w:val="white"/>
        </w:rPr>
        <w:t xml:space="preserve"> Cantos y Amaia Pérez Orozco. Ed. </w:t>
      </w:r>
      <w:proofErr w:type="spellStart"/>
      <w:r>
        <w:rPr>
          <w:rFonts w:ascii="Times New Roman" w:eastAsia="Times New Roman" w:hAnsi="Times New Roman" w:cs="Times New Roman"/>
          <w:sz w:val="24"/>
          <w:szCs w:val="24"/>
          <w:highlight w:val="white"/>
        </w:rPr>
        <w:t>Tierradenadie</w:t>
      </w:r>
      <w:proofErr w:type="spellEnd"/>
      <w:r>
        <w:rPr>
          <w:rFonts w:ascii="Times New Roman" w:eastAsia="Times New Roman" w:hAnsi="Times New Roman" w:cs="Times New Roman"/>
          <w:sz w:val="24"/>
          <w:szCs w:val="24"/>
          <w:highlight w:val="white"/>
        </w:rPr>
        <w:t>, España. pp. 47-58.</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Orozco, A. P. (2006) Amenaza tormenta: la crisis d</w:t>
      </w:r>
      <w:r>
        <w:rPr>
          <w:rFonts w:ascii="Times New Roman" w:eastAsia="Times New Roman" w:hAnsi="Times New Roman" w:cs="Times New Roman"/>
          <w:sz w:val="24"/>
          <w:szCs w:val="24"/>
          <w:highlight w:val="white"/>
        </w:rPr>
        <w:t xml:space="preserve">e los cuidados y la reorganización del sistema económico. </w:t>
      </w:r>
      <w:r>
        <w:rPr>
          <w:rFonts w:ascii="Times New Roman" w:eastAsia="Times New Roman" w:hAnsi="Times New Roman" w:cs="Times New Roman"/>
          <w:i/>
          <w:sz w:val="24"/>
          <w:szCs w:val="24"/>
          <w:highlight w:val="white"/>
        </w:rPr>
        <w:t>Revista de Economía Crítica</w:t>
      </w:r>
      <w:r>
        <w:rPr>
          <w:rFonts w:ascii="Times New Roman" w:eastAsia="Times New Roman" w:hAnsi="Times New Roman" w:cs="Times New Roman"/>
          <w:sz w:val="24"/>
          <w:szCs w:val="24"/>
          <w:highlight w:val="white"/>
        </w:rPr>
        <w:t>, nº 5. Marzo, pp. 7-37.</w:t>
      </w:r>
    </w:p>
    <w:p w:rsidR="0099295F" w:rsidRDefault="00052D02">
      <w:pPr>
        <w:pStyle w:val="normal0"/>
        <w:widowControl w:val="0"/>
        <w:numPr>
          <w:ilvl w:val="0"/>
          <w:numId w:val="7"/>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Orozco, A. P. y Gil, S. l. (2011) Desigualdades a flor de piel: cadenas globales de cuidados. Concreciones en el empleo de hogar y articulaciones </w:t>
      </w:r>
      <w:r>
        <w:rPr>
          <w:rFonts w:ascii="Times New Roman" w:eastAsia="Times New Roman" w:hAnsi="Times New Roman" w:cs="Times New Roman"/>
          <w:sz w:val="24"/>
          <w:szCs w:val="24"/>
          <w:highlight w:val="white"/>
        </w:rPr>
        <w:t>políticas. Ed. ONU Mujeres, Madrid.</w:t>
      </w:r>
    </w:p>
    <w:p w:rsidR="0099295F" w:rsidRDefault="00052D02">
      <w:pPr>
        <w:pStyle w:val="normal0"/>
        <w:widowControl w:val="0"/>
        <w:numPr>
          <w:ilvl w:val="0"/>
          <w:numId w:val="3"/>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pt-PT"/>
        </w:rPr>
        <w:t xml:space="preserve">Pereira, Maria Cristina dos Santos (2014) Mulheres, trabalho e cuidado: a construção da igualdade na intersecção dos mundos privado e público na UE. </w:t>
      </w:r>
      <w:r>
        <w:rPr>
          <w:rFonts w:ascii="Times New Roman" w:eastAsia="Times New Roman" w:hAnsi="Times New Roman" w:cs="Times New Roman"/>
          <w:sz w:val="24"/>
          <w:szCs w:val="24"/>
          <w:highlight w:val="white"/>
        </w:rPr>
        <w:t xml:space="preserve">Tese de </w:t>
      </w:r>
      <w:proofErr w:type="spellStart"/>
      <w:r>
        <w:rPr>
          <w:rFonts w:ascii="Times New Roman" w:eastAsia="Times New Roman" w:hAnsi="Times New Roman" w:cs="Times New Roman"/>
          <w:sz w:val="24"/>
          <w:szCs w:val="24"/>
          <w:highlight w:val="white"/>
        </w:rPr>
        <w:t>doutoramento</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Coimbra</w:t>
      </w:r>
      <w:proofErr w:type="spellEnd"/>
      <w:r>
        <w:rPr>
          <w:rFonts w:ascii="Times New Roman" w:eastAsia="Times New Roman" w:hAnsi="Times New Roman" w:cs="Times New Roman"/>
          <w:sz w:val="24"/>
          <w:szCs w:val="24"/>
          <w:highlight w:val="white"/>
        </w:rPr>
        <w:t>, Portugal.</w:t>
      </w:r>
    </w:p>
    <w:p w:rsidR="0099295F" w:rsidRDefault="00052D02">
      <w:pPr>
        <w:pStyle w:val="normal0"/>
        <w:widowControl w:val="0"/>
        <w:numPr>
          <w:ilvl w:val="0"/>
          <w:numId w:val="9"/>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en-US"/>
        </w:rPr>
        <w:t xml:space="preserve">Pfau-Effinger, B. (2014) </w:t>
      </w:r>
      <w:proofErr w:type="gramStart"/>
      <w:r w:rsidRPr="001F0D79">
        <w:rPr>
          <w:rFonts w:ascii="Times New Roman" w:eastAsia="Times New Roman" w:hAnsi="Times New Roman" w:cs="Times New Roman"/>
          <w:sz w:val="24"/>
          <w:szCs w:val="24"/>
          <w:highlight w:val="white"/>
          <w:lang w:val="en-US"/>
        </w:rPr>
        <w:t>New</w:t>
      </w:r>
      <w:proofErr w:type="gramEnd"/>
      <w:r w:rsidRPr="001F0D79">
        <w:rPr>
          <w:rFonts w:ascii="Times New Roman" w:eastAsia="Times New Roman" w:hAnsi="Times New Roman" w:cs="Times New Roman"/>
          <w:sz w:val="24"/>
          <w:szCs w:val="24"/>
          <w:highlight w:val="white"/>
          <w:lang w:val="en-US"/>
        </w:rPr>
        <w:t xml:space="preserve"> p</w:t>
      </w:r>
      <w:r w:rsidRPr="001F0D79">
        <w:rPr>
          <w:rFonts w:ascii="Times New Roman" w:eastAsia="Times New Roman" w:hAnsi="Times New Roman" w:cs="Times New Roman"/>
          <w:sz w:val="24"/>
          <w:szCs w:val="24"/>
          <w:highlight w:val="white"/>
          <w:lang w:val="en-US"/>
        </w:rPr>
        <w:t xml:space="preserve">olicies for caring family members in European welfare states. </w:t>
      </w:r>
      <w:r>
        <w:rPr>
          <w:rFonts w:ascii="Times New Roman" w:eastAsia="Times New Roman" w:hAnsi="Times New Roman" w:cs="Times New Roman"/>
          <w:i/>
          <w:sz w:val="24"/>
          <w:szCs w:val="24"/>
          <w:highlight w:val="white"/>
        </w:rPr>
        <w:t>Cuadernos de Relaciones Laborales</w:t>
      </w:r>
      <w:r>
        <w:rPr>
          <w:rFonts w:ascii="Times New Roman" w:eastAsia="Times New Roman" w:hAnsi="Times New Roman" w:cs="Times New Roman"/>
          <w:sz w:val="24"/>
          <w:szCs w:val="24"/>
          <w:highlight w:val="white"/>
        </w:rPr>
        <w:t>, Vol. 32, núm.1, pp. 33-48.</w:t>
      </w:r>
    </w:p>
    <w:p w:rsidR="0099295F" w:rsidRDefault="00052D02">
      <w:pPr>
        <w:pStyle w:val="normal0"/>
        <w:widowControl w:val="0"/>
        <w:numPr>
          <w:ilvl w:val="0"/>
          <w:numId w:val="9"/>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Quiroga, N. (2011) Economía del cuidado. Reflexiones para un feminismo </w:t>
      </w:r>
      <w:proofErr w:type="spellStart"/>
      <w:r>
        <w:rPr>
          <w:rFonts w:ascii="Times New Roman" w:eastAsia="Times New Roman" w:hAnsi="Times New Roman" w:cs="Times New Roman"/>
          <w:sz w:val="24"/>
          <w:szCs w:val="24"/>
          <w:highlight w:val="white"/>
        </w:rPr>
        <w:t>decolonial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Revista Casa de la Mujer</w:t>
      </w:r>
      <w:r>
        <w:rPr>
          <w:rFonts w:ascii="Times New Roman" w:eastAsia="Times New Roman" w:hAnsi="Times New Roman" w:cs="Times New Roman"/>
          <w:sz w:val="24"/>
          <w:szCs w:val="24"/>
          <w:highlight w:val="white"/>
        </w:rPr>
        <w:t>, N°20 (2), pp. 97-116, j</w:t>
      </w:r>
      <w:r>
        <w:rPr>
          <w:rFonts w:ascii="Times New Roman" w:eastAsia="Times New Roman" w:hAnsi="Times New Roman" w:cs="Times New Roman"/>
          <w:sz w:val="24"/>
          <w:szCs w:val="24"/>
          <w:highlight w:val="white"/>
        </w:rPr>
        <w:t>ulio-diciembre.</w:t>
      </w:r>
    </w:p>
    <w:p w:rsidR="0099295F" w:rsidRPr="001F0D79" w:rsidRDefault="00052D02">
      <w:pPr>
        <w:pStyle w:val="normal0"/>
        <w:widowControl w:val="0"/>
        <w:numPr>
          <w:ilvl w:val="0"/>
          <w:numId w:val="9"/>
        </w:numPr>
        <w:spacing w:line="312" w:lineRule="auto"/>
        <w:ind w:hanging="360"/>
        <w:contextualSpacing/>
        <w:jc w:val="both"/>
        <w:rPr>
          <w:rFonts w:ascii="Times New Roman" w:eastAsia="Times New Roman" w:hAnsi="Times New Roman" w:cs="Times New Roman"/>
          <w:sz w:val="24"/>
          <w:szCs w:val="24"/>
          <w:highlight w:val="white"/>
          <w:lang w:val="en-US"/>
        </w:rPr>
      </w:pPr>
      <w:r w:rsidRPr="001F0D79">
        <w:rPr>
          <w:rFonts w:ascii="Times New Roman" w:eastAsia="Times New Roman" w:hAnsi="Times New Roman" w:cs="Times New Roman"/>
          <w:sz w:val="24"/>
          <w:szCs w:val="24"/>
          <w:highlight w:val="white"/>
          <w:lang w:val="en-US"/>
        </w:rPr>
        <w:t xml:space="preserve">Rai, S. M. and Waylen, G. (Eds.) </w:t>
      </w:r>
      <w:r>
        <w:rPr>
          <w:rFonts w:ascii="Times New Roman" w:eastAsia="Times New Roman" w:hAnsi="Times New Roman" w:cs="Times New Roman"/>
          <w:sz w:val="24"/>
          <w:szCs w:val="24"/>
          <w:highlight w:val="white"/>
        </w:rPr>
        <w:t xml:space="preserve">(2008) Global </w:t>
      </w:r>
      <w:proofErr w:type="spellStart"/>
      <w:r>
        <w:rPr>
          <w:rFonts w:ascii="Times New Roman" w:eastAsia="Times New Roman" w:hAnsi="Times New Roman" w:cs="Times New Roman"/>
          <w:sz w:val="24"/>
          <w:szCs w:val="24"/>
          <w:highlight w:val="white"/>
        </w:rPr>
        <w:t>Gobernance</w:t>
      </w:r>
      <w:proofErr w:type="spellEnd"/>
      <w:r>
        <w:rPr>
          <w:rFonts w:ascii="Times New Roman" w:eastAsia="Times New Roman" w:hAnsi="Times New Roman" w:cs="Times New Roman"/>
          <w:sz w:val="24"/>
          <w:szCs w:val="24"/>
          <w:highlight w:val="white"/>
        </w:rPr>
        <w:t xml:space="preserve">. </w:t>
      </w:r>
      <w:r w:rsidRPr="001F0D79">
        <w:rPr>
          <w:rFonts w:ascii="Times New Roman" w:eastAsia="Times New Roman" w:hAnsi="Times New Roman" w:cs="Times New Roman"/>
          <w:sz w:val="24"/>
          <w:szCs w:val="24"/>
          <w:highlight w:val="white"/>
          <w:lang w:val="en-US"/>
        </w:rPr>
        <w:t>Feminist Perspective. Editorial Palgrave Macmillan, New York.</w:t>
      </w:r>
    </w:p>
    <w:p w:rsidR="0099295F" w:rsidRDefault="00052D02">
      <w:pPr>
        <w:pStyle w:val="normal0"/>
        <w:widowControl w:val="0"/>
        <w:numPr>
          <w:ilvl w:val="0"/>
          <w:numId w:val="8"/>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Valcárcel, A. (1991) Sexo y filosofía. Sobre "mujer" y "poder". Ed. </w:t>
      </w:r>
      <w:proofErr w:type="spellStart"/>
      <w:r>
        <w:rPr>
          <w:rFonts w:ascii="Times New Roman" w:eastAsia="Times New Roman" w:hAnsi="Times New Roman" w:cs="Times New Roman"/>
          <w:sz w:val="24"/>
          <w:szCs w:val="24"/>
          <w:highlight w:val="white"/>
        </w:rPr>
        <w:t>Anthropos</w:t>
      </w:r>
      <w:proofErr w:type="spellEnd"/>
      <w:r>
        <w:rPr>
          <w:rFonts w:ascii="Times New Roman" w:eastAsia="Times New Roman" w:hAnsi="Times New Roman" w:cs="Times New Roman"/>
          <w:sz w:val="24"/>
          <w:szCs w:val="24"/>
          <w:highlight w:val="white"/>
        </w:rPr>
        <w:t>. Santafé de Bogotá, Colombia.</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Vega, C. y Gutiérrez, E. (2014) Nuevas aproximaciones a la organización  social del cuidado. Debates latinoamericanos Presentación del Dossier.</w:t>
      </w:r>
      <w:r>
        <w:rPr>
          <w:rFonts w:ascii="Times New Roman" w:eastAsia="Times New Roman" w:hAnsi="Times New Roman" w:cs="Times New Roman"/>
          <w:i/>
          <w:sz w:val="24"/>
          <w:szCs w:val="24"/>
          <w:highlight w:val="white"/>
        </w:rPr>
        <w:t xml:space="preserve"> Íconos. Revista de Ciencias Sociales</w:t>
      </w:r>
      <w:r>
        <w:rPr>
          <w:rFonts w:ascii="Times New Roman" w:eastAsia="Times New Roman" w:hAnsi="Times New Roman" w:cs="Times New Roman"/>
          <w:sz w:val="24"/>
          <w:szCs w:val="24"/>
          <w:highlight w:val="white"/>
        </w:rPr>
        <w:t>. Nº 50, Quito, septiembre 2014, pp. 9-26. Facultad Latinoamericana de Cienc</w:t>
      </w:r>
      <w:r>
        <w:rPr>
          <w:rFonts w:ascii="Times New Roman" w:eastAsia="Times New Roman" w:hAnsi="Times New Roman" w:cs="Times New Roman"/>
          <w:sz w:val="24"/>
          <w:szCs w:val="24"/>
          <w:highlight w:val="white"/>
        </w:rPr>
        <w:t>ias Sociales-Sede Académica de Ecuador.</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Vera, W.; Montes, C. y de la Barra, C. (2016) Los cuidados en infancia: Regímenes y arreglos familiares en Chile y Uruguay. Revista </w:t>
      </w:r>
      <w:proofErr w:type="spellStart"/>
      <w:r>
        <w:rPr>
          <w:rFonts w:ascii="Times New Roman" w:eastAsia="Times New Roman" w:hAnsi="Times New Roman" w:cs="Times New Roman"/>
          <w:sz w:val="24"/>
          <w:szCs w:val="24"/>
          <w:highlight w:val="white"/>
        </w:rPr>
        <w:t>Psicoperspectivas</w:t>
      </w:r>
      <w:proofErr w:type="spellEnd"/>
      <w:r>
        <w:rPr>
          <w:rFonts w:ascii="Times New Roman" w:eastAsia="Times New Roman" w:hAnsi="Times New Roman" w:cs="Times New Roman"/>
          <w:sz w:val="24"/>
          <w:szCs w:val="24"/>
          <w:highlight w:val="white"/>
        </w:rPr>
        <w:t>. Individuo y sociedad. Vol. 15, Nº 3, p. 34-45.</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en-US"/>
        </w:rPr>
        <w:t>Waylen, G.; Celis,</w:t>
      </w:r>
      <w:r w:rsidRPr="001F0D79">
        <w:rPr>
          <w:rFonts w:ascii="Times New Roman" w:eastAsia="Times New Roman" w:hAnsi="Times New Roman" w:cs="Times New Roman"/>
          <w:sz w:val="24"/>
          <w:szCs w:val="24"/>
          <w:highlight w:val="white"/>
          <w:lang w:val="en-US"/>
        </w:rPr>
        <w:t xml:space="preserve"> K.; Kantola, J. and Weldon, S. L. (Eds.) </w:t>
      </w:r>
      <w:r>
        <w:rPr>
          <w:rFonts w:ascii="Times New Roman" w:eastAsia="Times New Roman" w:hAnsi="Times New Roman" w:cs="Times New Roman"/>
          <w:sz w:val="24"/>
          <w:szCs w:val="24"/>
          <w:highlight w:val="white"/>
        </w:rPr>
        <w:t xml:space="preserve">(2013) </w:t>
      </w:r>
      <w:proofErr w:type="spellStart"/>
      <w:r>
        <w:rPr>
          <w:rFonts w:ascii="Times New Roman" w:eastAsia="Times New Roman" w:hAnsi="Times New Roman" w:cs="Times New Roman"/>
          <w:sz w:val="24"/>
          <w:szCs w:val="24"/>
          <w:highlight w:val="white"/>
        </w:rPr>
        <w:t>The</w:t>
      </w:r>
      <w:proofErr w:type="spellEnd"/>
      <w:r>
        <w:rPr>
          <w:rFonts w:ascii="Times New Roman" w:eastAsia="Times New Roman" w:hAnsi="Times New Roman" w:cs="Times New Roman"/>
          <w:sz w:val="24"/>
          <w:szCs w:val="24"/>
          <w:highlight w:val="white"/>
        </w:rPr>
        <w:t xml:space="preserve"> Oxford </w:t>
      </w:r>
      <w:proofErr w:type="spellStart"/>
      <w:r>
        <w:rPr>
          <w:rFonts w:ascii="Times New Roman" w:eastAsia="Times New Roman" w:hAnsi="Times New Roman" w:cs="Times New Roman"/>
          <w:sz w:val="24"/>
          <w:szCs w:val="24"/>
          <w:highlight w:val="white"/>
        </w:rPr>
        <w:t>Handbook</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gender</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politics</w:t>
      </w:r>
      <w:proofErr w:type="spellEnd"/>
      <w:r>
        <w:rPr>
          <w:rFonts w:ascii="Times New Roman" w:eastAsia="Times New Roman" w:hAnsi="Times New Roman" w:cs="Times New Roman"/>
          <w:sz w:val="24"/>
          <w:szCs w:val="24"/>
          <w:highlight w:val="white"/>
        </w:rPr>
        <w:t xml:space="preserve">. Ed. Oxford </w:t>
      </w:r>
      <w:proofErr w:type="spellStart"/>
      <w:r>
        <w:rPr>
          <w:rFonts w:ascii="Times New Roman" w:eastAsia="Times New Roman" w:hAnsi="Times New Roman" w:cs="Times New Roman"/>
          <w:sz w:val="24"/>
          <w:szCs w:val="24"/>
          <w:highlight w:val="white"/>
        </w:rPr>
        <w:t>University</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Press</w:t>
      </w:r>
      <w:proofErr w:type="spellEnd"/>
      <w:r>
        <w:rPr>
          <w:rFonts w:ascii="Times New Roman" w:eastAsia="Times New Roman" w:hAnsi="Times New Roman" w:cs="Times New Roman"/>
          <w:sz w:val="24"/>
          <w:szCs w:val="24"/>
          <w:highlight w:val="white"/>
        </w:rPr>
        <w:t>, New York.</w:t>
      </w:r>
    </w:p>
    <w:p w:rsidR="0099295F" w:rsidRDefault="00052D02">
      <w:pPr>
        <w:pStyle w:val="normal0"/>
        <w:widowControl w:val="0"/>
        <w:numPr>
          <w:ilvl w:val="0"/>
          <w:numId w:val="5"/>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pt-PT"/>
        </w:rPr>
        <w:t>(2013) CCI – Cuidados Continuados Integrados - Saúde e Apoio Social. Implementação e Monitorização da Rede Nacional de Cuida</w:t>
      </w:r>
      <w:r w:rsidRPr="001F0D79">
        <w:rPr>
          <w:rFonts w:ascii="Times New Roman" w:eastAsia="Times New Roman" w:hAnsi="Times New Roman" w:cs="Times New Roman"/>
          <w:sz w:val="24"/>
          <w:szCs w:val="24"/>
          <w:highlight w:val="white"/>
          <w:lang w:val="pt-PT"/>
        </w:rPr>
        <w:t xml:space="preserve">dos Continuados Integrados (RNCCI). </w:t>
      </w:r>
      <w:proofErr w:type="spellStart"/>
      <w:r>
        <w:rPr>
          <w:rFonts w:ascii="Times New Roman" w:eastAsia="Times New Roman" w:hAnsi="Times New Roman" w:cs="Times New Roman"/>
          <w:sz w:val="24"/>
          <w:szCs w:val="24"/>
          <w:highlight w:val="white"/>
        </w:rPr>
        <w:t>Relatório</w:t>
      </w:r>
      <w:proofErr w:type="spellEnd"/>
      <w:r>
        <w:rPr>
          <w:rFonts w:ascii="Times New Roman" w:eastAsia="Times New Roman" w:hAnsi="Times New Roman" w:cs="Times New Roman"/>
          <w:sz w:val="24"/>
          <w:szCs w:val="24"/>
          <w:highlight w:val="white"/>
        </w:rPr>
        <w:t xml:space="preserve"> Final. </w:t>
      </w:r>
      <w:proofErr w:type="spellStart"/>
      <w:r>
        <w:rPr>
          <w:rFonts w:ascii="Times New Roman" w:eastAsia="Times New Roman" w:hAnsi="Times New Roman" w:cs="Times New Roman"/>
          <w:sz w:val="24"/>
          <w:szCs w:val="24"/>
          <w:highlight w:val="white"/>
        </w:rPr>
        <w:t>Março</w:t>
      </w:r>
      <w:proofErr w:type="spellEnd"/>
      <w:r>
        <w:rPr>
          <w:rFonts w:ascii="Times New Roman" w:eastAsia="Times New Roman" w:hAnsi="Times New Roman" w:cs="Times New Roman"/>
          <w:sz w:val="24"/>
          <w:szCs w:val="24"/>
          <w:highlight w:val="white"/>
        </w:rPr>
        <w:t xml:space="preserve"> de 2013.</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pt-PT"/>
        </w:rPr>
        <w:t xml:space="preserve">(2015) Cuidados continuados. Saúde e Apoio Social. Plano de desenvolvimento da RNCCI. </w:t>
      </w:r>
      <w:r>
        <w:rPr>
          <w:rFonts w:ascii="Times New Roman" w:eastAsia="Times New Roman" w:hAnsi="Times New Roman" w:cs="Times New Roman"/>
          <w:sz w:val="24"/>
          <w:szCs w:val="24"/>
          <w:highlight w:val="white"/>
        </w:rPr>
        <w:t xml:space="preserve">2016-2019. </w:t>
      </w:r>
      <w:proofErr w:type="spellStart"/>
      <w:r>
        <w:rPr>
          <w:rFonts w:ascii="Times New Roman" w:eastAsia="Times New Roman" w:hAnsi="Times New Roman" w:cs="Times New Roman"/>
          <w:sz w:val="24"/>
          <w:szCs w:val="24"/>
          <w:highlight w:val="white"/>
        </w:rPr>
        <w:t>Ministério</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Trabalho</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solidariedade</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segurança</w:t>
      </w:r>
      <w:proofErr w:type="spellEnd"/>
      <w:r>
        <w:rPr>
          <w:rFonts w:ascii="Times New Roman" w:eastAsia="Times New Roman" w:hAnsi="Times New Roman" w:cs="Times New Roman"/>
          <w:sz w:val="24"/>
          <w:szCs w:val="24"/>
          <w:highlight w:val="white"/>
        </w:rPr>
        <w:t xml:space="preserve"> social e </w:t>
      </w:r>
      <w:proofErr w:type="spellStart"/>
      <w:r>
        <w:rPr>
          <w:rFonts w:ascii="Times New Roman" w:eastAsia="Times New Roman" w:hAnsi="Times New Roman" w:cs="Times New Roman"/>
          <w:sz w:val="24"/>
          <w:szCs w:val="24"/>
          <w:highlight w:val="white"/>
        </w:rPr>
        <w:t>Ministério</w:t>
      </w:r>
      <w:proofErr w:type="spellEnd"/>
      <w:r>
        <w:rPr>
          <w:rFonts w:ascii="Times New Roman" w:eastAsia="Times New Roman" w:hAnsi="Times New Roman" w:cs="Times New Roman"/>
          <w:sz w:val="24"/>
          <w:szCs w:val="24"/>
          <w:highlight w:val="white"/>
        </w:rPr>
        <w:t xml:space="preserve"> de </w:t>
      </w:r>
      <w:proofErr w:type="spellStart"/>
      <w:r>
        <w:rPr>
          <w:rFonts w:ascii="Times New Roman" w:eastAsia="Times New Roman" w:hAnsi="Times New Roman" w:cs="Times New Roman"/>
          <w:sz w:val="24"/>
          <w:szCs w:val="24"/>
          <w:highlight w:val="white"/>
        </w:rPr>
        <w:t>saúde</w:t>
      </w:r>
      <w:proofErr w:type="spellEnd"/>
      <w:r>
        <w:rPr>
          <w:rFonts w:ascii="Times New Roman" w:eastAsia="Times New Roman" w:hAnsi="Times New Roman" w:cs="Times New Roman"/>
          <w:sz w:val="24"/>
          <w:szCs w:val="24"/>
          <w:highlight w:val="white"/>
        </w:rPr>
        <w:t>; República Port</w:t>
      </w:r>
      <w:r>
        <w:rPr>
          <w:rFonts w:ascii="Times New Roman" w:eastAsia="Times New Roman" w:hAnsi="Times New Roman" w:cs="Times New Roman"/>
          <w:sz w:val="24"/>
          <w:szCs w:val="24"/>
          <w:highlight w:val="white"/>
        </w:rPr>
        <w:t>uguesa.</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(2016) Avance de la evaluación 2015 del Sistema para la Autonomía y Atención a la Dependencia. Instituto de Mayores y Servicios Sociales (</w:t>
      </w:r>
      <w:proofErr w:type="spellStart"/>
      <w:r>
        <w:rPr>
          <w:rFonts w:ascii="Times New Roman" w:eastAsia="Times New Roman" w:hAnsi="Times New Roman" w:cs="Times New Roman"/>
          <w:sz w:val="24"/>
          <w:szCs w:val="24"/>
          <w:highlight w:val="white"/>
        </w:rPr>
        <w:t>Imserso</w:t>
      </w:r>
      <w:proofErr w:type="spellEnd"/>
      <w:r>
        <w:rPr>
          <w:rFonts w:ascii="Times New Roman" w:eastAsia="Times New Roman" w:hAnsi="Times New Roman" w:cs="Times New Roman"/>
          <w:sz w:val="24"/>
          <w:szCs w:val="24"/>
          <w:highlight w:val="white"/>
        </w:rPr>
        <w:t>) Secretaría de Estado de Servicios Sociales e Igualdad.</w:t>
      </w:r>
    </w:p>
    <w:p w:rsidR="0099295F" w:rsidRDefault="00052D02">
      <w:pPr>
        <w:pStyle w:val="normal0"/>
        <w:widowControl w:val="0"/>
        <w:numPr>
          <w:ilvl w:val="0"/>
          <w:numId w:val="4"/>
        </w:numPr>
        <w:spacing w:line="312" w:lineRule="auto"/>
        <w:ind w:hanging="360"/>
        <w:contextualSpacing/>
        <w:jc w:val="both"/>
        <w:rPr>
          <w:rFonts w:ascii="Times New Roman" w:eastAsia="Times New Roman" w:hAnsi="Times New Roman" w:cs="Times New Roman"/>
          <w:sz w:val="24"/>
          <w:szCs w:val="24"/>
          <w:highlight w:val="white"/>
        </w:rPr>
      </w:pPr>
      <w:r w:rsidRPr="001F0D79">
        <w:rPr>
          <w:rFonts w:ascii="Times New Roman" w:eastAsia="Times New Roman" w:hAnsi="Times New Roman" w:cs="Times New Roman"/>
          <w:sz w:val="24"/>
          <w:szCs w:val="24"/>
          <w:highlight w:val="white"/>
          <w:lang w:val="pt-PT"/>
        </w:rPr>
        <w:t>(2017) Sistema de Cuidados. Informa anual 2016</w:t>
      </w:r>
      <w:r w:rsidRPr="001F0D79">
        <w:rPr>
          <w:rFonts w:ascii="Times New Roman" w:eastAsia="Times New Roman" w:hAnsi="Times New Roman" w:cs="Times New Roman"/>
          <w:sz w:val="24"/>
          <w:szCs w:val="24"/>
          <w:highlight w:val="white"/>
          <w:lang w:val="pt-PT"/>
        </w:rPr>
        <w:t xml:space="preserve">. </w:t>
      </w:r>
      <w:r>
        <w:rPr>
          <w:rFonts w:ascii="Times New Roman" w:eastAsia="Times New Roman" w:hAnsi="Times New Roman" w:cs="Times New Roman"/>
          <w:sz w:val="24"/>
          <w:szCs w:val="24"/>
          <w:highlight w:val="white"/>
        </w:rPr>
        <w:t xml:space="preserve">Ed. </w:t>
      </w:r>
      <w:proofErr w:type="spellStart"/>
      <w:r>
        <w:rPr>
          <w:rFonts w:ascii="Times New Roman" w:eastAsia="Times New Roman" w:hAnsi="Times New Roman" w:cs="Times New Roman"/>
          <w:sz w:val="24"/>
          <w:szCs w:val="24"/>
          <w:highlight w:val="white"/>
        </w:rPr>
        <w:t>Junata</w:t>
      </w:r>
      <w:proofErr w:type="spellEnd"/>
      <w:r>
        <w:rPr>
          <w:rFonts w:ascii="Times New Roman" w:eastAsia="Times New Roman" w:hAnsi="Times New Roman" w:cs="Times New Roman"/>
          <w:sz w:val="24"/>
          <w:szCs w:val="24"/>
          <w:highlight w:val="white"/>
        </w:rPr>
        <w:t xml:space="preserve"> Nacional de Cuidados. Uruguay.</w:t>
      </w:r>
    </w:p>
    <w:p w:rsidR="0099295F" w:rsidRDefault="0099295F">
      <w:pPr>
        <w:pStyle w:val="normal0"/>
        <w:widowControl w:val="0"/>
        <w:spacing w:after="120" w:line="312" w:lineRule="auto"/>
        <w:ind w:left="720"/>
        <w:jc w:val="both"/>
        <w:rPr>
          <w:rFonts w:ascii="Times New Roman" w:eastAsia="Times New Roman" w:hAnsi="Times New Roman" w:cs="Times New Roman"/>
          <w:sz w:val="24"/>
          <w:szCs w:val="24"/>
          <w:highlight w:val="white"/>
        </w:rPr>
      </w:pPr>
    </w:p>
    <w:sectPr w:rsidR="0099295F" w:rsidSect="0099295F">
      <w:footerReference w:type="default" r:id="rId7"/>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D02" w:rsidRDefault="00052D02" w:rsidP="0099295F">
      <w:pPr>
        <w:spacing w:line="240" w:lineRule="auto"/>
      </w:pPr>
      <w:r>
        <w:separator/>
      </w:r>
    </w:p>
  </w:endnote>
  <w:endnote w:type="continuationSeparator" w:id="0">
    <w:p w:rsidR="00052D02" w:rsidRDefault="00052D02" w:rsidP="009929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95F" w:rsidRDefault="0099295F">
    <w:pPr>
      <w:pStyle w:val="normal0"/>
      <w:jc w:val="right"/>
    </w:pPr>
    <w:r>
      <w:fldChar w:fldCharType="begin"/>
    </w:r>
    <w:r w:rsidR="00052D02">
      <w:instrText>PAGE</w:instrText>
    </w:r>
    <w:r w:rsidR="001F0D79">
      <w:fldChar w:fldCharType="separate"/>
    </w:r>
    <w:r w:rsidR="001F0D79">
      <w:rPr>
        <w:noProof/>
      </w:rPr>
      <w:t>20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D02" w:rsidRDefault="00052D02" w:rsidP="0099295F">
      <w:pPr>
        <w:spacing w:line="240" w:lineRule="auto"/>
      </w:pPr>
      <w:r>
        <w:separator/>
      </w:r>
    </w:p>
  </w:footnote>
  <w:footnote w:type="continuationSeparator" w:id="0">
    <w:p w:rsidR="00052D02" w:rsidRDefault="00052D02" w:rsidP="0099295F">
      <w:pPr>
        <w:spacing w:line="240" w:lineRule="auto"/>
      </w:pPr>
      <w:r>
        <w:continuationSeparator/>
      </w:r>
    </w:p>
  </w:footnote>
  <w:footnote w:id="1">
    <w:p w:rsidR="0099295F" w:rsidRDefault="00052D02">
      <w:pPr>
        <w:pStyle w:val="normal0"/>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Como recuerda Mª Ángeles Durán, refiriéndose al caso español: “</w:t>
      </w:r>
      <w:r>
        <w:rPr>
          <w:rFonts w:ascii="Calibri" w:eastAsia="Calibri" w:hAnsi="Calibri" w:cs="Calibri"/>
          <w:i/>
          <w:sz w:val="20"/>
          <w:szCs w:val="20"/>
        </w:rPr>
        <w:t xml:space="preserve">En las elecciones generales de diciembre 2015, todos los grandes partidos hicieron alguna mención al cuidado en sus programas e incluyeron referencias al envejecimiento” </w:t>
      </w:r>
      <w:r>
        <w:rPr>
          <w:rFonts w:ascii="Calibri" w:eastAsia="Calibri" w:hAnsi="Calibri" w:cs="Calibri"/>
          <w:sz w:val="20"/>
          <w:szCs w:val="20"/>
        </w:rPr>
        <w:t>(2016: 115)</w:t>
      </w:r>
    </w:p>
  </w:footnote>
  <w:footnote w:id="2">
    <w:p w:rsidR="0099295F" w:rsidRDefault="00052D02">
      <w:pPr>
        <w:pStyle w:val="normal0"/>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Así, el desarrollo de políticas vinculadas al trabajo doméstico se centr</w:t>
      </w:r>
      <w:r>
        <w:rPr>
          <w:rFonts w:ascii="Calibri" w:eastAsia="Calibri" w:hAnsi="Calibri" w:cs="Calibri"/>
          <w:sz w:val="20"/>
          <w:szCs w:val="20"/>
        </w:rPr>
        <w:t>a en la regulación de sus condiciones -como horarios, salarios y formas de cotización, cuando es realizado para terceras personas-, pero excluye el trabajo realizado al interior del hogar. Ejemplo de las mismas es el Convenio 189 de la OIT,  el cual España</w:t>
      </w:r>
      <w:r>
        <w:rPr>
          <w:rFonts w:ascii="Calibri" w:eastAsia="Calibri" w:hAnsi="Calibri" w:cs="Calibri"/>
          <w:sz w:val="20"/>
          <w:szCs w:val="20"/>
        </w:rPr>
        <w:t xml:space="preserve"> no ha ratificado.</w:t>
      </w:r>
    </w:p>
  </w:footnote>
  <w:footnote w:id="3">
    <w:p w:rsidR="0099295F" w:rsidRPr="001F0D79" w:rsidRDefault="00052D02">
      <w:pPr>
        <w:pStyle w:val="normal0"/>
        <w:spacing w:line="240" w:lineRule="auto"/>
        <w:jc w:val="both"/>
        <w:rPr>
          <w:sz w:val="20"/>
          <w:szCs w:val="20"/>
          <w:lang w:val="en-US"/>
        </w:rPr>
      </w:pPr>
      <w:r>
        <w:rPr>
          <w:vertAlign w:val="superscript"/>
        </w:rPr>
        <w:footnoteRef/>
      </w:r>
      <w:r w:rsidRPr="001F0D79">
        <w:rPr>
          <w:sz w:val="20"/>
          <w:szCs w:val="20"/>
          <w:lang w:val="en-US"/>
        </w:rPr>
        <w:t xml:space="preserve"> </w:t>
      </w:r>
      <w:r w:rsidRPr="001F0D79">
        <w:rPr>
          <w:rFonts w:ascii="Calibri" w:eastAsia="Calibri" w:hAnsi="Calibri" w:cs="Calibri"/>
          <w:sz w:val="20"/>
          <w:szCs w:val="20"/>
          <w:lang w:val="en-US"/>
        </w:rPr>
        <w:t xml:space="preserve">“Care is both the paid and unpaid provision of support involving work activities and emotional empathy. It is provided mainly ... by women to both able-bodied and dependent adults and children in either the public or domestic spheres, </w:t>
      </w:r>
      <w:r w:rsidRPr="001F0D79">
        <w:rPr>
          <w:rFonts w:ascii="Calibri" w:eastAsia="Calibri" w:hAnsi="Calibri" w:cs="Calibri"/>
          <w:sz w:val="20"/>
          <w:szCs w:val="20"/>
          <w:lang w:val="en-US"/>
        </w:rPr>
        <w:t>and in a variety of institutional settings”(Thomas 1993: 665, citado en Pfau-Effinger, 2014)</w:t>
      </w:r>
    </w:p>
  </w:footnote>
  <w:footnote w:id="4">
    <w:p w:rsidR="0099295F" w:rsidRDefault="00052D02">
      <w:pPr>
        <w:pStyle w:val="normal0"/>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Por ejemplo, en el artículo 97 del Código de Trabajo costarricense se establece el derecho al descanso por lactancia durante la jornada laboral, mientras en Espa</w:t>
      </w:r>
      <w:r>
        <w:rPr>
          <w:rFonts w:ascii="Calibri" w:eastAsia="Calibri" w:hAnsi="Calibri" w:cs="Calibri"/>
          <w:sz w:val="20"/>
          <w:szCs w:val="20"/>
        </w:rPr>
        <w:t xml:space="preserve">ña se amplía en 2017 a cuatro semanas la licencia de paternidad con la Ley 9/2009; el artículo 34 del Código de Trabajo portugués establece prestaciones por parentalidad como el cuidado de hijas e hijos; en Uruguay la Ley </w:t>
      </w:r>
      <w:r>
        <w:rPr>
          <w:rFonts w:ascii="Calibri" w:eastAsia="Calibri" w:hAnsi="Calibri" w:cs="Calibri"/>
          <w:sz w:val="20"/>
          <w:szCs w:val="20"/>
          <w:highlight w:val="white"/>
        </w:rPr>
        <w:t>Nº 18.436</w:t>
      </w:r>
      <w:r>
        <w:rPr>
          <w:rFonts w:ascii="Calibri" w:eastAsia="Calibri" w:hAnsi="Calibri" w:cs="Calibri"/>
          <w:sz w:val="20"/>
          <w:szCs w:val="20"/>
        </w:rPr>
        <w:t xml:space="preserve"> amplía el derecho a la r</w:t>
      </w:r>
      <w:r>
        <w:rPr>
          <w:rFonts w:ascii="Calibri" w:eastAsia="Calibri" w:hAnsi="Calibri" w:cs="Calibri"/>
          <w:sz w:val="20"/>
          <w:szCs w:val="20"/>
        </w:rPr>
        <w:t>educción de jornada durante seis meses a las personas que adopten menores.</w:t>
      </w:r>
    </w:p>
  </w:footnote>
  <w:footnote w:id="5">
    <w:p w:rsidR="0099295F" w:rsidRDefault="00052D02">
      <w:pPr>
        <w:pStyle w:val="normal0"/>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Véase en Internet, la página Web de Naciones Unidas sobre los Objetivos de Desarrollo Sostenible: </w:t>
      </w:r>
      <w:hyperlink r:id="rId1">
        <w:r>
          <w:rPr>
            <w:rFonts w:ascii="Calibri" w:eastAsia="Calibri" w:hAnsi="Calibri" w:cs="Calibri"/>
            <w:color w:val="1155CC"/>
            <w:sz w:val="20"/>
            <w:szCs w:val="20"/>
            <w:u w:val="single"/>
          </w:rPr>
          <w:t>http://www.un.org/sustainabledevelopment/es/gender-equality/</w:t>
        </w:r>
      </w:hyperlink>
      <w:r>
        <w:rPr>
          <w:rFonts w:ascii="Calibri" w:eastAsia="Calibri" w:hAnsi="Calibri" w:cs="Calibri"/>
          <w:sz w:val="20"/>
          <w:szCs w:val="20"/>
        </w:rPr>
        <w:t xml:space="preserve"> </w:t>
      </w:r>
    </w:p>
  </w:footnote>
  <w:footnote w:id="6">
    <w:p w:rsidR="0099295F" w:rsidRDefault="00052D02">
      <w:pPr>
        <w:pStyle w:val="normal0"/>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Las especificidades de cada Comunidad Autónoma dentro del Estado español y las diferencias en el presupuesto destinado a la dependencia no permiten ahondar en la implementación de esta política pública. </w:t>
      </w:r>
    </w:p>
  </w:footnote>
  <w:footnote w:id="7">
    <w:p w:rsidR="0099295F" w:rsidRDefault="00052D02">
      <w:pPr>
        <w:pStyle w:val="normal0"/>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En España y Portugal la posibilidad de acceso a es</w:t>
      </w:r>
      <w:r>
        <w:rPr>
          <w:rFonts w:ascii="Calibri" w:eastAsia="Calibri" w:hAnsi="Calibri" w:cs="Calibri"/>
          <w:sz w:val="20"/>
          <w:szCs w:val="20"/>
        </w:rPr>
        <w:t>cuelas infantiles públicas también se relaciona con la renta de las unidades familiares, siendo un servicio mayormente privado dependiente de las Comunidades Autónomas o Regionales, y de los entes locales. Ahora bien, están fuera de las políticas de cuidad</w:t>
      </w:r>
      <w:r>
        <w:rPr>
          <w:rFonts w:ascii="Calibri" w:eastAsia="Calibri" w:hAnsi="Calibri" w:cs="Calibri"/>
          <w:sz w:val="20"/>
          <w:szCs w:val="20"/>
        </w:rPr>
        <w:t>o. Sin embargo, la gestión de algunos Ayuntamientos grandes en España apunta hacia el desarrollo de una</w:t>
      </w:r>
      <w:r>
        <w:rPr>
          <w:rFonts w:ascii="Calibri" w:eastAsia="Calibri" w:hAnsi="Calibri" w:cs="Calibri"/>
          <w:i/>
          <w:sz w:val="20"/>
          <w:szCs w:val="20"/>
        </w:rPr>
        <w:t xml:space="preserve"> </w:t>
      </w:r>
      <w:proofErr w:type="spellStart"/>
      <w:r>
        <w:rPr>
          <w:rFonts w:ascii="Calibri" w:eastAsia="Calibri" w:hAnsi="Calibri" w:cs="Calibri"/>
          <w:i/>
          <w:sz w:val="20"/>
          <w:szCs w:val="20"/>
        </w:rPr>
        <w:t>cuidadanía</w:t>
      </w:r>
      <w:proofErr w:type="spellEnd"/>
      <w:r>
        <w:rPr>
          <w:rFonts w:ascii="Calibri" w:eastAsia="Calibri" w:hAnsi="Calibri" w:cs="Calibri"/>
          <w:sz w:val="20"/>
          <w:szCs w:val="20"/>
        </w:rPr>
        <w:t xml:space="preserve"> que incluya de forma preferencial a la población  0 a 3 años. </w:t>
      </w:r>
    </w:p>
  </w:footnote>
  <w:footnote w:id="8">
    <w:p w:rsidR="0099295F" w:rsidRDefault="00052D02">
      <w:pPr>
        <w:pStyle w:val="normal0"/>
        <w:spacing w:line="240" w:lineRule="auto"/>
        <w:rPr>
          <w:color w:val="1C4587"/>
          <w:sz w:val="20"/>
          <w:szCs w:val="20"/>
          <w:u w:val="single"/>
        </w:rPr>
      </w:pPr>
      <w:r>
        <w:rPr>
          <w:vertAlign w:val="superscript"/>
        </w:rPr>
        <w:footnoteRef/>
      </w:r>
      <w:r>
        <w:rPr>
          <w:sz w:val="20"/>
          <w:szCs w:val="20"/>
        </w:rPr>
        <w:t xml:space="preserve"> </w:t>
      </w:r>
      <w:r>
        <w:rPr>
          <w:rFonts w:ascii="Calibri" w:eastAsia="Calibri" w:hAnsi="Calibri" w:cs="Calibri"/>
          <w:sz w:val="20"/>
          <w:szCs w:val="20"/>
        </w:rPr>
        <w:t xml:space="preserve">Portugal: </w:t>
      </w:r>
      <w:proofErr w:type="spellStart"/>
      <w:r>
        <w:rPr>
          <w:rFonts w:ascii="Calibri" w:eastAsia="Calibri" w:hAnsi="Calibri" w:cs="Calibri"/>
          <w:sz w:val="20"/>
          <w:szCs w:val="20"/>
        </w:rPr>
        <w:t>Lopes</w:t>
      </w:r>
      <w:proofErr w:type="spellEnd"/>
      <w:r>
        <w:rPr>
          <w:rFonts w:ascii="Calibri" w:eastAsia="Calibri" w:hAnsi="Calibri" w:cs="Calibri"/>
          <w:sz w:val="20"/>
          <w:szCs w:val="20"/>
        </w:rPr>
        <w:t xml:space="preserve"> B., 2014. España: BOE </w:t>
      </w:r>
      <w:r>
        <w:rPr>
          <w:rFonts w:ascii="Calibri" w:eastAsia="Calibri" w:hAnsi="Calibri" w:cs="Calibri"/>
          <w:color w:val="1C4587"/>
          <w:sz w:val="20"/>
          <w:szCs w:val="20"/>
          <w:u w:val="single"/>
        </w:rPr>
        <w:t>https://www.boe.es/buscar/act.php?id=B</w:t>
      </w:r>
      <w:r>
        <w:rPr>
          <w:rFonts w:ascii="Calibri" w:eastAsia="Calibri" w:hAnsi="Calibri" w:cs="Calibri"/>
          <w:color w:val="1C4587"/>
          <w:sz w:val="20"/>
          <w:szCs w:val="20"/>
          <w:u w:val="single"/>
        </w:rPr>
        <w:t>OE-A-2006-21990</w:t>
      </w:r>
    </w:p>
  </w:footnote>
  <w:footnote w:id="9">
    <w:p w:rsidR="0099295F" w:rsidRDefault="00052D02">
      <w:pPr>
        <w:pStyle w:val="normal0"/>
        <w:spacing w:line="240" w:lineRule="auto"/>
        <w:rPr>
          <w:rFonts w:ascii="Calibri" w:eastAsia="Calibri" w:hAnsi="Calibri" w:cs="Calibri"/>
          <w:color w:val="FF0000"/>
          <w:sz w:val="20"/>
          <w:szCs w:val="20"/>
        </w:rPr>
      </w:pPr>
      <w:r>
        <w:rPr>
          <w:vertAlign w:val="superscript"/>
        </w:rPr>
        <w:footnoteRef/>
      </w:r>
      <w:r>
        <w:rPr>
          <w:rFonts w:ascii="Calibri" w:eastAsia="Calibri" w:hAnsi="Calibri" w:cs="Calibri"/>
          <w:sz w:val="20"/>
          <w:szCs w:val="20"/>
        </w:rPr>
        <w:t xml:space="preserve"> Datos obtenidos para España del INE: </w:t>
      </w:r>
      <w:hyperlink r:id="rId2">
        <w:r>
          <w:rPr>
            <w:rFonts w:ascii="Calibri" w:eastAsia="Calibri" w:hAnsi="Calibri" w:cs="Calibri"/>
            <w:color w:val="1155CC"/>
            <w:sz w:val="20"/>
            <w:szCs w:val="20"/>
            <w:u w:val="single"/>
          </w:rPr>
          <w:t>http://www.ine.es/jaxiT3/Tabla.htm?t=1489</w:t>
        </w:r>
      </w:hyperlink>
      <w:r>
        <w:rPr>
          <w:rFonts w:ascii="Calibri" w:eastAsia="Calibri" w:hAnsi="Calibri" w:cs="Calibri"/>
          <w:sz w:val="20"/>
          <w:szCs w:val="20"/>
        </w:rPr>
        <w:t xml:space="preserve"> Para el caso de Portugal del INE: </w:t>
      </w:r>
      <w:hyperlink r:id="rId3">
        <w:r>
          <w:rPr>
            <w:rFonts w:ascii="Calibri" w:eastAsia="Calibri" w:hAnsi="Calibri" w:cs="Calibri"/>
            <w:color w:val="1155CC"/>
            <w:sz w:val="20"/>
            <w:szCs w:val="20"/>
            <w:u w:val="single"/>
          </w:rPr>
          <w:t>https://www.ine.pt/xportal/xmain?xpid=INE&amp;xpgid=ine_indicadores&amp;indOcorrCod=0001272&amp;contexto=bd&amp;selTab=tab2</w:t>
        </w:r>
      </w:hyperlink>
      <w:r>
        <w:rPr>
          <w:rFonts w:ascii="Calibri" w:eastAsia="Calibri" w:hAnsi="Calibri" w:cs="Calibri"/>
          <w:sz w:val="20"/>
          <w:szCs w:val="20"/>
        </w:rPr>
        <w:t xml:space="preserve"> Para Costa Rica de CEPALS</w:t>
      </w:r>
      <w:r>
        <w:rPr>
          <w:rFonts w:ascii="Calibri" w:eastAsia="Calibri" w:hAnsi="Calibri" w:cs="Calibri"/>
          <w:sz w:val="20"/>
          <w:szCs w:val="20"/>
        </w:rPr>
        <w:t xml:space="preserve">TAT: </w:t>
      </w:r>
      <w:hyperlink r:id="rId4">
        <w:r>
          <w:rPr>
            <w:rFonts w:ascii="Calibri" w:eastAsia="Calibri" w:hAnsi="Calibri" w:cs="Calibri"/>
            <w:color w:val="1155CC"/>
            <w:sz w:val="20"/>
            <w:szCs w:val="20"/>
            <w:u w:val="single"/>
          </w:rPr>
          <w:t>http://estadisticas.cepal.org/cepalstat/Perfil_Nacional_Social.html?pais=CRI&amp;idioma=spanish</w:t>
        </w:r>
      </w:hyperlink>
      <w:r>
        <w:rPr>
          <w:rFonts w:ascii="Calibri" w:eastAsia="Calibri" w:hAnsi="Calibri" w:cs="Calibri"/>
          <w:sz w:val="20"/>
          <w:szCs w:val="20"/>
        </w:rPr>
        <w:t xml:space="preserve"> Para Uruguay de CEPALSTAT: </w:t>
      </w:r>
      <w:hyperlink r:id="rId5">
        <w:r>
          <w:rPr>
            <w:rFonts w:ascii="Calibri" w:eastAsia="Calibri" w:hAnsi="Calibri" w:cs="Calibri"/>
            <w:color w:val="1155CC"/>
            <w:sz w:val="20"/>
            <w:szCs w:val="20"/>
            <w:u w:val="single"/>
          </w:rPr>
          <w:t>http://estadisticas.cepal.org/cepalstat/Perfil_Nacional_Social.html?pais=URY&amp;idioma=spanish</w:t>
        </w:r>
      </w:hyperlink>
    </w:p>
  </w:footnote>
  <w:footnote w:id="10">
    <w:p w:rsidR="0099295F" w:rsidRDefault="00052D02">
      <w:pPr>
        <w:pStyle w:val="normal0"/>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Se mantiene la invisibilidad del trabajo en el hogar desde principios del si</w:t>
      </w:r>
      <w:r>
        <w:rPr>
          <w:rFonts w:ascii="Calibri" w:eastAsia="Calibri" w:hAnsi="Calibri" w:cs="Calibri"/>
          <w:sz w:val="20"/>
          <w:szCs w:val="20"/>
        </w:rPr>
        <w:t>glo XX cuando se dejó de denominar a las mujeres que realizaban las tareas del hogar como “trabajadoras domésticas” para pasar a considerarlas “inactivas” (Carrasco et al., 2011)</w:t>
      </w:r>
    </w:p>
  </w:footnote>
  <w:footnote w:id="11">
    <w:p w:rsidR="0099295F" w:rsidRDefault="00052D02">
      <w:pPr>
        <w:pStyle w:val="normal0"/>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INE España:</w:t>
      </w:r>
      <w:hyperlink r:id="rId6">
        <w:r>
          <w:rPr>
            <w:rFonts w:ascii="Calibri" w:eastAsia="Calibri" w:hAnsi="Calibri" w:cs="Calibri"/>
            <w:sz w:val="20"/>
            <w:szCs w:val="20"/>
          </w:rPr>
          <w:t xml:space="preserve"> http:</w:t>
        </w:r>
      </w:hyperlink>
      <w:hyperlink r:id="rId7">
        <w:r>
          <w:rPr>
            <w:rFonts w:ascii="Calibri" w:eastAsia="Calibri" w:hAnsi="Calibri" w:cs="Calibri"/>
            <w:color w:val="1155CC"/>
            <w:sz w:val="20"/>
            <w:szCs w:val="20"/>
            <w:u w:val="single"/>
          </w:rPr>
          <w:t>http://</w:t>
        </w:r>
        <w:proofErr w:type="spellStart"/>
        <w:r>
          <w:rPr>
            <w:rFonts w:ascii="Calibri" w:eastAsia="Calibri" w:hAnsi="Calibri" w:cs="Calibri"/>
            <w:color w:val="1155CC"/>
            <w:sz w:val="20"/>
            <w:szCs w:val="20"/>
            <w:u w:val="single"/>
          </w:rPr>
          <w:t>www.ine.es</w:t>
        </w:r>
        <w:proofErr w:type="spellEnd"/>
        <w:r>
          <w:rPr>
            <w:rFonts w:ascii="Calibri" w:eastAsia="Calibri" w:hAnsi="Calibri" w:cs="Calibri"/>
            <w:color w:val="1155CC"/>
            <w:sz w:val="20"/>
            <w:szCs w:val="20"/>
            <w:u w:val="single"/>
          </w:rPr>
          <w:t>/prensa/np870</w:t>
        </w:r>
      </w:hyperlink>
    </w:p>
    <w:p w:rsidR="0099295F" w:rsidRPr="001F0D79" w:rsidRDefault="00052D02">
      <w:pPr>
        <w:pStyle w:val="normal0"/>
        <w:rPr>
          <w:rFonts w:ascii="Calibri" w:eastAsia="Calibri" w:hAnsi="Calibri" w:cs="Calibri"/>
          <w:sz w:val="20"/>
          <w:szCs w:val="20"/>
          <w:lang w:val="pt-PT"/>
        </w:rPr>
      </w:pPr>
      <w:r w:rsidRPr="001F0D79">
        <w:rPr>
          <w:rFonts w:ascii="Calibri" w:eastAsia="Calibri" w:hAnsi="Calibri" w:cs="Calibri"/>
          <w:sz w:val="20"/>
          <w:szCs w:val="20"/>
          <w:lang w:val="pt-PT"/>
        </w:rPr>
        <w:t>Eurostat Portugal:</w:t>
      </w:r>
      <w:r w:rsidRPr="001F0D79">
        <w:rPr>
          <w:lang w:val="pt-PT"/>
        </w:rPr>
        <w:t xml:space="preserve"> </w:t>
      </w:r>
      <w:hyperlink r:id="rId8">
        <w:r w:rsidRPr="001F0D79">
          <w:rPr>
            <w:rFonts w:ascii="Calibri" w:eastAsia="Calibri" w:hAnsi="Calibri" w:cs="Calibri"/>
            <w:color w:val="1155CC"/>
            <w:sz w:val="20"/>
            <w:szCs w:val="20"/>
            <w:u w:val="single"/>
            <w:lang w:val="pt-PT"/>
          </w:rPr>
          <w:t>https://www.ine.pt/xportal/xmain?xpid=IN</w:t>
        </w:r>
        <w:r w:rsidRPr="001F0D79">
          <w:rPr>
            <w:rFonts w:ascii="Calibri" w:eastAsia="Calibri" w:hAnsi="Calibri" w:cs="Calibri"/>
            <w:color w:val="1155CC"/>
            <w:sz w:val="20"/>
            <w:szCs w:val="20"/>
            <w:u w:val="single"/>
            <w:lang w:val="pt-PT"/>
          </w:rPr>
          <w:t>E&amp;xpgid=ine_destaques&amp;DESTAQUESdest_boui=277695619&amp;DESTAQUESmodo=2</w:t>
        </w:r>
      </w:hyperlink>
    </w:p>
    <w:p w:rsidR="0099295F" w:rsidRPr="001F0D79" w:rsidRDefault="00052D02">
      <w:pPr>
        <w:pStyle w:val="normal0"/>
        <w:rPr>
          <w:rFonts w:ascii="Calibri" w:eastAsia="Calibri" w:hAnsi="Calibri" w:cs="Calibri"/>
          <w:sz w:val="20"/>
          <w:szCs w:val="20"/>
          <w:lang w:val="pt-PT"/>
        </w:rPr>
      </w:pPr>
      <w:r w:rsidRPr="001F0D79">
        <w:rPr>
          <w:rFonts w:ascii="Calibri" w:eastAsia="Calibri" w:hAnsi="Calibri" w:cs="Calibri"/>
          <w:sz w:val="20"/>
          <w:szCs w:val="20"/>
          <w:lang w:val="pt-PT"/>
        </w:rPr>
        <w:t>Uruguay:</w:t>
      </w:r>
      <w:hyperlink r:id="rId9">
        <w:r w:rsidRPr="001F0D79">
          <w:rPr>
            <w:rFonts w:ascii="Calibri" w:eastAsia="Calibri" w:hAnsi="Calibri" w:cs="Calibri"/>
            <w:sz w:val="20"/>
            <w:szCs w:val="20"/>
            <w:lang w:val="pt-PT"/>
          </w:rPr>
          <w:t xml:space="preserve"> </w:t>
        </w:r>
      </w:hyperlink>
      <w:hyperlink r:id="rId10">
        <w:r w:rsidRPr="001F0D79">
          <w:rPr>
            <w:rFonts w:ascii="Calibri" w:eastAsia="Calibri" w:hAnsi="Calibri" w:cs="Calibri"/>
            <w:color w:val="1155CC"/>
            <w:sz w:val="20"/>
            <w:szCs w:val="20"/>
            <w:u w:val="single"/>
            <w:lang w:val="pt-PT"/>
          </w:rPr>
          <w:t>http://www.populationpyramid.net/es/uruguay/2020/</w:t>
        </w:r>
      </w:hyperlink>
    </w:p>
    <w:p w:rsidR="0099295F" w:rsidRDefault="00052D02">
      <w:pPr>
        <w:pStyle w:val="normal0"/>
        <w:rPr>
          <w:sz w:val="20"/>
          <w:szCs w:val="20"/>
        </w:rPr>
      </w:pPr>
      <w:r>
        <w:rPr>
          <w:rFonts w:ascii="Calibri" w:eastAsia="Calibri" w:hAnsi="Calibri" w:cs="Calibri"/>
          <w:sz w:val="20"/>
          <w:szCs w:val="20"/>
        </w:rPr>
        <w:t>Costa Rica:</w:t>
      </w:r>
      <w:hyperlink r:id="rId11">
        <w:r>
          <w:rPr>
            <w:rFonts w:ascii="Calibri" w:eastAsia="Calibri" w:hAnsi="Calibri" w:cs="Calibri"/>
            <w:sz w:val="20"/>
            <w:szCs w:val="20"/>
          </w:rPr>
          <w:t xml:space="preserve"> </w:t>
        </w:r>
      </w:hyperlink>
      <w:hyperlink r:id="rId12">
        <w:r>
          <w:rPr>
            <w:rFonts w:ascii="Calibri" w:eastAsia="Calibri" w:hAnsi="Calibri" w:cs="Calibri"/>
            <w:color w:val="1155CC"/>
            <w:sz w:val="20"/>
            <w:szCs w:val="20"/>
            <w:u w:val="single"/>
          </w:rPr>
          <w:t>http://www.populationpyramid.net/es/costa-rica/2020/</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87B15"/>
    <w:multiLevelType w:val="multilevel"/>
    <w:tmpl w:val="73C4885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nsid w:val="1C2C7810"/>
    <w:multiLevelType w:val="multilevel"/>
    <w:tmpl w:val="804E8E3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
    <w:nsid w:val="2856362A"/>
    <w:multiLevelType w:val="multilevel"/>
    <w:tmpl w:val="6B2E5F4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3">
    <w:nsid w:val="2A0C5763"/>
    <w:multiLevelType w:val="multilevel"/>
    <w:tmpl w:val="84D8B4B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4">
    <w:nsid w:val="2FAC22B3"/>
    <w:multiLevelType w:val="multilevel"/>
    <w:tmpl w:val="E324802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5">
    <w:nsid w:val="34EE3DB8"/>
    <w:multiLevelType w:val="multilevel"/>
    <w:tmpl w:val="E9D4180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6">
    <w:nsid w:val="46E915BF"/>
    <w:multiLevelType w:val="multilevel"/>
    <w:tmpl w:val="09BA6DB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7">
    <w:nsid w:val="5351221F"/>
    <w:multiLevelType w:val="multilevel"/>
    <w:tmpl w:val="5DE6CB9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8">
    <w:nsid w:val="7FBE6B54"/>
    <w:multiLevelType w:val="multilevel"/>
    <w:tmpl w:val="EF52D06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num w:numId="1">
    <w:abstractNumId w:val="8"/>
  </w:num>
  <w:num w:numId="2">
    <w:abstractNumId w:val="0"/>
  </w:num>
  <w:num w:numId="3">
    <w:abstractNumId w:val="2"/>
  </w:num>
  <w:num w:numId="4">
    <w:abstractNumId w:val="7"/>
  </w:num>
  <w:num w:numId="5">
    <w:abstractNumId w:val="6"/>
  </w:num>
  <w:num w:numId="6">
    <w:abstractNumId w:val="4"/>
  </w:num>
  <w:num w:numId="7">
    <w:abstractNumId w:val="3"/>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20"/>
  <w:hyphenationZone w:val="425"/>
  <w:characterSpacingControl w:val="doNotCompress"/>
  <w:footnotePr>
    <w:footnote w:id="-1"/>
    <w:footnote w:id="0"/>
  </w:footnotePr>
  <w:endnotePr>
    <w:endnote w:id="-1"/>
    <w:endnote w:id="0"/>
  </w:endnotePr>
  <w:compat/>
  <w:rsids>
    <w:rsidRoot w:val="0099295F"/>
    <w:rsid w:val="00052D02"/>
    <w:rsid w:val="001F0D79"/>
    <w:rsid w:val="0099295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s-ES"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99295F"/>
    <w:pPr>
      <w:keepNext/>
      <w:keepLines/>
      <w:spacing w:before="400" w:after="120"/>
      <w:contextualSpacing/>
      <w:outlineLvl w:val="0"/>
    </w:pPr>
    <w:rPr>
      <w:b/>
      <w:sz w:val="40"/>
      <w:szCs w:val="40"/>
    </w:rPr>
  </w:style>
  <w:style w:type="paragraph" w:styleId="Ttulo2">
    <w:name w:val="heading 2"/>
    <w:basedOn w:val="normal0"/>
    <w:next w:val="normal0"/>
    <w:rsid w:val="0099295F"/>
    <w:pPr>
      <w:keepNext/>
      <w:keepLines/>
      <w:spacing w:before="360" w:after="120"/>
      <w:contextualSpacing/>
      <w:outlineLvl w:val="1"/>
    </w:pPr>
    <w:rPr>
      <w:b/>
      <w:sz w:val="32"/>
      <w:szCs w:val="32"/>
    </w:rPr>
  </w:style>
  <w:style w:type="paragraph" w:styleId="Ttulo3">
    <w:name w:val="heading 3"/>
    <w:basedOn w:val="normal0"/>
    <w:next w:val="normal0"/>
    <w:rsid w:val="0099295F"/>
    <w:pPr>
      <w:keepNext/>
      <w:keepLines/>
      <w:spacing w:before="320" w:after="80"/>
      <w:contextualSpacing/>
      <w:outlineLvl w:val="2"/>
    </w:pPr>
    <w:rPr>
      <w:b/>
      <w:color w:val="434343"/>
      <w:sz w:val="28"/>
      <w:szCs w:val="28"/>
    </w:rPr>
  </w:style>
  <w:style w:type="paragraph" w:styleId="Ttulo4">
    <w:name w:val="heading 4"/>
    <w:basedOn w:val="normal0"/>
    <w:next w:val="normal0"/>
    <w:rsid w:val="0099295F"/>
    <w:pPr>
      <w:keepNext/>
      <w:keepLines/>
      <w:spacing w:before="280" w:after="80"/>
      <w:contextualSpacing/>
      <w:outlineLvl w:val="3"/>
    </w:pPr>
    <w:rPr>
      <w:b/>
      <w:color w:val="666666"/>
      <w:sz w:val="24"/>
      <w:szCs w:val="24"/>
    </w:rPr>
  </w:style>
  <w:style w:type="paragraph" w:styleId="Ttulo5">
    <w:name w:val="heading 5"/>
    <w:basedOn w:val="normal0"/>
    <w:next w:val="normal0"/>
    <w:rsid w:val="0099295F"/>
    <w:pPr>
      <w:keepNext/>
      <w:keepLines/>
      <w:spacing w:before="240" w:after="80"/>
      <w:contextualSpacing/>
      <w:outlineLvl w:val="4"/>
    </w:pPr>
    <w:rPr>
      <w:b/>
      <w:color w:val="666666"/>
    </w:rPr>
  </w:style>
  <w:style w:type="paragraph" w:styleId="Ttulo6">
    <w:name w:val="heading 6"/>
    <w:basedOn w:val="normal0"/>
    <w:next w:val="normal0"/>
    <w:rsid w:val="0099295F"/>
    <w:pPr>
      <w:keepNext/>
      <w:keepLines/>
      <w:spacing w:before="240" w:after="80"/>
      <w:contextualSpacing/>
      <w:outlineLvl w:val="5"/>
    </w:pPr>
    <w:rPr>
      <w:b/>
      <w:i/>
      <w:color w:val="66666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99295F"/>
  </w:style>
  <w:style w:type="table" w:customStyle="1" w:styleId="TableNormal">
    <w:name w:val="Table Normal"/>
    <w:rsid w:val="0099295F"/>
    <w:tblPr>
      <w:tblCellMar>
        <w:top w:w="0" w:type="dxa"/>
        <w:left w:w="0" w:type="dxa"/>
        <w:bottom w:w="0" w:type="dxa"/>
        <w:right w:w="0" w:type="dxa"/>
      </w:tblCellMar>
    </w:tblPr>
  </w:style>
  <w:style w:type="paragraph" w:styleId="Ttulo">
    <w:name w:val="Title"/>
    <w:basedOn w:val="normal0"/>
    <w:next w:val="normal0"/>
    <w:rsid w:val="0099295F"/>
    <w:pPr>
      <w:keepNext/>
      <w:keepLines/>
      <w:spacing w:before="480" w:after="60"/>
      <w:contextualSpacing/>
    </w:pPr>
    <w:rPr>
      <w:b/>
      <w:sz w:val="52"/>
      <w:szCs w:val="52"/>
    </w:rPr>
  </w:style>
  <w:style w:type="paragraph" w:styleId="Subttulo">
    <w:name w:val="Subtitle"/>
    <w:basedOn w:val="normal0"/>
    <w:next w:val="normal0"/>
    <w:rsid w:val="0099295F"/>
    <w:pPr>
      <w:keepNext/>
      <w:keepLines/>
      <w:spacing w:before="360" w:after="320"/>
      <w:contextualSpacing/>
    </w:pPr>
    <w:rPr>
      <w:rFonts w:ascii="Georgia" w:eastAsia="Georgia" w:hAnsi="Georgia" w:cs="Georgia"/>
      <w:i/>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ne.pt/xportal/xmain?xpid=INE&amp;xpgid=ine_destaques&amp;DESTAQUESdest_boui=277695619&amp;DESTAQUESmodo=2" TargetMode="External"/><Relationship Id="rId3" Type="http://schemas.openxmlformats.org/officeDocument/2006/relationships/hyperlink" Target="https://www.ine.pt/xportal/xmain?xpid=INE&amp;xpgid=ine_indicadores&amp;indOcorrCod=0001272&amp;contexto=bd&amp;selTab=tab2" TargetMode="External"/><Relationship Id="rId7" Type="http://schemas.openxmlformats.org/officeDocument/2006/relationships/hyperlink" Target="http://www.ine.es/prensa/np870" TargetMode="External"/><Relationship Id="rId12" Type="http://schemas.openxmlformats.org/officeDocument/2006/relationships/hyperlink" Target="http://www.populationpyramid.net/es/costa-rica/2020/" TargetMode="External"/><Relationship Id="rId2" Type="http://schemas.openxmlformats.org/officeDocument/2006/relationships/hyperlink" Target="http://www.ine.es/jaxiT3/Tabla.htm?t=1489" TargetMode="External"/><Relationship Id="rId1" Type="http://schemas.openxmlformats.org/officeDocument/2006/relationships/hyperlink" Target="http://www.un.org/sustainabledevelopment/es/gender-equality/" TargetMode="External"/><Relationship Id="rId6" Type="http://schemas.openxmlformats.org/officeDocument/2006/relationships/hyperlink" Target="http://www.ine.es/prensa/np870.pdf" TargetMode="External"/><Relationship Id="rId11" Type="http://schemas.openxmlformats.org/officeDocument/2006/relationships/hyperlink" Target="http://www.populationpyramid.net/es/costa-rica/2020/" TargetMode="External"/><Relationship Id="rId5" Type="http://schemas.openxmlformats.org/officeDocument/2006/relationships/hyperlink" Target="http://estadisticas.cepal.org/cepalstat/Perfil_Nacional_Social.html?pais=URY&amp;idioma=spanish" TargetMode="External"/><Relationship Id="rId10" Type="http://schemas.openxmlformats.org/officeDocument/2006/relationships/hyperlink" Target="http://www.populationpyramid.net/es/uruguay/2020/" TargetMode="External"/><Relationship Id="rId4" Type="http://schemas.openxmlformats.org/officeDocument/2006/relationships/hyperlink" Target="http://estadisticas.cepal.org/cepalstat/Perfil_Nacional_Social.html?pais=CRI&amp;idioma=spanish" TargetMode="External"/><Relationship Id="rId9" Type="http://schemas.openxmlformats.org/officeDocument/2006/relationships/hyperlink" Target="http://www.populationpyramid.net/es/uruguay/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8380</Words>
  <Characters>46090</Characters>
  <Application>Microsoft Office Word</Application>
  <DocSecurity>0</DocSecurity>
  <Lines>384</Lines>
  <Paragraphs>108</Paragraphs>
  <ScaleCrop>false</ScaleCrop>
  <Company/>
  <LinksUpToDate>false</LinksUpToDate>
  <CharactersWithSpaces>54362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fernandez</dc:creator>
  <cp:lastModifiedBy>USUARIO1</cp:lastModifiedBy>
  <cp:revision>2</cp:revision>
  <dcterms:created xsi:type="dcterms:W3CDTF">2017-07-13T16:08:00Z</dcterms:created>
  <dcterms:modified xsi:type="dcterms:W3CDTF">2017-07-13T16:08:00Z</dcterms:modified>
</cp:coreProperties>
</file>