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FFC" w:rsidRPr="00E21FFC" w:rsidRDefault="00E21FFC" w:rsidP="00E21FFC">
      <w:pPr>
        <w:spacing w:line="2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s-ES"/>
        </w:rPr>
      </w:pPr>
      <w:r w:rsidRPr="00E21FFC">
        <w:rPr>
          <w:rFonts w:ascii="Times New Roman" w:eastAsia="Times New Roman" w:hAnsi="Times New Roman" w:cs="Times New Roman"/>
          <w:b/>
          <w:color w:val="000000"/>
          <w:lang w:val="en-GB" w:eastAsia="es-ES"/>
        </w:rPr>
        <w:t>TITLE:</w:t>
      </w:r>
    </w:p>
    <w:p w:rsidR="00D47AD8" w:rsidRPr="008F35DF" w:rsidRDefault="00D47AD8" w:rsidP="00D47AD8">
      <w:pPr>
        <w:spacing w:line="26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 w:eastAsia="es-ES"/>
        </w:rPr>
      </w:pPr>
      <w:r w:rsidRPr="008F35D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 w:eastAsia="es-ES"/>
        </w:rPr>
        <w:t>Operation Sophia: a point of inflection in the migrant smuggling in the Mediterranean Sea</w:t>
      </w:r>
    </w:p>
    <w:p w:rsidR="002B31A0" w:rsidRDefault="009D46D7">
      <w:pPr>
        <w:rPr>
          <w:lang w:val="en-GB"/>
        </w:rPr>
      </w:pPr>
      <w:proofErr w:type="spellStart"/>
      <w:r>
        <w:rPr>
          <w:lang w:val="en-GB"/>
        </w:rPr>
        <w:t>Í</w:t>
      </w:r>
      <w:r w:rsidR="002B31A0">
        <w:rPr>
          <w:lang w:val="en-GB"/>
        </w:rPr>
        <w:t>ndice</w:t>
      </w:r>
      <w:proofErr w:type="spellEnd"/>
      <w:r w:rsidR="002B31A0">
        <w:rPr>
          <w:lang w:val="en-GB"/>
        </w:rPr>
        <w:t>:</w:t>
      </w:r>
    </w:p>
    <w:p w:rsidR="002B31A0" w:rsidRDefault="0033097E" w:rsidP="002B31A0">
      <w:pPr>
        <w:pStyle w:val="Prrafodelista"/>
        <w:numPr>
          <w:ilvl w:val="0"/>
          <w:numId w:val="1"/>
        </w:numPr>
        <w:rPr>
          <w:lang w:val="en-GB"/>
        </w:rPr>
      </w:pPr>
      <w:proofErr w:type="spellStart"/>
      <w:r>
        <w:rPr>
          <w:lang w:val="en-GB"/>
        </w:rPr>
        <w:t>Introdu</w:t>
      </w:r>
      <w:r w:rsidR="00D32394">
        <w:rPr>
          <w:lang w:val="en-GB"/>
        </w:rPr>
        <w:t>ci</w:t>
      </w:r>
      <w:r w:rsidR="00FC432A">
        <w:rPr>
          <w:lang w:val="en-GB"/>
        </w:rPr>
        <w:t>ón</w:t>
      </w:r>
      <w:proofErr w:type="spellEnd"/>
    </w:p>
    <w:p w:rsidR="00D253E9" w:rsidRDefault="0076765E" w:rsidP="002B31A0">
      <w:pPr>
        <w:pStyle w:val="Prrafodelista"/>
        <w:numPr>
          <w:ilvl w:val="0"/>
          <w:numId w:val="1"/>
        </w:numPr>
      </w:pPr>
      <w:r>
        <w:t>El papel de las mafias en las c</w:t>
      </w:r>
      <w:r w:rsidR="002B31A0" w:rsidRPr="002B31A0">
        <w:t>orrientes de los flujos migratorios actuales</w:t>
      </w:r>
    </w:p>
    <w:p w:rsidR="002B31A0" w:rsidRDefault="00D253E9" w:rsidP="002B31A0">
      <w:pPr>
        <w:pStyle w:val="Prrafodelista"/>
        <w:numPr>
          <w:ilvl w:val="0"/>
          <w:numId w:val="1"/>
        </w:numPr>
      </w:pPr>
      <w:r>
        <w:t>Estructuras, instrumentos y agencias</w:t>
      </w:r>
      <w:r w:rsidR="002B31A0" w:rsidRPr="002B31A0">
        <w:t xml:space="preserve"> (</w:t>
      </w:r>
      <w:proofErr w:type="spellStart"/>
      <w:r w:rsidR="002B31A0" w:rsidRPr="002B31A0">
        <w:t>Frontex</w:t>
      </w:r>
      <w:proofErr w:type="spellEnd"/>
      <w:r w:rsidR="002B31A0" w:rsidRPr="002B31A0">
        <w:t xml:space="preserve">, </w:t>
      </w:r>
      <w:proofErr w:type="spellStart"/>
      <w:r w:rsidR="002B31A0" w:rsidRPr="002B31A0">
        <w:t>Europol</w:t>
      </w:r>
      <w:proofErr w:type="spellEnd"/>
      <w:r w:rsidR="002B31A0" w:rsidRPr="002B31A0">
        <w:t xml:space="preserve">, </w:t>
      </w:r>
      <w:proofErr w:type="spellStart"/>
      <w:r w:rsidR="002B31A0" w:rsidRPr="002B31A0">
        <w:t>Eurojust</w:t>
      </w:r>
      <w:proofErr w:type="spellEnd"/>
      <w:r w:rsidR="002B31A0" w:rsidRPr="002B31A0">
        <w:t xml:space="preserve">, </w:t>
      </w:r>
      <w:proofErr w:type="spellStart"/>
      <w:r w:rsidR="002B31A0" w:rsidRPr="002B31A0">
        <w:t>Cepol</w:t>
      </w:r>
      <w:proofErr w:type="spellEnd"/>
      <w:r w:rsidR="002B31A0" w:rsidRPr="002B31A0">
        <w:t>, y la Agencia Europea de guardas y costas)</w:t>
      </w:r>
    </w:p>
    <w:p w:rsidR="002160EB" w:rsidRPr="002B31A0" w:rsidRDefault="002160EB" w:rsidP="002B31A0">
      <w:pPr>
        <w:pStyle w:val="Prrafodelista"/>
        <w:numPr>
          <w:ilvl w:val="0"/>
          <w:numId w:val="1"/>
        </w:numPr>
      </w:pPr>
      <w:r>
        <w:t>L a financiación de las misiones militares en la UE</w:t>
      </w:r>
    </w:p>
    <w:p w:rsidR="002B31A0" w:rsidRDefault="006D0E96" w:rsidP="002B31A0">
      <w:pPr>
        <w:pStyle w:val="Prrafodelista"/>
        <w:numPr>
          <w:ilvl w:val="0"/>
          <w:numId w:val="1"/>
        </w:numPr>
      </w:pPr>
      <w:r>
        <w:t xml:space="preserve">Las misiones de la PCSD: El caso concreto de la Operación </w:t>
      </w:r>
      <w:proofErr w:type="spellStart"/>
      <w:r>
        <w:t>Sophia</w:t>
      </w:r>
      <w:proofErr w:type="spellEnd"/>
      <w:r>
        <w:t>. Funciones y disfunciones</w:t>
      </w:r>
    </w:p>
    <w:p w:rsidR="006D0E96" w:rsidRDefault="006D0E96" w:rsidP="002B31A0">
      <w:pPr>
        <w:pStyle w:val="Prrafodelista"/>
        <w:numPr>
          <w:ilvl w:val="0"/>
          <w:numId w:val="1"/>
        </w:numPr>
      </w:pPr>
      <w:r>
        <w:t>¿Reforma del sector de la Seguridad?</w:t>
      </w:r>
    </w:p>
    <w:p w:rsidR="006D0E96" w:rsidRPr="002B31A0" w:rsidRDefault="006D0E96" w:rsidP="002B31A0">
      <w:pPr>
        <w:pStyle w:val="Prrafodelista"/>
        <w:numPr>
          <w:ilvl w:val="0"/>
          <w:numId w:val="1"/>
        </w:numPr>
      </w:pPr>
      <w:r>
        <w:t>Cooperación de la UE con otras Organizaciones Internacionales. Caso de estudio</w:t>
      </w:r>
      <w:r w:rsidR="00182944">
        <w:t>:</w:t>
      </w:r>
      <w:r>
        <w:t xml:space="preserve"> La OTAN</w:t>
      </w:r>
    </w:p>
    <w:p w:rsidR="008424C4" w:rsidRPr="0066575B" w:rsidRDefault="008424C4" w:rsidP="0066575B">
      <w:pPr>
        <w:spacing w:line="26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66575B">
        <w:rPr>
          <w:rFonts w:ascii="Times New Roman" w:eastAsia="Times New Roman" w:hAnsi="Times New Roman" w:cs="Times New Roman"/>
          <w:b/>
          <w:color w:val="000000"/>
          <w:lang w:eastAsia="es-ES"/>
        </w:rPr>
        <w:t>Resumen</w:t>
      </w:r>
    </w:p>
    <w:p w:rsidR="008424C4" w:rsidRPr="0066575B" w:rsidRDefault="008424C4" w:rsidP="0066575B">
      <w:pPr>
        <w:spacing w:line="260" w:lineRule="atLeast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 xml:space="preserve">En la sociedad del S. XXI se sigue cuestionando la capacidad de la UE como agente global en distintas áreas como en el ámbito de los Derechos Humanos, o en la esfera militar. Por ejemplo, las misiones de la </w:t>
      </w:r>
      <w:r w:rsidR="00A82F13">
        <w:rPr>
          <w:rFonts w:ascii="Times New Roman" w:eastAsia="Times New Roman" w:hAnsi="Times New Roman" w:cs="Times New Roman"/>
          <w:color w:val="000000"/>
          <w:lang w:eastAsia="es-ES"/>
        </w:rPr>
        <w:t>Política Común de Seguridad y de Defensa (</w:t>
      </w:r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>PCSD</w:t>
      </w:r>
      <w:r w:rsidR="00A82F13">
        <w:rPr>
          <w:rFonts w:ascii="Times New Roman" w:eastAsia="Times New Roman" w:hAnsi="Times New Roman" w:cs="Times New Roman"/>
          <w:color w:val="000000"/>
          <w:lang w:eastAsia="es-ES"/>
        </w:rPr>
        <w:t>)</w:t>
      </w:r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 xml:space="preserve"> siguen sin responder a una unidad de acción, las mismas son incompletas y los presupuestos siguen financiándose en base a las decisiones unilaterales de los estados miembros principalmente y</w:t>
      </w:r>
      <w:r w:rsidR="00FF145F">
        <w:rPr>
          <w:rFonts w:ascii="Times New Roman" w:eastAsia="Times New Roman" w:hAnsi="Times New Roman" w:cs="Times New Roman"/>
          <w:color w:val="000000"/>
          <w:lang w:eastAsia="es-ES"/>
        </w:rPr>
        <w:t>,</w:t>
      </w:r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 xml:space="preserve"> por tanto</w:t>
      </w:r>
      <w:r w:rsidR="00FF145F">
        <w:rPr>
          <w:rFonts w:ascii="Times New Roman" w:eastAsia="Times New Roman" w:hAnsi="Times New Roman" w:cs="Times New Roman"/>
          <w:color w:val="000000"/>
          <w:lang w:eastAsia="es-ES"/>
        </w:rPr>
        <w:t>,</w:t>
      </w:r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 xml:space="preserve"> carecen de un presupuesto común. Conseguir una mayor coherencia entre las políticas exteriores de la Unión y las misiones de paz sigue siendo uno de los principales retos (Art. 21 del TUE). Europa debe ser fuerte dentro y fuera. Y no puede convertirse en un páramo “con hermosas iglesias, castillos y buen vino, pero páramo al fin y al cabo”, en palabras de </w:t>
      </w:r>
      <w:proofErr w:type="spellStart"/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>Susan</w:t>
      </w:r>
      <w:proofErr w:type="spellEnd"/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 xml:space="preserve"> George. Ni tampoco ser presa de pura imagen.</w:t>
      </w:r>
    </w:p>
    <w:p w:rsidR="008424C4" w:rsidRPr="0066575B" w:rsidRDefault="008424C4" w:rsidP="0066575B">
      <w:pPr>
        <w:spacing w:line="2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>La UE ha tenido débiles resultados como actor de seguridad internacional, sin embar</w:t>
      </w:r>
      <w:r w:rsidR="00FF145F">
        <w:rPr>
          <w:rFonts w:ascii="Times New Roman" w:eastAsia="Times New Roman" w:hAnsi="Times New Roman" w:cs="Times New Roman"/>
          <w:color w:val="000000"/>
          <w:lang w:eastAsia="es-ES"/>
        </w:rPr>
        <w:t>go, el 22 de Junio de 2015 la Unión</w:t>
      </w:r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 xml:space="preserve"> puso en marcha una misión militar naval sin precedentes denominada EUNAVFOR MED con objeto de encarar las mafias dedicadas al tráfico y contrabando de seres humanos en el Mediterráneo central y salvaguardar la vida de aquellos que no dudan en lanzarse a la aventura de cruzar los mares y tratar de llegar a suelo comunitario, en busca de oportunidades</w:t>
      </w:r>
      <w:r w:rsidR="00FF145F">
        <w:rPr>
          <w:rFonts w:ascii="Times New Roman" w:eastAsia="Times New Roman" w:hAnsi="Times New Roman" w:cs="Times New Roman"/>
          <w:color w:val="000000"/>
          <w:lang w:eastAsia="es-ES"/>
        </w:rPr>
        <w:t xml:space="preserve">. Esta operación precursora de una política exterior de la Unión más </w:t>
      </w:r>
      <w:r w:rsidR="001250EA">
        <w:rPr>
          <w:rFonts w:ascii="Times New Roman" w:eastAsia="Times New Roman" w:hAnsi="Times New Roman" w:cs="Times New Roman"/>
          <w:color w:val="000000"/>
          <w:lang w:eastAsia="es-ES"/>
        </w:rPr>
        <w:t>firme</w:t>
      </w:r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 xml:space="preserve">, conocida como operación </w:t>
      </w:r>
      <w:proofErr w:type="spellStart"/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>Sophia</w:t>
      </w:r>
      <w:proofErr w:type="spellEnd"/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>, puede suponer un impacto en la PESC que, en estos momentos, no alcanzamos a valorar en toda su magnitud.</w:t>
      </w:r>
    </w:p>
    <w:p w:rsidR="008424C4" w:rsidRPr="0066575B" w:rsidRDefault="008424C4" w:rsidP="0066575B">
      <w:pPr>
        <w:spacing w:line="2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 xml:space="preserve">Tomando como punto de partida el  contexto internacional actual, examinar los antecedentes europeos que han hecho posible esta inédita misión para desembocar en el análisis de las estructuras, instrumentos y agencias, así como en la implementación de esta operación militar- legal y legítima- en curso, son algunos de los objetivos más inmediatos que pretendo llevar a cabo. Investigar el alcance de esta operación probablemente signifique un punto de inflexión y represente </w:t>
      </w:r>
      <w:r w:rsidR="001F1259">
        <w:rPr>
          <w:rFonts w:ascii="Times New Roman" w:eastAsia="Times New Roman" w:hAnsi="Times New Roman" w:cs="Times New Roman"/>
          <w:color w:val="000000"/>
          <w:lang w:eastAsia="es-ES"/>
        </w:rPr>
        <w:t xml:space="preserve">en el futuro </w:t>
      </w:r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 xml:space="preserve">un cambio de gran alcance en el ámbito político, jurídico y militar de la UE como sistema político.  </w:t>
      </w:r>
    </w:p>
    <w:p w:rsidR="008424C4" w:rsidRPr="0066575B" w:rsidRDefault="008424C4" w:rsidP="0066575B">
      <w:pPr>
        <w:spacing w:line="2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 xml:space="preserve">Aspectos como la gestión de las fronteras, la trata de personas, la cooperación técnica, el papel de las mafias y la problemática que se genera alrededor de los refugiados son asuntos de gran calado y serán analizados con profundidad en este estudio. No olvidemos que, según un informe de </w:t>
      </w:r>
      <w:proofErr w:type="spellStart"/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>Europol</w:t>
      </w:r>
      <w:proofErr w:type="spellEnd"/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 xml:space="preserve"> de 2016 más del 90% de los migrantes que llegan a la UE lo hacen a través de las mafias. El nexo entre la seguridad y el desarrollo es ampliamente reconocido por la UE. Sin </w:t>
      </w:r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lastRenderedPageBreak/>
        <w:t>embargo hay una dispersión del marco estratégico de la UE y más específicamente es necesaria una reforma del sector de la seguridad.</w:t>
      </w:r>
    </w:p>
    <w:p w:rsidR="008424C4" w:rsidRPr="0066575B" w:rsidRDefault="008424C4" w:rsidP="0066575B">
      <w:pPr>
        <w:spacing w:line="26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66575B">
        <w:rPr>
          <w:rFonts w:ascii="Times New Roman" w:eastAsia="Times New Roman" w:hAnsi="Times New Roman" w:cs="Times New Roman"/>
          <w:color w:val="000000"/>
          <w:lang w:eastAsia="es-ES"/>
        </w:rPr>
        <w:t>Al margen de otras posibles teorías de las Relaciones Internacionales que también podrían ser apropiadas nuestro estudio será analizado bajo el paraguas de la Teoría de Seguridad Regional.</w:t>
      </w:r>
    </w:p>
    <w:p w:rsidR="002B31A0" w:rsidRPr="002B31A0" w:rsidRDefault="002B31A0"/>
    <w:p w:rsidR="00863999" w:rsidRPr="00FF145F" w:rsidRDefault="00482BE5">
      <w:pPr>
        <w:rPr>
          <w:b/>
        </w:rPr>
      </w:pPr>
      <w:r w:rsidRPr="00FF145F">
        <w:rPr>
          <w:b/>
        </w:rPr>
        <w:t>Introducción:</w:t>
      </w:r>
    </w:p>
    <w:p w:rsidR="00482BE5" w:rsidRDefault="00482BE5" w:rsidP="0069355C">
      <w:pPr>
        <w:pStyle w:val="Default"/>
        <w:jc w:val="both"/>
        <w:rPr>
          <w:rFonts w:ascii="Times New Roman" w:eastAsia="Times New Roman" w:hAnsi="Times New Roman" w:cs="Times New Roman"/>
          <w:lang w:eastAsia="es-ES"/>
        </w:rPr>
      </w:pPr>
      <w:r w:rsidRPr="00CB1A9A">
        <w:rPr>
          <w:rFonts w:ascii="Times New Roman" w:eastAsia="Times New Roman" w:hAnsi="Times New Roman" w:cs="Times New Roman"/>
          <w:lang w:eastAsia="es-ES"/>
        </w:rPr>
        <w:t>«Hoy, la UE ha reaccionado enérgicamente frente a las tragedias de las que hemos sido testigos en los últimos días. Tenemos que actuar con rapidez, y hacerlo juntos». Estas fueron las palabras, el 20 de Abril de 2015, de la actu</w:t>
      </w:r>
      <w:r w:rsidR="006C3670">
        <w:rPr>
          <w:rFonts w:ascii="Times New Roman" w:eastAsia="Times New Roman" w:hAnsi="Times New Roman" w:cs="Times New Roman"/>
          <w:lang w:eastAsia="es-ES"/>
        </w:rPr>
        <w:t>al “Ministra</w:t>
      </w:r>
      <w:r w:rsidRPr="00CB1A9A">
        <w:rPr>
          <w:rFonts w:ascii="Times New Roman" w:eastAsia="Times New Roman" w:hAnsi="Times New Roman" w:cs="Times New Roman"/>
          <w:lang w:eastAsia="es-ES"/>
        </w:rPr>
        <w:t xml:space="preserve"> de Asuntos Exteriores” de la UE como consecuencia de la gran tragedia que aconteció unos días antes –la muerte de </w:t>
      </w:r>
      <w:r w:rsidR="00EB49F2" w:rsidRPr="00CB1A9A">
        <w:rPr>
          <w:rFonts w:ascii="Times New Roman" w:eastAsia="Times New Roman" w:hAnsi="Times New Roman" w:cs="Times New Roman"/>
          <w:lang w:eastAsia="es-ES"/>
        </w:rPr>
        <w:t xml:space="preserve">cientos de personas que saliendo de las costas libias se disponían hacia Italia en busca de una vida mejor. En ese Consejo de carácter extraordinario </w:t>
      </w:r>
      <w:r w:rsidR="001F6222" w:rsidRPr="00CB1A9A">
        <w:rPr>
          <w:rFonts w:ascii="Times New Roman" w:eastAsia="Times New Roman" w:hAnsi="Times New Roman" w:cs="Times New Roman"/>
          <w:lang w:eastAsia="es-ES"/>
        </w:rPr>
        <w:t xml:space="preserve">y conjunto </w:t>
      </w:r>
      <w:r w:rsidR="00EB49F2" w:rsidRPr="00CB1A9A">
        <w:rPr>
          <w:rFonts w:ascii="Times New Roman" w:eastAsia="Times New Roman" w:hAnsi="Times New Roman" w:cs="Times New Roman"/>
          <w:lang w:eastAsia="es-ES"/>
        </w:rPr>
        <w:t xml:space="preserve">de los Ministros de Asuntos Exteriores y de los Ministros </w:t>
      </w:r>
      <w:r w:rsidR="001F6222" w:rsidRPr="00CB1A9A">
        <w:rPr>
          <w:rFonts w:ascii="Times New Roman" w:eastAsia="Times New Roman" w:hAnsi="Times New Roman" w:cs="Times New Roman"/>
          <w:lang w:eastAsia="es-ES"/>
        </w:rPr>
        <w:t>de Interior de la UE</w:t>
      </w:r>
      <w:r w:rsidR="004E2E93" w:rsidRPr="00CB1A9A">
        <w:rPr>
          <w:rFonts w:ascii="Times New Roman" w:eastAsia="Times New Roman" w:hAnsi="Times New Roman" w:cs="Times New Roman"/>
          <w:lang w:eastAsia="es-ES"/>
        </w:rPr>
        <w:footnoteReference w:id="1"/>
      </w:r>
      <w:r w:rsidR="001F6222" w:rsidRPr="00CB1A9A">
        <w:rPr>
          <w:rFonts w:ascii="Times New Roman" w:eastAsia="Times New Roman" w:hAnsi="Times New Roman" w:cs="Times New Roman"/>
          <w:lang w:eastAsia="es-ES"/>
        </w:rPr>
        <w:t xml:space="preserve"> se decide</w:t>
      </w:r>
      <w:r w:rsidR="00EB49F2" w:rsidRPr="00CB1A9A">
        <w:rPr>
          <w:rFonts w:ascii="Times New Roman" w:eastAsia="Times New Roman" w:hAnsi="Times New Roman" w:cs="Times New Roman"/>
          <w:lang w:eastAsia="es-ES"/>
        </w:rPr>
        <w:t xml:space="preserve">, </w:t>
      </w:r>
      <w:r w:rsidR="006C3670">
        <w:rPr>
          <w:rFonts w:ascii="Times New Roman" w:eastAsia="Times New Roman" w:hAnsi="Times New Roman" w:cs="Times New Roman"/>
          <w:lang w:eastAsia="es-ES"/>
        </w:rPr>
        <w:t>“</w:t>
      </w:r>
      <w:r w:rsidR="00EB49F2" w:rsidRPr="00CB1A9A">
        <w:rPr>
          <w:rFonts w:ascii="Times New Roman" w:eastAsia="Times New Roman" w:hAnsi="Times New Roman" w:cs="Times New Roman"/>
          <w:lang w:eastAsia="es-ES"/>
        </w:rPr>
        <w:t>coger la sartén por el mango</w:t>
      </w:r>
      <w:r w:rsidR="006C3670">
        <w:rPr>
          <w:rFonts w:ascii="Times New Roman" w:eastAsia="Times New Roman" w:hAnsi="Times New Roman" w:cs="Times New Roman"/>
          <w:lang w:eastAsia="es-ES"/>
        </w:rPr>
        <w:t>”</w:t>
      </w:r>
      <w:r w:rsidR="00EB49F2" w:rsidRPr="00CB1A9A">
        <w:rPr>
          <w:rFonts w:ascii="Times New Roman" w:eastAsia="Times New Roman" w:hAnsi="Times New Roman" w:cs="Times New Roman"/>
          <w:lang w:eastAsia="es-ES"/>
        </w:rPr>
        <w:t>, aunque tarde y se determina, coincidiendo con</w:t>
      </w:r>
      <w:r w:rsidR="00614826">
        <w:rPr>
          <w:rFonts w:ascii="Times New Roman" w:eastAsia="Times New Roman" w:hAnsi="Times New Roman" w:cs="Times New Roman"/>
          <w:lang w:eastAsia="es-ES"/>
        </w:rPr>
        <w:t xml:space="preserve"> la Presidencia Letona, aumentar </w:t>
      </w:r>
      <w:r w:rsidR="00EB49F2" w:rsidRPr="00CB1A9A">
        <w:rPr>
          <w:rFonts w:ascii="Times New Roman" w:eastAsia="Times New Roman" w:hAnsi="Times New Roman" w:cs="Times New Roman"/>
          <w:lang w:eastAsia="es-ES"/>
        </w:rPr>
        <w:t xml:space="preserve">la lucha contra la trata de seres humanos, salvar vidas en el mar </w:t>
      </w:r>
      <w:r w:rsidR="001F6222" w:rsidRPr="00CB1A9A">
        <w:rPr>
          <w:rFonts w:ascii="Times New Roman" w:eastAsia="Times New Roman" w:hAnsi="Times New Roman" w:cs="Times New Roman"/>
          <w:lang w:eastAsia="es-ES"/>
        </w:rPr>
        <w:t xml:space="preserve">Mediterráneo </w:t>
      </w:r>
      <w:r w:rsidR="00EB49F2" w:rsidRPr="00CB1A9A">
        <w:rPr>
          <w:rFonts w:ascii="Times New Roman" w:eastAsia="Times New Roman" w:hAnsi="Times New Roman" w:cs="Times New Roman"/>
          <w:lang w:eastAsia="es-ES"/>
        </w:rPr>
        <w:t>y compartir el reasentamiento de los refugiados en la Unión</w:t>
      </w:r>
      <w:r w:rsidR="006C3670">
        <w:rPr>
          <w:rFonts w:ascii="Times New Roman" w:eastAsia="Times New Roman" w:hAnsi="Times New Roman" w:cs="Times New Roman"/>
          <w:lang w:eastAsia="es-ES"/>
        </w:rPr>
        <w:t xml:space="preserve"> –que tan problemático viene siendo-</w:t>
      </w:r>
      <w:r w:rsidR="00EB49F2" w:rsidRPr="00CB1A9A">
        <w:rPr>
          <w:rFonts w:ascii="Times New Roman" w:eastAsia="Times New Roman" w:hAnsi="Times New Roman" w:cs="Times New Roman"/>
          <w:lang w:eastAsia="es-ES"/>
        </w:rPr>
        <w:t xml:space="preserve">. </w:t>
      </w:r>
      <w:r w:rsidR="001F6222" w:rsidRPr="00CB1A9A">
        <w:rPr>
          <w:rFonts w:ascii="Times New Roman" w:eastAsia="Times New Roman" w:hAnsi="Times New Roman" w:cs="Times New Roman"/>
          <w:lang w:eastAsia="es-ES"/>
        </w:rPr>
        <w:t>Por primera vez</w:t>
      </w:r>
      <w:r w:rsidR="002D0087" w:rsidRPr="00CB1A9A">
        <w:rPr>
          <w:rFonts w:ascii="Times New Roman" w:eastAsia="Times New Roman" w:hAnsi="Times New Roman" w:cs="Times New Roman"/>
          <w:lang w:eastAsia="es-ES"/>
        </w:rPr>
        <w:t>,</w:t>
      </w:r>
      <w:r w:rsidR="00E665BC" w:rsidRPr="00CB1A9A">
        <w:rPr>
          <w:rFonts w:ascii="Times New Roman" w:eastAsia="Times New Roman" w:hAnsi="Times New Roman" w:cs="Times New Roman"/>
          <w:lang w:eastAsia="es-ES"/>
        </w:rPr>
        <w:t xml:space="preserve"> como se verá más tarde,</w:t>
      </w:r>
      <w:r w:rsidR="001F6222" w:rsidRPr="00CB1A9A">
        <w:rPr>
          <w:rFonts w:ascii="Times New Roman" w:eastAsia="Times New Roman" w:hAnsi="Times New Roman" w:cs="Times New Roman"/>
          <w:lang w:eastAsia="es-ES"/>
        </w:rPr>
        <w:t xml:space="preserve"> el sistema político, entonces a 28</w:t>
      </w:r>
      <w:r w:rsidR="009B78B2" w:rsidRPr="00CB1A9A">
        <w:rPr>
          <w:rFonts w:ascii="Times New Roman" w:eastAsia="Times New Roman" w:hAnsi="Times New Roman" w:cs="Times New Roman"/>
          <w:lang w:eastAsia="es-ES"/>
        </w:rPr>
        <w:t xml:space="preserve"> y ahora a 27 con la salida del Reino Unido,</w:t>
      </w:r>
      <w:r w:rsidR="001F6222" w:rsidRPr="00CB1A9A">
        <w:rPr>
          <w:rFonts w:ascii="Times New Roman" w:eastAsia="Times New Roman" w:hAnsi="Times New Roman" w:cs="Times New Roman"/>
          <w:lang w:eastAsia="es-ES"/>
        </w:rPr>
        <w:t xml:space="preserve"> e</w:t>
      </w:r>
      <w:r w:rsidR="00515823" w:rsidRPr="00CB1A9A">
        <w:rPr>
          <w:rFonts w:ascii="Times New Roman" w:eastAsia="Times New Roman" w:hAnsi="Times New Roman" w:cs="Times New Roman"/>
          <w:lang w:eastAsia="es-ES"/>
        </w:rPr>
        <w:t>stima la posibilidad de apoyo a</w:t>
      </w:r>
      <w:r w:rsidR="001F6222" w:rsidRPr="00CB1A9A">
        <w:rPr>
          <w:rFonts w:ascii="Times New Roman" w:eastAsia="Times New Roman" w:hAnsi="Times New Roman" w:cs="Times New Roman"/>
          <w:lang w:eastAsia="es-ES"/>
        </w:rPr>
        <w:t xml:space="preserve"> Libia, actual estado “fracasado” a la formación de un gobierno de unidad nacional.</w:t>
      </w:r>
      <w:r w:rsidR="002D0087" w:rsidRPr="00CB1A9A">
        <w:rPr>
          <w:rFonts w:ascii="Times New Roman" w:eastAsia="Times New Roman" w:hAnsi="Times New Roman" w:cs="Times New Roman"/>
          <w:lang w:eastAsia="es-ES"/>
        </w:rPr>
        <w:t xml:space="preserve"> Recordemos que Libia es la principal ruta de migración irregular desde África hacia la UE</w:t>
      </w:r>
      <w:r w:rsidR="0069355C">
        <w:rPr>
          <w:rFonts w:ascii="Times New Roman" w:eastAsia="Times New Roman" w:hAnsi="Times New Roman" w:cs="Times New Roman"/>
          <w:lang w:eastAsia="es-ES"/>
        </w:rPr>
        <w:t xml:space="preserve"> y uno de los focos donde el </w:t>
      </w:r>
      <w:proofErr w:type="spellStart"/>
      <w:r w:rsidR="0069355C">
        <w:rPr>
          <w:rFonts w:ascii="Times New Roman" w:eastAsia="Times New Roman" w:hAnsi="Times New Roman" w:cs="Times New Roman"/>
          <w:lang w:eastAsia="es-ES"/>
        </w:rPr>
        <w:t>yihadismo</w:t>
      </w:r>
      <w:proofErr w:type="spellEnd"/>
      <w:r w:rsidR="0069355C">
        <w:rPr>
          <w:rFonts w:ascii="Times New Roman" w:eastAsia="Times New Roman" w:hAnsi="Times New Roman" w:cs="Times New Roman"/>
          <w:lang w:eastAsia="es-ES"/>
        </w:rPr>
        <w:t xml:space="preserve"> ha ido en aumento</w:t>
      </w:r>
      <w:r w:rsidR="00B00B6A">
        <w:rPr>
          <w:rStyle w:val="Refdenotaalpie"/>
          <w:rFonts w:ascii="Times New Roman" w:eastAsia="Times New Roman" w:hAnsi="Times New Roman" w:cs="Times New Roman"/>
          <w:lang w:eastAsia="es-ES"/>
        </w:rPr>
        <w:footnoteReference w:id="2"/>
      </w:r>
      <w:r w:rsidR="0069355C">
        <w:rPr>
          <w:rFonts w:ascii="Times New Roman" w:eastAsia="Times New Roman" w:hAnsi="Times New Roman" w:cs="Times New Roman"/>
          <w:lang w:eastAsia="es-ES"/>
        </w:rPr>
        <w:t xml:space="preserve">, especialmente de la mano de </w:t>
      </w:r>
      <w:proofErr w:type="spellStart"/>
      <w:r w:rsidR="0069355C">
        <w:rPr>
          <w:rFonts w:ascii="Times New Roman" w:eastAsia="Times New Roman" w:hAnsi="Times New Roman" w:cs="Times New Roman"/>
          <w:lang w:eastAsia="es-ES"/>
        </w:rPr>
        <w:t>Ansar</w:t>
      </w:r>
      <w:proofErr w:type="spellEnd"/>
      <w:r w:rsidR="0069355C">
        <w:rPr>
          <w:rFonts w:ascii="Times New Roman" w:eastAsia="Times New Roman" w:hAnsi="Times New Roman" w:cs="Times New Roman"/>
          <w:lang w:eastAsia="es-ES"/>
        </w:rPr>
        <w:t xml:space="preserve"> al </w:t>
      </w:r>
      <w:proofErr w:type="spellStart"/>
      <w:r w:rsidR="0069355C">
        <w:rPr>
          <w:rFonts w:ascii="Times New Roman" w:eastAsia="Times New Roman" w:hAnsi="Times New Roman" w:cs="Times New Roman"/>
          <w:lang w:eastAsia="es-ES"/>
        </w:rPr>
        <w:t>Sharia</w:t>
      </w:r>
      <w:proofErr w:type="spellEnd"/>
      <w:r w:rsidR="0069355C">
        <w:rPr>
          <w:rFonts w:ascii="Times New Roman" w:eastAsia="Times New Roman" w:hAnsi="Times New Roman" w:cs="Times New Roman"/>
          <w:lang w:eastAsia="es-ES"/>
        </w:rPr>
        <w:t xml:space="preserve"> y sus vinculaciones con  </w:t>
      </w:r>
      <w:r w:rsidR="0069355C" w:rsidRPr="0069355C">
        <w:rPr>
          <w:rFonts w:ascii="Times New Roman" w:eastAsia="Times New Roman" w:hAnsi="Times New Roman" w:cs="Times New Roman"/>
          <w:lang w:eastAsia="es-ES"/>
        </w:rPr>
        <w:t xml:space="preserve"> </w:t>
      </w:r>
      <w:proofErr w:type="spellStart"/>
      <w:r w:rsidR="0069355C" w:rsidRPr="0069355C">
        <w:rPr>
          <w:rFonts w:ascii="Times New Roman" w:eastAsia="Times New Roman" w:hAnsi="Times New Roman" w:cs="Times New Roman"/>
          <w:lang w:eastAsia="es-ES"/>
        </w:rPr>
        <w:t>con</w:t>
      </w:r>
      <w:proofErr w:type="spellEnd"/>
      <w:r w:rsidR="0069355C" w:rsidRPr="0069355C">
        <w:rPr>
          <w:rFonts w:ascii="Times New Roman" w:eastAsia="Times New Roman" w:hAnsi="Times New Roman" w:cs="Times New Roman"/>
          <w:lang w:eastAsia="es-ES"/>
        </w:rPr>
        <w:t xml:space="preserve"> otros grupos </w:t>
      </w:r>
      <w:proofErr w:type="spellStart"/>
      <w:r w:rsidR="0069355C" w:rsidRPr="0069355C">
        <w:rPr>
          <w:rFonts w:ascii="Times New Roman" w:eastAsia="Times New Roman" w:hAnsi="Times New Roman" w:cs="Times New Roman"/>
          <w:lang w:eastAsia="es-ES"/>
        </w:rPr>
        <w:t>yihadistas</w:t>
      </w:r>
      <w:proofErr w:type="spellEnd"/>
      <w:r w:rsidR="0069355C" w:rsidRPr="0069355C">
        <w:rPr>
          <w:rFonts w:ascii="Times New Roman" w:eastAsia="Times New Roman" w:hAnsi="Times New Roman" w:cs="Times New Roman"/>
          <w:lang w:eastAsia="es-ES"/>
        </w:rPr>
        <w:t xml:space="preserve"> como Al Qaeda en el Magreb y el autoproclamado Estado Islámico (</w:t>
      </w:r>
      <w:proofErr w:type="spellStart"/>
      <w:r w:rsidR="0069355C" w:rsidRPr="0069355C">
        <w:rPr>
          <w:rFonts w:ascii="Times New Roman" w:eastAsia="Times New Roman" w:hAnsi="Times New Roman" w:cs="Times New Roman"/>
          <w:lang w:eastAsia="es-ES"/>
        </w:rPr>
        <w:t>Daesh</w:t>
      </w:r>
      <w:proofErr w:type="spellEnd"/>
      <w:r w:rsidR="0069355C" w:rsidRPr="0069355C">
        <w:rPr>
          <w:rFonts w:ascii="Times New Roman" w:eastAsia="Times New Roman" w:hAnsi="Times New Roman" w:cs="Times New Roman"/>
          <w:lang w:eastAsia="es-ES"/>
        </w:rPr>
        <w:t>).</w:t>
      </w:r>
    </w:p>
    <w:p w:rsidR="0069355C" w:rsidRDefault="0069355C" w:rsidP="0069355C">
      <w:pPr>
        <w:pStyle w:val="Default"/>
        <w:rPr>
          <w:rFonts w:ascii="Times New Roman" w:eastAsia="Times New Roman" w:hAnsi="Times New Roman" w:cs="Times New Roman"/>
          <w:lang w:eastAsia="es-ES"/>
        </w:rPr>
      </w:pPr>
    </w:p>
    <w:p w:rsidR="009E5471" w:rsidRDefault="00676A42" w:rsidP="00676A42">
      <w:pPr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>
        <w:rPr>
          <w:rFonts w:ascii="Times New Roman" w:eastAsia="Times New Roman" w:hAnsi="Times New Roman" w:cs="Times New Roman"/>
          <w:color w:val="000000"/>
          <w:lang w:eastAsia="es-ES"/>
        </w:rPr>
        <w:t xml:space="preserve">Brevemente, conviene reseñar algunas de las cuestiones </w:t>
      </w:r>
      <w:r w:rsidR="0029555F">
        <w:rPr>
          <w:rFonts w:ascii="Times New Roman" w:eastAsia="Times New Roman" w:hAnsi="Times New Roman" w:cs="Times New Roman"/>
          <w:color w:val="000000"/>
          <w:lang w:eastAsia="es-ES"/>
        </w:rPr>
        <w:t xml:space="preserve">o enfoques </w:t>
      </w:r>
      <w:r>
        <w:rPr>
          <w:rFonts w:ascii="Times New Roman" w:eastAsia="Times New Roman" w:hAnsi="Times New Roman" w:cs="Times New Roman"/>
          <w:color w:val="000000"/>
          <w:lang w:eastAsia="es-ES"/>
        </w:rPr>
        <w:t xml:space="preserve">que tocan el problema de los flujos migratorios y  </w:t>
      </w:r>
      <w:r w:rsidR="0029555F">
        <w:rPr>
          <w:rFonts w:ascii="Times New Roman" w:eastAsia="Times New Roman" w:hAnsi="Times New Roman" w:cs="Times New Roman"/>
          <w:color w:val="000000"/>
          <w:lang w:eastAsia="es-ES"/>
        </w:rPr>
        <w:t xml:space="preserve">que ayudarían a </w:t>
      </w:r>
      <w:r>
        <w:rPr>
          <w:rFonts w:ascii="Times New Roman" w:eastAsia="Times New Roman" w:hAnsi="Times New Roman" w:cs="Times New Roman"/>
          <w:color w:val="000000"/>
          <w:lang w:eastAsia="es-ES"/>
        </w:rPr>
        <w:t>presentan una aproximación integral de la UE en su abordaje</w:t>
      </w:r>
      <w:r w:rsidR="00F76361">
        <w:rPr>
          <w:rFonts w:ascii="Times New Roman" w:eastAsia="Times New Roman" w:hAnsi="Times New Roman" w:cs="Times New Roman"/>
          <w:color w:val="000000"/>
          <w:lang w:eastAsia="es-ES"/>
        </w:rPr>
        <w:t xml:space="preserve">, desde el punto de vista de la buena voluntad </w:t>
      </w:r>
      <w:r w:rsidR="00490161">
        <w:rPr>
          <w:rFonts w:ascii="Times New Roman" w:eastAsia="Times New Roman" w:hAnsi="Times New Roman" w:cs="Times New Roman"/>
          <w:color w:val="000000"/>
          <w:lang w:eastAsia="es-ES"/>
        </w:rPr>
        <w:t xml:space="preserve">de los actores claves implicados </w:t>
      </w:r>
      <w:r w:rsidR="00F76361">
        <w:rPr>
          <w:rFonts w:ascii="Times New Roman" w:eastAsia="Times New Roman" w:hAnsi="Times New Roman" w:cs="Times New Roman"/>
          <w:color w:val="000000"/>
          <w:lang w:eastAsia="es-ES"/>
        </w:rPr>
        <w:t>como desde el punto de vista de los medios</w:t>
      </w:r>
      <w:r w:rsidR="00490161">
        <w:rPr>
          <w:rFonts w:ascii="Times New Roman" w:eastAsia="Times New Roman" w:hAnsi="Times New Roman" w:cs="Times New Roman"/>
          <w:color w:val="000000"/>
          <w:lang w:eastAsia="es-ES"/>
        </w:rPr>
        <w:t xml:space="preserve"> disponibles</w:t>
      </w:r>
      <w:r w:rsidR="00C85166">
        <w:rPr>
          <w:rFonts w:ascii="Times New Roman" w:eastAsia="Times New Roman" w:hAnsi="Times New Roman" w:cs="Times New Roman"/>
          <w:color w:val="000000"/>
          <w:lang w:eastAsia="es-ES"/>
        </w:rPr>
        <w:t xml:space="preserve"> y del diseño y praxis de las medidas implementada</w:t>
      </w:r>
      <w:r w:rsidR="00A13CA7">
        <w:rPr>
          <w:rFonts w:ascii="Times New Roman" w:eastAsia="Times New Roman" w:hAnsi="Times New Roman" w:cs="Times New Roman"/>
          <w:color w:val="000000"/>
          <w:lang w:eastAsia="es-ES"/>
        </w:rPr>
        <w:t>s, no solo disuasorias o repres</w:t>
      </w:r>
      <w:r w:rsidR="00C85166">
        <w:rPr>
          <w:rFonts w:ascii="Times New Roman" w:eastAsia="Times New Roman" w:hAnsi="Times New Roman" w:cs="Times New Roman"/>
          <w:color w:val="000000"/>
          <w:lang w:eastAsia="es-ES"/>
        </w:rPr>
        <w:t>ivas</w:t>
      </w:r>
      <w:r w:rsidR="00A13CA7">
        <w:rPr>
          <w:rFonts w:ascii="Times New Roman" w:eastAsia="Times New Roman" w:hAnsi="Times New Roman" w:cs="Times New Roman"/>
          <w:color w:val="000000"/>
          <w:lang w:eastAsia="es-ES"/>
        </w:rPr>
        <w:t xml:space="preserve"> que ayuden a entender el drama humanitario</w:t>
      </w:r>
      <w:r w:rsidR="003463AC">
        <w:rPr>
          <w:rFonts w:ascii="Times New Roman" w:eastAsia="Times New Roman" w:hAnsi="Times New Roman" w:cs="Times New Roman"/>
          <w:color w:val="000000"/>
          <w:lang w:eastAsia="es-ES"/>
        </w:rPr>
        <w:t xml:space="preserve"> y a hacer todo lo que se puede hacer</w:t>
      </w:r>
      <w:r w:rsidR="00142960">
        <w:rPr>
          <w:rFonts w:ascii="Times New Roman" w:eastAsia="Times New Roman" w:hAnsi="Times New Roman" w:cs="Times New Roman"/>
          <w:color w:val="000000"/>
          <w:lang w:eastAsia="es-ES"/>
        </w:rPr>
        <w:t>, esto es, más cooperación y más desarrollo</w:t>
      </w:r>
      <w:r>
        <w:rPr>
          <w:rFonts w:ascii="Times New Roman" w:eastAsia="Times New Roman" w:hAnsi="Times New Roman" w:cs="Times New Roman"/>
          <w:color w:val="000000"/>
          <w:lang w:eastAsia="es-ES"/>
        </w:rPr>
        <w:t>. En este sentido, sería conve</w:t>
      </w:r>
      <w:r w:rsidR="0029555F">
        <w:rPr>
          <w:rFonts w:ascii="Times New Roman" w:eastAsia="Times New Roman" w:hAnsi="Times New Roman" w:cs="Times New Roman"/>
          <w:color w:val="000000"/>
          <w:lang w:eastAsia="es-ES"/>
        </w:rPr>
        <w:t>niente: i</w:t>
      </w:r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t>ncrementar la colaboración con la Unión Africana y otras organizaciones regionales africanas, con los países de origen y de tránsito de los</w:t>
      </w:r>
      <w:r w:rsidR="009E5471">
        <w:rPr>
          <w:rFonts w:ascii="Times New Roman" w:eastAsia="Times New Roman" w:hAnsi="Times New Roman" w:cs="Times New Roman"/>
          <w:color w:val="000000"/>
          <w:lang w:eastAsia="es-ES"/>
        </w:rPr>
        <w:t xml:space="preserve"> flujos migratorios </w:t>
      </w:r>
      <w:r w:rsidR="00C953E5">
        <w:rPr>
          <w:rFonts w:ascii="Times New Roman" w:eastAsia="Times New Roman" w:hAnsi="Times New Roman" w:cs="Times New Roman"/>
          <w:color w:val="000000"/>
          <w:lang w:eastAsia="es-ES"/>
        </w:rPr>
        <w:t>-</w:t>
      </w:r>
      <w:r w:rsidR="009E5471">
        <w:rPr>
          <w:rFonts w:ascii="Times New Roman" w:eastAsia="Times New Roman" w:hAnsi="Times New Roman" w:cs="Times New Roman"/>
          <w:color w:val="000000"/>
          <w:lang w:eastAsia="es-ES"/>
        </w:rPr>
        <w:t xml:space="preserve">para así </w:t>
      </w:r>
      <w:r w:rsidR="009E5471" w:rsidRPr="00314609">
        <w:rPr>
          <w:rFonts w:ascii="Times New Roman" w:eastAsia="Times New Roman" w:hAnsi="Times New Roman" w:cs="Times New Roman"/>
          <w:color w:val="000000"/>
          <w:lang w:eastAsia="es-ES"/>
        </w:rPr>
        <w:t>mejorar el control de los flujos y combatir más eficazmente</w:t>
      </w:r>
      <w:r w:rsidR="009E5471">
        <w:rPr>
          <w:rFonts w:ascii="Times New Roman" w:eastAsia="Times New Roman" w:hAnsi="Times New Roman" w:cs="Times New Roman"/>
          <w:color w:val="000000"/>
          <w:lang w:eastAsia="es-ES"/>
        </w:rPr>
        <w:t xml:space="preserve"> a las redes de contrabandistas;- </w:t>
      </w:r>
      <w:r w:rsidR="0029555F">
        <w:rPr>
          <w:rFonts w:ascii="Times New Roman" w:eastAsia="Times New Roman" w:hAnsi="Times New Roman" w:cs="Times New Roman"/>
          <w:color w:val="000000"/>
          <w:lang w:eastAsia="es-ES"/>
        </w:rPr>
        <w:t xml:space="preserve">con la Organización Internacional de Migraciones (OIM), </w:t>
      </w:r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t xml:space="preserve">con </w:t>
      </w:r>
      <w:r w:rsidR="0029555F">
        <w:rPr>
          <w:rFonts w:ascii="Times New Roman" w:eastAsia="Times New Roman" w:hAnsi="Times New Roman" w:cs="Times New Roman"/>
          <w:color w:val="000000"/>
          <w:lang w:eastAsia="es-ES"/>
        </w:rPr>
        <w:t xml:space="preserve">el Comisionado </w:t>
      </w:r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t>de las NNUU para los refugiados</w:t>
      </w:r>
      <w:r w:rsidR="0029555F">
        <w:rPr>
          <w:rFonts w:ascii="Times New Roman" w:eastAsia="Times New Roman" w:hAnsi="Times New Roman" w:cs="Times New Roman"/>
          <w:color w:val="000000"/>
          <w:lang w:eastAsia="es-ES"/>
        </w:rPr>
        <w:t xml:space="preserve"> (</w:t>
      </w:r>
      <w:r w:rsidR="0029555F" w:rsidRPr="00314609">
        <w:rPr>
          <w:rFonts w:ascii="Times New Roman" w:eastAsia="Times New Roman" w:hAnsi="Times New Roman" w:cs="Times New Roman"/>
          <w:color w:val="000000"/>
          <w:lang w:eastAsia="es-ES"/>
        </w:rPr>
        <w:t>UNHCR</w:t>
      </w:r>
      <w:r w:rsidR="0029555F">
        <w:rPr>
          <w:rFonts w:ascii="Times New Roman" w:eastAsia="Times New Roman" w:hAnsi="Times New Roman" w:cs="Times New Roman"/>
          <w:color w:val="000000"/>
          <w:lang w:eastAsia="es-ES"/>
        </w:rPr>
        <w:t>) -</w:t>
      </w:r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t>cuyas áreas de actuación son las migraciones, los refugiados, los desplazados internos, las personas que solicitan asilo y la formación en capacidades relaciona</w:t>
      </w:r>
      <w:r w:rsidR="0029555F">
        <w:rPr>
          <w:rFonts w:ascii="Times New Roman" w:eastAsia="Times New Roman" w:hAnsi="Times New Roman" w:cs="Times New Roman"/>
          <w:color w:val="000000"/>
          <w:lang w:eastAsia="es-ES"/>
        </w:rPr>
        <w:t>das-; intensificar</w:t>
      </w:r>
      <w:r w:rsidRPr="00676A42">
        <w:rPr>
          <w:rFonts w:ascii="Times New Roman" w:eastAsia="Times New Roman" w:hAnsi="Times New Roman" w:cs="Times New Roman"/>
          <w:color w:val="000000"/>
          <w:lang w:eastAsia="es-ES"/>
        </w:rPr>
        <w:t xml:space="preserve"> la presencia de las operaciones de FRONTEX en el </w:t>
      </w:r>
      <w:r w:rsidR="00314609">
        <w:rPr>
          <w:rFonts w:ascii="Times New Roman" w:eastAsia="Times New Roman" w:hAnsi="Times New Roman" w:cs="Times New Roman"/>
          <w:color w:val="000000"/>
          <w:lang w:eastAsia="es-ES"/>
        </w:rPr>
        <w:t>M</w:t>
      </w:r>
      <w:r w:rsidR="0029555F">
        <w:rPr>
          <w:rFonts w:ascii="Times New Roman" w:eastAsia="Times New Roman" w:hAnsi="Times New Roman" w:cs="Times New Roman"/>
          <w:color w:val="000000"/>
          <w:lang w:eastAsia="es-ES"/>
        </w:rPr>
        <w:t>editerráneo, Tritón y Poseidón; alargar</w:t>
      </w:r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t xml:space="preserve"> el apoyo al control de fronteras en la región, incluyendo las misiones de la CSDP en marcha, en particular reforzando EUCAP SAHEL </w:t>
      </w:r>
      <w:proofErr w:type="spellStart"/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t>Niger</w:t>
      </w:r>
      <w:proofErr w:type="spellEnd"/>
      <w:r w:rsidR="00C953E5">
        <w:rPr>
          <w:rFonts w:ascii="Times New Roman" w:eastAsia="Times New Roman" w:hAnsi="Times New Roman" w:cs="Times New Roman"/>
          <w:color w:val="000000"/>
          <w:lang w:eastAsia="es-ES"/>
        </w:rPr>
        <w:t xml:space="preserve">; reflexionar y </w:t>
      </w:r>
      <w:r w:rsidR="0029555F">
        <w:rPr>
          <w:rFonts w:ascii="Times New Roman" w:eastAsia="Times New Roman" w:hAnsi="Times New Roman" w:cs="Times New Roman"/>
          <w:color w:val="000000"/>
          <w:lang w:eastAsia="es-ES"/>
        </w:rPr>
        <w:t>m</w:t>
      </w:r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t>ejor</w:t>
      </w:r>
      <w:r w:rsidR="0029555F">
        <w:rPr>
          <w:rFonts w:ascii="Times New Roman" w:eastAsia="Times New Roman" w:hAnsi="Times New Roman" w:cs="Times New Roman"/>
          <w:color w:val="000000"/>
          <w:lang w:eastAsia="es-ES"/>
        </w:rPr>
        <w:t xml:space="preserve">ar las situaciones de seguridad, </w:t>
      </w:r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t>humanitaria</w:t>
      </w:r>
      <w:r w:rsidR="0029555F">
        <w:rPr>
          <w:rFonts w:ascii="Times New Roman" w:eastAsia="Times New Roman" w:hAnsi="Times New Roman" w:cs="Times New Roman"/>
          <w:color w:val="000000"/>
          <w:lang w:eastAsia="es-ES"/>
        </w:rPr>
        <w:t xml:space="preserve">, </w:t>
      </w:r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t xml:space="preserve">de derechos humanos y socioeconómica en los países de origen para que la población disponga de una opción </w:t>
      </w:r>
      <w:r w:rsidR="00314609">
        <w:rPr>
          <w:rFonts w:ascii="Times New Roman" w:eastAsia="Times New Roman" w:hAnsi="Times New Roman" w:cs="Times New Roman"/>
          <w:color w:val="000000"/>
          <w:lang w:eastAsia="es-ES"/>
        </w:rPr>
        <w:t>de futuro en sus propios países;</w:t>
      </w:r>
      <w:r w:rsidR="0029555F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r w:rsidR="009E5471">
        <w:rPr>
          <w:rFonts w:ascii="Times New Roman" w:eastAsia="Times New Roman" w:hAnsi="Times New Roman" w:cs="Times New Roman"/>
          <w:color w:val="000000"/>
          <w:lang w:eastAsia="es-ES"/>
        </w:rPr>
        <w:t>d</w:t>
      </w:r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t xml:space="preserve">otar de capacidades a los países de origen y tránsito para permitir que las autoridades se enfrenten al </w:t>
      </w:r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lastRenderedPageBreak/>
        <w:t>problema de modo eficaz</w:t>
      </w:r>
      <w:r w:rsidR="00314609">
        <w:rPr>
          <w:rFonts w:ascii="Times New Roman" w:eastAsia="Times New Roman" w:hAnsi="Times New Roman" w:cs="Times New Roman"/>
          <w:color w:val="000000"/>
          <w:lang w:eastAsia="es-ES"/>
        </w:rPr>
        <w:t xml:space="preserve">; </w:t>
      </w:r>
      <w:r w:rsidR="009E5471">
        <w:rPr>
          <w:rFonts w:ascii="Times New Roman" w:eastAsia="Times New Roman" w:hAnsi="Times New Roman" w:cs="Times New Roman"/>
          <w:color w:val="000000"/>
          <w:lang w:eastAsia="es-ES"/>
        </w:rPr>
        <w:t>r</w:t>
      </w:r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t>eforzar la cooperación regional</w:t>
      </w:r>
      <w:r w:rsidR="00A72833">
        <w:rPr>
          <w:rStyle w:val="Refdenotaalpie"/>
          <w:rFonts w:ascii="Times New Roman" w:eastAsia="Times New Roman" w:hAnsi="Times New Roman" w:cs="Times New Roman"/>
          <w:color w:val="000000"/>
          <w:lang w:eastAsia="es-ES"/>
        </w:rPr>
        <w:footnoteReference w:id="3"/>
      </w:r>
      <w:r w:rsidR="00C953E5">
        <w:rPr>
          <w:rFonts w:ascii="Times New Roman" w:eastAsia="Times New Roman" w:hAnsi="Times New Roman" w:cs="Times New Roman"/>
          <w:color w:val="000000"/>
          <w:lang w:eastAsia="es-ES"/>
        </w:rPr>
        <w:t xml:space="preserve"> en el ámbito de la inmigración</w:t>
      </w:r>
      <w:r w:rsidR="009E5471">
        <w:rPr>
          <w:rFonts w:ascii="Times New Roman" w:eastAsia="Times New Roman" w:hAnsi="Times New Roman" w:cs="Times New Roman"/>
          <w:color w:val="000000"/>
          <w:lang w:eastAsia="es-ES"/>
        </w:rPr>
        <w:t>,</w:t>
      </w:r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t xml:space="preserve"> en p</w:t>
      </w:r>
      <w:r w:rsidR="00FA2738">
        <w:rPr>
          <w:rFonts w:ascii="Times New Roman" w:eastAsia="Times New Roman" w:hAnsi="Times New Roman" w:cs="Times New Roman"/>
          <w:color w:val="000000"/>
          <w:lang w:eastAsia="es-ES"/>
        </w:rPr>
        <w:t>articular el proceso</w:t>
      </w:r>
      <w:r w:rsidR="009E5471">
        <w:rPr>
          <w:rFonts w:ascii="Times New Roman" w:eastAsia="Times New Roman" w:hAnsi="Times New Roman" w:cs="Times New Roman"/>
          <w:color w:val="000000"/>
          <w:lang w:eastAsia="es-ES"/>
        </w:rPr>
        <w:t xml:space="preserve"> de Rabat, que inicia su camino en 2006 </w:t>
      </w:r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t xml:space="preserve">y </w:t>
      </w:r>
      <w:r w:rsidR="00FA2738">
        <w:rPr>
          <w:rFonts w:ascii="Times New Roman" w:eastAsia="Times New Roman" w:hAnsi="Times New Roman" w:cs="Times New Roman"/>
          <w:color w:val="000000"/>
          <w:lang w:eastAsia="es-ES"/>
        </w:rPr>
        <w:t xml:space="preserve">la ruta migratoria oriental –el proceso de </w:t>
      </w:r>
      <w:proofErr w:type="spellStart"/>
      <w:r w:rsidR="00314609" w:rsidRPr="00314609">
        <w:rPr>
          <w:rFonts w:ascii="Times New Roman" w:eastAsia="Times New Roman" w:hAnsi="Times New Roman" w:cs="Times New Roman"/>
          <w:color w:val="000000"/>
          <w:lang w:eastAsia="es-ES"/>
        </w:rPr>
        <w:t>Jartún</w:t>
      </w:r>
      <w:proofErr w:type="spellEnd"/>
      <w:r w:rsidR="00A72833">
        <w:rPr>
          <w:rFonts w:ascii="Times New Roman" w:eastAsia="Times New Roman" w:hAnsi="Times New Roman" w:cs="Times New Roman"/>
          <w:color w:val="000000"/>
          <w:lang w:eastAsia="es-ES"/>
        </w:rPr>
        <w:t xml:space="preserve">;  el plan de Acción regional del </w:t>
      </w:r>
      <w:proofErr w:type="spellStart"/>
      <w:r w:rsidR="00A72833">
        <w:rPr>
          <w:rFonts w:ascii="Times New Roman" w:eastAsia="Times New Roman" w:hAnsi="Times New Roman" w:cs="Times New Roman"/>
          <w:color w:val="000000"/>
          <w:lang w:eastAsia="es-ES"/>
        </w:rPr>
        <w:t>Sahel</w:t>
      </w:r>
      <w:proofErr w:type="spellEnd"/>
      <w:r w:rsidR="00A72833">
        <w:rPr>
          <w:rFonts w:ascii="Times New Roman" w:eastAsia="Times New Roman" w:hAnsi="Times New Roman" w:cs="Times New Roman"/>
          <w:color w:val="000000"/>
          <w:lang w:eastAsia="es-ES"/>
        </w:rPr>
        <w:t xml:space="preserve"> (2015-2020) y el plan de Acción regional de la UE para el Cuerno de África. </w:t>
      </w:r>
      <w:r w:rsidR="009E5471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</w:p>
    <w:p w:rsidR="004E2E93" w:rsidRPr="00CB1A9A" w:rsidRDefault="00676A42" w:rsidP="003609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>
        <w:rPr>
          <w:rFonts w:ascii="Times New Roman" w:eastAsia="Times New Roman" w:hAnsi="Times New Roman" w:cs="Times New Roman"/>
          <w:color w:val="000000"/>
          <w:lang w:eastAsia="es-ES"/>
        </w:rPr>
        <w:t>El ins</w:t>
      </w:r>
      <w:r w:rsidR="008A4839" w:rsidRPr="00CB1A9A">
        <w:rPr>
          <w:rFonts w:ascii="Times New Roman" w:eastAsia="Times New Roman" w:hAnsi="Times New Roman" w:cs="Times New Roman"/>
          <w:color w:val="000000"/>
          <w:lang w:eastAsia="es-ES"/>
        </w:rPr>
        <w:t>tr</w:t>
      </w:r>
      <w:r w:rsidR="00D77B63" w:rsidRPr="00CB1A9A">
        <w:rPr>
          <w:rFonts w:ascii="Times New Roman" w:eastAsia="Times New Roman" w:hAnsi="Times New Roman" w:cs="Times New Roman"/>
          <w:color w:val="000000"/>
          <w:lang w:eastAsia="es-ES"/>
        </w:rPr>
        <w:t>umento jurídico que regula la</w:t>
      </w:r>
      <w:r w:rsidR="008A4839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misión</w:t>
      </w:r>
      <w:r w:rsidR="00D77B63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r w:rsidR="00ED5331">
        <w:rPr>
          <w:rFonts w:ascii="Times New Roman" w:eastAsia="Times New Roman" w:hAnsi="Times New Roman" w:cs="Times New Roman"/>
          <w:lang w:eastAsia="es-ES"/>
        </w:rPr>
        <w:t xml:space="preserve">que nos atañe </w:t>
      </w:r>
      <w:r w:rsidR="00D77B63" w:rsidRPr="00CB1A9A">
        <w:rPr>
          <w:rFonts w:ascii="Times New Roman" w:eastAsia="Times New Roman" w:hAnsi="Times New Roman" w:cs="Times New Roman"/>
          <w:color w:val="000000"/>
          <w:lang w:eastAsia="es-ES"/>
        </w:rPr>
        <w:t>de carácter militar</w:t>
      </w:r>
      <w:r w:rsidR="008A4839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es la Decisión  (PESC) 2015/778 DEL CONSEJO de 18 de mayo de 2015</w:t>
      </w:r>
      <w:r w:rsidR="00A831E3" w:rsidRPr="00CB1A9A">
        <w:rPr>
          <w:rFonts w:ascii="Times New Roman" w:eastAsia="Times New Roman" w:hAnsi="Times New Roman" w:cs="Times New Roman"/>
          <w:color w:val="000000"/>
          <w:lang w:eastAsia="es-ES"/>
        </w:rPr>
        <w:footnoteReference w:id="4"/>
      </w:r>
      <w:r w:rsidR="00A831E3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. </w:t>
      </w:r>
      <w:r w:rsidR="008A4839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r w:rsidR="004E2E93" w:rsidRPr="00CB1A9A">
        <w:rPr>
          <w:rFonts w:ascii="Times New Roman" w:eastAsia="Times New Roman" w:hAnsi="Times New Roman" w:cs="Times New Roman"/>
          <w:color w:val="000000"/>
          <w:lang w:eastAsia="es-ES"/>
        </w:rPr>
        <w:t>La puesta en marcha de la misión</w:t>
      </w:r>
      <w:r w:rsidR="005B5B12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militar</w:t>
      </w:r>
      <w:r w:rsidR="004E2E93" w:rsidRPr="00CB1A9A">
        <w:rPr>
          <w:rFonts w:ascii="Times New Roman" w:eastAsia="Times New Roman" w:hAnsi="Times New Roman" w:cs="Times New Roman"/>
          <w:color w:val="000000"/>
          <w:lang w:eastAsia="es-ES"/>
        </w:rPr>
        <w:t>–</w:t>
      </w:r>
      <w:proofErr w:type="spellStart"/>
      <w:r w:rsidR="004E2E93" w:rsidRPr="00CB1A9A">
        <w:rPr>
          <w:rFonts w:ascii="Times New Roman" w:eastAsia="Times New Roman" w:hAnsi="Times New Roman" w:cs="Times New Roman"/>
          <w:color w:val="000000"/>
          <w:lang w:eastAsia="es-ES"/>
        </w:rPr>
        <w:t>European</w:t>
      </w:r>
      <w:proofErr w:type="spellEnd"/>
      <w:r w:rsidR="004E2E93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Unión Naval </w:t>
      </w:r>
      <w:proofErr w:type="spellStart"/>
      <w:r w:rsidR="004E2E93" w:rsidRPr="00CB1A9A">
        <w:rPr>
          <w:rFonts w:ascii="Times New Roman" w:eastAsia="Times New Roman" w:hAnsi="Times New Roman" w:cs="Times New Roman"/>
          <w:color w:val="000000"/>
          <w:lang w:eastAsia="es-ES"/>
        </w:rPr>
        <w:t>Force</w:t>
      </w:r>
      <w:proofErr w:type="spellEnd"/>
      <w:r w:rsidR="004E2E93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proofErr w:type="spellStart"/>
      <w:r w:rsidR="004E2E93" w:rsidRPr="00CB1A9A">
        <w:rPr>
          <w:rFonts w:ascii="Times New Roman" w:eastAsia="Times New Roman" w:hAnsi="Times New Roman" w:cs="Times New Roman"/>
          <w:color w:val="000000"/>
          <w:lang w:eastAsia="es-ES"/>
        </w:rPr>
        <w:t>Mediterranean</w:t>
      </w:r>
      <w:proofErr w:type="spellEnd"/>
      <w:r w:rsidR="004E2E93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Operación </w:t>
      </w:r>
      <w:proofErr w:type="spellStart"/>
      <w:r w:rsidR="004E2E93" w:rsidRPr="00CB1A9A">
        <w:rPr>
          <w:rFonts w:ascii="Times New Roman" w:eastAsia="Times New Roman" w:hAnsi="Times New Roman" w:cs="Times New Roman"/>
          <w:color w:val="000000"/>
          <w:lang w:eastAsia="es-ES"/>
        </w:rPr>
        <w:t>Sophia</w:t>
      </w:r>
      <w:proofErr w:type="spellEnd"/>
      <w:r w:rsidR="0046250C">
        <w:rPr>
          <w:rFonts w:ascii="Times New Roman" w:eastAsia="Times New Roman" w:hAnsi="Times New Roman" w:cs="Times New Roman"/>
          <w:lang w:eastAsia="es-ES"/>
        </w:rPr>
        <w:t xml:space="preserve"> </w:t>
      </w:r>
      <w:r w:rsidR="00ED5331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EUNAVFOR </w:t>
      </w:r>
      <w:proofErr w:type="spellStart"/>
      <w:r w:rsidR="00ED5331" w:rsidRPr="00CB1A9A">
        <w:rPr>
          <w:rFonts w:ascii="Times New Roman" w:eastAsia="Times New Roman" w:hAnsi="Times New Roman" w:cs="Times New Roman"/>
          <w:color w:val="000000"/>
          <w:lang w:eastAsia="es-ES"/>
        </w:rPr>
        <w:t>Med</w:t>
      </w:r>
      <w:proofErr w:type="spellEnd"/>
      <w:r w:rsidR="00ED5331">
        <w:rPr>
          <w:rFonts w:ascii="Times New Roman" w:eastAsia="Times New Roman" w:hAnsi="Times New Roman" w:cs="Times New Roman"/>
          <w:lang w:eastAsia="es-ES"/>
        </w:rPr>
        <w:t>-,</w:t>
      </w:r>
      <w:r w:rsidR="004E2E93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r w:rsidR="006B1D46" w:rsidRPr="006B1D46">
        <w:rPr>
          <w:rFonts w:ascii="Times New Roman" w:eastAsia="Times New Roman" w:hAnsi="Times New Roman" w:cs="Times New Roman"/>
          <w:color w:val="000000"/>
          <w:lang w:eastAsia="es-ES"/>
        </w:rPr>
        <w:t xml:space="preserve">situada en la base área de </w:t>
      </w:r>
      <w:proofErr w:type="spellStart"/>
      <w:r w:rsidR="006B1D46" w:rsidRPr="006B1D46">
        <w:rPr>
          <w:rFonts w:ascii="Times New Roman" w:eastAsia="Times New Roman" w:hAnsi="Times New Roman" w:cs="Times New Roman"/>
          <w:color w:val="000000"/>
          <w:lang w:eastAsia="es-ES"/>
        </w:rPr>
        <w:t>Sigonella</w:t>
      </w:r>
      <w:proofErr w:type="spellEnd"/>
      <w:r w:rsidR="006B1D46" w:rsidRPr="006B1D46">
        <w:rPr>
          <w:rFonts w:ascii="Times New Roman" w:eastAsia="Times New Roman" w:hAnsi="Times New Roman" w:cs="Times New Roman"/>
          <w:color w:val="000000"/>
          <w:lang w:eastAsia="es-ES"/>
        </w:rPr>
        <w:t xml:space="preserve"> (Italia), en la ciudad de </w:t>
      </w:r>
      <w:proofErr w:type="spellStart"/>
      <w:r w:rsidR="006B1D46" w:rsidRPr="006B1D46">
        <w:rPr>
          <w:rFonts w:ascii="Times New Roman" w:eastAsia="Times New Roman" w:hAnsi="Times New Roman" w:cs="Times New Roman"/>
          <w:color w:val="000000"/>
          <w:lang w:eastAsia="es-ES"/>
        </w:rPr>
        <w:t>Lentini</w:t>
      </w:r>
      <w:proofErr w:type="spellEnd"/>
      <w:r w:rsidR="006B1D46" w:rsidRPr="006B1D46">
        <w:rPr>
          <w:rFonts w:ascii="Times New Roman" w:eastAsia="Times New Roman" w:hAnsi="Times New Roman" w:cs="Times New Roman"/>
          <w:color w:val="000000"/>
          <w:lang w:eastAsia="es-ES"/>
        </w:rPr>
        <w:t>,</w:t>
      </w:r>
      <w:r w:rsidR="006B1D46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r w:rsidR="006B1D46" w:rsidRPr="006B1D46">
        <w:rPr>
          <w:rFonts w:ascii="Times New Roman" w:eastAsia="Times New Roman" w:hAnsi="Times New Roman" w:cs="Times New Roman"/>
          <w:color w:val="000000"/>
          <w:lang w:eastAsia="es-ES"/>
        </w:rPr>
        <w:t>provincia de Siracusa</w:t>
      </w:r>
      <w:r w:rsidR="006B1D46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r w:rsidR="004E2E93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comienza su andadura el 22 de Junio de 2015 y sus actuaciones están previstas, en principio, hasta el 27 de Julio de 2017, con el mandato claro de contribuir a prevenir las pérdidas de vida en el mar e interrumpir o luchar contra </w:t>
      </w:r>
      <w:r w:rsidR="00C250EA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contrabandistas y traficantes </w:t>
      </w:r>
      <w:r w:rsidR="00732ABF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de seres humanos en el Mediterráneo. </w:t>
      </w:r>
      <w:r w:rsidR="00271FA6">
        <w:rPr>
          <w:rFonts w:ascii="Times New Roman" w:eastAsia="Times New Roman" w:hAnsi="Times New Roman" w:cs="Times New Roman"/>
          <w:color w:val="000000"/>
          <w:lang w:eastAsia="es-ES"/>
        </w:rPr>
        <w:t>El Ministerio de Defensa de España señala que su objetivo es “</w:t>
      </w:r>
      <w:r w:rsidR="00271FA6">
        <w:t>patrullar las aguas del Sur del Mediterráneo Central para identificar y capturar las embarcaciones sospechosas de ser utilizados por los contrabandistas o traficantes de migrantes</w:t>
      </w:r>
      <w:r w:rsidR="00271FA6">
        <w:rPr>
          <w:rFonts w:ascii="Times New Roman" w:eastAsia="Times New Roman" w:hAnsi="Times New Roman" w:cs="Times New Roman"/>
          <w:color w:val="000000"/>
          <w:lang w:eastAsia="es-ES"/>
        </w:rPr>
        <w:t>” con el fin de “</w:t>
      </w:r>
      <w:r w:rsidR="00271FA6">
        <w:t>alterar el modelo de negocio de las redes de trata y tráfico de personas en el Mediterráneo y contribuir a la reducción de la mayor pérdida de vidas en el mar”</w:t>
      </w:r>
      <w:r w:rsidR="00271FA6">
        <w:rPr>
          <w:rStyle w:val="Refdenotaalpie"/>
        </w:rPr>
        <w:footnoteReference w:id="5"/>
      </w:r>
      <w:r w:rsidR="00271FA6">
        <w:t xml:space="preserve">. </w:t>
      </w:r>
      <w:r w:rsidR="00657CDD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Esta operación está a cargo del </w:t>
      </w:r>
      <w:r w:rsidR="00202833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Vicealmirante </w:t>
      </w:r>
      <w:r w:rsidR="00657CDD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Enrico </w:t>
      </w:r>
      <w:proofErr w:type="spellStart"/>
      <w:r w:rsidR="00657CDD" w:rsidRPr="00CB1A9A">
        <w:rPr>
          <w:rFonts w:ascii="Times New Roman" w:eastAsia="Times New Roman" w:hAnsi="Times New Roman" w:cs="Times New Roman"/>
          <w:color w:val="000000"/>
          <w:lang w:eastAsia="es-ES"/>
        </w:rPr>
        <w:t>Credendino</w:t>
      </w:r>
      <w:proofErr w:type="spellEnd"/>
      <w:r w:rsidR="00657CDD" w:rsidRPr="00CB1A9A">
        <w:rPr>
          <w:rFonts w:ascii="Times New Roman" w:eastAsia="Times New Roman" w:hAnsi="Times New Roman" w:cs="Times New Roman"/>
          <w:lang w:eastAsia="es-ES"/>
        </w:rPr>
        <w:footnoteReference w:id="6"/>
      </w:r>
      <w:r w:rsidR="00202833" w:rsidRPr="00CB1A9A">
        <w:rPr>
          <w:rFonts w:ascii="Times New Roman" w:eastAsia="Times New Roman" w:hAnsi="Times New Roman" w:cs="Times New Roman"/>
          <w:color w:val="000000"/>
          <w:lang w:eastAsia="es-ES"/>
        </w:rPr>
        <w:t>nombrado Comandante de la operación, que c</w:t>
      </w:r>
      <w:r w:rsidR="00C250EA" w:rsidRPr="00CB1A9A">
        <w:rPr>
          <w:rFonts w:ascii="Times New Roman" w:eastAsia="Times New Roman" w:hAnsi="Times New Roman" w:cs="Times New Roman"/>
          <w:color w:val="000000"/>
          <w:lang w:eastAsia="es-ES"/>
        </w:rPr>
        <w:t>uenta con 6 unidades navales de superficie y 6 elementos aéreos (helicópteros y aviones)</w:t>
      </w:r>
      <w:r w:rsidR="008A4839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y su cuartel general se situará en </w:t>
      </w:r>
      <w:r w:rsidR="00AD0AFF" w:rsidRPr="00CB1A9A">
        <w:rPr>
          <w:rFonts w:ascii="Times New Roman" w:eastAsia="Times New Roman" w:hAnsi="Times New Roman" w:cs="Times New Roman"/>
          <w:color w:val="000000"/>
          <w:lang w:eastAsia="es-ES"/>
        </w:rPr>
        <w:t>Roma</w:t>
      </w:r>
      <w:r w:rsidR="00301527" w:rsidRPr="00CB1A9A">
        <w:rPr>
          <w:rFonts w:ascii="Times New Roman" w:eastAsia="Times New Roman" w:hAnsi="Times New Roman" w:cs="Times New Roman"/>
          <w:lang w:eastAsia="es-ES"/>
        </w:rPr>
        <w:footnoteReference w:id="7"/>
      </w:r>
      <w:r w:rsidR="00AD0AFF" w:rsidRPr="00CB1A9A">
        <w:rPr>
          <w:rFonts w:ascii="Times New Roman" w:eastAsia="Times New Roman" w:hAnsi="Times New Roman" w:cs="Times New Roman"/>
          <w:color w:val="000000"/>
          <w:lang w:eastAsia="es-ES"/>
        </w:rPr>
        <w:t>.</w:t>
      </w:r>
      <w:r w:rsidR="00334BE9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r w:rsidR="0036091F">
        <w:rPr>
          <w:rFonts w:ascii="Times New Roman" w:eastAsia="Times New Roman" w:hAnsi="Times New Roman" w:cs="Times New Roman"/>
          <w:color w:val="000000"/>
          <w:lang w:eastAsia="es-ES"/>
        </w:rPr>
        <w:t>Siguiendo las fuentes del Ministerio de Defensa español, esta misión “</w:t>
      </w:r>
      <w:r w:rsidR="0036091F" w:rsidRPr="0036091F">
        <w:rPr>
          <w:rFonts w:ascii="Times New Roman" w:eastAsia="Times New Roman" w:hAnsi="Times New Roman" w:cs="Times New Roman"/>
          <w:color w:val="000000"/>
          <w:lang w:eastAsia="es-ES"/>
        </w:rPr>
        <w:t>no es un bloqueo</w:t>
      </w:r>
      <w:r w:rsidR="0036091F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r w:rsidR="0036091F" w:rsidRPr="0036091F">
        <w:rPr>
          <w:rFonts w:ascii="Times New Roman" w:eastAsia="Times New Roman" w:hAnsi="Times New Roman" w:cs="Times New Roman"/>
          <w:color w:val="000000"/>
          <w:lang w:eastAsia="es-ES"/>
        </w:rPr>
        <w:t>del Norte de África ni una operación contra Libia. Todas nuestras actividades se llevan a cabo de</w:t>
      </w:r>
      <w:r w:rsidR="0036091F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r w:rsidR="0036091F" w:rsidRPr="0036091F">
        <w:rPr>
          <w:rFonts w:ascii="Times New Roman" w:eastAsia="Times New Roman" w:hAnsi="Times New Roman" w:cs="Times New Roman"/>
          <w:color w:val="000000"/>
          <w:lang w:eastAsia="es-ES"/>
        </w:rPr>
        <w:t>acuerdo con las leyes internacionales y bajo la legalidad de la Resolución 2240 del Consejo de</w:t>
      </w:r>
      <w:r w:rsidR="0036091F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r w:rsidR="0036091F" w:rsidRPr="0036091F">
        <w:rPr>
          <w:rFonts w:ascii="Times New Roman" w:eastAsia="Times New Roman" w:hAnsi="Times New Roman" w:cs="Times New Roman"/>
          <w:color w:val="000000"/>
          <w:lang w:eastAsia="es-ES"/>
        </w:rPr>
        <w:t>Seguridad de las Naciones Unidas</w:t>
      </w:r>
      <w:r w:rsidR="0036091F">
        <w:rPr>
          <w:rStyle w:val="Refdenotaalpie"/>
          <w:rFonts w:ascii="Times New Roman" w:eastAsia="Times New Roman" w:hAnsi="Times New Roman" w:cs="Times New Roman"/>
          <w:color w:val="000000"/>
          <w:lang w:eastAsia="es-ES"/>
        </w:rPr>
        <w:footnoteReference w:id="8"/>
      </w:r>
      <w:r w:rsidR="0036091F" w:rsidRPr="0036091F">
        <w:rPr>
          <w:rFonts w:ascii="Times New Roman" w:eastAsia="Times New Roman" w:hAnsi="Times New Roman" w:cs="Times New Roman"/>
          <w:color w:val="000000"/>
          <w:lang w:eastAsia="es-ES"/>
        </w:rPr>
        <w:t xml:space="preserve">¨ </w:t>
      </w:r>
      <w:r w:rsidR="00334BE9" w:rsidRPr="00CB1A9A">
        <w:rPr>
          <w:rFonts w:ascii="Times New Roman" w:eastAsia="Times New Roman" w:hAnsi="Times New Roman" w:cs="Times New Roman"/>
          <w:lang w:eastAsia="es-ES"/>
        </w:rPr>
        <w:t>Entre los años 2001 y 2015, la UE ha planeado, iniciado o finalizado treinta y seis misiones (militares, civiles o de carácter mixto) fuera de las fronteras de sus Estados miembros</w:t>
      </w:r>
      <w:r w:rsidR="00334BE9" w:rsidRPr="00CB1A9A">
        <w:rPr>
          <w:rFonts w:ascii="Times New Roman" w:eastAsia="Times New Roman" w:hAnsi="Times New Roman" w:cs="Times New Roman"/>
          <w:lang w:eastAsia="es-ES"/>
        </w:rPr>
        <w:footnoteReference w:id="9"/>
      </w:r>
      <w:r w:rsidR="00334BE9" w:rsidRPr="00CB1A9A">
        <w:rPr>
          <w:rFonts w:ascii="Times New Roman" w:eastAsia="Times New Roman" w:hAnsi="Times New Roman" w:cs="Times New Roman"/>
          <w:lang w:eastAsia="es-ES"/>
        </w:rPr>
        <w:t>.</w:t>
      </w:r>
    </w:p>
    <w:p w:rsidR="00410DA8" w:rsidRPr="00CB1A9A" w:rsidRDefault="00410DA8" w:rsidP="008A4839">
      <w:pPr>
        <w:pStyle w:val="Default"/>
        <w:jc w:val="both"/>
        <w:rPr>
          <w:rFonts w:ascii="Times New Roman" w:eastAsia="Times New Roman" w:hAnsi="Times New Roman" w:cs="Times New Roman"/>
          <w:sz w:val="22"/>
          <w:szCs w:val="22"/>
          <w:lang w:eastAsia="es-ES"/>
        </w:rPr>
      </w:pPr>
    </w:p>
    <w:p w:rsidR="00A369EC" w:rsidRPr="00CB1A9A" w:rsidRDefault="00410DA8" w:rsidP="008A4839">
      <w:pPr>
        <w:pStyle w:val="Default"/>
        <w:jc w:val="both"/>
        <w:rPr>
          <w:rFonts w:ascii="Times New Roman" w:eastAsia="Times New Roman" w:hAnsi="Times New Roman" w:cs="Times New Roman"/>
          <w:sz w:val="22"/>
          <w:szCs w:val="22"/>
          <w:lang w:eastAsia="es-ES"/>
        </w:rPr>
      </w:pPr>
      <w:r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 xml:space="preserve">Ahora bien, ¿Es la UE un socio o actor global? ¿Cuenta con una acción exterior fuerte, coherente y sólida? </w:t>
      </w:r>
      <w:r w:rsidR="00EC0DEE"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 xml:space="preserve">Las respuestas a estas cuestiones demostrarán que la UE tiene una presencia endeble en el mundo </w:t>
      </w:r>
      <w:r w:rsidR="00185DF0"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 xml:space="preserve">y que la acción exterior de la Unión no responde a una unidad de acción.  </w:t>
      </w:r>
    </w:p>
    <w:p w:rsidR="00A369EC" w:rsidRPr="00CB1A9A" w:rsidRDefault="00A369EC" w:rsidP="008A4839">
      <w:pPr>
        <w:pStyle w:val="Default"/>
        <w:jc w:val="both"/>
        <w:rPr>
          <w:rFonts w:ascii="Times New Roman" w:eastAsia="Times New Roman" w:hAnsi="Times New Roman" w:cs="Times New Roman"/>
          <w:sz w:val="22"/>
          <w:szCs w:val="22"/>
          <w:lang w:eastAsia="es-ES"/>
        </w:rPr>
      </w:pPr>
    </w:p>
    <w:p w:rsidR="00A369EC" w:rsidRPr="00CB1A9A" w:rsidRDefault="00A369EC" w:rsidP="008A4839">
      <w:pPr>
        <w:pStyle w:val="Default"/>
        <w:jc w:val="both"/>
        <w:rPr>
          <w:rFonts w:ascii="Times New Roman" w:eastAsia="Times New Roman" w:hAnsi="Times New Roman" w:cs="Times New Roman"/>
          <w:sz w:val="22"/>
          <w:szCs w:val="22"/>
          <w:lang w:eastAsia="es-ES"/>
        </w:rPr>
      </w:pPr>
      <w:r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 xml:space="preserve">Sin ir más lejos podemos aseverar que es difícil que la UE sea un socio global creíble cuando -si tomamos como referencia los presupuestos anuales </w:t>
      </w:r>
      <w:r w:rsidR="008F5C54"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 xml:space="preserve">de los últimos años </w:t>
      </w:r>
      <w:r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 xml:space="preserve">aprobados mediante procedimiento de codecisión entre el Consejo y el PE- observamos que el porcentaje destinado a esta rúbrica o categoría de gasto únicamente representa en torno a un 6 o 7% del presupuesto total, o lo que es lo mismo, este gasto es equiparable a lo que destina la Unión a la rúbrica de Administración, esto es, el gasto destinado a pagar las nóminas de sus empleados y los gastos corrientes de las instituciones que la componen. </w:t>
      </w:r>
      <w:r w:rsidR="00066210"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>Y esto no es una cuestión baladí</w:t>
      </w:r>
      <w:r w:rsidR="008F5C54" w:rsidRPr="00CB1A9A">
        <w:rPr>
          <w:rFonts w:ascii="Times New Roman" w:eastAsia="Times New Roman" w:hAnsi="Times New Roman" w:cs="Times New Roman"/>
          <w:lang w:eastAsia="es-ES"/>
        </w:rPr>
        <w:footnoteReference w:id="10"/>
      </w:r>
      <w:r w:rsidR="00066210"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 xml:space="preserve">. </w:t>
      </w:r>
      <w:r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 xml:space="preserve">  </w:t>
      </w:r>
    </w:p>
    <w:p w:rsidR="00A369EC" w:rsidRPr="00CB1A9A" w:rsidRDefault="00A369EC" w:rsidP="008A4839">
      <w:pPr>
        <w:pStyle w:val="Default"/>
        <w:jc w:val="both"/>
        <w:rPr>
          <w:rFonts w:ascii="Times New Roman" w:eastAsia="Times New Roman" w:hAnsi="Times New Roman" w:cs="Times New Roman"/>
          <w:sz w:val="22"/>
          <w:szCs w:val="22"/>
          <w:lang w:eastAsia="es-ES"/>
        </w:rPr>
      </w:pPr>
    </w:p>
    <w:p w:rsidR="00410DA8" w:rsidRPr="00CB1A9A" w:rsidRDefault="00185DF0" w:rsidP="008A4839">
      <w:pPr>
        <w:pStyle w:val="Default"/>
        <w:jc w:val="both"/>
        <w:rPr>
          <w:rFonts w:ascii="Times New Roman" w:eastAsia="Times New Roman" w:hAnsi="Times New Roman" w:cs="Times New Roman"/>
          <w:sz w:val="22"/>
          <w:szCs w:val="22"/>
          <w:lang w:eastAsia="es-ES"/>
        </w:rPr>
      </w:pPr>
      <w:r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>Sin embargo, esta</w:t>
      </w:r>
      <w:r w:rsidR="00EC0DEE"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 xml:space="preserve"> posición se podría mejorar desarrollando una </w:t>
      </w:r>
      <w:r w:rsidR="0052166A">
        <w:rPr>
          <w:rFonts w:ascii="Times New Roman" w:eastAsia="Times New Roman" w:hAnsi="Times New Roman" w:cs="Times New Roman"/>
          <w:sz w:val="22"/>
          <w:szCs w:val="22"/>
          <w:lang w:eastAsia="es-ES"/>
        </w:rPr>
        <w:t xml:space="preserve">PESC </w:t>
      </w:r>
      <w:r w:rsidR="00EC0DEE"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 xml:space="preserve">tal y como se refleja en el Tratado de Lisboa en vigor desde 2009. </w:t>
      </w:r>
      <w:r w:rsidR="00472D10"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>Conseguir una mayor coherencia entre las políticas exteriores de la Unión y las misiones de paz sigue siendo uno de los principales retos (Art. 21 del TUE</w:t>
      </w:r>
      <w:r w:rsidR="004C4703" w:rsidRPr="00CB1A9A">
        <w:rPr>
          <w:sz w:val="22"/>
          <w:szCs w:val="22"/>
        </w:rPr>
        <w:footnoteReference w:id="11"/>
      </w:r>
      <w:r w:rsidR="00472D10"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>). Europa debe ser fuerte dentro y fuera.</w:t>
      </w:r>
    </w:p>
    <w:p w:rsidR="004C4703" w:rsidRPr="00CB1A9A" w:rsidRDefault="004C4703" w:rsidP="008A4839">
      <w:pPr>
        <w:pStyle w:val="Default"/>
        <w:jc w:val="both"/>
        <w:rPr>
          <w:rFonts w:ascii="Times New Roman" w:eastAsia="Times New Roman" w:hAnsi="Times New Roman" w:cs="Times New Roman"/>
          <w:sz w:val="22"/>
          <w:szCs w:val="22"/>
          <w:lang w:eastAsia="es-ES"/>
        </w:rPr>
      </w:pPr>
    </w:p>
    <w:p w:rsidR="004C4703" w:rsidRPr="00CB1A9A" w:rsidRDefault="0052166A" w:rsidP="004C4703">
      <w:pPr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>
        <w:rPr>
          <w:rFonts w:ascii="Times New Roman" w:eastAsia="Times New Roman" w:hAnsi="Times New Roman" w:cs="Times New Roman"/>
          <w:color w:val="000000"/>
          <w:lang w:eastAsia="es-ES"/>
        </w:rPr>
        <w:t>“</w:t>
      </w:r>
      <w:proofErr w:type="spellStart"/>
      <w:r w:rsidR="004C4703" w:rsidRPr="00CB1A9A">
        <w:rPr>
          <w:rFonts w:ascii="Times New Roman" w:eastAsia="Times New Roman" w:hAnsi="Times New Roman" w:cs="Times New Roman"/>
          <w:color w:val="000000"/>
          <w:lang w:eastAsia="es-ES"/>
        </w:rPr>
        <w:t>Peacekeeping</w:t>
      </w:r>
      <w:proofErr w:type="spellEnd"/>
      <w:r>
        <w:rPr>
          <w:rFonts w:ascii="Times New Roman" w:eastAsia="Times New Roman" w:hAnsi="Times New Roman" w:cs="Times New Roman"/>
          <w:color w:val="000000"/>
          <w:lang w:eastAsia="es-ES"/>
        </w:rPr>
        <w:t>”</w:t>
      </w:r>
      <w:r w:rsidR="004C4703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es una iniciativa relacionada con la acción exterior de la UE en general (artículo 21-22 del TUE), la PESC / PCSD (artículo 23-46 del TUE) y la política de cooperación al desarrollo (artículo 208-211 del TFUE), además de otras políticas de cooperación TFUE Art. 212-213)….</w:t>
      </w:r>
    </w:p>
    <w:p w:rsidR="004C4703" w:rsidRPr="00CB1A9A" w:rsidRDefault="004C4703" w:rsidP="004C4703">
      <w:pPr>
        <w:pStyle w:val="CM4"/>
        <w:spacing w:before="60" w:after="6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es-ES"/>
        </w:rPr>
      </w:pPr>
      <w:r w:rsidRPr="00CB1A9A">
        <w:rPr>
          <w:rFonts w:ascii="Times New Roman" w:eastAsia="Times New Roman" w:hAnsi="Times New Roman" w:cs="Times New Roman"/>
          <w:color w:val="000000"/>
          <w:sz w:val="22"/>
          <w:szCs w:val="22"/>
          <w:lang w:eastAsia="es-ES"/>
        </w:rPr>
        <w:t xml:space="preserve">Artículo 21 </w:t>
      </w:r>
    </w:p>
    <w:p w:rsidR="004C4703" w:rsidRPr="00CB1A9A" w:rsidRDefault="004C4703" w:rsidP="004C4703">
      <w:pPr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CB1A9A">
        <w:rPr>
          <w:rFonts w:ascii="Times New Roman" w:eastAsia="Times New Roman" w:hAnsi="Times New Roman" w:cs="Times New Roman"/>
          <w:color w:val="000000"/>
          <w:lang w:eastAsia="es-ES"/>
        </w:rPr>
        <w:t>1. La acción de la Unión en la escena internacional se basará en los principios que han inspirado su creación, desarrollo y ampliación y que pretende fomentar en el resto del mundo: la democracia, el Estado de Derecho, la universalidad e indivisibilidad de los derechos humanos y de las libertades fundamentales, el respeto de la dignidad humana, los principios de igualdad y solidaridad y el respeto de los principios de la Carta de las Naciones Unidas y del Derecho internacional.</w:t>
      </w:r>
    </w:p>
    <w:p w:rsidR="004C4703" w:rsidRPr="00CB1A9A" w:rsidRDefault="004C4703" w:rsidP="004C4703">
      <w:pPr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CB1A9A">
        <w:rPr>
          <w:rFonts w:ascii="Times New Roman" w:eastAsia="Times New Roman" w:hAnsi="Times New Roman" w:cs="Times New Roman"/>
          <w:color w:val="000000"/>
          <w:lang w:eastAsia="es-ES"/>
        </w:rPr>
        <w:t>La Unión procurará desarrollar relaciones y crear asociaciones con los terceros países y con las organizaciones internacionales, regionales o mundiales que compartan los principios mencionados en el párrafo primero. Propiciará soluciones multilaterales a los problemas comunes, en particular en el marco de las Naciones Unidas.</w:t>
      </w:r>
    </w:p>
    <w:p w:rsidR="004C4703" w:rsidRPr="00CB1A9A" w:rsidRDefault="004C4703" w:rsidP="004C4703">
      <w:pPr>
        <w:pStyle w:val="CM4"/>
        <w:spacing w:before="60" w:after="6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es-ES"/>
        </w:rPr>
      </w:pPr>
      <w:r w:rsidRPr="00CB1A9A">
        <w:rPr>
          <w:rFonts w:ascii="Times New Roman" w:eastAsia="Times New Roman" w:hAnsi="Times New Roman" w:cs="Times New Roman"/>
          <w:color w:val="000000"/>
          <w:sz w:val="22"/>
          <w:szCs w:val="22"/>
          <w:lang w:eastAsia="es-ES"/>
        </w:rPr>
        <w:t xml:space="preserve">2. La Unión definirá y ejecutará políticas comunes y acciones y se esforzará por lograr un alto grado de cooperación en todos los ámbitos de las relaciones internacionales con el fin de: </w:t>
      </w:r>
    </w:p>
    <w:p w:rsidR="004C4703" w:rsidRPr="00CB1A9A" w:rsidRDefault="004C4703" w:rsidP="004C4703">
      <w:pPr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a) defender sus valores, intereses fundamentales, seguridad, independencia e integridad; </w:t>
      </w:r>
    </w:p>
    <w:p w:rsidR="004C4703" w:rsidRPr="00CB1A9A" w:rsidRDefault="004C4703" w:rsidP="004C4703">
      <w:pPr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CB1A9A">
        <w:rPr>
          <w:rFonts w:ascii="Times New Roman" w:eastAsia="Times New Roman" w:hAnsi="Times New Roman" w:cs="Times New Roman"/>
          <w:color w:val="000000"/>
          <w:lang w:eastAsia="es-ES"/>
        </w:rPr>
        <w:t>c) mantener la paz, prevenir los conflictos y fortalecer la seguridad internacional, conforme a los propósitos y principios de la Carta de las Naciones Unidas, así como a los principios del Acta Final de Helsinki y a los objetivos de la Carta de París, incluidos los relacionados con las fronteras exteriores;</w:t>
      </w:r>
    </w:p>
    <w:p w:rsidR="004C4703" w:rsidRPr="00CB1A9A" w:rsidRDefault="004C4703" w:rsidP="004C4703">
      <w:pPr>
        <w:pStyle w:val="Default"/>
        <w:jc w:val="both"/>
        <w:rPr>
          <w:rFonts w:ascii="Times New Roman" w:eastAsia="Times New Roman" w:hAnsi="Times New Roman" w:cs="Times New Roman"/>
          <w:sz w:val="22"/>
          <w:szCs w:val="22"/>
          <w:lang w:eastAsia="es-ES"/>
        </w:rPr>
      </w:pPr>
      <w:r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>h) promover un sistema internacional basado en una cooperación multilateral sólida y en una buena gobernanza mundial</w:t>
      </w:r>
      <w:r w:rsidR="00FD170E" w:rsidRPr="00CB1A9A">
        <w:rPr>
          <w:rFonts w:ascii="Times New Roman" w:eastAsia="Times New Roman" w:hAnsi="Times New Roman" w:cs="Times New Roman"/>
          <w:sz w:val="22"/>
          <w:szCs w:val="22"/>
          <w:lang w:eastAsia="es-ES"/>
        </w:rPr>
        <w:t>.</w:t>
      </w:r>
    </w:p>
    <w:p w:rsidR="00FC75B5" w:rsidRPr="00CB1A9A" w:rsidRDefault="00FC75B5" w:rsidP="004C4703">
      <w:pPr>
        <w:pStyle w:val="Default"/>
        <w:jc w:val="both"/>
        <w:rPr>
          <w:rFonts w:ascii="Times New Roman" w:eastAsia="Times New Roman" w:hAnsi="Times New Roman" w:cs="Times New Roman"/>
          <w:sz w:val="22"/>
          <w:szCs w:val="22"/>
          <w:lang w:eastAsia="es-ES"/>
        </w:rPr>
      </w:pPr>
    </w:p>
    <w:p w:rsidR="00FC75B5" w:rsidRPr="00A57249" w:rsidRDefault="004D5336" w:rsidP="00FC75B5">
      <w:pPr>
        <w:jc w:val="both"/>
        <w:rPr>
          <w:rFonts w:ascii="Arial" w:hAnsi="Arial" w:cs="Arial"/>
          <w:b/>
          <w:color w:val="222222"/>
        </w:rPr>
      </w:pPr>
      <w:r>
        <w:rPr>
          <w:rFonts w:ascii="Times New Roman" w:eastAsia="Times New Roman" w:hAnsi="Times New Roman" w:cs="Times New Roman"/>
          <w:color w:val="000000"/>
          <w:lang w:eastAsia="es-ES"/>
        </w:rPr>
        <w:t>Este trabajo se justifica al pretender</w:t>
      </w:r>
      <w:r w:rsidR="00FC75B5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la UE </w:t>
      </w:r>
      <w:r>
        <w:rPr>
          <w:rFonts w:ascii="Times New Roman" w:eastAsia="Times New Roman" w:hAnsi="Times New Roman" w:cs="Times New Roman"/>
          <w:color w:val="000000"/>
          <w:lang w:eastAsia="es-ES"/>
        </w:rPr>
        <w:t xml:space="preserve">ser </w:t>
      </w:r>
      <w:r w:rsidR="00FC75B5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un actor global. </w:t>
      </w:r>
      <w:r w:rsidR="000E74A5">
        <w:rPr>
          <w:rFonts w:ascii="Times New Roman" w:eastAsia="Times New Roman" w:hAnsi="Times New Roman" w:cs="Times New Roman"/>
          <w:color w:val="000000"/>
          <w:lang w:eastAsia="es-ES"/>
        </w:rPr>
        <w:t>Se analizará esta misión que tiene la aquiescencia y el soporte de los principales actores políticos</w:t>
      </w:r>
      <w:r w:rsidR="00187658">
        <w:rPr>
          <w:rFonts w:ascii="Times New Roman" w:eastAsia="Times New Roman" w:hAnsi="Times New Roman" w:cs="Times New Roman"/>
          <w:color w:val="000000"/>
          <w:lang w:eastAsia="es-ES"/>
        </w:rPr>
        <w:t xml:space="preserve"> e institucionales</w:t>
      </w:r>
      <w:r w:rsidR="000E74A5">
        <w:rPr>
          <w:rFonts w:ascii="Times New Roman" w:eastAsia="Times New Roman" w:hAnsi="Times New Roman" w:cs="Times New Roman"/>
          <w:color w:val="000000"/>
          <w:lang w:eastAsia="es-ES"/>
        </w:rPr>
        <w:t xml:space="preserve"> y militares y que han contado con los instrumentos jurídicos necesarios para su puesta en marcha, independientemente de las dificultades presentadas, las lagunas aparecidas</w:t>
      </w:r>
      <w:r w:rsidR="00661BAF">
        <w:rPr>
          <w:rFonts w:ascii="Times New Roman" w:eastAsia="Times New Roman" w:hAnsi="Times New Roman" w:cs="Times New Roman"/>
          <w:color w:val="000000"/>
          <w:lang w:eastAsia="es-ES"/>
        </w:rPr>
        <w:t>, las controversias generadas, las expectativas generadas o</w:t>
      </w:r>
      <w:r w:rsidR="000E74A5">
        <w:rPr>
          <w:rFonts w:ascii="Times New Roman" w:eastAsia="Times New Roman" w:hAnsi="Times New Roman" w:cs="Times New Roman"/>
          <w:color w:val="000000"/>
          <w:lang w:eastAsia="es-ES"/>
        </w:rPr>
        <w:t xml:space="preserve"> los objetivos conseguidos. Y es de gran trascendencia</w:t>
      </w:r>
      <w:r w:rsidR="00257472">
        <w:rPr>
          <w:rFonts w:ascii="Times New Roman" w:eastAsia="Times New Roman" w:hAnsi="Times New Roman" w:cs="Times New Roman"/>
          <w:color w:val="000000"/>
          <w:lang w:eastAsia="es-ES"/>
        </w:rPr>
        <w:t xml:space="preserve">, en un contexto internacional adverso. Vaya por delante que la </w:t>
      </w:r>
      <w:r w:rsidR="00FC75B5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inestabilidad y las crisis </w:t>
      </w:r>
      <w:r w:rsidR="00FC75B5" w:rsidRPr="00CB1A9A">
        <w:rPr>
          <w:rFonts w:ascii="Times New Roman" w:eastAsia="Times New Roman" w:hAnsi="Times New Roman" w:cs="Times New Roman"/>
          <w:color w:val="000000"/>
          <w:lang w:eastAsia="es-ES"/>
        </w:rPr>
        <w:lastRenderedPageBreak/>
        <w:t>emergentes y reales en el vecindario directo de la UE y en todo el mundo están en aumento</w:t>
      </w:r>
      <w:r w:rsidR="00583899" w:rsidRPr="00CB1A9A">
        <w:rPr>
          <w:rFonts w:ascii="Times New Roman" w:eastAsia="Times New Roman" w:hAnsi="Times New Roman" w:cs="Times New Roman"/>
          <w:color w:val="000000"/>
          <w:lang w:eastAsia="es-ES"/>
        </w:rPr>
        <w:footnoteReference w:id="12"/>
      </w:r>
      <w:r w:rsidR="00FC75B5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. La UE es uno de los actores internacionales más importantes en la promoción de la paz, la seguridad y el desarrollo sostenible a nivel mundial. Los actores del sector de la seguridad, entendidos como civiles y militares, que respetan el estado de derecho y los derechos humanos y están bajo un control democrático y civil efectivo, son requisitos previos para sociedades estables que contribuyen a aumentar la </w:t>
      </w:r>
      <w:proofErr w:type="spellStart"/>
      <w:r w:rsidR="00FC75B5" w:rsidRPr="00CB1A9A">
        <w:rPr>
          <w:rFonts w:ascii="Times New Roman" w:eastAsia="Times New Roman" w:hAnsi="Times New Roman" w:cs="Times New Roman"/>
          <w:color w:val="000000"/>
          <w:lang w:eastAsia="es-ES"/>
        </w:rPr>
        <w:t>resiliencia</w:t>
      </w:r>
      <w:proofErr w:type="spellEnd"/>
      <w:r w:rsidR="00FC75B5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y restablecer la confianza en el Estado, en el contexto de la prevención de conflictos y los escenarios postconflicto. Por lo tanto, apoyar la resolución de conflictos es una actividad importante en la que la UE puede contribuir a la </w:t>
      </w:r>
      <w:r w:rsidR="00614577">
        <w:rPr>
          <w:rFonts w:ascii="Times New Roman" w:eastAsia="Times New Roman" w:hAnsi="Times New Roman" w:cs="Times New Roman"/>
          <w:color w:val="000000"/>
          <w:lang w:eastAsia="es-ES"/>
        </w:rPr>
        <w:t>prevención de los mismos</w:t>
      </w:r>
      <w:r w:rsidR="00FC75B5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y fortalecer las instituciones de los países socios para mejorar la seguridad de sus propias poblaciones. La participación de la UE en las actividades relacionadas con la RSS está aumentando, tanto a través de las iniciativas de la PESC / PESD, como de la política de desarrollo de la UE y los instrumentos de cooperación internacional en respuesta a la situación</w:t>
      </w:r>
      <w:r w:rsidR="00FC75B5" w:rsidRPr="00A57249">
        <w:rPr>
          <w:rFonts w:ascii="Arial" w:hAnsi="Arial" w:cs="Arial"/>
          <w:b/>
          <w:color w:val="222222"/>
        </w:rPr>
        <w:t>.</w:t>
      </w:r>
    </w:p>
    <w:p w:rsidR="00FC75B5" w:rsidRPr="008A4839" w:rsidRDefault="00FC75B5" w:rsidP="004C4703">
      <w:pPr>
        <w:pStyle w:val="Default"/>
        <w:jc w:val="both"/>
        <w:rPr>
          <w:rFonts w:asciiTheme="minorHAnsi" w:hAnsiTheme="minorHAnsi" w:cstheme="minorBidi"/>
          <w:color w:val="555555"/>
          <w:sz w:val="22"/>
          <w:szCs w:val="22"/>
        </w:rPr>
      </w:pPr>
    </w:p>
    <w:p w:rsidR="0089716F" w:rsidRPr="00D710C7" w:rsidRDefault="0089716F" w:rsidP="00D710C7">
      <w:pPr>
        <w:rPr>
          <w:b/>
        </w:rPr>
      </w:pPr>
      <w:r w:rsidRPr="00D710C7">
        <w:rPr>
          <w:b/>
        </w:rPr>
        <w:t>El papel de las mafias en las corrientes de los flujos migratorios actuales</w:t>
      </w:r>
    </w:p>
    <w:p w:rsidR="004E2E93" w:rsidRDefault="000A4B8B" w:rsidP="008A4839">
      <w:pPr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 w:rsidRPr="00CB1A9A">
        <w:rPr>
          <w:rFonts w:ascii="Times New Roman" w:eastAsia="Times New Roman" w:hAnsi="Times New Roman" w:cs="Times New Roman"/>
          <w:color w:val="000000"/>
          <w:lang w:eastAsia="es-ES"/>
        </w:rPr>
        <w:t>El crimen y la delincue</w:t>
      </w:r>
      <w:r w:rsidR="002B1C0A">
        <w:rPr>
          <w:rFonts w:ascii="Times New Roman" w:eastAsia="Times New Roman" w:hAnsi="Times New Roman" w:cs="Times New Roman"/>
          <w:color w:val="000000"/>
          <w:lang w:eastAsia="es-ES"/>
        </w:rPr>
        <w:t>ncia organizada transnacional son</w:t>
      </w:r>
      <w:r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proofErr w:type="gramStart"/>
      <w:r w:rsidRPr="00CB1A9A">
        <w:rPr>
          <w:rFonts w:ascii="Times New Roman" w:eastAsia="Times New Roman" w:hAnsi="Times New Roman" w:cs="Times New Roman"/>
          <w:color w:val="000000"/>
          <w:lang w:eastAsia="es-ES"/>
        </w:rPr>
        <w:t>definido</w:t>
      </w:r>
      <w:r w:rsidR="002B1C0A">
        <w:rPr>
          <w:rFonts w:ascii="Times New Roman" w:eastAsia="Times New Roman" w:hAnsi="Times New Roman" w:cs="Times New Roman"/>
          <w:color w:val="000000"/>
          <w:lang w:eastAsia="es-ES"/>
        </w:rPr>
        <w:t>s</w:t>
      </w:r>
      <w:r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a través de la Convención de las Naciones Unidas contra la delincuencia organizada transnacional y sus protocolos</w:t>
      </w:r>
      <w:r w:rsidR="005F319E" w:rsidRPr="00CB1A9A">
        <w:rPr>
          <w:rFonts w:ascii="Times New Roman" w:eastAsia="Times New Roman" w:hAnsi="Times New Roman" w:cs="Times New Roman"/>
          <w:color w:val="000000"/>
          <w:lang w:eastAsia="es-ES"/>
        </w:rPr>
        <w:footnoteReference w:id="13"/>
      </w:r>
      <w:r w:rsidRPr="00CB1A9A">
        <w:rPr>
          <w:rFonts w:ascii="Times New Roman" w:eastAsia="Times New Roman" w:hAnsi="Times New Roman" w:cs="Times New Roman"/>
          <w:color w:val="000000"/>
          <w:lang w:eastAsia="es-ES"/>
        </w:rPr>
        <w:t>, firmado</w:t>
      </w:r>
      <w:proofErr w:type="gramEnd"/>
      <w:r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en Palermo en 2000. Se trataría de todos aquellos delitos </w:t>
      </w:r>
      <w:r w:rsidR="007B56FF" w:rsidRPr="00CB1A9A">
        <w:rPr>
          <w:rFonts w:ascii="Times New Roman" w:eastAsia="Times New Roman" w:hAnsi="Times New Roman" w:cs="Times New Roman"/>
          <w:color w:val="000000"/>
          <w:lang w:eastAsia="es-ES"/>
        </w:rPr>
        <w:t>cometidos por un "grupo delictivo organizado". Esto es, “un grupo estructurado de tres o más personas que exista durante cierto tiempo y que actúe concertadamente con el propósito de cometer uno o más delitos graves o delitos tipificados con arreglo a la presente Convención con miras a obtener, directa o indirectamente, un beneficio económico u otro beneficio de orden material”.</w:t>
      </w:r>
      <w:r w:rsidR="00764971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 Los principales están referidos a blanqueo de dinero, penalización de la corrupción, el narcotráfico, el tráfico ilícito de migrantes, la trata de personas, el lavado de dinero, el tráfico ilícito de armas de fuego y otros. Se entiende por trata de personas  "la acción de captar, transportar, trasladar, acoger o recibir personas, recurriendo a la amenaza o al uso de la fuerza u otras formas de coacción, al rapto, al fraude, al engaño, al abuso de poder o de una situación de vulnerabilidad o a la concesión o recepción de pagos o beneficios para obtener el consentimiento de una persona que tenga autoridad sobre otra con fines de explotación"</w:t>
      </w:r>
      <w:r w:rsidR="00F17709" w:rsidRPr="00CB1A9A">
        <w:rPr>
          <w:rFonts w:ascii="Times New Roman" w:eastAsia="Times New Roman" w:hAnsi="Times New Roman" w:cs="Times New Roman"/>
          <w:color w:val="000000"/>
          <w:lang w:eastAsia="es-ES"/>
        </w:rPr>
        <w:footnoteReference w:id="14"/>
      </w:r>
      <w:r w:rsidR="00764971" w:rsidRPr="00CB1A9A">
        <w:rPr>
          <w:rFonts w:ascii="Times New Roman" w:eastAsia="Times New Roman" w:hAnsi="Times New Roman" w:cs="Times New Roman"/>
          <w:color w:val="000000"/>
          <w:lang w:eastAsia="es-ES"/>
        </w:rPr>
        <w:t>. La definición se encuentra en el Protocolo de las Naciones Unidas para prevenir, reprimir y sancionar la trata de personas, especialmente mujeres y niños</w:t>
      </w:r>
      <w:r w:rsidR="00367AAD" w:rsidRPr="00CB1A9A">
        <w:rPr>
          <w:rFonts w:ascii="Times New Roman" w:eastAsia="Times New Roman" w:hAnsi="Times New Roman" w:cs="Times New Roman"/>
          <w:color w:val="000000"/>
          <w:lang w:eastAsia="es-ES"/>
        </w:rPr>
        <w:t xml:space="preserve">. </w:t>
      </w:r>
    </w:p>
    <w:p w:rsidR="00F92896" w:rsidRDefault="00CF7C28" w:rsidP="008A4839">
      <w:pPr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>
        <w:rPr>
          <w:rFonts w:ascii="Times New Roman" w:eastAsia="Times New Roman" w:hAnsi="Times New Roman" w:cs="Times New Roman"/>
          <w:color w:val="000000"/>
          <w:lang w:eastAsia="es-ES"/>
        </w:rPr>
        <w:t>Según</w:t>
      </w:r>
      <w:r w:rsidR="00F92896" w:rsidRPr="00F92896">
        <w:rPr>
          <w:rFonts w:ascii="Times New Roman" w:eastAsia="Times New Roman" w:hAnsi="Times New Roman" w:cs="Times New Roman"/>
          <w:color w:val="000000"/>
          <w:lang w:eastAsia="es-ES"/>
        </w:rPr>
        <w:t xml:space="preserve"> datos d</w:t>
      </w:r>
      <w:r w:rsidR="00B2255A">
        <w:rPr>
          <w:rFonts w:ascii="Times New Roman" w:eastAsia="Times New Roman" w:hAnsi="Times New Roman" w:cs="Times New Roman"/>
          <w:color w:val="000000"/>
          <w:lang w:eastAsia="es-ES"/>
        </w:rPr>
        <w:t xml:space="preserve">e </w:t>
      </w:r>
      <w:proofErr w:type="spellStart"/>
      <w:r w:rsidR="00B2255A">
        <w:rPr>
          <w:rFonts w:ascii="Times New Roman" w:eastAsia="Times New Roman" w:hAnsi="Times New Roman" w:cs="Times New Roman"/>
          <w:color w:val="000000"/>
          <w:lang w:eastAsia="es-ES"/>
        </w:rPr>
        <w:t>Eurostat</w:t>
      </w:r>
      <w:proofErr w:type="spellEnd"/>
      <w:r w:rsidR="00B2255A">
        <w:rPr>
          <w:rFonts w:ascii="Times New Roman" w:eastAsia="Times New Roman" w:hAnsi="Times New Roman" w:cs="Times New Roman"/>
          <w:color w:val="000000"/>
          <w:lang w:eastAsia="es-ES"/>
        </w:rPr>
        <w:t>, la trata de seres humanos</w:t>
      </w:r>
      <w:r w:rsidR="00F92896" w:rsidRPr="00F92896">
        <w:rPr>
          <w:rFonts w:ascii="Times New Roman" w:eastAsia="Times New Roman" w:hAnsi="Times New Roman" w:cs="Times New Roman"/>
          <w:color w:val="000000"/>
          <w:lang w:eastAsia="es-ES"/>
        </w:rPr>
        <w:t xml:space="preserve"> sobre todo en materia de explotación sexual supone el 22% del total de víctimas</w:t>
      </w:r>
      <w:r w:rsidR="00B2255A">
        <w:rPr>
          <w:rFonts w:ascii="Times New Roman" w:eastAsia="Times New Roman" w:hAnsi="Times New Roman" w:cs="Times New Roman"/>
          <w:color w:val="000000"/>
          <w:lang w:eastAsia="es-ES"/>
        </w:rPr>
        <w:t xml:space="preserve">, con </w:t>
      </w:r>
      <w:proofErr w:type="gramStart"/>
      <w:r w:rsidR="00B2255A">
        <w:rPr>
          <w:rFonts w:ascii="Times New Roman" w:eastAsia="Times New Roman" w:hAnsi="Times New Roman" w:cs="Times New Roman"/>
          <w:color w:val="000000"/>
          <w:lang w:eastAsia="es-ES"/>
        </w:rPr>
        <w:t>un 68</w:t>
      </w:r>
      <w:r w:rsidR="00EB39B2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r w:rsidR="00B2255A">
        <w:rPr>
          <w:rFonts w:ascii="Times New Roman" w:eastAsia="Times New Roman" w:hAnsi="Times New Roman" w:cs="Times New Roman"/>
          <w:color w:val="000000"/>
          <w:lang w:eastAsia="es-ES"/>
        </w:rPr>
        <w:t>%  sometidos</w:t>
      </w:r>
      <w:proofErr w:type="gramEnd"/>
      <w:r w:rsidR="00B2255A">
        <w:rPr>
          <w:rFonts w:ascii="Times New Roman" w:eastAsia="Times New Roman" w:hAnsi="Times New Roman" w:cs="Times New Roman"/>
          <w:color w:val="000000"/>
          <w:lang w:eastAsia="es-ES"/>
        </w:rPr>
        <w:t xml:space="preserve"> a</w:t>
      </w:r>
      <w:r w:rsidR="00F92896" w:rsidRPr="00F92896">
        <w:rPr>
          <w:rFonts w:ascii="Times New Roman" w:eastAsia="Times New Roman" w:hAnsi="Times New Roman" w:cs="Times New Roman"/>
          <w:color w:val="000000"/>
          <w:lang w:eastAsia="es-ES"/>
        </w:rPr>
        <w:t xml:space="preserve"> trabajo forzado</w:t>
      </w:r>
      <w:r w:rsidR="00B2255A">
        <w:rPr>
          <w:rFonts w:ascii="Times New Roman" w:eastAsia="Times New Roman" w:hAnsi="Times New Roman" w:cs="Times New Roman"/>
          <w:color w:val="000000"/>
          <w:lang w:eastAsia="es-ES"/>
        </w:rPr>
        <w:t xml:space="preserve">. Es un negocio que </w:t>
      </w:r>
      <w:r w:rsidR="00F92896" w:rsidRPr="00F92896">
        <w:rPr>
          <w:rFonts w:ascii="Times New Roman" w:eastAsia="Times New Roman" w:hAnsi="Times New Roman" w:cs="Times New Roman"/>
          <w:color w:val="000000"/>
          <w:lang w:eastAsia="es-ES"/>
        </w:rPr>
        <w:t xml:space="preserve">  mueve 117.000 mi</w:t>
      </w:r>
      <w:r w:rsidR="00F6707D">
        <w:rPr>
          <w:rFonts w:ascii="Times New Roman" w:eastAsia="Times New Roman" w:hAnsi="Times New Roman" w:cs="Times New Roman"/>
          <w:color w:val="000000"/>
          <w:lang w:eastAsia="es-ES"/>
        </w:rPr>
        <w:t xml:space="preserve">llones de euros y afecta a más de 20 millones de personas en el mundo. Concretamente, en la UE, los datos indican que 10.998 presuntas víctimas de servicios sexuales, </w:t>
      </w:r>
      <w:r w:rsidR="00F6707D">
        <w:rPr>
          <w:rFonts w:ascii="Times New Roman" w:eastAsia="Times New Roman" w:hAnsi="Times New Roman" w:cs="Times New Roman"/>
          <w:color w:val="000000"/>
          <w:lang w:eastAsia="es-ES"/>
        </w:rPr>
        <w:lastRenderedPageBreak/>
        <w:t xml:space="preserve">trabajo forzado y otros, entre los que destacan la extracción de órganos, mendicidad, servidumbre doméstica, principalmente, </w:t>
      </w:r>
      <w:r w:rsidR="00692A5A">
        <w:rPr>
          <w:rFonts w:ascii="Times New Roman" w:eastAsia="Times New Roman" w:hAnsi="Times New Roman" w:cs="Times New Roman"/>
          <w:color w:val="000000"/>
          <w:lang w:eastAsia="es-ES"/>
        </w:rPr>
        <w:t xml:space="preserve">entre 2010 y </w:t>
      </w:r>
      <w:r w:rsidR="00F92896" w:rsidRPr="00F92896">
        <w:rPr>
          <w:rFonts w:ascii="Times New Roman" w:eastAsia="Times New Roman" w:hAnsi="Times New Roman" w:cs="Times New Roman"/>
          <w:color w:val="000000"/>
          <w:lang w:eastAsia="es-ES"/>
        </w:rPr>
        <w:t>2012</w:t>
      </w:r>
      <w:r w:rsidR="00605D1B">
        <w:rPr>
          <w:rStyle w:val="Refdenotaalpie"/>
          <w:rFonts w:ascii="Times New Roman" w:eastAsia="Times New Roman" w:hAnsi="Times New Roman" w:cs="Times New Roman"/>
          <w:color w:val="000000"/>
          <w:lang w:eastAsia="es-ES"/>
        </w:rPr>
        <w:footnoteReference w:id="15"/>
      </w:r>
      <w:r w:rsidR="00F92896">
        <w:rPr>
          <w:rFonts w:ascii="Times New Roman" w:eastAsia="Times New Roman" w:hAnsi="Times New Roman" w:cs="Times New Roman"/>
          <w:color w:val="000000"/>
          <w:lang w:eastAsia="es-ES"/>
        </w:rPr>
        <w:t>.</w:t>
      </w:r>
    </w:p>
    <w:p w:rsidR="00F34C58" w:rsidRPr="00CB1A9A" w:rsidRDefault="00160C20" w:rsidP="00F34C58">
      <w:pPr>
        <w:jc w:val="both"/>
        <w:rPr>
          <w:rFonts w:ascii="Times New Roman" w:eastAsia="Times New Roman" w:hAnsi="Times New Roman" w:cs="Times New Roman"/>
          <w:color w:val="000000"/>
          <w:lang w:eastAsia="es-ES"/>
        </w:rPr>
      </w:pPr>
      <w:r>
        <w:rPr>
          <w:rFonts w:ascii="Times New Roman" w:eastAsia="Times New Roman" w:hAnsi="Times New Roman" w:cs="Times New Roman"/>
          <w:color w:val="000000"/>
          <w:lang w:eastAsia="es-ES"/>
        </w:rPr>
        <w:t>Con relación a las principales rutas de llegadas de inmigrantes a la Unión</w:t>
      </w:r>
      <w:r>
        <w:rPr>
          <w:rStyle w:val="Refdenotaalpie"/>
          <w:rFonts w:ascii="Times New Roman" w:eastAsia="Times New Roman" w:hAnsi="Times New Roman" w:cs="Times New Roman"/>
          <w:color w:val="000000"/>
          <w:lang w:eastAsia="es-ES"/>
        </w:rPr>
        <w:footnoteReference w:id="16"/>
      </w:r>
      <w:r>
        <w:rPr>
          <w:rFonts w:ascii="Times New Roman" w:eastAsia="Times New Roman" w:hAnsi="Times New Roman" w:cs="Times New Roman"/>
          <w:color w:val="000000"/>
          <w:lang w:eastAsia="es-ES"/>
        </w:rPr>
        <w:t>, en</w:t>
      </w:r>
      <w:r w:rsidR="00F34C58">
        <w:rPr>
          <w:rFonts w:ascii="Times New Roman" w:eastAsia="Times New Roman" w:hAnsi="Times New Roman" w:cs="Times New Roman"/>
          <w:color w:val="000000"/>
          <w:lang w:eastAsia="es-ES"/>
        </w:rPr>
        <w:t>tre el 1 de Enero y el 31 de Agosto de 2016, unos 117000 migrantes irregulares fueron interceptados en el Mediterráneo Central</w:t>
      </w:r>
      <w:r>
        <w:rPr>
          <w:rFonts w:ascii="Times New Roman" w:eastAsia="Times New Roman" w:hAnsi="Times New Roman" w:cs="Times New Roman"/>
          <w:color w:val="000000"/>
          <w:lang w:eastAsia="es-ES"/>
        </w:rPr>
        <w:t>,</w:t>
      </w:r>
      <w:r w:rsidR="00F34C58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r w:rsidR="00D11DFD">
        <w:rPr>
          <w:rFonts w:ascii="Times New Roman" w:eastAsia="Times New Roman" w:hAnsi="Times New Roman" w:cs="Times New Roman"/>
          <w:color w:val="000000"/>
          <w:lang w:eastAsia="es-ES"/>
        </w:rPr>
        <w:t xml:space="preserve">lo </w:t>
      </w:r>
      <w:r w:rsidR="00F34C58">
        <w:rPr>
          <w:rFonts w:ascii="Times New Roman" w:eastAsia="Times New Roman" w:hAnsi="Times New Roman" w:cs="Times New Roman"/>
          <w:color w:val="000000"/>
          <w:lang w:eastAsia="es-ES"/>
        </w:rPr>
        <w:t>q</w:t>
      </w:r>
      <w:r w:rsidR="00F34C58" w:rsidRPr="00F34C58">
        <w:rPr>
          <w:rFonts w:ascii="Times New Roman" w:eastAsia="Times New Roman" w:hAnsi="Times New Roman" w:cs="Times New Roman"/>
          <w:color w:val="000000"/>
          <w:lang w:eastAsia="es-ES"/>
        </w:rPr>
        <w:t>ue representa una situación</w:t>
      </w:r>
      <w:r w:rsidR="00D11DFD">
        <w:rPr>
          <w:rFonts w:ascii="Times New Roman" w:eastAsia="Times New Roman" w:hAnsi="Times New Roman" w:cs="Times New Roman"/>
          <w:color w:val="000000"/>
          <w:lang w:eastAsia="es-ES"/>
        </w:rPr>
        <w:t xml:space="preserve"> parecida al año 2015 en el que se capturaron en torno a 116.000 migrantes. </w:t>
      </w:r>
      <w:r>
        <w:rPr>
          <w:rFonts w:ascii="Times New Roman" w:eastAsia="Times New Roman" w:hAnsi="Times New Roman" w:cs="Times New Roman"/>
          <w:color w:val="000000"/>
          <w:lang w:eastAsia="es-ES"/>
        </w:rPr>
        <w:t xml:space="preserve">En 2016, sin embargo, Egipto se convirtió en una ruta alternativa a Libia, como punto de partida hacia Italia para los migrantes de los países del Cuerno de África y Sudán, cerca de 12000, entre Enero y Agosto del mencionado año. </w:t>
      </w:r>
      <w:r w:rsidR="00440C19">
        <w:rPr>
          <w:rFonts w:ascii="Times New Roman" w:eastAsia="Times New Roman" w:hAnsi="Times New Roman" w:cs="Times New Roman"/>
          <w:color w:val="000000"/>
          <w:lang w:eastAsia="es-ES"/>
        </w:rPr>
        <w:t xml:space="preserve">Los principales migrantes de África Occidental proceden preferentemente de Nigeria, Gambia, </w:t>
      </w:r>
      <w:proofErr w:type="spellStart"/>
      <w:r w:rsidR="00440C19">
        <w:rPr>
          <w:rFonts w:ascii="Times New Roman" w:eastAsia="Times New Roman" w:hAnsi="Times New Roman" w:cs="Times New Roman"/>
          <w:color w:val="000000"/>
          <w:lang w:eastAsia="es-ES"/>
        </w:rPr>
        <w:t>Côté</w:t>
      </w:r>
      <w:proofErr w:type="spellEnd"/>
      <w:r w:rsidR="00440C19">
        <w:rPr>
          <w:rFonts w:ascii="Times New Roman" w:eastAsia="Times New Roman" w:hAnsi="Times New Roman" w:cs="Times New Roman"/>
          <w:color w:val="000000"/>
          <w:lang w:eastAsia="es-ES"/>
        </w:rPr>
        <w:t xml:space="preserve"> </w:t>
      </w:r>
      <w:proofErr w:type="spellStart"/>
      <w:r w:rsidR="00440C19">
        <w:rPr>
          <w:rFonts w:ascii="Times New Roman" w:eastAsia="Times New Roman" w:hAnsi="Times New Roman" w:cs="Times New Roman"/>
          <w:color w:val="000000"/>
          <w:lang w:eastAsia="es-ES"/>
        </w:rPr>
        <w:t>d’Ivoire</w:t>
      </w:r>
      <w:proofErr w:type="spellEnd"/>
      <w:r w:rsidR="00440C19">
        <w:rPr>
          <w:rFonts w:ascii="Times New Roman" w:eastAsia="Times New Roman" w:hAnsi="Times New Roman" w:cs="Times New Roman"/>
          <w:color w:val="000000"/>
          <w:lang w:eastAsia="es-ES"/>
        </w:rPr>
        <w:t>, Guinea, Senegal y Mali.</w:t>
      </w:r>
    </w:p>
    <w:sectPr w:rsidR="00F34C58" w:rsidRPr="00CB1A9A" w:rsidSect="008639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8E5" w:rsidRDefault="001A68E5" w:rsidP="004E2E93">
      <w:pPr>
        <w:spacing w:after="0" w:line="240" w:lineRule="auto"/>
      </w:pPr>
      <w:r>
        <w:separator/>
      </w:r>
    </w:p>
  </w:endnote>
  <w:endnote w:type="continuationSeparator" w:id="0">
    <w:p w:rsidR="001A68E5" w:rsidRDefault="001A68E5" w:rsidP="004E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EUAlbertina">
    <w:altName w:val="EU Alberti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aramond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8E5" w:rsidRDefault="001A68E5" w:rsidP="004E2E93">
      <w:pPr>
        <w:spacing w:after="0" w:line="240" w:lineRule="auto"/>
      </w:pPr>
      <w:r>
        <w:separator/>
      </w:r>
    </w:p>
  </w:footnote>
  <w:footnote w:type="continuationSeparator" w:id="0">
    <w:p w:rsidR="001A68E5" w:rsidRDefault="001A68E5" w:rsidP="004E2E93">
      <w:pPr>
        <w:spacing w:after="0" w:line="240" w:lineRule="auto"/>
      </w:pPr>
      <w:r>
        <w:continuationSeparator/>
      </w:r>
    </w:p>
  </w:footnote>
  <w:footnote w:id="1">
    <w:p w:rsidR="004E2E93" w:rsidRDefault="004E2E93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1" w:history="1">
        <w:r w:rsidRPr="00D31DD2">
          <w:rPr>
            <w:rStyle w:val="Hipervnculo"/>
          </w:rPr>
          <w:t>http://www.consilium.europa.eu/es/meetings/fac/2015/04/20/</w:t>
        </w:r>
      </w:hyperlink>
    </w:p>
    <w:p w:rsidR="004E2E93" w:rsidRDefault="004E2E93">
      <w:pPr>
        <w:pStyle w:val="Textonotapie"/>
      </w:pPr>
    </w:p>
  </w:footnote>
  <w:footnote w:id="2">
    <w:p w:rsidR="00B00B6A" w:rsidRDefault="00B00B6A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00B6A">
        <w:t>http://www.ugr.es/~jjordan/yihadismo-Libia.pdf</w:t>
      </w:r>
    </w:p>
  </w:footnote>
  <w:footnote w:id="3">
    <w:p w:rsidR="00A72833" w:rsidRDefault="00A72833">
      <w:pPr>
        <w:pStyle w:val="Textonotapie"/>
      </w:pPr>
      <w:r>
        <w:rPr>
          <w:rStyle w:val="Refdenotaalpie"/>
        </w:rPr>
        <w:footnoteRef/>
      </w:r>
      <w:r>
        <w:t xml:space="preserve"> Para obtener una visión completa sobre la Cooperación de la UE con África en materia de migración, consultar la página web: </w:t>
      </w:r>
      <w:r w:rsidRPr="00A72833">
        <w:t>http://europa.eu/rapid/press-release_MEMO-15-6026_es.htm</w:t>
      </w:r>
    </w:p>
  </w:footnote>
  <w:footnote w:id="4">
    <w:p w:rsidR="00A831E3" w:rsidRDefault="00A831E3">
      <w:pPr>
        <w:pStyle w:val="Textonotapie"/>
      </w:pPr>
      <w:r>
        <w:rPr>
          <w:rStyle w:val="Refdenotaalpie"/>
        </w:rPr>
        <w:footnoteRef/>
      </w:r>
      <w:r>
        <w:t xml:space="preserve"> DOUE, L122/31, de 19.5.2015. </w:t>
      </w:r>
      <w:r w:rsidRPr="00A831E3">
        <w:t>https://www.boe.es/doue/2015/122/L00031-00035.pdf</w:t>
      </w:r>
    </w:p>
  </w:footnote>
  <w:footnote w:id="5">
    <w:p w:rsidR="00271FA6" w:rsidRDefault="00271FA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271FA6">
        <w:t>http://www.ejercitodelaire.mde.es/ea/pag?idDoc=homeMIS</w:t>
      </w:r>
    </w:p>
  </w:footnote>
  <w:footnote w:id="6">
    <w:p w:rsidR="00657CDD" w:rsidRDefault="00657CDD">
      <w:pPr>
        <w:pStyle w:val="Textonotapie"/>
      </w:pPr>
      <w:r>
        <w:rPr>
          <w:rStyle w:val="Refdenotaalpie"/>
        </w:rPr>
        <w:footnoteRef/>
      </w:r>
      <w:r>
        <w:t>Natural de Turín (Italia), fue nombrado para dirigir esta misión el 18 de mayo de 2015</w:t>
      </w:r>
    </w:p>
  </w:footnote>
  <w:footnote w:id="7">
    <w:p w:rsidR="00301527" w:rsidRDefault="00301527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01527">
        <w:t>http://www.emad.mde.es/MOPS/180-UE-EUNAVFOR-MED-SOPHIA/</w:t>
      </w:r>
    </w:p>
  </w:footnote>
  <w:footnote w:id="8">
    <w:p w:rsidR="0036091F" w:rsidRDefault="0036091F" w:rsidP="0036091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TimesNewRomanPSMT" w:hAnsi="TimesNewRomanPSMT" w:cs="TimesNewRomanPSMT"/>
          <w:color w:val="000000"/>
          <w:sz w:val="20"/>
          <w:szCs w:val="20"/>
        </w:rPr>
        <w:t>Disponible en:</w:t>
      </w:r>
    </w:p>
    <w:p w:rsidR="0036091F" w:rsidRDefault="0036091F" w:rsidP="0036091F">
      <w:pPr>
        <w:pStyle w:val="Textonotapie"/>
      </w:pPr>
      <w:r>
        <w:rPr>
          <w:rFonts w:ascii="TimesNewRomanPSMT" w:hAnsi="TimesNewRomanPSMT" w:cs="TimesNewRomanPSMT"/>
          <w:color w:val="000081"/>
        </w:rPr>
        <w:t>http://www.defensa.gob.es/misiones/en_exterior/actuales/listado/eunavformed.html</w:t>
      </w:r>
    </w:p>
  </w:footnote>
  <w:footnote w:id="9">
    <w:p w:rsidR="00334BE9" w:rsidRDefault="00334BE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34BE9">
        <w:t>Fuente: Servicio Europeo de Acción Exterior: http://www.eeas.europa.eu/csdp/missions-and-operations/ (Última consulta: 16 de marzo de 2016).</w:t>
      </w:r>
    </w:p>
  </w:footnote>
  <w:footnote w:id="10">
    <w:p w:rsidR="008F5C54" w:rsidRPr="00186915" w:rsidRDefault="008F5C54" w:rsidP="00A723EE">
      <w:pPr>
        <w:pStyle w:val="Default"/>
        <w:rPr>
          <w:rFonts w:asciiTheme="minorHAnsi" w:hAnsiTheme="minorHAnsi" w:cstheme="minorBidi"/>
          <w:color w:val="auto"/>
          <w:sz w:val="20"/>
          <w:szCs w:val="20"/>
        </w:rPr>
      </w:pPr>
      <w:r>
        <w:rPr>
          <w:rStyle w:val="Refdenotaalpie"/>
        </w:rPr>
        <w:footnoteRef/>
      </w:r>
      <w:r>
        <w:t xml:space="preserve"> </w:t>
      </w:r>
      <w:r w:rsidRPr="00186915">
        <w:rPr>
          <w:rFonts w:asciiTheme="minorHAnsi" w:hAnsiTheme="minorHAnsi" w:cstheme="minorBidi"/>
          <w:color w:val="auto"/>
          <w:sz w:val="20"/>
          <w:szCs w:val="20"/>
        </w:rPr>
        <w:t>El presupuesto anual</w:t>
      </w:r>
      <w:r w:rsidR="00A723EE" w:rsidRPr="00186915">
        <w:rPr>
          <w:rFonts w:asciiTheme="minorHAnsi" w:hAnsiTheme="minorHAnsi" w:cstheme="minorBidi"/>
          <w:color w:val="auto"/>
          <w:sz w:val="20"/>
          <w:szCs w:val="20"/>
        </w:rPr>
        <w:t xml:space="preserve"> de 2017 destinará a implementar sus políticas € 157.9 </w:t>
      </w:r>
      <w:proofErr w:type="spellStart"/>
      <w:r w:rsidR="00A723EE" w:rsidRPr="00186915">
        <w:rPr>
          <w:rFonts w:asciiTheme="minorHAnsi" w:hAnsiTheme="minorHAnsi" w:cstheme="minorBidi"/>
          <w:color w:val="auto"/>
          <w:sz w:val="20"/>
          <w:szCs w:val="20"/>
        </w:rPr>
        <w:t>billion</w:t>
      </w:r>
      <w:proofErr w:type="spellEnd"/>
      <w:r w:rsidR="00A723EE" w:rsidRPr="00186915">
        <w:rPr>
          <w:rFonts w:asciiTheme="minorHAnsi" w:hAnsiTheme="minorHAnsi" w:cstheme="minorBidi"/>
          <w:color w:val="auto"/>
          <w:sz w:val="20"/>
          <w:szCs w:val="20"/>
        </w:rPr>
        <w:t xml:space="preserve">. </w:t>
      </w:r>
      <w:r w:rsidR="00A723EE" w:rsidRPr="00D47AD8">
        <w:rPr>
          <w:rFonts w:asciiTheme="minorHAnsi" w:hAnsiTheme="minorHAnsi" w:cstheme="minorBidi"/>
          <w:color w:val="auto"/>
          <w:sz w:val="20"/>
          <w:szCs w:val="20"/>
          <w:lang w:val="en-GB"/>
        </w:rPr>
        <w:t xml:space="preserve">This represents about 1% of EU Gross National Income (GNI). Se han </w:t>
      </w:r>
      <w:r w:rsidRPr="00D47AD8">
        <w:rPr>
          <w:rFonts w:asciiTheme="minorHAnsi" w:hAnsiTheme="minorHAnsi" w:cstheme="minorBidi"/>
          <w:color w:val="auto"/>
          <w:sz w:val="20"/>
          <w:szCs w:val="20"/>
          <w:lang w:val="en-GB"/>
        </w:rPr>
        <w:t xml:space="preserve">establecido los siguientes porcentajes: Economic, social and territorial cohesion </w:t>
      </w:r>
      <w:r w:rsidRPr="00D47AD8">
        <w:rPr>
          <w:rFonts w:asciiTheme="minorHAnsi" w:hAnsiTheme="minorHAnsi" w:cstheme="minorBidi"/>
          <w:b/>
          <w:bCs/>
          <w:color w:val="auto"/>
          <w:sz w:val="20"/>
          <w:szCs w:val="20"/>
          <w:lang w:val="en-GB"/>
        </w:rPr>
        <w:t xml:space="preserve">34%; </w:t>
      </w:r>
      <w:r w:rsidRPr="00D47AD8">
        <w:rPr>
          <w:rFonts w:asciiTheme="minorHAnsi" w:hAnsiTheme="minorHAnsi" w:cstheme="minorBidi"/>
          <w:color w:val="auto"/>
          <w:sz w:val="20"/>
          <w:szCs w:val="20"/>
          <w:lang w:val="en-GB"/>
        </w:rPr>
        <w:t xml:space="preserve">Competitiveness for growth and jobs </w:t>
      </w:r>
      <w:r w:rsidRPr="00D47AD8">
        <w:rPr>
          <w:rFonts w:asciiTheme="minorHAnsi" w:hAnsiTheme="minorHAnsi" w:cstheme="minorBidi"/>
          <w:b/>
          <w:bCs/>
          <w:color w:val="auto"/>
          <w:sz w:val="20"/>
          <w:szCs w:val="20"/>
          <w:lang w:val="en-GB"/>
        </w:rPr>
        <w:t xml:space="preserve">14%; </w:t>
      </w:r>
      <w:r w:rsidRPr="00D47AD8">
        <w:rPr>
          <w:rFonts w:asciiTheme="minorHAnsi" w:hAnsiTheme="minorHAnsi" w:cstheme="minorBidi"/>
          <w:color w:val="auto"/>
          <w:sz w:val="20"/>
          <w:szCs w:val="20"/>
          <w:lang w:val="en-GB"/>
        </w:rPr>
        <w:t xml:space="preserve">Sustainable growth: natural resources </w:t>
      </w:r>
      <w:r w:rsidRPr="00D47AD8">
        <w:rPr>
          <w:rFonts w:asciiTheme="minorHAnsi" w:hAnsiTheme="minorHAnsi" w:cstheme="minorBidi"/>
          <w:b/>
          <w:bCs/>
          <w:color w:val="auto"/>
          <w:sz w:val="20"/>
          <w:szCs w:val="20"/>
          <w:lang w:val="en-GB"/>
        </w:rPr>
        <w:t xml:space="preserve">37%; </w:t>
      </w:r>
      <w:r w:rsidRPr="00D47AD8">
        <w:rPr>
          <w:rFonts w:asciiTheme="minorHAnsi" w:hAnsiTheme="minorHAnsi" w:cstheme="minorBidi"/>
          <w:color w:val="auto"/>
          <w:sz w:val="20"/>
          <w:szCs w:val="20"/>
          <w:lang w:val="en-GB"/>
        </w:rPr>
        <w:t xml:space="preserve">Global Europe </w:t>
      </w:r>
      <w:r w:rsidRPr="00D47AD8">
        <w:rPr>
          <w:rFonts w:asciiTheme="minorHAnsi" w:hAnsiTheme="minorHAnsi" w:cstheme="minorBidi"/>
          <w:b/>
          <w:bCs/>
          <w:color w:val="auto"/>
          <w:sz w:val="20"/>
          <w:szCs w:val="20"/>
          <w:lang w:val="en-GB"/>
        </w:rPr>
        <w:t xml:space="preserve">6%; </w:t>
      </w:r>
      <w:r w:rsidRPr="00D47AD8">
        <w:rPr>
          <w:rFonts w:asciiTheme="minorHAnsi" w:hAnsiTheme="minorHAnsi" w:cstheme="minorBidi"/>
          <w:color w:val="auto"/>
          <w:sz w:val="20"/>
          <w:szCs w:val="20"/>
          <w:lang w:val="en-GB"/>
        </w:rPr>
        <w:t xml:space="preserve">Administration </w:t>
      </w:r>
      <w:r w:rsidRPr="00D47AD8">
        <w:rPr>
          <w:rFonts w:asciiTheme="minorHAnsi" w:hAnsiTheme="minorHAnsi" w:cstheme="minorBidi"/>
          <w:b/>
          <w:bCs/>
          <w:color w:val="auto"/>
          <w:sz w:val="20"/>
          <w:szCs w:val="20"/>
          <w:lang w:val="en-GB"/>
        </w:rPr>
        <w:t xml:space="preserve">6%; </w:t>
      </w:r>
      <w:r w:rsidRPr="00D47AD8">
        <w:rPr>
          <w:rFonts w:asciiTheme="minorHAnsi" w:hAnsiTheme="minorHAnsi" w:cstheme="minorBidi"/>
          <w:color w:val="auto"/>
          <w:sz w:val="20"/>
          <w:szCs w:val="20"/>
          <w:lang w:val="en-GB"/>
        </w:rPr>
        <w:t xml:space="preserve">Sustainable growth: natural resources </w:t>
      </w:r>
      <w:r w:rsidRPr="00D47AD8">
        <w:rPr>
          <w:rFonts w:asciiTheme="minorHAnsi" w:hAnsiTheme="minorHAnsi" w:cstheme="minorBidi"/>
          <w:b/>
          <w:bCs/>
          <w:color w:val="auto"/>
          <w:sz w:val="20"/>
          <w:szCs w:val="20"/>
          <w:lang w:val="en-GB"/>
        </w:rPr>
        <w:t>37%.</w:t>
      </w:r>
      <w:r w:rsidR="00A723EE" w:rsidRPr="00D47AD8">
        <w:rPr>
          <w:rFonts w:asciiTheme="minorHAnsi" w:hAnsiTheme="minorHAnsi" w:cstheme="minorBidi"/>
          <w:b/>
          <w:bCs/>
          <w:color w:val="auto"/>
          <w:sz w:val="20"/>
          <w:szCs w:val="20"/>
          <w:lang w:val="en-GB"/>
        </w:rPr>
        <w:t xml:space="preserve"> </w:t>
      </w:r>
      <w:r w:rsidR="00A723EE" w:rsidRPr="00186915">
        <w:rPr>
          <w:rFonts w:asciiTheme="minorHAnsi" w:hAnsiTheme="minorHAnsi" w:cstheme="minorBidi"/>
          <w:b/>
          <w:bCs/>
          <w:color w:val="auto"/>
          <w:sz w:val="20"/>
          <w:szCs w:val="20"/>
        </w:rPr>
        <w:t>Ver: http://ec.europa.eu/budget/library/biblio/documents/2017/budget-adoption-factsheet-2017_en.pdf</w:t>
      </w:r>
    </w:p>
  </w:footnote>
  <w:footnote w:id="11">
    <w:p w:rsidR="004C4703" w:rsidRDefault="004C4703" w:rsidP="004C4703">
      <w:pPr>
        <w:jc w:val="both"/>
        <w:rPr>
          <w:rFonts w:cs="EUAlbertina"/>
          <w:color w:val="000000"/>
          <w:sz w:val="25"/>
          <w:szCs w:val="25"/>
        </w:rPr>
      </w:pPr>
      <w:r>
        <w:rPr>
          <w:rStyle w:val="Refdenotaalpie"/>
        </w:rPr>
        <w:footnoteRef/>
      </w:r>
      <w:r>
        <w:t xml:space="preserve"> </w:t>
      </w:r>
      <w:r w:rsidRPr="00186915">
        <w:rPr>
          <w:sz w:val="20"/>
          <w:szCs w:val="20"/>
        </w:rPr>
        <w:t>Este articulo se circunscribe al Título V relativo a las DISPOSICIONES GENERALES RELATIVAS A LA ACCIÓN EXTERIOR DE LA UNIÓN Y DISPOSICIONES ESPECÍFICAS RELATIVAS A LA POLÍTICA EXTERIOR Y DE SEGURIDAD COMÚN y dentro del Capítulo 1 DISPOSICIONES GENERALES RELATIVAS A LA ACCIÓN EXTERIOR DE LA UNIÓN</w:t>
      </w:r>
    </w:p>
    <w:p w:rsidR="004C4703" w:rsidRDefault="004C4703" w:rsidP="004C4703">
      <w:pPr>
        <w:pStyle w:val="CM4"/>
        <w:spacing w:before="60" w:after="60"/>
        <w:jc w:val="both"/>
        <w:rPr>
          <w:rFonts w:cs="EUAlbertina"/>
          <w:color w:val="000000"/>
          <w:sz w:val="21"/>
          <w:szCs w:val="21"/>
        </w:rPr>
      </w:pPr>
    </w:p>
    <w:p w:rsidR="004C4703" w:rsidRDefault="004C4703">
      <w:pPr>
        <w:pStyle w:val="Textonotapie"/>
      </w:pPr>
    </w:p>
  </w:footnote>
  <w:footnote w:id="12">
    <w:p w:rsidR="00583899" w:rsidRPr="00583899" w:rsidRDefault="00583899" w:rsidP="00583899">
      <w:pPr>
        <w:pStyle w:val="Default"/>
        <w:rPr>
          <w:rFonts w:ascii="Arial" w:hAnsi="Arial" w:cs="Arial"/>
        </w:rPr>
      </w:pPr>
      <w:r>
        <w:rPr>
          <w:rStyle w:val="Refdenotaalpie"/>
        </w:rPr>
        <w:footnoteRef/>
      </w:r>
      <w: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7163"/>
      </w:tblGrid>
      <w:tr w:rsidR="00583899" w:rsidRPr="00D47AD8">
        <w:trPr>
          <w:trHeight w:val="208"/>
        </w:trPr>
        <w:tc>
          <w:tcPr>
            <w:tcW w:w="7163" w:type="dxa"/>
          </w:tcPr>
          <w:p w:rsidR="00583899" w:rsidRPr="00186915" w:rsidRDefault="00583899" w:rsidP="00583899">
            <w:pPr>
              <w:pStyle w:val="Default"/>
              <w:rPr>
                <w:rFonts w:asciiTheme="minorHAnsi" w:hAnsiTheme="minorHAnsi" w:cstheme="minorBidi"/>
                <w:color w:val="auto"/>
                <w:sz w:val="20"/>
                <w:szCs w:val="20"/>
                <w:lang w:val="en-GB"/>
              </w:rPr>
            </w:pPr>
            <w:r w:rsidRPr="00583899">
              <w:rPr>
                <w:rFonts w:ascii="Arial" w:hAnsi="Arial" w:cs="Arial"/>
                <w:lang w:val="en-GB"/>
              </w:rPr>
              <w:t xml:space="preserve"> </w:t>
            </w:r>
            <w:r w:rsidRPr="00186915">
              <w:rPr>
                <w:rFonts w:asciiTheme="minorHAnsi" w:hAnsiTheme="minorHAnsi" w:cstheme="minorBidi"/>
                <w:color w:val="auto"/>
                <w:sz w:val="20"/>
                <w:szCs w:val="20"/>
                <w:lang w:val="en-GB"/>
              </w:rPr>
              <w:t xml:space="preserve">Joint Communication to the European Parliament and the Council: </w:t>
            </w:r>
            <w:proofErr w:type="gramStart"/>
            <w:r w:rsidRPr="00186915">
              <w:rPr>
                <w:rFonts w:asciiTheme="minorHAnsi" w:hAnsiTheme="minorHAnsi" w:cstheme="minorBidi"/>
                <w:color w:val="auto"/>
                <w:sz w:val="20"/>
                <w:szCs w:val="20"/>
                <w:lang w:val="en-GB"/>
              </w:rPr>
              <w:t>Elements  for</w:t>
            </w:r>
            <w:proofErr w:type="gramEnd"/>
            <w:r w:rsidRPr="00186915">
              <w:rPr>
                <w:rFonts w:asciiTheme="minorHAnsi" w:hAnsiTheme="minorHAnsi" w:cstheme="minorBidi"/>
                <w:color w:val="auto"/>
                <w:sz w:val="20"/>
                <w:szCs w:val="20"/>
                <w:lang w:val="en-GB"/>
              </w:rPr>
              <w:t xml:space="preserve"> an EU-wide Strategic Framework for supporting Security Sector Reform (SSR), December, 2015.</w:t>
            </w:r>
            <w:r w:rsidR="005F319E" w:rsidRPr="00186915">
              <w:rPr>
                <w:rFonts w:asciiTheme="minorHAnsi" w:hAnsiTheme="minorHAnsi" w:cstheme="minorBidi"/>
                <w:color w:val="auto"/>
                <w:sz w:val="20"/>
                <w:szCs w:val="20"/>
                <w:lang w:val="en-GB"/>
              </w:rPr>
              <w:t xml:space="preserve">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420"/>
            </w:tblGrid>
            <w:tr w:rsidR="00583899" w:rsidRPr="00D47AD8">
              <w:trPr>
                <w:trHeight w:val="93"/>
              </w:trPr>
              <w:tc>
                <w:tcPr>
                  <w:tcW w:w="1420" w:type="dxa"/>
                </w:tcPr>
                <w:p w:rsidR="00583899" w:rsidRPr="00186915" w:rsidRDefault="00583899" w:rsidP="0058389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sz w:val="20"/>
                      <w:szCs w:val="20"/>
                      <w:lang w:val="en-GB"/>
                    </w:rPr>
                  </w:pPr>
                </w:p>
              </w:tc>
            </w:tr>
          </w:tbl>
          <w:p w:rsidR="00583899" w:rsidRPr="00583899" w:rsidRDefault="00583899" w:rsidP="0058389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</w:pPr>
          </w:p>
        </w:tc>
      </w:tr>
    </w:tbl>
    <w:p w:rsidR="00583899" w:rsidRPr="00583899" w:rsidRDefault="00583899">
      <w:pPr>
        <w:pStyle w:val="Textonotapie"/>
        <w:rPr>
          <w:lang w:val="en-GB"/>
        </w:rPr>
      </w:pPr>
    </w:p>
  </w:footnote>
  <w:footnote w:id="13">
    <w:p w:rsidR="005F319E" w:rsidRDefault="005F319E" w:rsidP="005F319E">
      <w:pPr>
        <w:autoSpaceDE w:val="0"/>
        <w:autoSpaceDN w:val="0"/>
        <w:adjustRightInd w:val="0"/>
        <w:spacing w:after="0" w:line="240" w:lineRule="auto"/>
      </w:pPr>
      <w:r>
        <w:rPr>
          <w:rStyle w:val="Refdenotaalpie"/>
        </w:rPr>
        <w:footnoteRef/>
      </w:r>
      <w:r>
        <w:t xml:space="preserve"> </w:t>
      </w:r>
      <w:r>
        <w:rPr>
          <w:rFonts w:ascii="AGaramond-Regular" w:hAnsi="AGaramond-Regular" w:cs="AGaramond-Regular"/>
          <w:sz w:val="20"/>
          <w:szCs w:val="20"/>
        </w:rPr>
        <w:t>Protocolo para prevenir, reprimir y sancionar la trata de personas, especialmente mujeres y niños, que complementa la Convención de las Naciones contra la Delincuencia Organizada Transnacional</w:t>
      </w:r>
      <w:r>
        <w:rPr>
          <w:rFonts w:ascii="AGaramond-Regular" w:hAnsi="AGaramond-Regular" w:cs="AGaramond-Regular"/>
        </w:rPr>
        <w:t xml:space="preserve"> y </w:t>
      </w:r>
      <w:r>
        <w:rPr>
          <w:rFonts w:ascii="AGaramond-Regular" w:hAnsi="AGaramond-Regular" w:cs="AGaramond-Regular"/>
          <w:sz w:val="20"/>
          <w:szCs w:val="20"/>
        </w:rPr>
        <w:t>Protocolo contra el tráfico ilícito de migrantes por tierra, mar y aire, que complementa la Convención de las Naciones Unidas contra la Delincuencia Organizada Transnacional</w:t>
      </w:r>
    </w:p>
  </w:footnote>
  <w:footnote w:id="14">
    <w:p w:rsidR="00F17709" w:rsidRDefault="00F1770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17709">
        <w:t>https://www.unodc.org/lpo-brazil/es/trafico-de-pessoas/index.html</w:t>
      </w:r>
    </w:p>
  </w:footnote>
  <w:footnote w:id="15">
    <w:p w:rsidR="00605D1B" w:rsidRDefault="00605D1B">
      <w:pPr>
        <w:pStyle w:val="Textonotapie"/>
      </w:pPr>
      <w:r>
        <w:rPr>
          <w:rStyle w:val="Refdenotaalpie"/>
        </w:rPr>
        <w:footnoteRef/>
      </w:r>
      <w:r>
        <w:t xml:space="preserve"> Disponible en Disponible en: http://www.europarl.europa.eu/news/es/headlines/world/20161014STO47261/mas-de-20-millones-de-personas-son-victimas-de-la-trata-de-seres-humanos</w:t>
      </w:r>
    </w:p>
  </w:footnote>
  <w:footnote w:id="16">
    <w:p w:rsidR="00160C20" w:rsidRPr="00160C20" w:rsidRDefault="00160C20">
      <w:pPr>
        <w:pStyle w:val="Textonotapie"/>
        <w:rPr>
          <w:lang w:val="en-GB"/>
        </w:rPr>
      </w:pPr>
      <w:r>
        <w:rPr>
          <w:rStyle w:val="Refdenotaalpie"/>
        </w:rPr>
        <w:footnoteRef/>
      </w:r>
      <w:r w:rsidRPr="00160C20">
        <w:rPr>
          <w:lang w:val="en-GB"/>
        </w:rPr>
        <w:t xml:space="preserve"> </w:t>
      </w:r>
      <w:proofErr w:type="spellStart"/>
      <w:proofErr w:type="gramStart"/>
      <w:r w:rsidRPr="00160C20">
        <w:rPr>
          <w:lang w:val="en-GB"/>
        </w:rPr>
        <w:t>Frontex</w:t>
      </w:r>
      <w:proofErr w:type="spellEnd"/>
      <w:r w:rsidRPr="00160C20">
        <w:rPr>
          <w:lang w:val="en-GB"/>
        </w:rPr>
        <w:t>, Risk analysis of 2016.</w:t>
      </w:r>
      <w:proofErr w:type="gramEnd"/>
      <w:r w:rsidRPr="00160C20">
        <w:rPr>
          <w:lang w:val="en-GB"/>
        </w:rPr>
        <w:t xml:space="preserve"> http://frontex.europa.eu/assets/Publications/Risk_Analysis/AFIC/AFIC_2016.pdf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3in;height:3in" o:bullet="t"/>
    </w:pict>
  </w:numPicBullet>
  <w:numPicBullet w:numPicBulletId="1">
    <w:pict>
      <v:shape id="_x0000_i1031" type="#_x0000_t75" style="width:3in;height:3in" o:bullet="t"/>
    </w:pict>
  </w:numPicBullet>
  <w:abstractNum w:abstractNumId="0">
    <w:nsid w:val="53FE7BD5"/>
    <w:multiLevelType w:val="hybridMultilevel"/>
    <w:tmpl w:val="D44CFF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97116D"/>
    <w:multiLevelType w:val="hybridMultilevel"/>
    <w:tmpl w:val="51CEBFC8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164D30"/>
    <w:multiLevelType w:val="hybridMultilevel"/>
    <w:tmpl w:val="D44CFF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1FFC"/>
    <w:rsid w:val="0006513F"/>
    <w:rsid w:val="00066210"/>
    <w:rsid w:val="000A4B8B"/>
    <w:rsid w:val="000E74A5"/>
    <w:rsid w:val="001250EA"/>
    <w:rsid w:val="00142960"/>
    <w:rsid w:val="00157673"/>
    <w:rsid w:val="00160C20"/>
    <w:rsid w:val="00181BB7"/>
    <w:rsid w:val="00182944"/>
    <w:rsid w:val="00185DF0"/>
    <w:rsid w:val="00186915"/>
    <w:rsid w:val="00187658"/>
    <w:rsid w:val="001A68E5"/>
    <w:rsid w:val="001A6CD7"/>
    <w:rsid w:val="001E5757"/>
    <w:rsid w:val="001F1259"/>
    <w:rsid w:val="001F6222"/>
    <w:rsid w:val="00202833"/>
    <w:rsid w:val="002160EB"/>
    <w:rsid w:val="00251E9E"/>
    <w:rsid w:val="00257472"/>
    <w:rsid w:val="00271FA6"/>
    <w:rsid w:val="00290FBE"/>
    <w:rsid w:val="0029555F"/>
    <w:rsid w:val="002B1C0A"/>
    <w:rsid w:val="002B31A0"/>
    <w:rsid w:val="002D0087"/>
    <w:rsid w:val="00301527"/>
    <w:rsid w:val="00314609"/>
    <w:rsid w:val="00323532"/>
    <w:rsid w:val="0033097E"/>
    <w:rsid w:val="00334BE9"/>
    <w:rsid w:val="003463AC"/>
    <w:rsid w:val="0036091F"/>
    <w:rsid w:val="00367AAD"/>
    <w:rsid w:val="003F3D48"/>
    <w:rsid w:val="00410DA8"/>
    <w:rsid w:val="00440C19"/>
    <w:rsid w:val="0046250C"/>
    <w:rsid w:val="00472D10"/>
    <w:rsid w:val="00482BE5"/>
    <w:rsid w:val="00490161"/>
    <w:rsid w:val="004C4703"/>
    <w:rsid w:val="004D5336"/>
    <w:rsid w:val="004E2E93"/>
    <w:rsid w:val="00515823"/>
    <w:rsid w:val="0052166A"/>
    <w:rsid w:val="005566CE"/>
    <w:rsid w:val="00583899"/>
    <w:rsid w:val="005B1B40"/>
    <w:rsid w:val="005B5B12"/>
    <w:rsid w:val="005F319E"/>
    <w:rsid w:val="00605D1B"/>
    <w:rsid w:val="00614577"/>
    <w:rsid w:val="00614826"/>
    <w:rsid w:val="00636306"/>
    <w:rsid w:val="00640BF0"/>
    <w:rsid w:val="00657CDD"/>
    <w:rsid w:val="00661BAF"/>
    <w:rsid w:val="0066575B"/>
    <w:rsid w:val="00676A42"/>
    <w:rsid w:val="00692A5A"/>
    <w:rsid w:val="0069355C"/>
    <w:rsid w:val="006B1D46"/>
    <w:rsid w:val="006C3670"/>
    <w:rsid w:val="006D0E96"/>
    <w:rsid w:val="00732ABF"/>
    <w:rsid w:val="00764971"/>
    <w:rsid w:val="0076765E"/>
    <w:rsid w:val="007A0659"/>
    <w:rsid w:val="007B56FF"/>
    <w:rsid w:val="007E35A0"/>
    <w:rsid w:val="00827D36"/>
    <w:rsid w:val="008424C4"/>
    <w:rsid w:val="0085733A"/>
    <w:rsid w:val="00863999"/>
    <w:rsid w:val="00882DD3"/>
    <w:rsid w:val="0089716F"/>
    <w:rsid w:val="008A4839"/>
    <w:rsid w:val="008F5C54"/>
    <w:rsid w:val="00915204"/>
    <w:rsid w:val="009B78B2"/>
    <w:rsid w:val="009D46D7"/>
    <w:rsid w:val="009E5471"/>
    <w:rsid w:val="00A13CA7"/>
    <w:rsid w:val="00A369EC"/>
    <w:rsid w:val="00A3745C"/>
    <w:rsid w:val="00A723EE"/>
    <w:rsid w:val="00A72833"/>
    <w:rsid w:val="00A82F13"/>
    <w:rsid w:val="00A831E3"/>
    <w:rsid w:val="00AD0AFF"/>
    <w:rsid w:val="00B00B6A"/>
    <w:rsid w:val="00B2255A"/>
    <w:rsid w:val="00BB4722"/>
    <w:rsid w:val="00C01625"/>
    <w:rsid w:val="00C1321D"/>
    <w:rsid w:val="00C250EA"/>
    <w:rsid w:val="00C52F0B"/>
    <w:rsid w:val="00C85166"/>
    <w:rsid w:val="00C953E5"/>
    <w:rsid w:val="00CA24D9"/>
    <w:rsid w:val="00CB1A9A"/>
    <w:rsid w:val="00CF7C28"/>
    <w:rsid w:val="00D11DFD"/>
    <w:rsid w:val="00D253E9"/>
    <w:rsid w:val="00D32394"/>
    <w:rsid w:val="00D47AD8"/>
    <w:rsid w:val="00D710C7"/>
    <w:rsid w:val="00D77B63"/>
    <w:rsid w:val="00DD0B89"/>
    <w:rsid w:val="00E21FFC"/>
    <w:rsid w:val="00E665BC"/>
    <w:rsid w:val="00EB39B2"/>
    <w:rsid w:val="00EB49F2"/>
    <w:rsid w:val="00EC0DEE"/>
    <w:rsid w:val="00ED5331"/>
    <w:rsid w:val="00F17709"/>
    <w:rsid w:val="00F34C58"/>
    <w:rsid w:val="00F37D93"/>
    <w:rsid w:val="00F6707D"/>
    <w:rsid w:val="00F76361"/>
    <w:rsid w:val="00F92896"/>
    <w:rsid w:val="00FA2738"/>
    <w:rsid w:val="00FC432A"/>
    <w:rsid w:val="00FC75B5"/>
    <w:rsid w:val="00FD170E"/>
    <w:rsid w:val="00FE768C"/>
    <w:rsid w:val="00FF1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FF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4E2E9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E2E9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E2E9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4E2E93"/>
    <w:rPr>
      <w:color w:val="0000FF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30152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301527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301527"/>
    <w:rPr>
      <w:vertAlign w:val="superscript"/>
    </w:rPr>
  </w:style>
  <w:style w:type="paragraph" w:customStyle="1" w:styleId="Default">
    <w:name w:val="Default"/>
    <w:rsid w:val="008A4839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B31A0"/>
    <w:pPr>
      <w:ind w:left="720"/>
      <w:contextualSpacing/>
    </w:pPr>
  </w:style>
  <w:style w:type="paragraph" w:customStyle="1" w:styleId="CM4">
    <w:name w:val="CM4"/>
    <w:basedOn w:val="Normal"/>
    <w:next w:val="Normal"/>
    <w:uiPriority w:val="99"/>
    <w:rsid w:val="004C4703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character" w:customStyle="1" w:styleId="A15">
    <w:name w:val="A15"/>
    <w:uiPriority w:val="99"/>
    <w:rsid w:val="008F5C54"/>
    <w:rPr>
      <w:b/>
      <w:bCs/>
      <w:color w:val="000000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ilium.europa.eu/es/meetings/fac/2015/04/20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279D08-A6A1-4FC4-BF3D-0C56774FA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828</TotalTime>
  <Pages>6</Pages>
  <Words>2503</Words>
  <Characters>13769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Maribel Nieto Fernandez</dc:creator>
  <cp:keywords/>
  <dc:description/>
  <cp:lastModifiedBy>Maribel Nieto Fernandez</cp:lastModifiedBy>
  <cp:revision>132</cp:revision>
  <dcterms:created xsi:type="dcterms:W3CDTF">2017-04-04T14:27:00Z</dcterms:created>
  <dcterms:modified xsi:type="dcterms:W3CDTF">2017-07-13T17:06:00Z</dcterms:modified>
</cp:coreProperties>
</file>