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4E2D" w:rsidRDefault="009B4E2D" w:rsidP="009B4E2D">
      <w:pPr>
        <w:jc w:val="center"/>
        <w:rPr>
          <w:b/>
        </w:rPr>
      </w:pPr>
      <w:bookmarkStart w:id="0" w:name="_GoBack"/>
      <w:bookmarkEnd w:id="0"/>
      <w:r>
        <w:rPr>
          <w:b/>
        </w:rPr>
        <w:t>COMUNIDAD MARROQUÍ EN LA COMUNIDAD AUTÓNOMA DE MADRID: ¿DIÁSPORA O COMUNIDAD TRANSNACIONAL?</w:t>
      </w:r>
    </w:p>
    <w:p w:rsidR="009B4E2D" w:rsidRDefault="009B4E2D" w:rsidP="003E670E">
      <w:pPr>
        <w:rPr>
          <w:b/>
        </w:rPr>
      </w:pPr>
    </w:p>
    <w:p w:rsidR="003E670E" w:rsidRPr="009B4E2D" w:rsidRDefault="009B4E2D" w:rsidP="003E670E">
      <w:r w:rsidRPr="009B4E2D">
        <w:t xml:space="preserve">SUMARIO-I. </w:t>
      </w:r>
      <w:r w:rsidR="003E670E" w:rsidRPr="009B4E2D">
        <w:t xml:space="preserve"> ESTADO DEL ARTE</w:t>
      </w:r>
      <w:r w:rsidRPr="009B4E2D">
        <w:t>. II. METODOLOGÍA. III. RESULTADOS. IV. CONCLUSIONES. V. BIBLIOGRAFÍA</w:t>
      </w:r>
    </w:p>
    <w:p w:rsidR="009A539B" w:rsidRPr="009B4E2D" w:rsidRDefault="003E670E">
      <w:pPr>
        <w:rPr>
          <w:i/>
        </w:rPr>
      </w:pPr>
      <w:r>
        <w:tab/>
      </w:r>
      <w:r>
        <w:tab/>
      </w:r>
      <w:r>
        <w:tab/>
      </w:r>
    </w:p>
    <w:p w:rsidR="003E670E" w:rsidRDefault="009B4E2D" w:rsidP="00532F5A">
      <w:pPr>
        <w:rPr>
          <w:b/>
        </w:rPr>
      </w:pPr>
      <w:r>
        <w:rPr>
          <w:b/>
        </w:rPr>
        <w:t>I</w:t>
      </w:r>
      <w:r w:rsidR="003E670E" w:rsidRPr="00AA3861">
        <w:rPr>
          <w:b/>
        </w:rPr>
        <w:t>.</w:t>
      </w:r>
      <w:r w:rsidR="003E670E">
        <w:rPr>
          <w:b/>
        </w:rPr>
        <w:t xml:space="preserve"> </w:t>
      </w:r>
      <w:r w:rsidR="003E670E" w:rsidRPr="00AA3861">
        <w:rPr>
          <w:b/>
        </w:rPr>
        <w:t>ESTADO DEL ARTE</w:t>
      </w:r>
    </w:p>
    <w:p w:rsidR="007B0805" w:rsidRPr="00532F5A" w:rsidRDefault="009B4E2D" w:rsidP="00532F5A">
      <w:pPr>
        <w:rPr>
          <w:b/>
        </w:rPr>
      </w:pPr>
      <w:r>
        <w:rPr>
          <w:b/>
        </w:rPr>
        <w:t>1</w:t>
      </w:r>
      <w:r w:rsidR="00532F5A">
        <w:rPr>
          <w:b/>
        </w:rPr>
        <w:t xml:space="preserve">.1 </w:t>
      </w:r>
      <w:r w:rsidR="00653E19" w:rsidRPr="00532F5A">
        <w:rPr>
          <w:b/>
        </w:rPr>
        <w:t>Diáspora y comunidad transnacional</w:t>
      </w:r>
    </w:p>
    <w:p w:rsidR="00136520" w:rsidRDefault="007B0805">
      <w:r>
        <w:t>La literatura anglosajona</w:t>
      </w:r>
      <w:r w:rsidR="00BD5183">
        <w:t xml:space="preserve"> en Ciencia Política y Relaciones Internacionales</w:t>
      </w:r>
      <w:r>
        <w:t xml:space="preserve"> denomina</w:t>
      </w:r>
      <w:r w:rsidR="00BD5183">
        <w:t xml:space="preserve"> política de identidad</w:t>
      </w:r>
      <w:r w:rsidR="000B7CBB">
        <w:t>, &lt;&lt;identity politics&gt;&gt;</w:t>
      </w:r>
      <w:r w:rsidR="00BD5183">
        <w:t xml:space="preserve"> a lo</w:t>
      </w:r>
      <w:r w:rsidR="000B7CBB">
        <w:t xml:space="preserve"> </w:t>
      </w:r>
      <w:r w:rsidR="00305935">
        <w:t>que</w:t>
      </w:r>
      <w:r w:rsidR="000B7CBB">
        <w:t xml:space="preserve"> en España se llama cultura </w:t>
      </w:r>
      <w:r w:rsidR="00305935">
        <w:t xml:space="preserve">y relaciones interculturales </w:t>
      </w:r>
      <w:r w:rsidR="000B7CBB" w:rsidRPr="004757F3">
        <w:t>(Calduch</w:t>
      </w:r>
      <w:r w:rsidR="004757F3" w:rsidRPr="004757F3">
        <w:t xml:space="preserve"> 2003</w:t>
      </w:r>
      <w:r w:rsidR="000B7CBB" w:rsidRPr="004757F3">
        <w:t>, Ferreiro</w:t>
      </w:r>
      <w:r w:rsidR="004757F3" w:rsidRPr="004757F3">
        <w:t xml:space="preserve"> 2011</w:t>
      </w:r>
      <w:r w:rsidR="000B7CBB" w:rsidRPr="004757F3">
        <w:t>, Valle</w:t>
      </w:r>
      <w:r w:rsidR="004757F3" w:rsidRPr="004757F3">
        <w:t>, 2005</w:t>
      </w:r>
      <w:r w:rsidR="000B7CBB" w:rsidRPr="004757F3">
        <w:t>)</w:t>
      </w:r>
      <w:r w:rsidR="000B7CBB">
        <w:t xml:space="preserve">. </w:t>
      </w:r>
      <w:r w:rsidR="009A539B">
        <w:t xml:space="preserve">El objeto de estudio definido como </w:t>
      </w:r>
      <w:r w:rsidR="000E5F21">
        <w:t>“Identity politics” se aborda</w:t>
      </w:r>
      <w:r w:rsidR="009A539B">
        <w:t xml:space="preserve">, bien desde la categoría de diáspora, bien desde el término de comunidad transnacional. </w:t>
      </w:r>
    </w:p>
    <w:p w:rsidR="00BD5183" w:rsidRDefault="00136520">
      <w:r>
        <w:t>A</w:t>
      </w:r>
      <w:r w:rsidR="00BD5183">
        <w:t>mbos términos</w:t>
      </w:r>
      <w:r>
        <w:t xml:space="preserve"> se utilizan</w:t>
      </w:r>
      <w:r w:rsidR="00BD5183">
        <w:t xml:space="preserve"> indistintamente</w:t>
      </w:r>
      <w:r>
        <w:t>, lo cual genera una</w:t>
      </w:r>
      <w:r w:rsidR="00BD5183">
        <w:t xml:space="preserve"> confusión conceptual y, muchas veces, se elige uno u otro en función de la disciplina</w:t>
      </w:r>
      <w:r>
        <w:t xml:space="preserve"> desde la </w:t>
      </w:r>
      <w:r w:rsidR="00BD5183">
        <w:t>que se aborde o de la agenda que haya detrás de la utiliza</w:t>
      </w:r>
      <w:r w:rsidR="009A539B">
        <w:t>ción de un concepto</w:t>
      </w:r>
      <w:r>
        <w:t xml:space="preserve"> u otro (Faist, 2010: 7</w:t>
      </w:r>
      <w:r w:rsidR="00BD5183">
        <w:t>).</w:t>
      </w:r>
      <w:r>
        <w:t xml:space="preserve"> </w:t>
      </w:r>
      <w:r w:rsidR="009A539B">
        <w:t>Como es obvio, cada agenda tiene una finalidad política distinta.</w:t>
      </w:r>
      <w:r w:rsidR="00114647">
        <w:t xml:space="preserve"> Se puede </w:t>
      </w:r>
      <w:r>
        <w:t>utilizar el concepto de diásp</w:t>
      </w:r>
      <w:r w:rsidR="00114647">
        <w:t xml:space="preserve">ora para enfatizar un </w:t>
      </w:r>
      <w:r w:rsidR="009A539B">
        <w:t>papel más orientado a la acción política</w:t>
      </w:r>
      <w:r w:rsidR="00114647">
        <w:t xml:space="preserve">, ya sea con el propósito de atribuir al grupo una responsabilidad en la construcción de una nación, ya </w:t>
      </w:r>
      <w:r>
        <w:t>como</w:t>
      </w:r>
      <w:r w:rsidR="00114647">
        <w:t xml:space="preserve"> modo de</w:t>
      </w:r>
      <w:r>
        <w:t xml:space="preserve"> control</w:t>
      </w:r>
      <w:r w:rsidR="00114647">
        <w:t>ar las</w:t>
      </w:r>
      <w:r>
        <w:t xml:space="preserve"> poblaciones en el extranjero (Faist, 2010:7)</w:t>
      </w:r>
      <w:r w:rsidR="000E5F21">
        <w:t xml:space="preserve">. </w:t>
      </w:r>
      <w:r w:rsidR="00114647">
        <w:t>Cuando se enfoca desde una lógica económica, se construye un concepto de diásp</w:t>
      </w:r>
      <w:r w:rsidR="000E5F21">
        <w:t xml:space="preserve">ora cuya finalidad es de financiación </w:t>
      </w:r>
      <w:r w:rsidR="00114647">
        <w:t>y se pretende hacer de la comunidad diásporica un agente en las políticas de desarrollo económico del país</w:t>
      </w:r>
      <w:r w:rsidR="004163E0">
        <w:t xml:space="preserve"> (Weinar, 2010</w:t>
      </w:r>
      <w:r>
        <w:t>).</w:t>
      </w:r>
      <w:r w:rsidR="00114647">
        <w:t xml:space="preserve"> Ambas agendas instrumentalizan el término para sus propios fines, lo cual politiza el término de modo tal que no se puede utilizar como un concepto analítico inocuo</w:t>
      </w:r>
      <w:r w:rsidR="00E77435">
        <w:t xml:space="preserve"> (Faist, 2010: 12</w:t>
      </w:r>
      <w:r w:rsidR="004163E0">
        <w:t xml:space="preserve"> Paerregaard, 2010: 91</w:t>
      </w:r>
      <w:r w:rsidR="00E77435">
        <w:t xml:space="preserve">). </w:t>
      </w:r>
      <w:r w:rsidR="000E5F21">
        <w:t xml:space="preserve">A </w:t>
      </w:r>
      <w:r w:rsidR="00114647">
        <w:t xml:space="preserve">esta instrumentalización cabe añadir la securitización del término desde el 11-S </w:t>
      </w:r>
      <w:r w:rsidR="0063238A">
        <w:t>(Cohen, 2008).</w:t>
      </w:r>
      <w:r w:rsidR="009C3CA8">
        <w:t xml:space="preserve"> Sin embargo, el concepto de comunidad transnacional tampoco está exento de politiz</w:t>
      </w:r>
      <w:r w:rsidR="000E5F21">
        <w:t>ación. Como señala Faist, surge los años 90 con el objetivo</w:t>
      </w:r>
      <w:r w:rsidR="009C3CA8">
        <w:t xml:space="preserve"> de empoderar a los inmigrantes</w:t>
      </w:r>
      <w:r w:rsidR="00E77435">
        <w:t xml:space="preserve"> (Faist, 2010:12). </w:t>
      </w:r>
    </w:p>
    <w:p w:rsidR="009C3CA8" w:rsidRDefault="009C3CA8">
      <w:r>
        <w:t xml:space="preserve">Parece claro inferir que ambos términos reflejan que los individuos como agregados sociales tienen una agencia, esto es, capacidad de acción, tanto transnacional como en las sociedades en las que residen y que dicho potencial se quiere explotar con finalidades políticas o económicas. </w:t>
      </w:r>
    </w:p>
    <w:p w:rsidR="00E77435" w:rsidRDefault="00136520">
      <w:r>
        <w:t>Al</w:t>
      </w:r>
      <w:r w:rsidR="00E77435">
        <w:t xml:space="preserve"> margen de las agendas,</w:t>
      </w:r>
      <w:r w:rsidR="005209AE">
        <w:t xml:space="preserve"> no ayuda a la fal</w:t>
      </w:r>
      <w:r w:rsidR="000E5F21">
        <w:t xml:space="preserve">ta de clarificación conceptual, </w:t>
      </w:r>
      <w:r w:rsidR="005209AE">
        <w:t xml:space="preserve">la inexistencia de un </w:t>
      </w:r>
      <w:r w:rsidR="00E77435">
        <w:t xml:space="preserve"> </w:t>
      </w:r>
      <w:r w:rsidR="005209AE">
        <w:t>consenso académico que distinga</w:t>
      </w:r>
      <w:r w:rsidR="00E77435">
        <w:t xml:space="preserve"> el transnacionalismo y las consiguientes minorías étnicas que se crean en los países de recepción de lo que es una comunidad diaspórica. A pesar de ello, se va a seguir a autores que sí hacen tal distinción para poder, de este modo, determinar la diferencia entre un concepto y otro. </w:t>
      </w:r>
    </w:p>
    <w:p w:rsidR="00097704" w:rsidRDefault="00097704">
      <w:r>
        <w:t>Una definición clásica de diáspora es la hecha por Sheffer (2006): “</w:t>
      </w:r>
      <w:r w:rsidRPr="001A765E">
        <w:rPr>
          <w:i/>
        </w:rPr>
        <w:t xml:space="preserve">una diáspora </w:t>
      </w:r>
      <w:r w:rsidR="001A765E" w:rsidRPr="001A765E">
        <w:rPr>
          <w:i/>
        </w:rPr>
        <w:t>etno-nacional es una formación socio políti</w:t>
      </w:r>
      <w:r w:rsidR="000E5F21">
        <w:rPr>
          <w:i/>
        </w:rPr>
        <w:t xml:space="preserve">ca creada como el resultado, </w:t>
      </w:r>
      <w:r w:rsidR="001A765E" w:rsidRPr="001A765E">
        <w:rPr>
          <w:i/>
        </w:rPr>
        <w:t xml:space="preserve">de </w:t>
      </w:r>
      <w:r w:rsidR="000E5F21">
        <w:rPr>
          <w:i/>
        </w:rPr>
        <w:t xml:space="preserve">una </w:t>
      </w:r>
      <w:r w:rsidR="001A765E" w:rsidRPr="001A765E">
        <w:rPr>
          <w:i/>
        </w:rPr>
        <w:t>migración</w:t>
      </w:r>
      <w:r w:rsidR="000E5F21">
        <w:rPr>
          <w:i/>
        </w:rPr>
        <w:t xml:space="preserve">, ya  voluntaria, ya </w:t>
      </w:r>
      <w:r w:rsidR="001A765E" w:rsidRPr="001A765E">
        <w:rPr>
          <w:i/>
        </w:rPr>
        <w:t>forzada cuyos miembros se ven a sí mismos como del</w:t>
      </w:r>
      <w:r w:rsidR="000E5F21">
        <w:rPr>
          <w:i/>
        </w:rPr>
        <w:t xml:space="preserve"> mismo origen </w:t>
      </w:r>
      <w:r w:rsidR="000E5F21">
        <w:rPr>
          <w:i/>
        </w:rPr>
        <w:lastRenderedPageBreak/>
        <w:t xml:space="preserve">etnonacional y </w:t>
      </w:r>
      <w:r w:rsidR="001A765E" w:rsidRPr="001A765E">
        <w:rPr>
          <w:i/>
        </w:rPr>
        <w:t xml:space="preserve"> viven permanentemente como minorías en uno o varios países de acogida. Los miembros de esas entidades mantienen contactos regulares u ocasionales con </w:t>
      </w:r>
      <w:r w:rsidR="000E5F21">
        <w:rPr>
          <w:i/>
        </w:rPr>
        <w:t xml:space="preserve">lo que consideran sus patrias, así como </w:t>
      </w:r>
      <w:r w:rsidR="001A765E" w:rsidRPr="001A765E">
        <w:rPr>
          <w:i/>
        </w:rPr>
        <w:t xml:space="preserve">con individuos o grupos con el mismo perfil que viven en otros países de acogida. Tomando como base las decisiones agregadas de asentarse permanentemente en los países de acogida, pero </w:t>
      </w:r>
      <w:r w:rsidR="000E5F21">
        <w:rPr>
          <w:i/>
        </w:rPr>
        <w:t xml:space="preserve">también </w:t>
      </w:r>
      <w:r w:rsidR="001A765E" w:rsidRPr="001A765E">
        <w:rPr>
          <w:i/>
        </w:rPr>
        <w:t>en mantener una identidad común, las diásporas se identifican como tales mostrando solidaridad con su grupo y con la nación entera</w:t>
      </w:r>
      <w:r w:rsidR="000E5F21">
        <w:rPr>
          <w:i/>
        </w:rPr>
        <w:t xml:space="preserve"> y se organizan y estando activas </w:t>
      </w:r>
      <w:r w:rsidR="001A765E" w:rsidRPr="001A765E">
        <w:rPr>
          <w:i/>
        </w:rPr>
        <w:t>en esferas culturales, sociales, económicas y políticas. Entre sus diversas actividades, los miembros de dichas diásporas establecen redes trans-estatales que reflejan las complicadas relaciones entre las diásporas, los paí</w:t>
      </w:r>
      <w:r w:rsidR="001A765E">
        <w:rPr>
          <w:i/>
        </w:rPr>
        <w:t>s</w:t>
      </w:r>
      <w:r w:rsidR="001A765E" w:rsidRPr="001A765E">
        <w:rPr>
          <w:i/>
        </w:rPr>
        <w:t>es de acogida, sus patrias y los actores internacionales</w:t>
      </w:r>
      <w:r w:rsidR="001A765E">
        <w:t>” (Sheffer, 2006: 9 y 10).</w:t>
      </w:r>
      <w:r w:rsidR="000E5F21">
        <w:rPr>
          <w:rStyle w:val="FootnoteReference"/>
        </w:rPr>
        <w:footnoteReference w:id="1"/>
      </w:r>
    </w:p>
    <w:p w:rsidR="00136520" w:rsidRDefault="00B47FB7">
      <w:r>
        <w:t>Sheffer enfatiza que la identificación de una diáspora debe tener en cuenta las acciones de acción colectiva tomadas por los inmigrantes, esto es, resulta necesario enfatizar el elemento de elección por parte de los inm</w:t>
      </w:r>
      <w:r w:rsidR="005209AE">
        <w:t>igrantes y los grupos</w:t>
      </w:r>
      <w:r>
        <w:t xml:space="preserve"> (Sheffer, 2006: 251)</w:t>
      </w:r>
      <w:r w:rsidR="005209AE">
        <w:t xml:space="preserve">. </w:t>
      </w:r>
      <w:r w:rsidR="00136520">
        <w:t>F</w:t>
      </w:r>
      <w:r w:rsidR="00E77435">
        <w:t xml:space="preserve">aist define una </w:t>
      </w:r>
      <w:r w:rsidR="00136520">
        <w:t>diáspora como un grupo religioso o nacional que vive fuera de su patria (Faist, 2010: 7), mientras que el transnacionalismo hace referencia a los vínculos entre los pa</w:t>
      </w:r>
      <w:r w:rsidR="00097704">
        <w:t xml:space="preserve">íses </w:t>
      </w:r>
      <w:r w:rsidR="00136520">
        <w:t xml:space="preserve">y, de forma más extensa, no sólo a las comunidades, sino a todo tipo de formaciones sociales, redes transnacionales activas, grupos y </w:t>
      </w:r>
      <w:r w:rsidR="00E77435">
        <w:t>organizaciones (Faist, 2010: 7).</w:t>
      </w:r>
    </w:p>
    <w:p w:rsidR="00136520" w:rsidRDefault="000E5F21">
      <w:r>
        <w:t xml:space="preserve">El estudio actual de las diásporas trata de evitar el esencialismo y, por ello, el </w:t>
      </w:r>
      <w:r w:rsidR="00E77435">
        <w:t>constructivismo social apuesta por cambiar el foco de las comunidades a las prácticas (Faist, 2010: 19).</w:t>
      </w:r>
      <w:r w:rsidR="00F84FF3">
        <w:t xml:space="preserve"> En todo caso, parece que la investigación de índole transnacional presta una mayor atención a temas como la incorporación y la integración de los inmigrantes que la literatura sobre diáspora.  </w:t>
      </w:r>
    </w:p>
    <w:p w:rsidR="00F84FF3" w:rsidRDefault="00F84FF3">
      <w:r>
        <w:t xml:space="preserve">Para Faist, ambos conceptos se mueven en distintas dimensiones. </w:t>
      </w:r>
      <w:r w:rsidR="00653E19">
        <w:t>La diáspora hace referencia a un grupo geográficamente</w:t>
      </w:r>
      <w:r>
        <w:t xml:space="preserve"> </w:t>
      </w:r>
      <w:r w:rsidR="00653E19">
        <w:t xml:space="preserve">disperso </w:t>
      </w:r>
      <w:r>
        <w:t xml:space="preserve"> y, por t</w:t>
      </w:r>
      <w:r w:rsidR="00653E19">
        <w:t>anto, la identidad colectiva</w:t>
      </w:r>
      <w:r>
        <w:t xml:space="preserve"> surge </w:t>
      </w:r>
      <w:r w:rsidR="00653E19">
        <w:t>con la finalidad de</w:t>
      </w:r>
      <w:r>
        <w:t xml:space="preserve"> mantener los lazos entre el país de origen y el país de inmigración (Faist, 2010: 21) y suele hacer referencia a movimientos multigeneracionales (Faist, 20010: 21) que sedimentan a través de un largo periodo de tiempo (Bruneau, 2010: 47). </w:t>
      </w:r>
      <w:r w:rsidR="005209AE">
        <w:t xml:space="preserve">Por su parte, el </w:t>
      </w:r>
      <w:r>
        <w:t>trans</w:t>
      </w:r>
      <w:r w:rsidR="004163E0">
        <w:t xml:space="preserve">nacionalismo hace referencia a </w:t>
      </w:r>
      <w:r>
        <w:t>la movilidad a través de las fronteras y se dedica a estudiar flujos de migración reciente (Faist, 2010: 22)</w:t>
      </w:r>
      <w:r w:rsidR="00653E19">
        <w:t>.</w:t>
      </w:r>
    </w:p>
    <w:p w:rsidR="00653E19" w:rsidRDefault="00653E19">
      <w:r>
        <w:t>Debido al uso indistinto de los conceptos, no resulta f</w:t>
      </w:r>
      <w:r w:rsidR="000E5F21">
        <w:t>ácil establecer los indicares</w:t>
      </w:r>
      <w:r>
        <w:t xml:space="preserve"> qué</w:t>
      </w:r>
      <w:r w:rsidR="000E5F21">
        <w:t xml:space="preserve"> determinen qué</w:t>
      </w:r>
      <w:r>
        <w:t xml:space="preserve"> es una diáspora. En su clásica obra de 1986, Sheffer propuso los siguientes</w:t>
      </w:r>
      <w:r w:rsidR="005209AE">
        <w:t xml:space="preserve"> elementos como definidores de un grupo diaspórico</w:t>
      </w:r>
      <w:r>
        <w:t>:</w:t>
      </w:r>
    </w:p>
    <w:p w:rsidR="00653E19" w:rsidRDefault="00653E19" w:rsidP="00653E19">
      <w:pPr>
        <w:pStyle w:val="ListParagraph"/>
        <w:numPr>
          <w:ilvl w:val="0"/>
          <w:numId w:val="11"/>
        </w:numPr>
      </w:pPr>
      <w:r>
        <w:t>El grupo disperso debe tener una identidad colectiva distin</w:t>
      </w:r>
      <w:r w:rsidR="002F245E">
        <w:t>tiva.</w:t>
      </w:r>
    </w:p>
    <w:p w:rsidR="00653E19" w:rsidRDefault="00653E19" w:rsidP="00653E19">
      <w:pPr>
        <w:pStyle w:val="ListParagraph"/>
        <w:numPr>
          <w:ilvl w:val="0"/>
          <w:numId w:val="11"/>
        </w:numPr>
      </w:pPr>
      <w:r>
        <w:t>El grupo debe tener una organización propia</w:t>
      </w:r>
      <w:r w:rsidR="002F245E">
        <w:t>.</w:t>
      </w:r>
    </w:p>
    <w:p w:rsidR="00653E19" w:rsidRDefault="00653E19" w:rsidP="00653E19">
      <w:pPr>
        <w:pStyle w:val="ListParagraph"/>
        <w:numPr>
          <w:ilvl w:val="0"/>
          <w:numId w:val="11"/>
        </w:numPr>
      </w:pPr>
      <w:r>
        <w:t xml:space="preserve">El grupo disperso debe mantener los vínculos con la patria, ya sean simbólicos o reales. </w:t>
      </w:r>
    </w:p>
    <w:p w:rsidR="007B0805" w:rsidRDefault="000E5F21">
      <w:r>
        <w:t>Actualmente, e</w:t>
      </w:r>
      <w:r w:rsidR="002F245E">
        <w:t xml:space="preserve">l segundo concepto se ha relajado con el paso de los años al sugerir Cohen (1997) que la identidad colectiva es suficiente en el mundo contemporáneo para mantener una diáspora unida. </w:t>
      </w:r>
    </w:p>
    <w:p w:rsidR="00BD5183" w:rsidRPr="00BD5183" w:rsidRDefault="009B4E2D">
      <w:pPr>
        <w:rPr>
          <w:b/>
        </w:rPr>
      </w:pPr>
      <w:r>
        <w:rPr>
          <w:b/>
        </w:rPr>
        <w:lastRenderedPageBreak/>
        <w:t>1</w:t>
      </w:r>
      <w:r w:rsidR="00E31E0A">
        <w:rPr>
          <w:b/>
        </w:rPr>
        <w:t>.</w:t>
      </w:r>
      <w:r w:rsidR="00363769">
        <w:rPr>
          <w:b/>
        </w:rPr>
        <w:t>2</w:t>
      </w:r>
      <w:r w:rsidR="00532F5A">
        <w:rPr>
          <w:b/>
        </w:rPr>
        <w:t xml:space="preserve"> </w:t>
      </w:r>
      <w:r w:rsidR="00E31E0A">
        <w:rPr>
          <w:b/>
        </w:rPr>
        <w:t xml:space="preserve">La </w:t>
      </w:r>
      <w:r w:rsidR="00BD5183" w:rsidRPr="00BD5183">
        <w:rPr>
          <w:b/>
        </w:rPr>
        <w:t xml:space="preserve">comunidad marroquí en </w:t>
      </w:r>
      <w:r w:rsidR="00E31E0A">
        <w:rPr>
          <w:b/>
        </w:rPr>
        <w:t>la Comunidad Aut</w:t>
      </w:r>
      <w:r w:rsidR="00C6490E">
        <w:rPr>
          <w:b/>
        </w:rPr>
        <w:t>ónoma de Madrid:</w:t>
      </w:r>
      <w:r w:rsidR="00BD5183" w:rsidRPr="00BD5183">
        <w:rPr>
          <w:b/>
        </w:rPr>
        <w:t xml:space="preserve"> </w:t>
      </w:r>
      <w:r w:rsidR="000E5F21">
        <w:rPr>
          <w:b/>
        </w:rPr>
        <w:t>¿</w:t>
      </w:r>
      <w:r w:rsidR="00BD5183" w:rsidRPr="00BD5183">
        <w:rPr>
          <w:b/>
        </w:rPr>
        <w:t>una diáspora</w:t>
      </w:r>
      <w:r w:rsidR="00BD5183">
        <w:rPr>
          <w:b/>
        </w:rPr>
        <w:t xml:space="preserve"> o una comunidad transnacional</w:t>
      </w:r>
      <w:r w:rsidR="00BD5183" w:rsidRPr="00BD5183">
        <w:rPr>
          <w:b/>
        </w:rPr>
        <w:t>?</w:t>
      </w:r>
    </w:p>
    <w:p w:rsidR="00C6490E" w:rsidRDefault="00E31E0A">
      <w:r>
        <w:t>Sheffer</w:t>
      </w:r>
      <w:r w:rsidR="00C6490E">
        <w:t xml:space="preserve"> pone en entredicho que exista una diáspora musulmana en Europa (Sheffer, 2006). En su opinión se trata de un fenómeno nuevo y, por tanto, aún no se puede saber si dichos grupos</w:t>
      </w:r>
      <w:r w:rsidR="005209AE">
        <w:t xml:space="preserve"> (muy diversos, pues proceden de países y continentes distintos)</w:t>
      </w:r>
      <w:r w:rsidR="00C6490E">
        <w:t xml:space="preserve"> forjarán vínculos con otras comunidades musulmanas en otros lugares. Más bien, cree que dicha identificación responde a un intento de politizar este </w:t>
      </w:r>
      <w:r w:rsidR="00B47FB7">
        <w:t xml:space="preserve">grupo de gente (Sheffer, 2006: </w:t>
      </w:r>
      <w:r w:rsidR="005209AE">
        <w:t>66).</w:t>
      </w:r>
    </w:p>
    <w:p w:rsidR="003D5F37" w:rsidRDefault="00BD5183">
      <w:r>
        <w:t>El conocimiento del grupo de estudio</w:t>
      </w:r>
      <w:r w:rsidR="00C6490E">
        <w:t xml:space="preserve"> adquirido durante la tesis doctoral, así como el trabajo de campo realizado en el seno del proyecto de investigación “Participación política, islam y transnacionalidad en el mundo árabo-islámico y en contexto migratorio” permiten concluir de forma decisiva que la comunidad marroquí en la Comunidad Autónoma de Madrid no es una diáspora. De h</w:t>
      </w:r>
      <w:r w:rsidR="005209AE">
        <w:t xml:space="preserve">echo, esta aseveración es </w:t>
      </w:r>
      <w:r w:rsidR="00C6490E">
        <w:t xml:space="preserve">el punto de partida desde el cual se inicia este trabajo. </w:t>
      </w:r>
    </w:p>
    <w:p w:rsidR="00B47FB7" w:rsidRDefault="003D5F37">
      <w:r>
        <w:t>El objeto de estudio del trabajo que aquí se presenta es la comunidad marroquí en la Comunidad de Madrid</w:t>
      </w:r>
      <w:r w:rsidR="005209AE">
        <w:t xml:space="preserve"> (CAM)</w:t>
      </w:r>
      <w:r>
        <w:t xml:space="preserve"> y su predisposición a la acción colectiva. El interés de la investigación se centra en averiguar cuáles son los motivos de la atomización social en la que se ven envueltos (Gest, 2010) cuando sí existe una identidad colectiva que les define como grupo (Ferreiro, 2011) y que comprende elementos más allá de la religión haciendo referencia a una cosmovisión común.</w:t>
      </w:r>
      <w:r w:rsidR="00B47FB7">
        <w:t xml:space="preserve"> Se trata de una ‘conciencia diaspórica’ tal y como lo definen Vertovec y Cohen, esto es, un “</w:t>
      </w:r>
      <w:r w:rsidR="00B47FB7" w:rsidRPr="005209AE">
        <w:rPr>
          <w:i/>
        </w:rPr>
        <w:t>tipo particular de conciencia que se genera en las contemporáneas comunidades transnacionales. La particularidad está descrita como el estar marcada por una naturaleza paradójica o dual. Está constituida negativamente por las experiencias de la discriminación y la exclusión y, positivamente, por la identificación con una herencia histórica (como ‘India’ o ‘Civilización armenia’) o de fuerzas políticas o culturales contemporáneas (como el Islam)</w:t>
      </w:r>
      <w:r w:rsidR="00B47FB7">
        <w:t>”</w:t>
      </w:r>
      <w:r w:rsidR="00B47FB7" w:rsidRPr="00B47FB7">
        <w:t xml:space="preserve"> </w:t>
      </w:r>
      <w:r w:rsidR="00B47FB7">
        <w:t>(Vertovec y Cohen, 1999: xiii).</w:t>
      </w:r>
    </w:p>
    <w:p w:rsidR="005209AE" w:rsidRDefault="003D5F37">
      <w:r>
        <w:t>Dicho con otras palabras, se quiere investigar por qué estamos ante un grupo transnacional y no fr</w:t>
      </w:r>
      <w:r w:rsidR="005209AE">
        <w:t>ente a una comunidad diaspórica, es decir, qué motivaciones subyacen a la falta de organización como colectivo.</w:t>
      </w:r>
    </w:p>
    <w:p w:rsidR="005209AE" w:rsidRDefault="003D5F37">
      <w:r>
        <w:t xml:space="preserve">Quizá, si nos referimos a la primera generación de marroquíes en la CAM, la respuesta es un tanto evidente y hacer alusión a su condición migrante es suficiente para dar cuenta de ello. La primera generación, aunque suele asentarse definitivamente en el país de recepción, no suele adoptar esta decisión de manera categórica, sino que la duda es una constante </w:t>
      </w:r>
      <w:r w:rsidR="000E5F21">
        <w:t>durante el asentamiento</w:t>
      </w:r>
      <w:r>
        <w:t xml:space="preserve"> migratorio. Sin embargo, el trabajo realizado con el proyecto de investigación, en el cual se estudia a jóvenes nacidos en España, no muestra una mayor vinculación con una identidad colectiva que ejerza como elemento de cohesión social</w:t>
      </w:r>
      <w:r w:rsidR="005209AE">
        <w:t xml:space="preserve"> y contribuya a forjar una diáspora</w:t>
      </w:r>
      <w:r>
        <w:t xml:space="preserve">. </w:t>
      </w:r>
      <w:r w:rsidR="005209AE">
        <w:t>Similar al Reino Unido (Gest, 2010) los nacidos en España se identifican como ciudadanos españ</w:t>
      </w:r>
      <w:r w:rsidR="000E5F21">
        <w:t>oles, aunque a diferencia de Gran Bretaña</w:t>
      </w:r>
      <w:r w:rsidR="005B0A7F">
        <w:t xml:space="preserve">, ello no implica </w:t>
      </w:r>
      <w:r w:rsidR="005209AE">
        <w:t>una mayor predisposición a la acción colectiva</w:t>
      </w:r>
      <w:r w:rsidR="005B0A7F">
        <w:t xml:space="preserve"> por su parte. </w:t>
      </w:r>
    </w:p>
    <w:p w:rsidR="001B1226" w:rsidRPr="001B1226" w:rsidRDefault="001B1226">
      <w:pPr>
        <w:rPr>
          <w:i/>
        </w:rPr>
      </w:pPr>
      <w:r w:rsidRPr="001B1226">
        <w:rPr>
          <w:i/>
        </w:rPr>
        <w:t>Hipótesis</w:t>
      </w:r>
    </w:p>
    <w:p w:rsidR="00DD77C1" w:rsidRDefault="001B1226">
      <w:r>
        <w:t xml:space="preserve">La hipótesis de esta investigación </w:t>
      </w:r>
      <w:r w:rsidR="00DD77C1">
        <w:t>es que los marroquíes en la comunidad de Madrid son</w:t>
      </w:r>
      <w:r w:rsidR="005B0A7F">
        <w:t xml:space="preserve"> una comunidad transnacional  y no una diáspora</w:t>
      </w:r>
      <w:r w:rsidR="003A67C2">
        <w:t xml:space="preserve"> porque hay una serie de condicionantes que suponen un obstáculo</w:t>
      </w:r>
      <w:r w:rsidR="00ED411C">
        <w:t xml:space="preserve"> para que</w:t>
      </w:r>
      <w:r w:rsidR="003A67C2">
        <w:t xml:space="preserve"> esa predisposición</w:t>
      </w:r>
      <w:r w:rsidR="00ED411C">
        <w:t xml:space="preserve"> cristalice en</w:t>
      </w:r>
      <w:r w:rsidR="003A67C2">
        <w:t xml:space="preserve"> acción colectiva</w:t>
      </w:r>
      <w:r w:rsidR="00ED411C">
        <w:t xml:space="preserve"> o </w:t>
      </w:r>
      <w:r w:rsidR="00ED411C">
        <w:lastRenderedPageBreak/>
        <w:t>ciudadana</w:t>
      </w:r>
      <w:r w:rsidR="000E5F21">
        <w:t xml:space="preserve"> y, por tanto, se organicen, tanto a nivel nacional como internacional. </w:t>
      </w:r>
      <w:r w:rsidR="00ED411C">
        <w:t>Se argumenta que d</w:t>
      </w:r>
      <w:r w:rsidR="00730925">
        <w:t>icha</w:t>
      </w:r>
      <w:r w:rsidR="00DD77C1">
        <w:t xml:space="preserve">s </w:t>
      </w:r>
      <w:r w:rsidR="00730925">
        <w:t>condiciones</w:t>
      </w:r>
      <w:r w:rsidR="00ED411C">
        <w:t xml:space="preserve"> afectan de manera desigual</w:t>
      </w:r>
      <w:r w:rsidR="003A67C2">
        <w:t xml:space="preserve"> a la primera generación </w:t>
      </w:r>
      <w:r w:rsidR="00ED411C">
        <w:t>y a los</w:t>
      </w:r>
      <w:r w:rsidR="003A67C2">
        <w:t xml:space="preserve"> nacidos en España</w:t>
      </w:r>
      <w:r w:rsidR="00ED411C">
        <w:t xml:space="preserve">, pero abarcan a ambos grupos </w:t>
      </w:r>
      <w:r w:rsidR="000E5F21">
        <w:t>y que  dichos</w:t>
      </w:r>
      <w:r w:rsidR="007A4E81">
        <w:t xml:space="preserve"> condicionantes </w:t>
      </w:r>
      <w:r w:rsidR="000E5F21">
        <w:t xml:space="preserve">son </w:t>
      </w:r>
      <w:r w:rsidR="007A4E81">
        <w:t>d</w:t>
      </w:r>
      <w:r w:rsidR="000E5F21">
        <w:t>e tipo material e ideológico y</w:t>
      </w:r>
      <w:r w:rsidR="007A4E81">
        <w:t xml:space="preserve"> se refuerzan mutuamente. </w:t>
      </w:r>
    </w:p>
    <w:p w:rsidR="0063238A" w:rsidRDefault="003A67C2">
      <w:r>
        <w:t>Desde el punto de vista material, la población marroquí en la CAM es una poblaci</w:t>
      </w:r>
      <w:r w:rsidR="0063238A">
        <w:t>ón pobre. En 2007 en pleno auge pre-crisis, el 77% de las mujeres y el 53% de los hombres trabaja</w:t>
      </w:r>
      <w:r w:rsidR="007A4E81">
        <w:t>ba</w:t>
      </w:r>
      <w:r w:rsidR="0063238A">
        <w:t xml:space="preserve"> en empleos de baja o nula cualificación (Cole</w:t>
      </w:r>
      <w:r w:rsidR="007A4E81">
        <w:t>ctivo Ioé, 2012: 2). Tan sólo podían encuentrarse</w:t>
      </w:r>
      <w:r w:rsidR="0063238A">
        <w:t xml:space="preserve"> excepcio</w:t>
      </w:r>
      <w:r w:rsidR="007A4E81">
        <w:t>nes en un 10% de las mujeres con</w:t>
      </w:r>
      <w:r w:rsidR="0063238A">
        <w:t xml:space="preserve"> tienen ocupaciones en el sector técnico o profesional, especialmente educativo o en las administraciones públicas (Colectivo Ioé 2012:2). </w:t>
      </w:r>
      <w:r w:rsidR="005E5052">
        <w:t>Ya en 2012 cuando la crisis estaba en sus peores momentos había 834.768 personas extranjeras en paro, de las cuales, 153.717 eran marroquíes, es decir, el 18, 4%. Entre los parados marroquíes, el 63.8% eran hombres (98.082) y el 36,1% (55.636) mujeres.</w:t>
      </w:r>
      <w:r w:rsidR="005E5052">
        <w:rPr>
          <w:rStyle w:val="FootnoteReference"/>
        </w:rPr>
        <w:footnoteReference w:id="2"/>
      </w:r>
      <w:r w:rsidR="005E5052">
        <w:t xml:space="preserve"> </w:t>
      </w:r>
    </w:p>
    <w:p w:rsidR="00DD77C1" w:rsidRDefault="004508F1">
      <w:r>
        <w:t>Esto repercute en</w:t>
      </w:r>
      <w:r w:rsidR="000E5F21">
        <w:t xml:space="preserve"> su día a d</w:t>
      </w:r>
      <w:r w:rsidR="007B3DBF">
        <w:t xml:space="preserve">ía como colectivo, pues a nivel individual, su prioridad es sobrevivir. </w:t>
      </w:r>
      <w:r>
        <w:t xml:space="preserve">El enfoque de inmediatez </w:t>
      </w:r>
      <w:r w:rsidR="007A4E81">
        <w:t>derivado de las carencias materiales, así como la situación permanente de discriminación, desempodera a la gente para que cristalice una</w:t>
      </w:r>
      <w:r w:rsidR="00ED411C">
        <w:t xml:space="preserve"> predisposición</w:t>
      </w:r>
      <w:r>
        <w:t xml:space="preserve"> la acci</w:t>
      </w:r>
      <w:r w:rsidR="00ED411C">
        <w:t xml:space="preserve">ón colectiva. </w:t>
      </w:r>
    </w:p>
    <w:p w:rsidR="007B0805" w:rsidRDefault="00720783">
      <w:r>
        <w:t>La segunda condición que inhibe</w:t>
      </w:r>
      <w:r w:rsidR="007A4E81">
        <w:t xml:space="preserve"> la predisposición </w:t>
      </w:r>
      <w:r w:rsidR="00ED411C">
        <w:t>a</w:t>
      </w:r>
      <w:r>
        <w:t xml:space="preserve"> la acción</w:t>
      </w:r>
      <w:r w:rsidR="00ED411C">
        <w:t xml:space="preserve"> ciudadana</w:t>
      </w:r>
      <w:r>
        <w:t xml:space="preserve"> es i</w:t>
      </w:r>
      <w:r w:rsidR="007A4E81">
        <w:t>deológica</w:t>
      </w:r>
      <w:r>
        <w:t xml:space="preserve"> y h</w:t>
      </w:r>
      <w:r w:rsidR="004508F1">
        <w:t>ace alusión</w:t>
      </w:r>
      <w:r w:rsidR="007A4E81">
        <w:t xml:space="preserve"> al individualismo </w:t>
      </w:r>
      <w:r w:rsidR="007B3DBF">
        <w:t xml:space="preserve">como modo de entenderse a sí mismos y sus relaciones en sociedad. </w:t>
      </w:r>
    </w:p>
    <w:p w:rsidR="00720783" w:rsidRDefault="004508F1">
      <w:r w:rsidRPr="00ED411C">
        <w:rPr>
          <w:i/>
        </w:rPr>
        <w:t>Relevancia de la investigación</w:t>
      </w:r>
      <w:r>
        <w:t>: Dado que España se ha convertido desde los años 90 en un país receptor de inmigración, resulta necesario conocer el tipo de sociedad multicultural que se est</w:t>
      </w:r>
      <w:r w:rsidR="00ED411C">
        <w:t xml:space="preserve">á </w:t>
      </w:r>
      <w:r w:rsidR="007A4E81">
        <w:t>forjando y como están las minorías étnicas llevando a cabo este proceso de</w:t>
      </w:r>
      <w:r>
        <w:t xml:space="preserve"> incorp</w:t>
      </w:r>
      <w:r w:rsidR="007A4E81">
        <w:t>oración.</w:t>
      </w:r>
      <w:r>
        <w:t xml:space="preserve"> </w:t>
      </w:r>
      <w:r w:rsidR="007B3DBF">
        <w:t>En un caso có</w:t>
      </w:r>
      <w:r w:rsidR="00ED411C">
        <w:t>mo el aquí expuesto donde se sabe qué no es una diáspora, aunque el grupo tiene las condiciones para poder llegar a serlo eventualmente,</w:t>
      </w:r>
      <w:r w:rsidR="00ED411C">
        <w:rPr>
          <w:rStyle w:val="FootnoteReference"/>
        </w:rPr>
        <w:footnoteReference w:id="3"/>
      </w:r>
      <w:r w:rsidR="007B3DBF">
        <w:t xml:space="preserve"> resulta importante</w:t>
      </w:r>
      <w:r w:rsidR="00ED411C">
        <w:t xml:space="preserve"> conocer qué elementos inciden en la falta de movilización para defender los propios intereses. </w:t>
      </w:r>
    </w:p>
    <w:p w:rsidR="009F6149" w:rsidRDefault="009F6149">
      <w:pPr>
        <w:rPr>
          <w:b/>
        </w:rPr>
      </w:pPr>
    </w:p>
    <w:p w:rsidR="009F6149" w:rsidRDefault="009B4E2D">
      <w:pPr>
        <w:rPr>
          <w:b/>
        </w:rPr>
      </w:pPr>
      <w:r>
        <w:rPr>
          <w:b/>
        </w:rPr>
        <w:t>II</w:t>
      </w:r>
      <w:r w:rsidR="00363769">
        <w:rPr>
          <w:b/>
        </w:rPr>
        <w:t>. METODOLOGÍA</w:t>
      </w:r>
    </w:p>
    <w:p w:rsidR="009F6149" w:rsidRDefault="009F6149">
      <w:r>
        <w:t>La investigación es de índole exploratoria y, por tanto, toma como criterio de base la representatividad sustantiva que, como define Corbetta, trata de “cubrir todas las situaciones sociales de interés principal para la investigación, más que de reproducir las características de la población en su totalidad” (Corbetta, 2003: 373).</w:t>
      </w:r>
    </w:p>
    <w:p w:rsidR="00BF5564" w:rsidRDefault="00BF5564">
      <w:r>
        <w:t xml:space="preserve">Los grupos de discusión son escogidos frente a otras formas de conversación grupal, como la entrevista en grupo o el grupo enfocado, por entender que se trata de la metodología que responde de modo más adecuado a un paradigma interpretativo, esto es, </w:t>
      </w:r>
      <w:r>
        <w:lastRenderedPageBreak/>
        <w:t>a una lógica auténticamente cualitativa y no a una mera extensión de los datos cuantiativos.</w:t>
      </w:r>
    </w:p>
    <w:p w:rsidR="00C12CD0" w:rsidRPr="00C12CD0" w:rsidRDefault="00BF5564" w:rsidP="00C12CD0">
      <w:pPr>
        <w:pStyle w:val="ListParagraph"/>
        <w:numPr>
          <w:ilvl w:val="0"/>
          <w:numId w:val="23"/>
        </w:numPr>
        <w:rPr>
          <w:i/>
        </w:rPr>
      </w:pPr>
      <w:r w:rsidRPr="00C12CD0">
        <w:rPr>
          <w:i/>
        </w:rPr>
        <w:t>Justificación metodol</w:t>
      </w:r>
      <w:r w:rsidR="00C12CD0" w:rsidRPr="00C12CD0">
        <w:rPr>
          <w:i/>
        </w:rPr>
        <w:t>ógica</w:t>
      </w:r>
    </w:p>
    <w:p w:rsidR="009F6149" w:rsidRDefault="00BF5564">
      <w:r>
        <w:t xml:space="preserve"> El trabajo de campo se realiza</w:t>
      </w:r>
      <w:r w:rsidR="009F6149">
        <w:t xml:space="preserve"> en Madrid capital en octubre de 2016 y utiliza los grupos de discusión como técnica de investigación.</w:t>
      </w:r>
      <w:r w:rsidR="00532F5A">
        <w:t xml:space="preserve"> El uso de esta técnica, denominada práctica, por</w:t>
      </w:r>
      <w:r>
        <w:t xml:space="preserve"> Ibañez o Martín Criado permite conocer  la predisposición a la acción colectiva, no la acción colectiva en sí misma</w:t>
      </w:r>
      <w:r w:rsidR="00532F5A">
        <w:t>.</w:t>
      </w:r>
      <w:r>
        <w:t xml:space="preserve"> El objetivo en los grupos era</w:t>
      </w:r>
      <w:r w:rsidR="00532F5A">
        <w:t xml:space="preserve"> conocer si existe un reconocimiento por parte de la población musulmana de su estatus de sub-alternernidad, si tienen concienci</w:t>
      </w:r>
      <w:r w:rsidR="00D81922">
        <w:t xml:space="preserve">a de ser un grupo estigmatizado, de tener menos posibilidades de movilidad social o más dificultad para acceder a los derechos, etc (Ramírez, Planet </w:t>
      </w:r>
      <w:r w:rsidR="00D81922" w:rsidRPr="00D81922">
        <w:rPr>
          <w:i/>
        </w:rPr>
        <w:t>et al,</w:t>
      </w:r>
      <w:r w:rsidR="00D81922">
        <w:t xml:space="preserve"> 2016).</w:t>
      </w:r>
    </w:p>
    <w:p w:rsidR="00C12CD0" w:rsidRDefault="009F6149" w:rsidP="00C12CD0">
      <w:pPr>
        <w:pStyle w:val="ListParagraph"/>
        <w:numPr>
          <w:ilvl w:val="0"/>
          <w:numId w:val="23"/>
        </w:numPr>
      </w:pPr>
      <w:r w:rsidRPr="00C12CD0">
        <w:rPr>
          <w:i/>
        </w:rPr>
        <w:t>Criterios de composición de los grupos de discusión</w:t>
      </w:r>
    </w:p>
    <w:p w:rsidR="009F6149" w:rsidRDefault="009F6149">
      <w:r>
        <w:t>La selección de los participantes del grupo de discusión tiene que representar todas las posiciones estructurales dentro de un discurso social, es decir, hay que incluir todas las relaciones relevantes porque cuánto más enfocada esté la selección, más definida será la información (Ibañez, 2003: 265).</w:t>
      </w:r>
    </w:p>
    <w:p w:rsidR="00C12CD0" w:rsidRDefault="00BF5564">
      <w:r>
        <w:t>L</w:t>
      </w:r>
      <w:r w:rsidR="0026350D">
        <w:t xml:space="preserve">a composición de todo grupo de discusión requiere de un equilibrio entre </w:t>
      </w:r>
      <w:r w:rsidR="0026350D" w:rsidRPr="00BF5564">
        <w:rPr>
          <w:i/>
        </w:rPr>
        <w:t xml:space="preserve">homogeneidad </w:t>
      </w:r>
      <w:r w:rsidR="0026350D">
        <w:t xml:space="preserve">y </w:t>
      </w:r>
      <w:r w:rsidR="0026350D" w:rsidRPr="00BF5564">
        <w:rPr>
          <w:i/>
        </w:rPr>
        <w:t>heterogeneidad</w:t>
      </w:r>
      <w:r w:rsidR="0026350D">
        <w:t>. Los criterios de homogeneidad tienen por objetivo proporcionar cierta similitud al grupo para permitir la interacción verbal. En esta investigación se aplican los</w:t>
      </w:r>
      <w:r w:rsidR="00D81922">
        <w:t xml:space="preserve"> siguientes: </w:t>
      </w:r>
      <w:r w:rsidR="00D81922" w:rsidRPr="00BF5564">
        <w:rPr>
          <w:i/>
        </w:rPr>
        <w:t>religión musulmana</w:t>
      </w:r>
      <w:r w:rsidR="00D81922">
        <w:rPr>
          <w:rStyle w:val="FootnoteReference"/>
        </w:rPr>
        <w:footnoteReference w:id="4"/>
      </w:r>
      <w:r>
        <w:t xml:space="preserve"> </w:t>
      </w:r>
      <w:r>
        <w:rPr>
          <w:i/>
        </w:rPr>
        <w:t>y clase social.</w:t>
      </w:r>
      <w:r w:rsidR="00C12CD0">
        <w:rPr>
          <w:rStyle w:val="FootnoteReference"/>
          <w:i/>
        </w:rPr>
        <w:footnoteReference w:id="5"/>
      </w:r>
      <w:r w:rsidR="00C12CD0">
        <w:t xml:space="preserve"> </w:t>
      </w:r>
      <w:r w:rsidR="0026350D">
        <w:t xml:space="preserve">Desde un punto de vista metodológico, el </w:t>
      </w:r>
      <w:r w:rsidR="0026350D" w:rsidRPr="00BF5564">
        <w:rPr>
          <w:i/>
        </w:rPr>
        <w:t xml:space="preserve">género </w:t>
      </w:r>
      <w:r w:rsidR="007B3DBF">
        <w:t>es</w:t>
      </w:r>
      <w:r w:rsidR="0026350D">
        <w:t xml:space="preserve"> una relación de </w:t>
      </w:r>
      <w:r w:rsidR="0026350D" w:rsidRPr="00C12CD0">
        <w:rPr>
          <w:i/>
        </w:rPr>
        <w:t>heterogeneidad</w:t>
      </w:r>
      <w:r w:rsidR="0026350D">
        <w:t xml:space="preserve"> excluyente, lo cual tiene sus consecuencias prácticas que dificultan, sino imposibilitan la interacción verbal entre los sujetos (Ibáñez, 2003: 276)</w:t>
      </w:r>
      <w:r>
        <w:t xml:space="preserve">. Por este motivo, en el diseño de los grupos, dicha variable es un elemento de heterogeneidad. El otro criterio de heterogeneidad es ser </w:t>
      </w:r>
      <w:r w:rsidRPr="00C12CD0">
        <w:rPr>
          <w:i/>
        </w:rPr>
        <w:t>primo-migrante o nacido en España</w:t>
      </w:r>
      <w:r>
        <w:t xml:space="preserve">. Dadas las experiencias tan diferentes que implica estar en uno u otra de estas categorías, se considera imprescindible no mezclar a gente en estas dos situaciones sociales tan distintas. </w:t>
      </w:r>
    </w:p>
    <w:p w:rsidR="00BF5564" w:rsidRPr="00BF5564" w:rsidRDefault="00BF5564" w:rsidP="00C12CD0">
      <w:pPr>
        <w:spacing w:after="0" w:line="240" w:lineRule="auto"/>
        <w:jc w:val="center"/>
        <w:rPr>
          <w:b/>
          <w:i/>
        </w:rPr>
      </w:pPr>
      <w:r w:rsidRPr="00BF5564">
        <w:rPr>
          <w:b/>
          <w:i/>
        </w:rPr>
        <w:t>Tabla 1: Diseño de los grupos de discusión</w:t>
      </w:r>
    </w:p>
    <w:tbl>
      <w:tblPr>
        <w:tblW w:w="84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47"/>
        <w:gridCol w:w="4341"/>
      </w:tblGrid>
      <w:tr w:rsidR="002E317D" w:rsidTr="00BA60B1">
        <w:tc>
          <w:tcPr>
            <w:tcW w:w="4147" w:type="dxa"/>
          </w:tcPr>
          <w:p w:rsidR="002E317D" w:rsidRPr="00363769" w:rsidRDefault="002E317D" w:rsidP="00363769">
            <w:pPr>
              <w:pStyle w:val="NoSpacing"/>
              <w:jc w:val="center"/>
              <w:rPr>
                <w:b/>
              </w:rPr>
            </w:pPr>
            <w:r w:rsidRPr="00363769">
              <w:rPr>
                <w:b/>
              </w:rPr>
              <w:t>GRUPO I</w:t>
            </w:r>
          </w:p>
          <w:p w:rsidR="002E317D" w:rsidRPr="00363769" w:rsidRDefault="002E317D" w:rsidP="00BF5564">
            <w:pPr>
              <w:pStyle w:val="NoSpacing"/>
              <w:numPr>
                <w:ilvl w:val="0"/>
                <w:numId w:val="17"/>
              </w:numPr>
              <w:rPr>
                <w:sz w:val="20"/>
                <w:szCs w:val="20"/>
              </w:rPr>
            </w:pPr>
            <w:r w:rsidRPr="00363769">
              <w:rPr>
                <w:sz w:val="20"/>
                <w:szCs w:val="20"/>
              </w:rPr>
              <w:t>Trabajadoras no cualificadas, en paro y amas de casa</w:t>
            </w:r>
          </w:p>
          <w:p w:rsidR="002E317D" w:rsidRPr="00363769" w:rsidRDefault="002E317D" w:rsidP="00BF5564">
            <w:pPr>
              <w:pStyle w:val="NoSpacing"/>
              <w:numPr>
                <w:ilvl w:val="0"/>
                <w:numId w:val="17"/>
              </w:numPr>
              <w:rPr>
                <w:sz w:val="20"/>
                <w:szCs w:val="20"/>
              </w:rPr>
            </w:pPr>
            <w:r w:rsidRPr="00363769">
              <w:rPr>
                <w:sz w:val="20"/>
                <w:szCs w:val="20"/>
              </w:rPr>
              <w:t>Sin estudios superiores</w:t>
            </w:r>
          </w:p>
          <w:p w:rsidR="002E317D" w:rsidRPr="00C12CD0" w:rsidRDefault="002E317D" w:rsidP="00363769">
            <w:pPr>
              <w:pStyle w:val="NoSpacing"/>
              <w:numPr>
                <w:ilvl w:val="0"/>
                <w:numId w:val="17"/>
              </w:numPr>
              <w:rPr>
                <w:sz w:val="20"/>
                <w:szCs w:val="20"/>
              </w:rPr>
            </w:pPr>
            <w:r w:rsidRPr="00363769">
              <w:rPr>
                <w:sz w:val="20"/>
                <w:szCs w:val="20"/>
              </w:rPr>
              <w:t xml:space="preserve">Mujeres primo-migrantes </w:t>
            </w:r>
            <w:r w:rsidR="00BF5564">
              <w:rPr>
                <w:sz w:val="20"/>
                <w:szCs w:val="20"/>
              </w:rPr>
              <w:t>y nuevas musulmanas.</w:t>
            </w:r>
          </w:p>
        </w:tc>
        <w:tc>
          <w:tcPr>
            <w:tcW w:w="4341" w:type="dxa"/>
          </w:tcPr>
          <w:p w:rsidR="002E317D" w:rsidRPr="00363769" w:rsidRDefault="002E317D" w:rsidP="00363769">
            <w:pPr>
              <w:pStyle w:val="NoSpacing"/>
              <w:jc w:val="center"/>
              <w:rPr>
                <w:b/>
              </w:rPr>
            </w:pPr>
            <w:r w:rsidRPr="00363769">
              <w:rPr>
                <w:b/>
              </w:rPr>
              <w:t>GRUPO II</w:t>
            </w:r>
          </w:p>
          <w:p w:rsidR="002E317D" w:rsidRPr="00363769" w:rsidRDefault="002E317D" w:rsidP="00BF5564">
            <w:pPr>
              <w:pStyle w:val="NoSpacing"/>
              <w:numPr>
                <w:ilvl w:val="0"/>
                <w:numId w:val="18"/>
              </w:numPr>
              <w:rPr>
                <w:sz w:val="20"/>
                <w:szCs w:val="20"/>
              </w:rPr>
            </w:pPr>
            <w:r w:rsidRPr="00363769">
              <w:rPr>
                <w:sz w:val="20"/>
                <w:szCs w:val="20"/>
              </w:rPr>
              <w:t>Trabajadores no cualificados, en paro y amos de casa</w:t>
            </w:r>
          </w:p>
          <w:p w:rsidR="002E317D" w:rsidRPr="00363769" w:rsidRDefault="002E317D" w:rsidP="00BF5564">
            <w:pPr>
              <w:pStyle w:val="NoSpacing"/>
              <w:numPr>
                <w:ilvl w:val="0"/>
                <w:numId w:val="18"/>
              </w:numPr>
              <w:rPr>
                <w:sz w:val="20"/>
                <w:szCs w:val="20"/>
              </w:rPr>
            </w:pPr>
            <w:r w:rsidRPr="00363769">
              <w:rPr>
                <w:sz w:val="20"/>
                <w:szCs w:val="20"/>
              </w:rPr>
              <w:t>Sin estudios superiores</w:t>
            </w:r>
          </w:p>
          <w:p w:rsidR="002E317D" w:rsidRPr="00363769" w:rsidRDefault="002E317D" w:rsidP="00BF5564">
            <w:pPr>
              <w:pStyle w:val="NoSpacing"/>
              <w:numPr>
                <w:ilvl w:val="0"/>
                <w:numId w:val="18"/>
              </w:numPr>
              <w:rPr>
                <w:sz w:val="20"/>
                <w:szCs w:val="20"/>
              </w:rPr>
            </w:pPr>
            <w:r w:rsidRPr="00363769">
              <w:rPr>
                <w:sz w:val="20"/>
                <w:szCs w:val="20"/>
              </w:rPr>
              <w:t>Hombres primo-migrantes</w:t>
            </w:r>
            <w:r w:rsidR="00BF5564">
              <w:rPr>
                <w:sz w:val="20"/>
                <w:szCs w:val="20"/>
              </w:rPr>
              <w:t xml:space="preserve"> y nuevos musulmanes.</w:t>
            </w:r>
          </w:p>
          <w:p w:rsidR="002E317D" w:rsidRPr="00363769" w:rsidRDefault="002E317D" w:rsidP="00363769">
            <w:pPr>
              <w:pStyle w:val="NoSpacing"/>
            </w:pPr>
          </w:p>
        </w:tc>
      </w:tr>
      <w:tr w:rsidR="002E317D" w:rsidTr="00BA60B1">
        <w:tc>
          <w:tcPr>
            <w:tcW w:w="4147" w:type="dxa"/>
          </w:tcPr>
          <w:p w:rsidR="002E317D" w:rsidRPr="00363769" w:rsidRDefault="002E317D" w:rsidP="00363769">
            <w:pPr>
              <w:pStyle w:val="NoSpacing"/>
              <w:jc w:val="center"/>
              <w:rPr>
                <w:b/>
              </w:rPr>
            </w:pPr>
            <w:r w:rsidRPr="00363769">
              <w:rPr>
                <w:b/>
              </w:rPr>
              <w:t>GRUPO III</w:t>
            </w:r>
          </w:p>
          <w:p w:rsidR="002E317D" w:rsidRPr="00363769" w:rsidRDefault="002E317D" w:rsidP="00BF5564">
            <w:pPr>
              <w:pStyle w:val="NoSpacing"/>
              <w:numPr>
                <w:ilvl w:val="0"/>
                <w:numId w:val="19"/>
              </w:numPr>
              <w:rPr>
                <w:sz w:val="20"/>
                <w:szCs w:val="20"/>
              </w:rPr>
            </w:pPr>
            <w:r w:rsidRPr="00363769">
              <w:rPr>
                <w:sz w:val="20"/>
                <w:szCs w:val="20"/>
              </w:rPr>
              <w:lastRenderedPageBreak/>
              <w:t>Mujeres nacidas o socializadas en España</w:t>
            </w:r>
          </w:p>
          <w:p w:rsidR="002E317D" w:rsidRPr="00C12CD0" w:rsidRDefault="002E317D" w:rsidP="00363769">
            <w:pPr>
              <w:pStyle w:val="NoSpacing"/>
              <w:numPr>
                <w:ilvl w:val="0"/>
                <w:numId w:val="19"/>
              </w:numPr>
              <w:rPr>
                <w:sz w:val="20"/>
                <w:szCs w:val="20"/>
              </w:rPr>
            </w:pPr>
            <w:r w:rsidRPr="00363769">
              <w:rPr>
                <w:sz w:val="20"/>
                <w:szCs w:val="20"/>
              </w:rPr>
              <w:t>Hijas de familias migrantes que trabajan o trabajaron en empleos no cualificados</w:t>
            </w:r>
            <w:r w:rsidR="00BF5564">
              <w:rPr>
                <w:sz w:val="20"/>
                <w:szCs w:val="20"/>
              </w:rPr>
              <w:t xml:space="preserve"> (s</w:t>
            </w:r>
            <w:r w:rsidRPr="00BF5564">
              <w:rPr>
                <w:sz w:val="20"/>
                <w:szCs w:val="20"/>
              </w:rPr>
              <w:t>in estudios universitarios</w:t>
            </w:r>
            <w:r w:rsidR="00C12CD0">
              <w:rPr>
                <w:sz w:val="20"/>
                <w:szCs w:val="20"/>
              </w:rPr>
              <w:t>).</w:t>
            </w:r>
          </w:p>
        </w:tc>
        <w:tc>
          <w:tcPr>
            <w:tcW w:w="4341" w:type="dxa"/>
          </w:tcPr>
          <w:p w:rsidR="002E317D" w:rsidRPr="00363769" w:rsidRDefault="002E317D" w:rsidP="00363769">
            <w:pPr>
              <w:pStyle w:val="NoSpacing"/>
              <w:jc w:val="center"/>
              <w:rPr>
                <w:b/>
              </w:rPr>
            </w:pPr>
            <w:r w:rsidRPr="00363769">
              <w:rPr>
                <w:b/>
              </w:rPr>
              <w:lastRenderedPageBreak/>
              <w:t>GRUPO IV</w:t>
            </w:r>
          </w:p>
          <w:p w:rsidR="002E317D" w:rsidRPr="00363769" w:rsidRDefault="002E317D" w:rsidP="00BF5564">
            <w:pPr>
              <w:pStyle w:val="NoSpacing"/>
              <w:numPr>
                <w:ilvl w:val="0"/>
                <w:numId w:val="20"/>
              </w:numPr>
              <w:rPr>
                <w:sz w:val="20"/>
                <w:szCs w:val="20"/>
              </w:rPr>
            </w:pPr>
            <w:r w:rsidRPr="00363769">
              <w:rPr>
                <w:sz w:val="20"/>
                <w:szCs w:val="20"/>
              </w:rPr>
              <w:lastRenderedPageBreak/>
              <w:t>Hombres nacidos o socializados en España</w:t>
            </w:r>
          </w:p>
          <w:p w:rsidR="002E317D" w:rsidRPr="00363769" w:rsidRDefault="002E317D" w:rsidP="00BF5564">
            <w:pPr>
              <w:pStyle w:val="NoSpacing"/>
              <w:numPr>
                <w:ilvl w:val="0"/>
                <w:numId w:val="20"/>
              </w:numPr>
              <w:rPr>
                <w:sz w:val="20"/>
                <w:szCs w:val="20"/>
              </w:rPr>
            </w:pPr>
            <w:r w:rsidRPr="00363769">
              <w:rPr>
                <w:sz w:val="20"/>
                <w:szCs w:val="20"/>
              </w:rPr>
              <w:t>Hijos de familias migrantes que trabajan o trabajaron en empleos no cualificados</w:t>
            </w:r>
          </w:p>
          <w:p w:rsidR="002E317D" w:rsidRPr="00363769" w:rsidRDefault="00C12CD0" w:rsidP="00363769">
            <w:pPr>
              <w:pStyle w:val="NoSpacing"/>
              <w:rPr>
                <w:sz w:val="20"/>
                <w:szCs w:val="20"/>
              </w:rPr>
            </w:pPr>
            <w:r>
              <w:rPr>
                <w:sz w:val="20"/>
                <w:szCs w:val="20"/>
              </w:rPr>
              <w:t xml:space="preserve">              </w:t>
            </w:r>
            <w:r w:rsidR="00BF5564">
              <w:rPr>
                <w:sz w:val="20"/>
                <w:szCs w:val="20"/>
              </w:rPr>
              <w:t>(s</w:t>
            </w:r>
            <w:r w:rsidR="002E317D" w:rsidRPr="00363769">
              <w:rPr>
                <w:sz w:val="20"/>
                <w:szCs w:val="20"/>
              </w:rPr>
              <w:t>in estudios universitarios)</w:t>
            </w:r>
            <w:r w:rsidR="00363769">
              <w:rPr>
                <w:sz w:val="20"/>
                <w:szCs w:val="20"/>
              </w:rPr>
              <w:t>.</w:t>
            </w:r>
          </w:p>
          <w:p w:rsidR="002E317D" w:rsidRPr="00363769" w:rsidRDefault="002E317D" w:rsidP="00363769">
            <w:pPr>
              <w:pStyle w:val="NoSpacing"/>
            </w:pPr>
          </w:p>
        </w:tc>
      </w:tr>
      <w:tr w:rsidR="002E317D" w:rsidTr="00BA60B1">
        <w:tc>
          <w:tcPr>
            <w:tcW w:w="4147" w:type="dxa"/>
          </w:tcPr>
          <w:p w:rsidR="002E317D" w:rsidRPr="00363769" w:rsidRDefault="002E317D" w:rsidP="00363769">
            <w:pPr>
              <w:pStyle w:val="NoSpacing"/>
              <w:jc w:val="center"/>
              <w:rPr>
                <w:b/>
              </w:rPr>
            </w:pPr>
            <w:r w:rsidRPr="00363769">
              <w:rPr>
                <w:b/>
              </w:rPr>
              <w:lastRenderedPageBreak/>
              <w:t>GRUPO V</w:t>
            </w:r>
          </w:p>
          <w:p w:rsidR="002E317D" w:rsidRPr="00363769" w:rsidRDefault="002E317D" w:rsidP="00C12CD0">
            <w:pPr>
              <w:pStyle w:val="NoSpacing"/>
              <w:numPr>
                <w:ilvl w:val="0"/>
                <w:numId w:val="21"/>
              </w:numPr>
              <w:rPr>
                <w:sz w:val="20"/>
                <w:szCs w:val="20"/>
              </w:rPr>
            </w:pPr>
            <w:r w:rsidRPr="00363769">
              <w:rPr>
                <w:sz w:val="20"/>
                <w:szCs w:val="20"/>
              </w:rPr>
              <w:t>Mujeres nacidas o socializadas en España y</w:t>
            </w:r>
            <w:r w:rsidR="00C12CD0">
              <w:rPr>
                <w:sz w:val="20"/>
                <w:szCs w:val="20"/>
              </w:rPr>
              <w:t xml:space="preserve"> nuevas musulmanas.</w:t>
            </w:r>
          </w:p>
          <w:p w:rsidR="002E317D" w:rsidRPr="00363769" w:rsidRDefault="002E317D" w:rsidP="00C12CD0">
            <w:pPr>
              <w:pStyle w:val="NoSpacing"/>
              <w:numPr>
                <w:ilvl w:val="0"/>
                <w:numId w:val="21"/>
              </w:numPr>
              <w:rPr>
                <w:sz w:val="20"/>
                <w:szCs w:val="20"/>
              </w:rPr>
            </w:pPr>
            <w:r w:rsidRPr="00363769">
              <w:rPr>
                <w:sz w:val="20"/>
                <w:szCs w:val="20"/>
              </w:rPr>
              <w:t xml:space="preserve">Hijas de familias migrantes </w:t>
            </w:r>
          </w:p>
          <w:p w:rsidR="002E317D" w:rsidRPr="00C12CD0" w:rsidRDefault="002E317D" w:rsidP="00C12CD0">
            <w:pPr>
              <w:pStyle w:val="NoSpacing"/>
              <w:numPr>
                <w:ilvl w:val="0"/>
                <w:numId w:val="21"/>
              </w:numPr>
              <w:rPr>
                <w:sz w:val="20"/>
                <w:szCs w:val="20"/>
              </w:rPr>
            </w:pPr>
            <w:r w:rsidRPr="00363769">
              <w:rPr>
                <w:sz w:val="20"/>
                <w:szCs w:val="20"/>
              </w:rPr>
              <w:t>Con estudios universitarios</w:t>
            </w:r>
          </w:p>
          <w:p w:rsidR="002E317D" w:rsidRPr="00D81922" w:rsidRDefault="002E317D" w:rsidP="00363769">
            <w:pPr>
              <w:pStyle w:val="NoSpacing"/>
            </w:pPr>
          </w:p>
        </w:tc>
        <w:tc>
          <w:tcPr>
            <w:tcW w:w="4341" w:type="dxa"/>
          </w:tcPr>
          <w:p w:rsidR="002E317D" w:rsidRPr="00363769" w:rsidRDefault="002E317D" w:rsidP="00363769">
            <w:pPr>
              <w:pStyle w:val="NoSpacing"/>
              <w:jc w:val="center"/>
              <w:rPr>
                <w:b/>
              </w:rPr>
            </w:pPr>
            <w:r w:rsidRPr="00363769">
              <w:rPr>
                <w:b/>
              </w:rPr>
              <w:t>GRUPO VI</w:t>
            </w:r>
          </w:p>
          <w:p w:rsidR="002E317D" w:rsidRPr="00363769" w:rsidRDefault="00C12CD0" w:rsidP="00C12CD0">
            <w:pPr>
              <w:pStyle w:val="NoSpacing"/>
              <w:numPr>
                <w:ilvl w:val="0"/>
                <w:numId w:val="22"/>
              </w:numPr>
              <w:rPr>
                <w:sz w:val="20"/>
                <w:szCs w:val="20"/>
              </w:rPr>
            </w:pPr>
            <w:r>
              <w:rPr>
                <w:sz w:val="20"/>
                <w:szCs w:val="20"/>
              </w:rPr>
              <w:t>Hombres nacidos o socializado</w:t>
            </w:r>
            <w:r w:rsidR="002E317D" w:rsidRPr="00363769">
              <w:rPr>
                <w:sz w:val="20"/>
                <w:szCs w:val="20"/>
              </w:rPr>
              <w:t>s en España</w:t>
            </w:r>
            <w:r>
              <w:rPr>
                <w:sz w:val="20"/>
                <w:szCs w:val="20"/>
              </w:rPr>
              <w:t xml:space="preserve"> y nuevos musulmanas.</w:t>
            </w:r>
          </w:p>
          <w:p w:rsidR="002E317D" w:rsidRPr="00363769" w:rsidRDefault="002E317D" w:rsidP="00C12CD0">
            <w:pPr>
              <w:pStyle w:val="NoSpacing"/>
              <w:numPr>
                <w:ilvl w:val="0"/>
                <w:numId w:val="22"/>
              </w:numPr>
              <w:rPr>
                <w:sz w:val="20"/>
                <w:szCs w:val="20"/>
              </w:rPr>
            </w:pPr>
            <w:r w:rsidRPr="00363769">
              <w:rPr>
                <w:sz w:val="20"/>
                <w:szCs w:val="20"/>
              </w:rPr>
              <w:t>Hijos de familias migrantes que trabajan o trabajaron en empleos no cualificados</w:t>
            </w:r>
          </w:p>
          <w:p w:rsidR="002E317D" w:rsidRPr="00C12CD0" w:rsidRDefault="002E317D" w:rsidP="00C12CD0">
            <w:pPr>
              <w:pStyle w:val="NoSpacing"/>
              <w:numPr>
                <w:ilvl w:val="0"/>
                <w:numId w:val="22"/>
              </w:numPr>
              <w:rPr>
                <w:sz w:val="20"/>
                <w:szCs w:val="20"/>
              </w:rPr>
            </w:pPr>
            <w:r w:rsidRPr="00363769">
              <w:rPr>
                <w:sz w:val="20"/>
                <w:szCs w:val="20"/>
              </w:rPr>
              <w:t>Con estudios universitarios</w:t>
            </w:r>
          </w:p>
          <w:p w:rsidR="002E317D" w:rsidRPr="00D81922" w:rsidRDefault="002E317D" w:rsidP="00363769">
            <w:pPr>
              <w:pStyle w:val="NoSpacing"/>
            </w:pPr>
          </w:p>
        </w:tc>
      </w:tr>
    </w:tbl>
    <w:p w:rsidR="00C12CD0" w:rsidRDefault="0026350D" w:rsidP="00C12CD0">
      <w:pPr>
        <w:pStyle w:val="ListParagraph"/>
        <w:numPr>
          <w:ilvl w:val="0"/>
          <w:numId w:val="22"/>
        </w:numPr>
      </w:pPr>
      <w:r w:rsidRPr="00C12CD0">
        <w:rPr>
          <w:i/>
        </w:rPr>
        <w:t>Número de participantes por grupo</w:t>
      </w:r>
    </w:p>
    <w:p w:rsidR="0026350D" w:rsidRDefault="0026350D" w:rsidP="00C12CD0">
      <w:r>
        <w:t xml:space="preserve">El número de participantes en cada grupo de discusión es libremente fijado por el investigador de acuerdo con las necesidades y los criterios de selección previamente establecidos. La práctica profesional sitúa el número ideal de participantes entre siete y nueve personas. </w:t>
      </w:r>
    </w:p>
    <w:p w:rsidR="0026350D" w:rsidRDefault="0026350D">
      <w:r>
        <w:t>En los grupos realizados para la investigación,</w:t>
      </w:r>
      <w:r w:rsidR="00C12CD0">
        <w:t xml:space="preserve"> se contacta con </w:t>
      </w:r>
      <w:r>
        <w:t>7 miembros.</w:t>
      </w:r>
    </w:p>
    <w:p w:rsidR="00C12CD0" w:rsidRDefault="0026350D" w:rsidP="00C12CD0">
      <w:pPr>
        <w:pStyle w:val="ListParagraph"/>
        <w:numPr>
          <w:ilvl w:val="0"/>
          <w:numId w:val="24"/>
        </w:numPr>
      </w:pPr>
      <w:r w:rsidRPr="00C12CD0">
        <w:rPr>
          <w:i/>
        </w:rPr>
        <w:t>Proceso de localización de individuos</w:t>
      </w:r>
    </w:p>
    <w:p w:rsidR="00C12CD0" w:rsidRDefault="00C12CD0">
      <w:r>
        <w:t>Debido al problema que supone pagar por información (abonar una gratificación al participante de los grupos) en proyectos financiados por el Ministerio</w:t>
      </w:r>
      <w:r w:rsidR="007B3DBF">
        <w:t xml:space="preserve"> de Educación</w:t>
      </w:r>
      <w:r>
        <w:t xml:space="preserve">, resulta imprescindible subcontratar la contactación a una empresa especializada en estos temas. Se contrata a Centro de Reuniones, la empresa con la que trabajaba habitualmente el Colectivo Ioé y se </w:t>
      </w:r>
      <w:r w:rsidR="0026350D">
        <w:t>abona una cantidad de 40 euros por persona a cada participante.</w:t>
      </w:r>
    </w:p>
    <w:p w:rsidR="00557E19" w:rsidRDefault="0023464B">
      <w:r>
        <w:t>La cuestión de la</w:t>
      </w:r>
      <w:r w:rsidR="00C12CD0">
        <w:t xml:space="preserve"> pertinencia de una</w:t>
      </w:r>
      <w:r>
        <w:t xml:space="preserve"> retribución monetaria para la investigación es polémica. En opinión de Ibánez no se debe hacer porque establece una lógica del don.</w:t>
      </w:r>
      <w:r w:rsidR="00557E19">
        <w:t xml:space="preserve"> Resulta, no obstante, curioso apuntar que pese a tener esta opinión, Ibañez que dedicó la mayor parte de su vida a realizar investigación de mercados, siempre pagaba a los participantes de los grupos.</w:t>
      </w:r>
      <w:r>
        <w:t xml:space="preserve"> Martín Criado (1997) afirma que sin contraprestación económica no existe grupo</w:t>
      </w:r>
      <w:r w:rsidR="00557E19">
        <w:t xml:space="preserve"> posible. Es más, si la gente viene gratis implica que hay una relación de jerarquía profesor-alumno, jefe-trabajador u otras cuyas lógicas pueden generar consecuencias mucho peores para los resultados (deseo de complacer o quedar bien) de la investigación que el mero intercambio de dinero por tiempo.</w:t>
      </w:r>
      <w:r w:rsidR="00557E19">
        <w:rPr>
          <w:rStyle w:val="FootnoteReference"/>
        </w:rPr>
        <w:footnoteReference w:id="6"/>
      </w:r>
      <w:r w:rsidR="00557E19">
        <w:t xml:space="preserve"> </w:t>
      </w:r>
    </w:p>
    <w:p w:rsidR="00557E19" w:rsidRDefault="0023464B">
      <w:r w:rsidRPr="0023464B">
        <w:rPr>
          <w:i/>
        </w:rPr>
        <w:t>Transcripción y análisis de los grupos</w:t>
      </w:r>
    </w:p>
    <w:p w:rsidR="00BA60B1" w:rsidRDefault="00557E19">
      <w:r>
        <w:t xml:space="preserve">Se </w:t>
      </w:r>
      <w:r w:rsidR="0023464B">
        <w:t>realiza palabra por palabra y se marcan los silencios, el énfasis en las palabras</w:t>
      </w:r>
      <w:r>
        <w:t>, etc</w:t>
      </w:r>
      <w:r w:rsidR="0023464B">
        <w:t>. La labor de transcripción se realiza por los dos investigadores que han sido moderador y asistente en cada grupo. Posteriormente, se revisa por una de las investigadoras principales y, por último, se vuelve a revisar por las mismas personas que han hecho la transcripción.</w:t>
      </w:r>
    </w:p>
    <w:p w:rsidR="009B4E2D" w:rsidRPr="0074347F" w:rsidRDefault="009B4E2D"/>
    <w:p w:rsidR="002F245E" w:rsidRPr="009B4E2D" w:rsidRDefault="00BA60B1" w:rsidP="009B4E2D">
      <w:pPr>
        <w:pStyle w:val="ListParagraph"/>
        <w:numPr>
          <w:ilvl w:val="0"/>
          <w:numId w:val="25"/>
        </w:numPr>
        <w:rPr>
          <w:b/>
        </w:rPr>
      </w:pPr>
      <w:r w:rsidRPr="009B4E2D">
        <w:rPr>
          <w:b/>
        </w:rPr>
        <w:lastRenderedPageBreak/>
        <w:t>RESULTADOS</w:t>
      </w:r>
    </w:p>
    <w:p w:rsidR="00557E19" w:rsidRDefault="00557E19">
      <w:r>
        <w:t>Como se baraja en la hipótesis desde la que se parte para realizar el proyecto de investigación dentro</w:t>
      </w:r>
      <w:r w:rsidR="00E637A3">
        <w:t xml:space="preserve"> del cual se realizan las reuniones,</w:t>
      </w:r>
      <w:r>
        <w:t xml:space="preserve"> existe en todos los grupo</w:t>
      </w:r>
      <w:r w:rsidR="00E637A3">
        <w:t>s</w:t>
      </w:r>
      <w:r>
        <w:t xml:space="preserve"> una clara conciencia de sub-alternidad. El objeto de investigación de este trabajo es reflejar cuáles son los mecanismos </w:t>
      </w:r>
      <w:r w:rsidR="00E637A3">
        <w:t xml:space="preserve">existentes dentro de esa conciencia de subalternidad </w:t>
      </w:r>
      <w:r>
        <w:t xml:space="preserve">que inhiben la predisposición a la acción colectiva. </w:t>
      </w:r>
    </w:p>
    <w:p w:rsidR="00E637A3" w:rsidRDefault="007B3DBF">
      <w:r>
        <w:t xml:space="preserve">Los marroquíes en Madrid y </w:t>
      </w:r>
      <w:r w:rsidR="00E637A3">
        <w:t>sus hijos, tengan estudios universitarios o no, se “sienten</w:t>
      </w:r>
      <w:r w:rsidR="00BA60B1">
        <w:t xml:space="preserve"> menos que”</w:t>
      </w:r>
      <w:r w:rsidR="00E637A3">
        <w:t xml:space="preserve"> el resto de la sociedad en la que viven y, </w:t>
      </w:r>
      <w:r w:rsidR="00BA60B1">
        <w:t>en función de su situación social (género, nivel de est</w:t>
      </w:r>
      <w:r w:rsidR="00E637A3">
        <w:t xml:space="preserve">udios, ser o no español), despliegan </w:t>
      </w:r>
      <w:r w:rsidR="00BA60B1">
        <w:t>estrategias de</w:t>
      </w:r>
      <w:r w:rsidR="00E637A3">
        <w:t xml:space="preserve"> adaptación distintas. </w:t>
      </w:r>
      <w:r w:rsidR="00BA60B1">
        <w:t>Por tanto, resulta difícil generalizar</w:t>
      </w:r>
      <w:r w:rsidR="00E637A3">
        <w:t>,</w:t>
      </w:r>
      <w:r w:rsidR="00BA60B1">
        <w:t xml:space="preserve"> pues los resultados han de interpretarse de </w:t>
      </w:r>
      <w:r w:rsidR="00E637A3">
        <w:t>acuerdo a las variables mencionadas haciendo especial hincapié en el hecho de ser primo-migrante o nacido en España, de tener estudios o no o ser hombre o mujer</w:t>
      </w:r>
      <w:r w:rsidR="00BA60B1">
        <w:t xml:space="preserve">. </w:t>
      </w:r>
      <w:r w:rsidR="00E637A3">
        <w:t xml:space="preserve">Pese a estas importantes diferencias hay puntos en común que les unen como colectivo, pues todos sufren en mayor o menor medida la discriminación por parte de la sociedad española debido a su condición musulmana y ello tiene unas consecuencias a nivel personal (gestión de emociones y expectativas) y a nivel social (parálisis cívica). </w:t>
      </w:r>
    </w:p>
    <w:p w:rsidR="00BA60B1" w:rsidRPr="00E637A3" w:rsidRDefault="00E637A3" w:rsidP="00B8117F">
      <w:pPr>
        <w:spacing w:after="0" w:line="240" w:lineRule="auto"/>
        <w:jc w:val="center"/>
        <w:rPr>
          <w:b/>
          <w:i/>
        </w:rPr>
      </w:pPr>
      <w:r w:rsidRPr="00E637A3">
        <w:rPr>
          <w:b/>
          <w:i/>
        </w:rPr>
        <w:t>Tabla 2: Fracciones discursivas encontradas en cada grupo de discusión</w:t>
      </w:r>
    </w:p>
    <w:tbl>
      <w:tblPr>
        <w:tblW w:w="823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5"/>
        <w:gridCol w:w="4341"/>
      </w:tblGrid>
      <w:tr w:rsidR="007536DF" w:rsidTr="00AA4F4B">
        <w:tc>
          <w:tcPr>
            <w:tcW w:w="3895" w:type="dxa"/>
          </w:tcPr>
          <w:p w:rsidR="007536DF" w:rsidRPr="007536DF" w:rsidRDefault="007536DF" w:rsidP="007536DF">
            <w:pPr>
              <w:spacing w:line="360" w:lineRule="auto"/>
              <w:jc w:val="center"/>
              <w:rPr>
                <w:rFonts w:cs="Times New Roman"/>
                <w:sz w:val="20"/>
                <w:szCs w:val="20"/>
              </w:rPr>
            </w:pPr>
            <w:r>
              <w:rPr>
                <w:rFonts w:eastAsia="Arial" w:cs="Times New Roman"/>
                <w:b/>
                <w:sz w:val="20"/>
                <w:szCs w:val="20"/>
              </w:rPr>
              <w:t>GRUPO I</w:t>
            </w:r>
          </w:p>
          <w:p w:rsidR="00D5263A" w:rsidRPr="006B251F" w:rsidRDefault="00D5263A" w:rsidP="006B251F">
            <w:pPr>
              <w:pStyle w:val="NoSpacing"/>
              <w:numPr>
                <w:ilvl w:val="0"/>
                <w:numId w:val="16"/>
              </w:numPr>
              <w:rPr>
                <w:b/>
                <w:sz w:val="20"/>
                <w:szCs w:val="20"/>
              </w:rPr>
            </w:pPr>
            <w:r w:rsidRPr="006B251F">
              <w:rPr>
                <w:b/>
                <w:sz w:val="20"/>
                <w:szCs w:val="20"/>
              </w:rPr>
              <w:t>Asimilacionista</w:t>
            </w:r>
          </w:p>
          <w:p w:rsidR="00D5263A" w:rsidRPr="006B251F" w:rsidRDefault="005E1E66" w:rsidP="006B251F">
            <w:pPr>
              <w:pStyle w:val="NoSpacing"/>
              <w:rPr>
                <w:sz w:val="20"/>
                <w:szCs w:val="20"/>
              </w:rPr>
            </w:pPr>
            <w:r>
              <w:rPr>
                <w:sz w:val="20"/>
                <w:szCs w:val="20"/>
              </w:rPr>
              <w:t xml:space="preserve">       Sustentada únicamente por una posición discursiva que desea distinguirse del resto del grupo, aludiendo al hecho de que su hijo estudió en un colegio concertado.</w:t>
            </w:r>
          </w:p>
          <w:p w:rsidR="005E1E66" w:rsidRDefault="005E1E66" w:rsidP="006B251F">
            <w:pPr>
              <w:pStyle w:val="NoSpacing"/>
              <w:rPr>
                <w:sz w:val="20"/>
                <w:szCs w:val="20"/>
              </w:rPr>
            </w:pPr>
            <w:r>
              <w:rPr>
                <w:sz w:val="20"/>
                <w:szCs w:val="20"/>
              </w:rPr>
              <w:t xml:space="preserve">       </w:t>
            </w:r>
            <w:r w:rsidR="00D5263A" w:rsidRPr="006B251F">
              <w:rPr>
                <w:sz w:val="20"/>
                <w:szCs w:val="20"/>
              </w:rPr>
              <w:t>El proyecto migratorio está determinado por la búsqueda de trabajo y la</w:t>
            </w:r>
            <w:r>
              <w:rPr>
                <w:sz w:val="20"/>
                <w:szCs w:val="20"/>
              </w:rPr>
              <w:t xml:space="preserve"> mejora de</w:t>
            </w:r>
            <w:r w:rsidR="00D5263A" w:rsidRPr="006B251F">
              <w:rPr>
                <w:sz w:val="20"/>
                <w:szCs w:val="20"/>
              </w:rPr>
              <w:t xml:space="preserve"> las condiciones de vida.</w:t>
            </w:r>
            <w:r>
              <w:rPr>
                <w:sz w:val="20"/>
                <w:szCs w:val="20"/>
              </w:rPr>
              <w:t xml:space="preserve"> </w:t>
            </w:r>
          </w:p>
          <w:p w:rsidR="005E1E66" w:rsidRPr="006B251F" w:rsidRDefault="005E1E66" w:rsidP="006B251F">
            <w:pPr>
              <w:pStyle w:val="NoSpacing"/>
              <w:rPr>
                <w:sz w:val="20"/>
                <w:szCs w:val="20"/>
              </w:rPr>
            </w:pPr>
            <w:r>
              <w:rPr>
                <w:sz w:val="20"/>
                <w:szCs w:val="20"/>
              </w:rPr>
              <w:t xml:space="preserve">      Importancia de la categoría de “modernidad” que se asocia con Europa, versus Marruecos.</w:t>
            </w:r>
          </w:p>
          <w:p w:rsidR="00D5263A" w:rsidRPr="006B251F" w:rsidRDefault="00D5263A" w:rsidP="006B251F">
            <w:pPr>
              <w:pStyle w:val="NoSpacing"/>
              <w:numPr>
                <w:ilvl w:val="0"/>
                <w:numId w:val="16"/>
              </w:numPr>
              <w:rPr>
                <w:b/>
                <w:sz w:val="20"/>
                <w:szCs w:val="20"/>
              </w:rPr>
            </w:pPr>
            <w:r w:rsidRPr="006B251F">
              <w:rPr>
                <w:b/>
                <w:sz w:val="20"/>
                <w:szCs w:val="20"/>
              </w:rPr>
              <w:t xml:space="preserve">Subalternidad </w:t>
            </w:r>
            <w:r w:rsidR="00C76BC7">
              <w:rPr>
                <w:b/>
                <w:sz w:val="20"/>
                <w:szCs w:val="20"/>
              </w:rPr>
              <w:t>resignado-</w:t>
            </w:r>
            <w:r w:rsidR="00842D56">
              <w:rPr>
                <w:b/>
                <w:sz w:val="20"/>
                <w:szCs w:val="20"/>
              </w:rPr>
              <w:t xml:space="preserve"> fatalista </w:t>
            </w:r>
          </w:p>
          <w:p w:rsidR="00D5263A" w:rsidRPr="006B251F" w:rsidRDefault="00C76BC7" w:rsidP="006B251F">
            <w:pPr>
              <w:pStyle w:val="NoSpacing"/>
              <w:rPr>
                <w:sz w:val="20"/>
                <w:szCs w:val="20"/>
              </w:rPr>
            </w:pPr>
            <w:r>
              <w:rPr>
                <w:sz w:val="20"/>
                <w:szCs w:val="20"/>
              </w:rPr>
              <w:t xml:space="preserve">     </w:t>
            </w:r>
            <w:r w:rsidR="00D5263A" w:rsidRPr="006B251F">
              <w:rPr>
                <w:sz w:val="20"/>
                <w:szCs w:val="20"/>
              </w:rPr>
              <w:t>Reconocen su estatus de subalternidad y se narran las múltiples discriminaciones que se s</w:t>
            </w:r>
            <w:r>
              <w:rPr>
                <w:sz w:val="20"/>
                <w:szCs w:val="20"/>
              </w:rPr>
              <w:t>ufren en la vida cotidiana, pero no se articulan estrategias activas para hacerlas frente. Por el contrario, l</w:t>
            </w:r>
            <w:r w:rsidR="00D5263A" w:rsidRPr="006B251F">
              <w:rPr>
                <w:sz w:val="20"/>
                <w:szCs w:val="20"/>
              </w:rPr>
              <w:t>a queja y/o la resignación son las actitudes de</w:t>
            </w:r>
            <w:r>
              <w:rPr>
                <w:sz w:val="20"/>
                <w:szCs w:val="20"/>
              </w:rPr>
              <w:t xml:space="preserve"> respuesta más común. A veces, se añade la frustración.</w:t>
            </w:r>
            <w:r w:rsidR="00B8117F">
              <w:rPr>
                <w:sz w:val="20"/>
                <w:szCs w:val="20"/>
              </w:rPr>
              <w:t xml:space="preserve"> La pasividad y el desempoderamiento tiñen esta cosmovisión.</w:t>
            </w:r>
          </w:p>
          <w:p w:rsidR="00D5263A" w:rsidRPr="006B251F" w:rsidRDefault="00B8117F" w:rsidP="006B251F">
            <w:pPr>
              <w:pStyle w:val="NoSpacing"/>
              <w:rPr>
                <w:sz w:val="20"/>
                <w:szCs w:val="20"/>
              </w:rPr>
            </w:pPr>
            <w:r>
              <w:rPr>
                <w:sz w:val="20"/>
                <w:szCs w:val="20"/>
              </w:rPr>
              <w:t xml:space="preserve">      </w:t>
            </w:r>
            <w:r w:rsidR="00D5263A" w:rsidRPr="006B251F">
              <w:rPr>
                <w:sz w:val="20"/>
                <w:szCs w:val="20"/>
              </w:rPr>
              <w:t>Es la fracción mayoritaria en este grupo</w:t>
            </w:r>
          </w:p>
          <w:p w:rsidR="00D5263A" w:rsidRPr="006B251F" w:rsidRDefault="00D5263A" w:rsidP="006B251F">
            <w:pPr>
              <w:pStyle w:val="NoSpacing"/>
              <w:numPr>
                <w:ilvl w:val="0"/>
                <w:numId w:val="16"/>
              </w:numPr>
              <w:rPr>
                <w:b/>
                <w:sz w:val="20"/>
                <w:szCs w:val="20"/>
              </w:rPr>
            </w:pPr>
            <w:r w:rsidRPr="006B251F">
              <w:rPr>
                <w:b/>
                <w:sz w:val="20"/>
                <w:szCs w:val="20"/>
              </w:rPr>
              <w:t>Islam normativo</w:t>
            </w:r>
          </w:p>
          <w:p w:rsidR="00D5263A" w:rsidRPr="006B251F" w:rsidRDefault="00C76BC7" w:rsidP="006B251F">
            <w:pPr>
              <w:pStyle w:val="NoSpacing"/>
              <w:rPr>
                <w:sz w:val="20"/>
                <w:szCs w:val="20"/>
              </w:rPr>
            </w:pPr>
            <w:r>
              <w:rPr>
                <w:sz w:val="20"/>
                <w:szCs w:val="20"/>
              </w:rPr>
              <w:t xml:space="preserve">      </w:t>
            </w:r>
            <w:r w:rsidR="00D5263A" w:rsidRPr="006B251F">
              <w:rPr>
                <w:sz w:val="20"/>
                <w:szCs w:val="20"/>
              </w:rPr>
              <w:t>Posición minoritaria en el grupo y con enormes diferencias entre las dos participantes que las sustentan,</w:t>
            </w:r>
            <w:r w:rsidR="00D5263A" w:rsidRPr="006B251F">
              <w:rPr>
                <w:rStyle w:val="FootnoteReference"/>
                <w:sz w:val="20"/>
                <w:szCs w:val="20"/>
              </w:rPr>
              <w:footnoteReference w:id="7"/>
            </w:r>
            <w:r w:rsidR="00D5263A" w:rsidRPr="006B251F">
              <w:rPr>
                <w:sz w:val="20"/>
                <w:szCs w:val="20"/>
              </w:rPr>
              <w:t xml:space="preserve"> tanto de índole cultural como en la propia opinión de los temas que se discuten. </w:t>
            </w:r>
          </w:p>
          <w:p w:rsidR="007536DF" w:rsidRDefault="00B8117F" w:rsidP="00B8117F">
            <w:pPr>
              <w:rPr>
                <w:sz w:val="20"/>
                <w:szCs w:val="20"/>
              </w:rPr>
            </w:pPr>
            <w:r>
              <w:rPr>
                <w:sz w:val="20"/>
                <w:szCs w:val="20"/>
              </w:rPr>
              <w:t xml:space="preserve">      </w:t>
            </w:r>
            <w:r w:rsidR="00D5263A" w:rsidRPr="006B251F">
              <w:rPr>
                <w:sz w:val="20"/>
                <w:szCs w:val="20"/>
              </w:rPr>
              <w:t>El punto en común es que, a diferencia de las demás, parecen más orientadas</w:t>
            </w:r>
            <w:r w:rsidR="007B3DBF">
              <w:rPr>
                <w:sz w:val="20"/>
                <w:szCs w:val="20"/>
              </w:rPr>
              <w:t>,</w:t>
            </w:r>
            <w:r w:rsidR="00D5263A" w:rsidRPr="006B251F">
              <w:rPr>
                <w:sz w:val="20"/>
                <w:szCs w:val="20"/>
              </w:rPr>
              <w:t xml:space="preserve"> no por las </w:t>
            </w:r>
            <w:r w:rsidR="00D5263A" w:rsidRPr="006B251F">
              <w:rPr>
                <w:sz w:val="20"/>
                <w:szCs w:val="20"/>
              </w:rPr>
              <w:lastRenderedPageBreak/>
              <w:t>necesidades del día a día</w:t>
            </w:r>
            <w:r w:rsidR="007B3DBF">
              <w:rPr>
                <w:sz w:val="20"/>
                <w:szCs w:val="20"/>
              </w:rPr>
              <w:t>,</w:t>
            </w:r>
            <w:r w:rsidR="00D5263A" w:rsidRPr="006B251F">
              <w:rPr>
                <w:sz w:val="20"/>
                <w:szCs w:val="20"/>
              </w:rPr>
              <w:t xml:space="preserve"> sino por hacer lo que se estima “correcto” de acuerdo a la interpretación que se hace del Islam. El Islam como ideal es algo que s</w:t>
            </w:r>
            <w:r>
              <w:rPr>
                <w:sz w:val="20"/>
                <w:szCs w:val="20"/>
              </w:rPr>
              <w:t>e aplica al propio modo de vida, pero no suscita participación cívica. Si bien, una nueva musulmana está dentro de esta fracción, el Islam  n</w:t>
            </w:r>
            <w:r w:rsidR="00D5263A" w:rsidRPr="006B251F">
              <w:rPr>
                <w:sz w:val="20"/>
                <w:szCs w:val="20"/>
              </w:rPr>
              <w:t>o constituye una categoría aglutinadora para desarrollar el activismo</w:t>
            </w:r>
            <w:r w:rsidR="00D5263A" w:rsidRPr="00D5263A">
              <w:rPr>
                <w:sz w:val="20"/>
                <w:szCs w:val="20"/>
              </w:rPr>
              <w:t xml:space="preserve">. </w:t>
            </w:r>
          </w:p>
          <w:p w:rsidR="00B8117F" w:rsidRPr="00B8117F" w:rsidRDefault="00B8117F" w:rsidP="00B8117F">
            <w:pPr>
              <w:rPr>
                <w:sz w:val="20"/>
                <w:szCs w:val="20"/>
              </w:rPr>
            </w:pPr>
          </w:p>
        </w:tc>
        <w:tc>
          <w:tcPr>
            <w:tcW w:w="4341" w:type="dxa"/>
          </w:tcPr>
          <w:p w:rsidR="007536DF" w:rsidRPr="00D81922" w:rsidRDefault="007536DF" w:rsidP="005209AE">
            <w:pPr>
              <w:spacing w:line="360" w:lineRule="auto"/>
              <w:jc w:val="center"/>
              <w:rPr>
                <w:rFonts w:cs="Times New Roman"/>
                <w:sz w:val="20"/>
                <w:szCs w:val="20"/>
              </w:rPr>
            </w:pPr>
            <w:r w:rsidRPr="00D81922">
              <w:rPr>
                <w:rFonts w:eastAsia="Arial" w:cs="Times New Roman"/>
                <w:b/>
                <w:sz w:val="20"/>
                <w:szCs w:val="20"/>
              </w:rPr>
              <w:lastRenderedPageBreak/>
              <w:t>GRUPO II</w:t>
            </w:r>
          </w:p>
          <w:p w:rsidR="006B251F" w:rsidRPr="006B251F" w:rsidRDefault="006B251F" w:rsidP="006B251F">
            <w:pPr>
              <w:pStyle w:val="NoSpacing"/>
              <w:numPr>
                <w:ilvl w:val="0"/>
                <w:numId w:val="15"/>
              </w:numPr>
              <w:rPr>
                <w:b/>
                <w:sz w:val="20"/>
                <w:szCs w:val="20"/>
              </w:rPr>
            </w:pPr>
            <w:r w:rsidRPr="006B251F">
              <w:rPr>
                <w:b/>
                <w:sz w:val="20"/>
                <w:szCs w:val="20"/>
              </w:rPr>
              <w:t>Asimilacionista:</w:t>
            </w:r>
          </w:p>
          <w:p w:rsidR="006B251F" w:rsidRPr="006B251F" w:rsidRDefault="00B8117F" w:rsidP="006B251F">
            <w:pPr>
              <w:pStyle w:val="NoSpacing"/>
              <w:rPr>
                <w:sz w:val="20"/>
                <w:szCs w:val="20"/>
              </w:rPr>
            </w:pPr>
            <w:r>
              <w:rPr>
                <w:sz w:val="20"/>
                <w:szCs w:val="20"/>
              </w:rPr>
              <w:t xml:space="preserve">     </w:t>
            </w:r>
            <w:r w:rsidR="006B251F" w:rsidRPr="006B251F">
              <w:rPr>
                <w:sz w:val="20"/>
                <w:szCs w:val="20"/>
              </w:rPr>
              <w:t xml:space="preserve">Posición minoritaria en el grupo. Asimilacionismo como estrategia individual de mejorar la situación personal en la sociedad receptora. Ello implica que, aunque se sufran discriminaciones y se identifiquen como tales, se aguanta y se argumenta que quien no encuentra trabajo en España es porque no quiere. </w:t>
            </w:r>
          </w:p>
          <w:p w:rsidR="006B251F" w:rsidRPr="006B251F" w:rsidRDefault="006B251F" w:rsidP="006B251F">
            <w:pPr>
              <w:pStyle w:val="NoSpacing"/>
              <w:rPr>
                <w:sz w:val="20"/>
                <w:szCs w:val="20"/>
              </w:rPr>
            </w:pPr>
          </w:p>
          <w:p w:rsidR="007B3DBF" w:rsidRDefault="00B8117F" w:rsidP="006B251F">
            <w:pPr>
              <w:pStyle w:val="NoSpacing"/>
              <w:numPr>
                <w:ilvl w:val="0"/>
                <w:numId w:val="15"/>
              </w:numPr>
              <w:rPr>
                <w:b/>
                <w:sz w:val="20"/>
                <w:szCs w:val="20"/>
              </w:rPr>
            </w:pPr>
            <w:r>
              <w:rPr>
                <w:b/>
                <w:sz w:val="20"/>
                <w:szCs w:val="20"/>
              </w:rPr>
              <w:t>Subalternidad impotente</w:t>
            </w:r>
          </w:p>
          <w:p w:rsidR="006B251F" w:rsidRPr="007B3DBF" w:rsidRDefault="006B251F" w:rsidP="007B3DBF">
            <w:pPr>
              <w:pStyle w:val="NoSpacing"/>
              <w:ind w:left="720"/>
              <w:rPr>
                <w:b/>
                <w:sz w:val="20"/>
                <w:szCs w:val="20"/>
              </w:rPr>
            </w:pPr>
            <w:r w:rsidRPr="007B3DBF">
              <w:rPr>
                <w:sz w:val="20"/>
                <w:szCs w:val="20"/>
              </w:rPr>
              <w:t xml:space="preserve">Posición ampliamente mayoritaria. </w:t>
            </w:r>
          </w:p>
          <w:p w:rsidR="006B251F" w:rsidRPr="006B251F" w:rsidRDefault="006B251F" w:rsidP="006B251F">
            <w:pPr>
              <w:pStyle w:val="NoSpacing"/>
              <w:rPr>
                <w:sz w:val="20"/>
                <w:szCs w:val="20"/>
              </w:rPr>
            </w:pPr>
            <w:r w:rsidRPr="006B251F">
              <w:rPr>
                <w:sz w:val="20"/>
                <w:szCs w:val="20"/>
              </w:rPr>
              <w:t xml:space="preserve">La reunión comienza comparando la situación de España con la de Marruecos y la identificación que se hace de España con la idea de </w:t>
            </w:r>
            <w:r w:rsidRPr="006B251F">
              <w:rPr>
                <w:i/>
                <w:sz w:val="20"/>
                <w:szCs w:val="20"/>
              </w:rPr>
              <w:t>proyecto migratorio</w:t>
            </w:r>
            <w:r w:rsidRPr="006B251F">
              <w:rPr>
                <w:sz w:val="20"/>
                <w:szCs w:val="20"/>
              </w:rPr>
              <w:t xml:space="preserve"> entendido como “</w:t>
            </w:r>
            <w:r w:rsidRPr="006B251F">
              <w:rPr>
                <w:i/>
                <w:sz w:val="20"/>
                <w:szCs w:val="20"/>
              </w:rPr>
              <w:t>progreso</w:t>
            </w:r>
            <w:r w:rsidRPr="006B251F">
              <w:rPr>
                <w:sz w:val="20"/>
                <w:szCs w:val="20"/>
              </w:rPr>
              <w:t>” con respecto a la situación anterior. La idea de “quedarse</w:t>
            </w:r>
            <w:r>
              <w:t xml:space="preserve"> </w:t>
            </w:r>
            <w:r w:rsidRPr="006B251F">
              <w:rPr>
                <w:sz w:val="20"/>
                <w:szCs w:val="20"/>
              </w:rPr>
              <w:t>atrás” está muy presente y temen</w:t>
            </w:r>
            <w:r>
              <w:t xml:space="preserve"> </w:t>
            </w:r>
            <w:r w:rsidRPr="00B8117F">
              <w:rPr>
                <w:sz w:val="20"/>
                <w:szCs w:val="20"/>
              </w:rPr>
              <w:t>que</w:t>
            </w:r>
            <w:r>
              <w:t xml:space="preserve"> </w:t>
            </w:r>
            <w:r w:rsidRPr="006B251F">
              <w:rPr>
                <w:sz w:val="20"/>
                <w:szCs w:val="20"/>
              </w:rPr>
              <w:t>sus hijos no gocen de la situación de mejora</w:t>
            </w:r>
            <w:r w:rsidR="00B8117F">
              <w:rPr>
                <w:sz w:val="20"/>
                <w:szCs w:val="20"/>
              </w:rPr>
              <w:t xml:space="preserve"> de las condiciones de vida</w:t>
            </w:r>
            <w:r w:rsidRPr="006B251F">
              <w:rPr>
                <w:sz w:val="20"/>
                <w:szCs w:val="20"/>
              </w:rPr>
              <w:t xml:space="preserve"> con la que se </w:t>
            </w:r>
            <w:r w:rsidR="00B8117F">
              <w:rPr>
                <w:sz w:val="20"/>
                <w:szCs w:val="20"/>
              </w:rPr>
              <w:t>ellos emprendieron</w:t>
            </w:r>
            <w:r w:rsidRPr="006B251F">
              <w:rPr>
                <w:sz w:val="20"/>
                <w:szCs w:val="20"/>
              </w:rPr>
              <w:t xml:space="preserve"> el proyecto migratorio.</w:t>
            </w:r>
            <w:r w:rsidR="00B8117F">
              <w:rPr>
                <w:sz w:val="20"/>
                <w:szCs w:val="20"/>
              </w:rPr>
              <w:t xml:space="preserve"> La frustración de sus expectativas produce enfado en algunos, resentimiento en otros. Todos comparten una sensación de impotencia y desempoderamiento ante las circunstancias.</w:t>
            </w:r>
          </w:p>
          <w:p w:rsidR="006B251F" w:rsidRPr="006B251F" w:rsidRDefault="00B8117F" w:rsidP="006B251F">
            <w:pPr>
              <w:pStyle w:val="NoSpacing"/>
              <w:rPr>
                <w:sz w:val="20"/>
                <w:szCs w:val="20"/>
              </w:rPr>
            </w:pPr>
            <w:r>
              <w:rPr>
                <w:sz w:val="20"/>
                <w:szCs w:val="20"/>
              </w:rPr>
              <w:t xml:space="preserve">     </w:t>
            </w:r>
            <w:r w:rsidR="006B251F" w:rsidRPr="006B251F">
              <w:rPr>
                <w:sz w:val="20"/>
                <w:szCs w:val="20"/>
              </w:rPr>
              <w:t>No existe predisposición hacia el asociacionismo. Se habla un general de un “representante” o voz que hable por ellos y les “saque” de esa situación. No se ven como actores del cambio.</w:t>
            </w:r>
          </w:p>
          <w:p w:rsidR="006B251F" w:rsidRPr="00B8117F" w:rsidRDefault="006B251F" w:rsidP="006B251F"/>
          <w:p w:rsidR="007536DF" w:rsidRPr="00463DEC" w:rsidRDefault="007536DF" w:rsidP="00463DEC">
            <w:pPr>
              <w:spacing w:line="360" w:lineRule="auto"/>
              <w:jc w:val="left"/>
              <w:rPr>
                <w:rFonts w:cs="Times New Roman"/>
                <w:sz w:val="20"/>
                <w:szCs w:val="20"/>
              </w:rPr>
            </w:pPr>
          </w:p>
          <w:p w:rsidR="007536DF" w:rsidRPr="00D81922" w:rsidRDefault="007536DF" w:rsidP="005209AE">
            <w:pPr>
              <w:spacing w:line="360" w:lineRule="auto"/>
              <w:jc w:val="left"/>
              <w:rPr>
                <w:rFonts w:cs="Times New Roman"/>
                <w:sz w:val="20"/>
                <w:szCs w:val="20"/>
              </w:rPr>
            </w:pPr>
          </w:p>
        </w:tc>
      </w:tr>
      <w:tr w:rsidR="007536DF" w:rsidTr="00AA4F4B">
        <w:tc>
          <w:tcPr>
            <w:tcW w:w="3895" w:type="dxa"/>
          </w:tcPr>
          <w:p w:rsidR="007536DF" w:rsidRPr="00B8117F" w:rsidRDefault="006B251F" w:rsidP="006B251F">
            <w:pPr>
              <w:spacing w:line="360" w:lineRule="auto"/>
              <w:jc w:val="center"/>
              <w:rPr>
                <w:rFonts w:cs="Times New Roman"/>
                <w:sz w:val="20"/>
                <w:szCs w:val="20"/>
              </w:rPr>
            </w:pPr>
            <w:r w:rsidRPr="00B8117F">
              <w:rPr>
                <w:rFonts w:eastAsia="Arial" w:cs="Times New Roman"/>
                <w:b/>
                <w:sz w:val="20"/>
                <w:szCs w:val="20"/>
              </w:rPr>
              <w:lastRenderedPageBreak/>
              <w:t>GRUPO III</w:t>
            </w:r>
          </w:p>
          <w:p w:rsidR="006B251F" w:rsidRPr="006B251F" w:rsidRDefault="00D91D8F" w:rsidP="006B251F">
            <w:pPr>
              <w:pStyle w:val="NoSpacing"/>
              <w:numPr>
                <w:ilvl w:val="0"/>
                <w:numId w:val="15"/>
              </w:numPr>
              <w:rPr>
                <w:b/>
                <w:sz w:val="20"/>
                <w:szCs w:val="20"/>
              </w:rPr>
            </w:pPr>
            <w:r w:rsidRPr="006B251F">
              <w:rPr>
                <w:b/>
                <w:sz w:val="20"/>
                <w:szCs w:val="20"/>
              </w:rPr>
              <w:t>Asimilacionista modernizante</w:t>
            </w:r>
          </w:p>
          <w:p w:rsidR="00F21FD3" w:rsidRDefault="00D91D8F" w:rsidP="006B251F">
            <w:pPr>
              <w:pStyle w:val="NoSpacing"/>
              <w:rPr>
                <w:sz w:val="20"/>
                <w:szCs w:val="20"/>
              </w:rPr>
            </w:pPr>
            <w:r w:rsidRPr="006B251F">
              <w:rPr>
                <w:sz w:val="20"/>
                <w:szCs w:val="20"/>
              </w:rPr>
              <w:t>Posición minoritaria en el grupo. Sust</w:t>
            </w:r>
            <w:r w:rsidR="00F21FD3">
              <w:rPr>
                <w:sz w:val="20"/>
                <w:szCs w:val="20"/>
              </w:rPr>
              <w:t>entada por una fracción de las mujeres primo-migrantes. España/Europa aparece como vinculado a la Modernidad.</w:t>
            </w:r>
          </w:p>
          <w:p w:rsidR="00D91D8F" w:rsidRPr="006B251F" w:rsidRDefault="00D91D8F" w:rsidP="006B251F">
            <w:pPr>
              <w:pStyle w:val="NoSpacing"/>
              <w:rPr>
                <w:sz w:val="20"/>
                <w:szCs w:val="20"/>
              </w:rPr>
            </w:pPr>
            <w:r w:rsidRPr="006B251F">
              <w:rPr>
                <w:sz w:val="20"/>
                <w:szCs w:val="20"/>
              </w:rPr>
              <w:t xml:space="preserve">Esquemas rígidos de “aquí-allí” y de lo correcto en cada lugar. </w:t>
            </w:r>
            <w:r w:rsidR="00F21FD3">
              <w:rPr>
                <w:sz w:val="20"/>
                <w:szCs w:val="20"/>
              </w:rPr>
              <w:t>“</w:t>
            </w:r>
            <w:r w:rsidR="00F21FD3" w:rsidRPr="00F21FD3">
              <w:rPr>
                <w:i/>
                <w:sz w:val="20"/>
                <w:szCs w:val="20"/>
              </w:rPr>
              <w:t>Quieren hacer todo: quieren hacer religión y la vida en Europa</w:t>
            </w:r>
            <w:r w:rsidR="00F21FD3">
              <w:rPr>
                <w:sz w:val="20"/>
                <w:szCs w:val="20"/>
              </w:rPr>
              <w:t xml:space="preserve"> (imponiendo su voz). </w:t>
            </w:r>
            <w:r w:rsidR="00F21FD3" w:rsidRPr="00F21FD3">
              <w:rPr>
                <w:i/>
                <w:sz w:val="20"/>
                <w:szCs w:val="20"/>
              </w:rPr>
              <w:t>Pues no estoy de acuerdo</w:t>
            </w:r>
            <w:r w:rsidR="00F21FD3">
              <w:rPr>
                <w:sz w:val="20"/>
                <w:szCs w:val="20"/>
              </w:rPr>
              <w:t>” (3 en p. 25) y “</w:t>
            </w:r>
            <w:r w:rsidR="00F21FD3" w:rsidRPr="00F21FD3">
              <w:rPr>
                <w:i/>
                <w:sz w:val="20"/>
                <w:szCs w:val="20"/>
              </w:rPr>
              <w:t>pero,¿ qué quieres?¿Trabajar o pañuelo?</w:t>
            </w:r>
            <w:r w:rsidR="00F21FD3">
              <w:rPr>
                <w:i/>
                <w:sz w:val="20"/>
                <w:szCs w:val="20"/>
              </w:rPr>
              <w:t>”</w:t>
            </w:r>
            <w:r w:rsidR="00F21FD3">
              <w:rPr>
                <w:sz w:val="20"/>
                <w:szCs w:val="20"/>
              </w:rPr>
              <w:t xml:space="preserve"> (3 en p. 29).</w:t>
            </w:r>
          </w:p>
          <w:p w:rsidR="006B251F" w:rsidRPr="006B251F" w:rsidRDefault="00D91D8F" w:rsidP="006B251F">
            <w:pPr>
              <w:pStyle w:val="NoSpacing"/>
              <w:numPr>
                <w:ilvl w:val="0"/>
                <w:numId w:val="15"/>
              </w:numPr>
              <w:rPr>
                <w:b/>
                <w:sz w:val="20"/>
                <w:szCs w:val="20"/>
              </w:rPr>
            </w:pPr>
            <w:r w:rsidRPr="006B251F">
              <w:rPr>
                <w:b/>
                <w:sz w:val="20"/>
                <w:szCs w:val="20"/>
              </w:rPr>
              <w:t>Ciudadanía liberal:</w:t>
            </w:r>
          </w:p>
          <w:p w:rsidR="00D91D8F" w:rsidRPr="006B251F" w:rsidRDefault="00F21FD3" w:rsidP="006B251F">
            <w:pPr>
              <w:pStyle w:val="NoSpacing"/>
              <w:rPr>
                <w:sz w:val="20"/>
                <w:szCs w:val="20"/>
              </w:rPr>
            </w:pPr>
            <w:r>
              <w:rPr>
                <w:sz w:val="20"/>
                <w:szCs w:val="20"/>
              </w:rPr>
              <w:t xml:space="preserve">     </w:t>
            </w:r>
            <w:r w:rsidR="00D91D8F" w:rsidRPr="006B251F">
              <w:rPr>
                <w:sz w:val="20"/>
                <w:szCs w:val="20"/>
              </w:rPr>
              <w:t>Posición sustentada por quiénes son españolas de nacimiento y nacionalidad.</w:t>
            </w:r>
          </w:p>
          <w:p w:rsidR="00D91D8F" w:rsidRPr="007536DF" w:rsidRDefault="00F21FD3" w:rsidP="006B251F">
            <w:pPr>
              <w:pStyle w:val="NoSpacing"/>
            </w:pPr>
            <w:r>
              <w:rPr>
                <w:sz w:val="20"/>
                <w:szCs w:val="20"/>
              </w:rPr>
              <w:t xml:space="preserve">      </w:t>
            </w:r>
            <w:r w:rsidR="00D91D8F" w:rsidRPr="006B251F">
              <w:rPr>
                <w:sz w:val="20"/>
                <w:szCs w:val="20"/>
              </w:rPr>
              <w:t xml:space="preserve">Creen en el </w:t>
            </w:r>
            <w:r w:rsidR="00D91D8F" w:rsidRPr="00F21FD3">
              <w:rPr>
                <w:i/>
                <w:sz w:val="20"/>
                <w:szCs w:val="20"/>
              </w:rPr>
              <w:t>cambio social</w:t>
            </w:r>
            <w:r w:rsidR="00D91D8F" w:rsidRPr="006B251F">
              <w:rPr>
                <w:sz w:val="20"/>
                <w:szCs w:val="20"/>
              </w:rPr>
              <w:t xml:space="preserve"> producido a través de la </w:t>
            </w:r>
            <w:r w:rsidR="00D91D8F" w:rsidRPr="00F21FD3">
              <w:rPr>
                <w:i/>
                <w:sz w:val="20"/>
                <w:szCs w:val="20"/>
              </w:rPr>
              <w:t>actitud personal</w:t>
            </w:r>
            <w:r w:rsidR="00D91D8F" w:rsidRPr="006B251F">
              <w:rPr>
                <w:sz w:val="20"/>
                <w:szCs w:val="20"/>
              </w:rPr>
              <w:t>. Las charlas y la educación</w:t>
            </w:r>
            <w:r w:rsidR="006B251F" w:rsidRPr="006B251F">
              <w:rPr>
                <w:sz w:val="20"/>
                <w:szCs w:val="20"/>
              </w:rPr>
              <w:t xml:space="preserve"> serían un paso para terminar con la discriminación de los musulmanes. </w:t>
            </w:r>
          </w:p>
          <w:p w:rsidR="007536DF" w:rsidRPr="00D81922" w:rsidRDefault="007536DF" w:rsidP="005209AE">
            <w:pPr>
              <w:spacing w:line="360" w:lineRule="auto"/>
              <w:ind w:left="360"/>
              <w:jc w:val="left"/>
              <w:rPr>
                <w:sz w:val="20"/>
                <w:szCs w:val="20"/>
              </w:rPr>
            </w:pPr>
          </w:p>
        </w:tc>
        <w:tc>
          <w:tcPr>
            <w:tcW w:w="4341" w:type="dxa"/>
          </w:tcPr>
          <w:p w:rsidR="007536DF" w:rsidRPr="00B8117F" w:rsidRDefault="007536DF" w:rsidP="006B251F">
            <w:pPr>
              <w:spacing w:line="360" w:lineRule="auto"/>
              <w:jc w:val="center"/>
              <w:rPr>
                <w:rFonts w:cs="Times New Roman"/>
                <w:sz w:val="20"/>
                <w:szCs w:val="20"/>
              </w:rPr>
            </w:pPr>
            <w:r w:rsidRPr="00B8117F">
              <w:rPr>
                <w:rFonts w:eastAsia="Arial" w:cs="Times New Roman"/>
                <w:b/>
                <w:sz w:val="20"/>
                <w:szCs w:val="20"/>
              </w:rPr>
              <w:t>GRUPO IV</w:t>
            </w:r>
          </w:p>
          <w:p w:rsidR="006B251F" w:rsidRPr="00F21FD3" w:rsidRDefault="005331B9" w:rsidP="006B251F">
            <w:pPr>
              <w:pStyle w:val="NoSpacing"/>
              <w:numPr>
                <w:ilvl w:val="0"/>
                <w:numId w:val="15"/>
              </w:numPr>
              <w:rPr>
                <w:sz w:val="20"/>
                <w:szCs w:val="20"/>
              </w:rPr>
            </w:pPr>
            <w:r w:rsidRPr="006B251F">
              <w:rPr>
                <w:b/>
                <w:sz w:val="20"/>
                <w:szCs w:val="20"/>
              </w:rPr>
              <w:t>Asimilacionista organizativa</w:t>
            </w:r>
            <w:r w:rsidR="006B251F" w:rsidRPr="006B251F">
              <w:rPr>
                <w:rStyle w:val="FootnoteReference"/>
                <w:b/>
                <w:i/>
                <w:sz w:val="20"/>
                <w:szCs w:val="20"/>
              </w:rPr>
              <w:footnoteReference w:id="8"/>
            </w:r>
            <w:r w:rsidR="006B251F" w:rsidRPr="006B251F">
              <w:rPr>
                <w:b/>
                <w:sz w:val="20"/>
                <w:szCs w:val="20"/>
              </w:rPr>
              <w:t>:</w:t>
            </w:r>
            <w:r w:rsidR="007536DF" w:rsidRPr="006B251F">
              <w:rPr>
                <w:sz w:val="20"/>
                <w:szCs w:val="20"/>
              </w:rPr>
              <w:t xml:space="preserve"> (Ramírez, A. G4).</w:t>
            </w:r>
          </w:p>
          <w:p w:rsidR="00981DDF" w:rsidRPr="00981DDF" w:rsidRDefault="00F21FD3" w:rsidP="00981DDF">
            <w:pPr>
              <w:pStyle w:val="NoSpacing"/>
              <w:rPr>
                <w:sz w:val="20"/>
                <w:szCs w:val="20"/>
              </w:rPr>
            </w:pPr>
            <w:r>
              <w:rPr>
                <w:sz w:val="20"/>
                <w:szCs w:val="20"/>
              </w:rPr>
              <w:t xml:space="preserve">     </w:t>
            </w:r>
            <w:r w:rsidR="00981DDF" w:rsidRPr="00981DDF">
              <w:rPr>
                <w:sz w:val="20"/>
                <w:szCs w:val="20"/>
              </w:rPr>
              <w:t>Mantiene los elementos de la musulmaneidad, pero en todo lo demás piensan que hay que adaptarse. Se ven como miembros de pleno derecho en la sociedad en la que viven</w:t>
            </w:r>
            <w:r>
              <w:rPr>
                <w:sz w:val="20"/>
                <w:szCs w:val="20"/>
              </w:rPr>
              <w:t>,</w:t>
            </w:r>
            <w:r w:rsidR="00981DDF" w:rsidRPr="00981DDF">
              <w:rPr>
                <w:sz w:val="20"/>
                <w:szCs w:val="20"/>
              </w:rPr>
              <w:t xml:space="preserve"> pues han nacido aquí. </w:t>
            </w:r>
          </w:p>
          <w:p w:rsidR="00981DDF" w:rsidRPr="00981DDF" w:rsidRDefault="00F21FD3" w:rsidP="00981DDF">
            <w:pPr>
              <w:pStyle w:val="NoSpacing"/>
              <w:rPr>
                <w:sz w:val="20"/>
                <w:szCs w:val="20"/>
              </w:rPr>
            </w:pPr>
            <w:r>
              <w:rPr>
                <w:sz w:val="20"/>
                <w:szCs w:val="20"/>
              </w:rPr>
              <w:t xml:space="preserve">Construcción de un </w:t>
            </w:r>
            <w:r w:rsidR="00981DDF" w:rsidRPr="00F21FD3">
              <w:rPr>
                <w:i/>
                <w:sz w:val="20"/>
                <w:szCs w:val="20"/>
              </w:rPr>
              <w:t>ellos</w:t>
            </w:r>
            <w:r w:rsidR="00981DDF" w:rsidRPr="00981DDF">
              <w:rPr>
                <w:sz w:val="20"/>
                <w:szCs w:val="20"/>
              </w:rPr>
              <w:t>-</w:t>
            </w:r>
            <w:r>
              <w:rPr>
                <w:sz w:val="20"/>
                <w:szCs w:val="20"/>
              </w:rPr>
              <w:t>“</w:t>
            </w:r>
            <w:r w:rsidR="00981DDF" w:rsidRPr="00981DDF">
              <w:rPr>
                <w:sz w:val="20"/>
                <w:szCs w:val="20"/>
              </w:rPr>
              <w:t xml:space="preserve">los </w:t>
            </w:r>
            <w:r>
              <w:rPr>
                <w:sz w:val="20"/>
                <w:szCs w:val="20"/>
              </w:rPr>
              <w:t xml:space="preserve">españoles”-pero también otro </w:t>
            </w:r>
            <w:r w:rsidR="00981DDF" w:rsidRPr="00F21FD3">
              <w:rPr>
                <w:i/>
                <w:sz w:val="20"/>
                <w:szCs w:val="20"/>
              </w:rPr>
              <w:t>ellos</w:t>
            </w:r>
            <w:r>
              <w:rPr>
                <w:sz w:val="20"/>
                <w:szCs w:val="20"/>
              </w:rPr>
              <w:t xml:space="preserve"> </w:t>
            </w:r>
            <w:r w:rsidR="00981DDF" w:rsidRPr="00981DDF">
              <w:rPr>
                <w:sz w:val="20"/>
                <w:szCs w:val="20"/>
              </w:rPr>
              <w:t>que son los marroquíes que hacen mal las cosas.</w:t>
            </w:r>
            <w:r w:rsidR="007B3DBF">
              <w:rPr>
                <w:sz w:val="20"/>
                <w:szCs w:val="20"/>
              </w:rPr>
              <w:t xml:space="preserve"> Asunción del estigma. </w:t>
            </w:r>
          </w:p>
          <w:p w:rsidR="00981DDF" w:rsidRDefault="00F21FD3" w:rsidP="00981DDF">
            <w:pPr>
              <w:pStyle w:val="NoSpacing"/>
              <w:rPr>
                <w:sz w:val="20"/>
                <w:szCs w:val="20"/>
              </w:rPr>
            </w:pPr>
            <w:r>
              <w:rPr>
                <w:sz w:val="20"/>
                <w:szCs w:val="20"/>
              </w:rPr>
              <w:t xml:space="preserve">      </w:t>
            </w:r>
            <w:r w:rsidR="00981DDF" w:rsidRPr="00981DDF">
              <w:rPr>
                <w:sz w:val="20"/>
                <w:szCs w:val="20"/>
              </w:rPr>
              <w:t>Las asociaciones sí son vistas colectivamente como transformadoras de lo social, pero más desde una perspectiva cultural-folclórica que un lugar desde donde articular reivindicaciones de tipo político</w:t>
            </w:r>
            <w:r w:rsidR="007B3DBF">
              <w:rPr>
                <w:sz w:val="20"/>
                <w:szCs w:val="20"/>
              </w:rPr>
              <w:t xml:space="preserve"> y económico</w:t>
            </w:r>
            <w:r w:rsidR="00981DDF" w:rsidRPr="00981DDF">
              <w:rPr>
                <w:sz w:val="20"/>
                <w:szCs w:val="20"/>
              </w:rPr>
              <w:t>. Su finalidad sería más bien, “darse a conocer”. Se enfatiza que el conocimiento de los marroquíes debe trascender el ámbito religioso y que los marroquíes también tendrían que llevar la iniciativa. No obstante, se deja ese momento de cambio a que haya gente “preparada”, “adecuada”,etc. No se ven ellos como artífices del cambio.</w:t>
            </w:r>
          </w:p>
          <w:p w:rsidR="00F21FD3" w:rsidRPr="00981DDF" w:rsidRDefault="00F21FD3" w:rsidP="00981DDF">
            <w:pPr>
              <w:pStyle w:val="NoSpacing"/>
              <w:rPr>
                <w:sz w:val="20"/>
                <w:szCs w:val="20"/>
              </w:rPr>
            </w:pPr>
            <w:r>
              <w:rPr>
                <w:sz w:val="20"/>
                <w:szCs w:val="20"/>
              </w:rPr>
              <w:t xml:space="preserve">   Se denomina la fracción asimilacionista porque se q</w:t>
            </w:r>
            <w:r w:rsidR="00245238">
              <w:rPr>
                <w:sz w:val="20"/>
                <w:szCs w:val="20"/>
              </w:rPr>
              <w:t xml:space="preserve">uieren integrar de este modo </w:t>
            </w:r>
            <w:r>
              <w:rPr>
                <w:sz w:val="20"/>
                <w:szCs w:val="20"/>
              </w:rPr>
              <w:t>en la sociedad y organizativo por una predispoción positiva hacia la acci</w:t>
            </w:r>
            <w:r w:rsidR="00245238">
              <w:rPr>
                <w:sz w:val="20"/>
                <w:szCs w:val="20"/>
              </w:rPr>
              <w:t>ón, per</w:t>
            </w:r>
            <w:r>
              <w:rPr>
                <w:sz w:val="20"/>
                <w:szCs w:val="20"/>
              </w:rPr>
              <w:t xml:space="preserve"> ésta no tiene lugar, sino que es un </w:t>
            </w:r>
            <w:r w:rsidRPr="007B3DBF">
              <w:rPr>
                <w:i/>
                <w:sz w:val="20"/>
                <w:szCs w:val="20"/>
              </w:rPr>
              <w:t>desider</w:t>
            </w:r>
            <w:r w:rsidR="00245238" w:rsidRPr="007B3DBF">
              <w:rPr>
                <w:i/>
                <w:sz w:val="20"/>
                <w:szCs w:val="20"/>
              </w:rPr>
              <w:t>átum</w:t>
            </w:r>
            <w:r w:rsidR="00245238">
              <w:rPr>
                <w:sz w:val="20"/>
                <w:szCs w:val="20"/>
              </w:rPr>
              <w:t xml:space="preserve"> y la pasividad es la actitud que sobrevuela.</w:t>
            </w:r>
          </w:p>
          <w:p w:rsidR="006B251F" w:rsidRPr="006B251F" w:rsidRDefault="006B251F" w:rsidP="006B251F">
            <w:pPr>
              <w:pStyle w:val="NoSpacing"/>
              <w:rPr>
                <w:sz w:val="20"/>
                <w:szCs w:val="20"/>
              </w:rPr>
            </w:pPr>
          </w:p>
          <w:p w:rsidR="006B251F" w:rsidRPr="006B251F" w:rsidRDefault="00245238" w:rsidP="006B251F">
            <w:pPr>
              <w:pStyle w:val="NoSpacing"/>
              <w:numPr>
                <w:ilvl w:val="0"/>
                <w:numId w:val="15"/>
              </w:numPr>
              <w:rPr>
                <w:sz w:val="20"/>
                <w:szCs w:val="20"/>
              </w:rPr>
            </w:pPr>
            <w:r>
              <w:rPr>
                <w:b/>
                <w:sz w:val="20"/>
                <w:szCs w:val="20"/>
              </w:rPr>
              <w:t>Subalternidad asistencialista</w:t>
            </w:r>
          </w:p>
          <w:p w:rsidR="007536DF" w:rsidRPr="006B251F" w:rsidRDefault="00245238" w:rsidP="006B251F">
            <w:pPr>
              <w:pStyle w:val="NoSpacing"/>
              <w:rPr>
                <w:sz w:val="20"/>
                <w:szCs w:val="20"/>
              </w:rPr>
            </w:pPr>
            <w:r>
              <w:rPr>
                <w:sz w:val="20"/>
                <w:szCs w:val="20"/>
              </w:rPr>
              <w:t xml:space="preserve">     </w:t>
            </w:r>
            <w:r w:rsidR="005331B9" w:rsidRPr="006B251F">
              <w:rPr>
                <w:sz w:val="20"/>
                <w:szCs w:val="20"/>
              </w:rPr>
              <w:t xml:space="preserve">Pasividad fatalista en donde la queja y la resignación actúan como mecanismos de defensa ante la frustración que les genera su situación. </w:t>
            </w:r>
          </w:p>
          <w:p w:rsidR="005331B9" w:rsidRPr="006B251F" w:rsidRDefault="00245238" w:rsidP="006B251F">
            <w:pPr>
              <w:pStyle w:val="NoSpacing"/>
              <w:rPr>
                <w:sz w:val="20"/>
                <w:szCs w:val="20"/>
              </w:rPr>
            </w:pPr>
            <w:r>
              <w:rPr>
                <w:sz w:val="20"/>
                <w:szCs w:val="20"/>
              </w:rPr>
              <w:t xml:space="preserve">      </w:t>
            </w:r>
            <w:r w:rsidR="005331B9" w:rsidRPr="006B251F">
              <w:rPr>
                <w:sz w:val="20"/>
                <w:szCs w:val="20"/>
              </w:rPr>
              <w:t xml:space="preserve">El cambio tiene que venir desde fuera (medios de comunicación, instituciones del Estado). No se ven capaces de articular ellos mismos un cambio, ni de forma individual ni de manera colectiva. </w:t>
            </w:r>
          </w:p>
          <w:p w:rsidR="007536DF" w:rsidRPr="00245238" w:rsidRDefault="005331B9" w:rsidP="00245238">
            <w:pPr>
              <w:pStyle w:val="NoSpacing"/>
              <w:rPr>
                <w:sz w:val="20"/>
                <w:szCs w:val="20"/>
              </w:rPr>
            </w:pPr>
            <w:r w:rsidRPr="006B251F">
              <w:rPr>
                <w:sz w:val="20"/>
                <w:szCs w:val="20"/>
              </w:rPr>
              <w:t>-La concepción de las asociaciones es asistencial</w:t>
            </w:r>
            <w:r w:rsidR="00245238">
              <w:rPr>
                <w:sz w:val="20"/>
                <w:szCs w:val="20"/>
              </w:rPr>
              <w:t>ista y el migrante se ve a sí mismo como un receptor de ayudas.</w:t>
            </w:r>
          </w:p>
        </w:tc>
      </w:tr>
      <w:tr w:rsidR="007536DF" w:rsidTr="00AA4F4B">
        <w:tc>
          <w:tcPr>
            <w:tcW w:w="3895" w:type="dxa"/>
          </w:tcPr>
          <w:p w:rsidR="007536DF" w:rsidRDefault="006B251F" w:rsidP="006B251F">
            <w:pPr>
              <w:spacing w:line="360" w:lineRule="auto"/>
              <w:jc w:val="center"/>
              <w:rPr>
                <w:rFonts w:cs="Times New Roman"/>
                <w:sz w:val="20"/>
                <w:szCs w:val="20"/>
              </w:rPr>
            </w:pPr>
            <w:r>
              <w:rPr>
                <w:rFonts w:eastAsia="Arial" w:cs="Times New Roman"/>
                <w:b/>
                <w:sz w:val="20"/>
                <w:szCs w:val="20"/>
              </w:rPr>
              <w:t>GRUPO V</w:t>
            </w:r>
          </w:p>
          <w:p w:rsidR="006B251F" w:rsidRDefault="001858AB" w:rsidP="006B251F">
            <w:pPr>
              <w:pStyle w:val="NoSpacing"/>
              <w:numPr>
                <w:ilvl w:val="0"/>
                <w:numId w:val="15"/>
              </w:numPr>
              <w:rPr>
                <w:sz w:val="20"/>
                <w:szCs w:val="20"/>
              </w:rPr>
            </w:pPr>
            <w:r w:rsidRPr="006B251F">
              <w:rPr>
                <w:b/>
                <w:sz w:val="20"/>
                <w:szCs w:val="20"/>
              </w:rPr>
              <w:t>Asimilacionista</w:t>
            </w:r>
          </w:p>
          <w:p w:rsidR="001858AB" w:rsidRPr="006B251F" w:rsidRDefault="001858AB" w:rsidP="006B251F">
            <w:pPr>
              <w:pStyle w:val="NoSpacing"/>
              <w:rPr>
                <w:sz w:val="20"/>
                <w:szCs w:val="20"/>
              </w:rPr>
            </w:pPr>
            <w:r w:rsidRPr="006B251F">
              <w:rPr>
                <w:sz w:val="20"/>
                <w:szCs w:val="20"/>
              </w:rPr>
              <w:lastRenderedPageBreak/>
              <w:t xml:space="preserve"> Se alía con el poder y acepta el estigma como modo de ser</w:t>
            </w:r>
            <w:r>
              <w:t xml:space="preserve"> </w:t>
            </w:r>
            <w:r w:rsidRPr="006B251F">
              <w:rPr>
                <w:sz w:val="20"/>
                <w:szCs w:val="20"/>
              </w:rPr>
              <w:t>integrado. Esta posición no ve las discriminaciones como ejemplo de islamofobia, aunque dichas discriminaciones se padezcan.</w:t>
            </w:r>
          </w:p>
          <w:p w:rsidR="006B251F" w:rsidRPr="006B251F" w:rsidRDefault="006B251F" w:rsidP="006B251F">
            <w:pPr>
              <w:pStyle w:val="NoSpacing"/>
              <w:rPr>
                <w:sz w:val="20"/>
                <w:szCs w:val="20"/>
              </w:rPr>
            </w:pPr>
          </w:p>
          <w:p w:rsidR="006B251F" w:rsidRDefault="006B251F" w:rsidP="006B251F">
            <w:pPr>
              <w:pStyle w:val="NoSpacing"/>
              <w:numPr>
                <w:ilvl w:val="0"/>
                <w:numId w:val="15"/>
              </w:numPr>
              <w:rPr>
                <w:rFonts w:cs="Times New Roman"/>
                <w:sz w:val="20"/>
                <w:szCs w:val="20"/>
              </w:rPr>
            </w:pPr>
            <w:r>
              <w:rPr>
                <w:rFonts w:cs="Times New Roman"/>
                <w:b/>
                <w:sz w:val="20"/>
                <w:szCs w:val="20"/>
              </w:rPr>
              <w:t>Ciudadanía liberal</w:t>
            </w:r>
            <w:r w:rsidR="001858AB">
              <w:rPr>
                <w:rFonts w:cs="Times New Roman"/>
                <w:sz w:val="20"/>
                <w:szCs w:val="20"/>
              </w:rPr>
              <w:t xml:space="preserve"> </w:t>
            </w:r>
          </w:p>
          <w:p w:rsidR="001858AB" w:rsidRDefault="001858AB" w:rsidP="006B251F">
            <w:pPr>
              <w:pStyle w:val="NoSpacing"/>
              <w:rPr>
                <w:rFonts w:cs="Times New Roman"/>
                <w:sz w:val="20"/>
                <w:szCs w:val="20"/>
              </w:rPr>
            </w:pPr>
            <w:r>
              <w:rPr>
                <w:rFonts w:cs="Times New Roman"/>
                <w:sz w:val="20"/>
                <w:szCs w:val="20"/>
              </w:rPr>
              <w:t>Cree en la acción como modo de cambio social, pero opera fundamentalmente desde el cambio individual y su impacto en personas concretas.</w:t>
            </w:r>
          </w:p>
          <w:p w:rsidR="006B251F" w:rsidRDefault="001858AB" w:rsidP="006B251F">
            <w:pPr>
              <w:pStyle w:val="NoSpacing"/>
              <w:numPr>
                <w:ilvl w:val="0"/>
                <w:numId w:val="15"/>
              </w:numPr>
              <w:rPr>
                <w:rFonts w:cs="Times New Roman"/>
                <w:sz w:val="20"/>
                <w:szCs w:val="20"/>
              </w:rPr>
            </w:pPr>
            <w:r w:rsidRPr="001858AB">
              <w:rPr>
                <w:rFonts w:cs="Times New Roman"/>
                <w:b/>
                <w:sz w:val="20"/>
                <w:szCs w:val="20"/>
              </w:rPr>
              <w:t>Su</w:t>
            </w:r>
            <w:r w:rsidR="00245238">
              <w:rPr>
                <w:rFonts w:cs="Times New Roman"/>
                <w:b/>
                <w:sz w:val="20"/>
                <w:szCs w:val="20"/>
              </w:rPr>
              <w:t>balternidad resignado fatalista</w:t>
            </w:r>
          </w:p>
          <w:p w:rsidR="001858AB" w:rsidRPr="007536DF" w:rsidRDefault="00245238" w:rsidP="006B251F">
            <w:pPr>
              <w:pStyle w:val="NoSpacing"/>
              <w:rPr>
                <w:rFonts w:cs="Times New Roman"/>
                <w:sz w:val="20"/>
                <w:szCs w:val="20"/>
              </w:rPr>
            </w:pPr>
            <w:r>
              <w:rPr>
                <w:rFonts w:cs="Times New Roman"/>
                <w:sz w:val="20"/>
                <w:szCs w:val="20"/>
              </w:rPr>
              <w:t xml:space="preserve">     </w:t>
            </w:r>
            <w:r w:rsidR="001858AB">
              <w:rPr>
                <w:rFonts w:cs="Times New Roman"/>
                <w:sz w:val="20"/>
                <w:szCs w:val="20"/>
              </w:rPr>
              <w:t>Posición caracterizada por una fatalidad ante las circunstancias que operan en contra</w:t>
            </w:r>
            <w:r>
              <w:rPr>
                <w:rFonts w:cs="Times New Roman"/>
                <w:sz w:val="20"/>
                <w:szCs w:val="20"/>
              </w:rPr>
              <w:t xml:space="preserve"> en el seno de la sociedad. </w:t>
            </w:r>
            <w:r w:rsidR="001858AB">
              <w:rPr>
                <w:rFonts w:cs="Times New Roman"/>
                <w:sz w:val="20"/>
                <w:szCs w:val="20"/>
              </w:rPr>
              <w:t>Ante la frustra</w:t>
            </w:r>
            <w:r>
              <w:rPr>
                <w:rFonts w:cs="Times New Roman"/>
                <w:sz w:val="20"/>
                <w:szCs w:val="20"/>
              </w:rPr>
              <w:t>ción que ello produce, se responde desde</w:t>
            </w:r>
            <w:r w:rsidR="001858AB">
              <w:rPr>
                <w:rFonts w:cs="Times New Roman"/>
                <w:sz w:val="20"/>
                <w:szCs w:val="20"/>
              </w:rPr>
              <w:t xml:space="preserve"> la crítica o la queja. Dichas actitudes absorben la energía para ver modos desde los cuales se puede llevar a cabo el cambio. La acción colectiva como modo de cambiar la realidad cotidiana no es contemplada como una opción. </w:t>
            </w:r>
          </w:p>
          <w:p w:rsidR="007536DF" w:rsidRPr="00D81922" w:rsidRDefault="007536DF" w:rsidP="005209AE">
            <w:pPr>
              <w:pStyle w:val="ListParagraph"/>
              <w:spacing w:line="360" w:lineRule="auto"/>
              <w:rPr>
                <w:rFonts w:eastAsia="Arial" w:cs="Times New Roman"/>
                <w:sz w:val="20"/>
                <w:szCs w:val="20"/>
              </w:rPr>
            </w:pPr>
          </w:p>
          <w:p w:rsidR="007536DF" w:rsidRPr="00D81922" w:rsidRDefault="007536DF" w:rsidP="005209AE">
            <w:pPr>
              <w:pStyle w:val="ListParagraph"/>
              <w:spacing w:line="360" w:lineRule="auto"/>
              <w:rPr>
                <w:rFonts w:eastAsia="Arial" w:cs="Times New Roman"/>
                <w:sz w:val="20"/>
                <w:szCs w:val="20"/>
              </w:rPr>
            </w:pPr>
          </w:p>
          <w:p w:rsidR="007536DF" w:rsidRPr="00D81922" w:rsidRDefault="007536DF" w:rsidP="005209AE">
            <w:pPr>
              <w:pStyle w:val="ListParagraph"/>
              <w:spacing w:line="360" w:lineRule="auto"/>
              <w:rPr>
                <w:rFonts w:cs="Times New Roman"/>
                <w:sz w:val="20"/>
                <w:szCs w:val="20"/>
              </w:rPr>
            </w:pPr>
          </w:p>
        </w:tc>
        <w:tc>
          <w:tcPr>
            <w:tcW w:w="4341" w:type="dxa"/>
          </w:tcPr>
          <w:p w:rsidR="007536DF" w:rsidRPr="00F83200" w:rsidRDefault="007536DF" w:rsidP="00F83200">
            <w:pPr>
              <w:spacing w:line="360" w:lineRule="auto"/>
              <w:jc w:val="center"/>
              <w:rPr>
                <w:rFonts w:cs="Times New Roman"/>
                <w:sz w:val="20"/>
                <w:szCs w:val="20"/>
              </w:rPr>
            </w:pPr>
            <w:r w:rsidRPr="00D81922">
              <w:rPr>
                <w:rFonts w:eastAsia="Arial" w:cs="Times New Roman"/>
                <w:b/>
                <w:sz w:val="20"/>
                <w:szCs w:val="20"/>
              </w:rPr>
              <w:lastRenderedPageBreak/>
              <w:t>GRUPO VI</w:t>
            </w:r>
          </w:p>
          <w:p w:rsidR="00F83200" w:rsidRPr="00F83200" w:rsidRDefault="00F83200" w:rsidP="00F83200">
            <w:pPr>
              <w:pStyle w:val="NoSpacing"/>
              <w:numPr>
                <w:ilvl w:val="0"/>
                <w:numId w:val="15"/>
              </w:numPr>
              <w:rPr>
                <w:b/>
                <w:sz w:val="20"/>
                <w:szCs w:val="20"/>
                <w:u w:val="single"/>
              </w:rPr>
            </w:pPr>
            <w:r w:rsidRPr="00F83200">
              <w:rPr>
                <w:b/>
                <w:sz w:val="20"/>
                <w:szCs w:val="20"/>
              </w:rPr>
              <w:t xml:space="preserve">Asimilacionismo </w:t>
            </w:r>
          </w:p>
          <w:p w:rsidR="00F83200" w:rsidRPr="00F83200" w:rsidRDefault="00245238" w:rsidP="00F83200">
            <w:pPr>
              <w:pStyle w:val="NoSpacing"/>
              <w:rPr>
                <w:sz w:val="20"/>
                <w:szCs w:val="20"/>
              </w:rPr>
            </w:pPr>
            <w:r>
              <w:rPr>
                <w:sz w:val="20"/>
                <w:szCs w:val="20"/>
              </w:rPr>
              <w:lastRenderedPageBreak/>
              <w:t xml:space="preserve">      </w:t>
            </w:r>
            <w:r w:rsidR="00F83200" w:rsidRPr="00F83200">
              <w:rPr>
                <w:sz w:val="20"/>
                <w:szCs w:val="20"/>
              </w:rPr>
              <w:t xml:space="preserve">Dicen no haber tenido ningún problema de discriminación y asumen el estigma de la “mala imagen”. </w:t>
            </w:r>
          </w:p>
          <w:p w:rsidR="00F83200" w:rsidRPr="00F83200" w:rsidRDefault="00245238" w:rsidP="00F83200">
            <w:pPr>
              <w:pStyle w:val="NoSpacing"/>
              <w:rPr>
                <w:sz w:val="20"/>
                <w:szCs w:val="20"/>
              </w:rPr>
            </w:pPr>
            <w:r>
              <w:rPr>
                <w:sz w:val="20"/>
                <w:szCs w:val="20"/>
              </w:rPr>
              <w:t xml:space="preserve">      </w:t>
            </w:r>
            <w:r w:rsidR="00F83200" w:rsidRPr="00F83200">
              <w:rPr>
                <w:sz w:val="20"/>
                <w:szCs w:val="20"/>
              </w:rPr>
              <w:t xml:space="preserve">Al hablar de la labor de las mezquitas creen que se debería hablar en castellano por defecto o en ambos, pero no creen en el árabe como lengua vehicular. </w:t>
            </w:r>
            <w:r>
              <w:rPr>
                <w:sz w:val="20"/>
                <w:szCs w:val="20"/>
              </w:rPr>
              <w:t>La musulmaneidad es el único elemento étnico cultural que se quiere mantener en la diáspora.</w:t>
            </w:r>
          </w:p>
          <w:p w:rsidR="00F83200" w:rsidRPr="00F83200" w:rsidRDefault="00F83200" w:rsidP="00F83200">
            <w:pPr>
              <w:pStyle w:val="NoSpacing"/>
              <w:rPr>
                <w:sz w:val="20"/>
                <w:szCs w:val="20"/>
              </w:rPr>
            </w:pPr>
          </w:p>
          <w:p w:rsidR="00F83200" w:rsidRPr="00F83200" w:rsidRDefault="00F83200" w:rsidP="00F83200">
            <w:pPr>
              <w:pStyle w:val="NoSpacing"/>
              <w:numPr>
                <w:ilvl w:val="0"/>
                <w:numId w:val="15"/>
              </w:numPr>
              <w:rPr>
                <w:b/>
                <w:sz w:val="20"/>
                <w:szCs w:val="20"/>
              </w:rPr>
            </w:pPr>
            <w:r w:rsidRPr="00F83200">
              <w:rPr>
                <w:b/>
                <w:sz w:val="20"/>
                <w:szCs w:val="20"/>
              </w:rPr>
              <w:t>Ciudadana liberal</w:t>
            </w:r>
          </w:p>
          <w:p w:rsidR="00F83200" w:rsidRPr="00F83200" w:rsidRDefault="00F83200" w:rsidP="00F83200">
            <w:pPr>
              <w:pStyle w:val="NoSpacing"/>
              <w:rPr>
                <w:sz w:val="20"/>
                <w:szCs w:val="20"/>
              </w:rPr>
            </w:pPr>
            <w:r w:rsidRPr="00F83200">
              <w:rPr>
                <w:sz w:val="20"/>
                <w:szCs w:val="20"/>
              </w:rPr>
              <w:t>-Sustentada por quienes son españolas de nacionalidad y nacimiento</w:t>
            </w:r>
            <w:r w:rsidR="00245238">
              <w:rPr>
                <w:sz w:val="20"/>
                <w:szCs w:val="20"/>
              </w:rPr>
              <w:t>.</w:t>
            </w:r>
            <w:r w:rsidRPr="00F83200">
              <w:rPr>
                <w:sz w:val="20"/>
                <w:szCs w:val="20"/>
              </w:rPr>
              <w:t xml:space="preserve"> </w:t>
            </w:r>
          </w:p>
          <w:p w:rsidR="00F83200" w:rsidRPr="00F83200" w:rsidRDefault="00F83200" w:rsidP="00F83200">
            <w:pPr>
              <w:pStyle w:val="NoSpacing"/>
              <w:rPr>
                <w:sz w:val="20"/>
                <w:szCs w:val="20"/>
              </w:rPr>
            </w:pPr>
            <w:r w:rsidRPr="00F83200">
              <w:rPr>
                <w:sz w:val="20"/>
                <w:szCs w:val="20"/>
              </w:rPr>
              <w:t>-Creen en el cambio, pero es visto como uno de actitud personal, no como una acción colectiva</w:t>
            </w:r>
            <w:r>
              <w:rPr>
                <w:sz w:val="20"/>
                <w:szCs w:val="20"/>
              </w:rPr>
              <w:t>.</w:t>
            </w:r>
          </w:p>
          <w:p w:rsidR="007536DF" w:rsidRPr="00D81922" w:rsidRDefault="007536DF" w:rsidP="005209AE">
            <w:pPr>
              <w:spacing w:line="360" w:lineRule="auto"/>
              <w:ind w:left="360"/>
              <w:rPr>
                <w:rFonts w:cs="Times New Roman"/>
                <w:sz w:val="20"/>
                <w:szCs w:val="20"/>
              </w:rPr>
            </w:pPr>
          </w:p>
          <w:p w:rsidR="007536DF" w:rsidRPr="00D81922" w:rsidRDefault="007536DF" w:rsidP="005209AE">
            <w:pPr>
              <w:tabs>
                <w:tab w:val="right" w:pos="4125"/>
              </w:tabs>
              <w:spacing w:line="360" w:lineRule="auto"/>
              <w:ind w:left="360"/>
              <w:rPr>
                <w:rFonts w:cs="Times New Roman"/>
                <w:sz w:val="20"/>
                <w:szCs w:val="20"/>
              </w:rPr>
            </w:pPr>
          </w:p>
        </w:tc>
      </w:tr>
    </w:tbl>
    <w:p w:rsidR="00BA60B1" w:rsidRDefault="00BA60B1">
      <w:pPr>
        <w:rPr>
          <w:i/>
        </w:rPr>
      </w:pPr>
    </w:p>
    <w:p w:rsidR="00013C0B" w:rsidRPr="00013C0B" w:rsidRDefault="009B4E2D">
      <w:pPr>
        <w:rPr>
          <w:b/>
        </w:rPr>
      </w:pPr>
      <w:r>
        <w:rPr>
          <w:b/>
        </w:rPr>
        <w:t>3</w:t>
      </w:r>
      <w:r w:rsidR="00013C0B" w:rsidRPr="00013C0B">
        <w:rPr>
          <w:b/>
        </w:rPr>
        <w:t>.1 Posiciones discursivas entre los marroquíes en la CAM</w:t>
      </w:r>
    </w:p>
    <w:p w:rsidR="00245238" w:rsidRDefault="00490203">
      <w:r>
        <w:t xml:space="preserve">Como se puede apreciar en la </w:t>
      </w:r>
      <w:r w:rsidR="000B0DAE">
        <w:t xml:space="preserve">tabla-resumen que define las posiciones discursivas de los marroquíes participantes en los grupos, </w:t>
      </w:r>
      <w:r w:rsidR="00245238">
        <w:t>prácticamente todas están presentes en cada grupo, con dos excepciones, la fracción de Islam normativo (sólo presente en el G1) y la de ciudadanía liberal (ausente en G1, G2, y G3).</w:t>
      </w:r>
    </w:p>
    <w:p w:rsidR="000B0DAE" w:rsidRDefault="00245238">
      <w:r>
        <w:t>De los resultados extraídos, y como primera lectura, se puede hacer un co</w:t>
      </w:r>
      <w:r w:rsidR="007B3DBF">
        <w:t>mpendio general -que no distingue</w:t>
      </w:r>
      <w:r>
        <w:t xml:space="preserve"> la</w:t>
      </w:r>
      <w:r w:rsidR="0085148A">
        <w:t>s</w:t>
      </w:r>
      <w:r>
        <w:t xml:space="preserve"> modulaciones de cada discurso- </w:t>
      </w:r>
      <w:r w:rsidR="0085148A">
        <w:t xml:space="preserve">en donde se aprecian las siguientes posiciones discursivas: </w:t>
      </w:r>
    </w:p>
    <w:p w:rsidR="000B0DAE" w:rsidRPr="00235903" w:rsidRDefault="000B0DAE" w:rsidP="00235903">
      <w:pPr>
        <w:pStyle w:val="ListParagraph"/>
        <w:numPr>
          <w:ilvl w:val="0"/>
          <w:numId w:val="15"/>
        </w:numPr>
        <w:rPr>
          <w:b/>
        </w:rPr>
      </w:pPr>
      <w:r w:rsidRPr="00235903">
        <w:rPr>
          <w:b/>
        </w:rPr>
        <w:t>Asimilacionista</w:t>
      </w:r>
    </w:p>
    <w:p w:rsidR="0085148A" w:rsidRDefault="000B0DAE">
      <w:r>
        <w:t xml:space="preserve">Es una tendencia minoritaria, pero </w:t>
      </w:r>
      <w:r w:rsidR="0085148A">
        <w:t xml:space="preserve">su presencia es </w:t>
      </w:r>
      <w:r>
        <w:t xml:space="preserve">constante, </w:t>
      </w:r>
      <w:r w:rsidR="0085148A">
        <w:t xml:space="preserve">pues se encuentra representada en todos los grupos.  </w:t>
      </w:r>
    </w:p>
    <w:p w:rsidR="0085148A" w:rsidRDefault="00B94D8C">
      <w:r>
        <w:t>Pese a ser consciente de su condición subalterna</w:t>
      </w:r>
      <w:r w:rsidR="0085148A">
        <w:t xml:space="preserve">, principalmente, interpretada como una condición de “inmigrante” y “pobre” se tiene tendencia a justificar las discriminaciones que se sufren. Esta “ceguera” no implica que dichas discriminaciones no sean identificadas como tales, que lo son, sino que la estrategia ante un ataque no se encuentra en enfrentarse al poder, sino en aliarse con el mismo; de modo tal que se logran las beneficios </w:t>
      </w:r>
      <w:r w:rsidR="0054285B">
        <w:t xml:space="preserve">que de ello se derive. Por ejemplo, una percepción (subjetiva) de conseguir trabajo con mayor facilidad. </w:t>
      </w:r>
    </w:p>
    <w:p w:rsidR="0054285B" w:rsidRDefault="0054285B">
      <w:r>
        <w:t xml:space="preserve">Desde esta posición las discriminaciones no interpretan como causa principal que la sociedad española es islamófoba, sino en la asunción de los estigmas que sobre ellos vierte </w:t>
      </w:r>
      <w:r>
        <w:lastRenderedPageBreak/>
        <w:t xml:space="preserve">la sociedad, tales como la “mala imagen” que determinados individuos o el terrorismo proyectan de la sociedad marroquí. </w:t>
      </w:r>
    </w:p>
    <w:p w:rsidR="00B94D8C" w:rsidRDefault="00B94D8C">
      <w:r>
        <w:t>Se trata de una posición muy individualista que no ve en lo colectivo un modo de mejorar la situación del conjunto</w:t>
      </w:r>
      <w:r w:rsidR="0054285B">
        <w:t xml:space="preserve">. Sólo se contemplan estrategias de mejoramiento individual, si uno se amolda a los requisitos. El individualismo tan inherente a esta fracción ha conllevado que se tilde a la posición de “asimilación individualista”. Se trata, en realidad, de unos individuos que adoptan unas estrategias que asumen el modo de incorporación deseado por la sociedad receptora. </w:t>
      </w:r>
    </w:p>
    <w:p w:rsidR="00B94D8C" w:rsidRDefault="00B94D8C">
      <w:r>
        <w:t>Desde el punto de vista material, quienes sustentan este discurso pertenecen a</w:t>
      </w:r>
      <w:r w:rsidR="0054285B">
        <w:t>l mismo estrato socio-económico</w:t>
      </w:r>
      <w:r>
        <w:t xml:space="preserve"> aunque</w:t>
      </w:r>
      <w:r w:rsidR="0054285B">
        <w:t>,</w:t>
      </w:r>
      <w:r>
        <w:t xml:space="preserve"> en ocasiones, se establece un discurso de cierta superioridad</w:t>
      </w:r>
      <w:r w:rsidR="004F5FE7">
        <w:t xml:space="preserve"> de clase</w:t>
      </w:r>
      <w:r>
        <w:t>. Un ejemplo lo constituye la mujer que en el grupo 1 presume de haber enviado a su hijo a un colegio concertado.</w:t>
      </w:r>
      <w:r w:rsidR="0054285B">
        <w:t xml:space="preserve"> En la tesis doctoral realizada (Ferreiro, 2011) se detectada en individuos que habían logrado una cierta prosperidad económica con respecto al resto del colectivo. </w:t>
      </w:r>
    </w:p>
    <w:p w:rsidR="00B94D8C" w:rsidRPr="00235903" w:rsidRDefault="004F5FE7" w:rsidP="00235903">
      <w:pPr>
        <w:pStyle w:val="ListParagraph"/>
        <w:numPr>
          <w:ilvl w:val="0"/>
          <w:numId w:val="15"/>
        </w:numPr>
        <w:rPr>
          <w:b/>
        </w:rPr>
      </w:pPr>
      <w:r w:rsidRPr="00235903">
        <w:rPr>
          <w:b/>
        </w:rPr>
        <w:t>Subalternidad paralizante</w:t>
      </w:r>
    </w:p>
    <w:p w:rsidR="0059734A" w:rsidRDefault="0059734A">
      <w:r>
        <w:t>Se ha decidido denominar de este modo</w:t>
      </w:r>
      <w:r w:rsidR="004F5FE7">
        <w:t xml:space="preserve"> a todas las fracciones que aparecen en</w:t>
      </w:r>
      <w:r w:rsidR="007B3DBF">
        <w:t xml:space="preserve"> cada grupo con nombres parecidos. Todas las modulaciones de la facción </w:t>
      </w:r>
      <w:r w:rsidR="004F5FE7">
        <w:t xml:space="preserve">tienen en común la pasividad </w:t>
      </w:r>
      <w:r>
        <w:t xml:space="preserve">y el desempoderamiento </w:t>
      </w:r>
      <w:r w:rsidR="004F5FE7">
        <w:t xml:space="preserve">como estrategia social de incorporación. </w:t>
      </w:r>
    </w:p>
    <w:p w:rsidR="0059734A" w:rsidRDefault="0059734A">
      <w:r>
        <w:t xml:space="preserve">A diferencia de otras fracciones, resulta aquí necesario distinguir las modulaciones del discurso en torno a la variable del género. Común a los hombres y las mujeres es reaccionar con frustración ante su situación y que esta emotividad produzca respuestas que tienen el desempoderamiento como eje central, con la consiguiente pasividad que ello genera a nivel social. No obstante, las formas de expresar la frustración son distintas. Las mujeres tienden a la resignación (“hay que aguantar”)  y al fatalismo (no se puede hacer nada) y, en menor número de ocasiones, al enfado. Por el contrario, las respuestas más comunes entre los hombres son el enfado o la impotencia (rabia vertida hacia dentro) y, en menor medida, la resignación y el fatalismo. </w:t>
      </w:r>
    </w:p>
    <w:p w:rsidR="004F5FE7" w:rsidRPr="00E20A3C" w:rsidRDefault="004F5FE7">
      <w:r>
        <w:t>Este “no verse capaz” de mejorar la situación personal tiene como consecuencia que, menos aún, se vea posible la acción ciudadana para lograr unas condiciones distintas para el colectivo. En ocasiones sí se manifiesta como un deseo estar unidos y se puede hablar de su situación colectiva, pero se hace desde la carencia. Faltan líderes en la comunidad musulmana o no hay suficientes profesionales formados que tengan una representatividad en los medios de comunicación o en las instituciones, tampoco las instituciones españolas hacen nada por m</w:t>
      </w:r>
      <w:r w:rsidR="007B3DBF">
        <w:t>ejorar su situación. Se confiere</w:t>
      </w:r>
      <w:r>
        <w:t xml:space="preserve"> a “otros” la responsabilidad de un cambio social. Se atribuye</w:t>
      </w:r>
      <w:r w:rsidR="0059734A">
        <w:t>n</w:t>
      </w:r>
      <w:r>
        <w:t xml:space="preserve"> causas varias a la discriminación que se sufre desde el racismo de los españoles</w:t>
      </w:r>
      <w:r w:rsidR="0059734A">
        <w:t>,</w:t>
      </w:r>
      <w:r>
        <w:t xml:space="preserve"> a la ignorancia o que los marroquíes no son un buen ejemplo. </w:t>
      </w:r>
      <w:r w:rsidR="00235903">
        <w:t>Lo cierto es que la situación permanente de discriminación</w:t>
      </w:r>
      <w:r w:rsidR="0059734A">
        <w:t xml:space="preserve"> y deprivación material</w:t>
      </w:r>
      <w:r w:rsidR="00235903">
        <w:t xml:space="preserve"> tiene unas consecuencias de desempoderamiento profundo en la población. </w:t>
      </w:r>
      <w:r w:rsidR="0059734A">
        <w:t xml:space="preserve">A diferencia de la fracción asimilacionista, el individualismo no es tan obvio, en el sentido de que no están articulando estrategias personales para mejorar su situación. Sin embargo, se encuentra implícito, pues lo común como categoría </w:t>
      </w:r>
      <w:r w:rsidR="005A5D0D">
        <w:t xml:space="preserve">de pertenencia y definitoria de la identidad, </w:t>
      </w:r>
      <w:r w:rsidR="0059734A">
        <w:t xml:space="preserve">sólo se encuentra como referencia </w:t>
      </w:r>
      <w:r w:rsidR="005A5D0D">
        <w:t xml:space="preserve">cultural (árabes) o religiosa (los musulmanes). Si bien se </w:t>
      </w:r>
      <w:r w:rsidR="005A5D0D">
        <w:lastRenderedPageBreak/>
        <w:t>identifican y, por tanto, se reconocen en tanto que “trabajadores” o “inmigrantes”, no se trata de categorías identitarias desde las cuales movilizar la acción común.</w:t>
      </w:r>
    </w:p>
    <w:p w:rsidR="00235903" w:rsidRPr="00235903" w:rsidRDefault="00235903" w:rsidP="00235903">
      <w:pPr>
        <w:pStyle w:val="ListParagraph"/>
        <w:numPr>
          <w:ilvl w:val="0"/>
          <w:numId w:val="15"/>
        </w:numPr>
        <w:rPr>
          <w:b/>
        </w:rPr>
      </w:pPr>
      <w:r w:rsidRPr="00235903">
        <w:rPr>
          <w:b/>
        </w:rPr>
        <w:t>Ciudadanía liberal</w:t>
      </w:r>
    </w:p>
    <w:p w:rsidR="00235903" w:rsidRDefault="00235903">
      <w:r>
        <w:t>Existe una posición discursiva de marroquíes que se sienten ciudadanos e integrados en la sociedad española y que se encuentra presente</w:t>
      </w:r>
      <w:r w:rsidR="003663E2">
        <w:t xml:space="preserve"> en mayor medida en los grupos </w:t>
      </w:r>
      <w:r>
        <w:t>de mujeres (G3, G5 y G6)  y ausente en hombres y mujeres (G1 y G2) primo-migrantes</w:t>
      </w:r>
      <w:r w:rsidR="003663E2">
        <w:t xml:space="preserve"> y en peor situación de ocupación laboral.</w:t>
      </w:r>
    </w:p>
    <w:p w:rsidR="003663E2" w:rsidRDefault="00235903">
      <w:r>
        <w:t>Si bien</w:t>
      </w:r>
      <w:r w:rsidR="003663E2">
        <w:t>, una perspectiva normativa</w:t>
      </w:r>
      <w:r>
        <w:t xml:space="preserve"> entiende l</w:t>
      </w:r>
      <w:r w:rsidR="003663E2">
        <w:t>a inclusión de los ciudadanos a</w:t>
      </w:r>
      <w:r>
        <w:t xml:space="preserve"> la sociedad a la qu</w:t>
      </w:r>
      <w:r w:rsidR="003663E2">
        <w:t xml:space="preserve">e </w:t>
      </w:r>
      <w:r w:rsidR="007B3DBF">
        <w:t xml:space="preserve">se </w:t>
      </w:r>
      <w:r w:rsidR="003663E2">
        <w:t>pertenece</w:t>
      </w:r>
      <w:r>
        <w:t xml:space="preserve"> como algo positivo, se es consciente de que dicho empoderamiento -el de sentirse miembros con derechos y obliga</w:t>
      </w:r>
      <w:r w:rsidR="003663E2">
        <w:t>ciones de la sociedad</w:t>
      </w:r>
      <w:r>
        <w:t xml:space="preserve">- no está exento de una coloración de pasividad, ya analizada </w:t>
      </w:r>
      <w:r w:rsidR="003663E2">
        <w:t>en el conjunto de la población estudiada.</w:t>
      </w:r>
      <w:r>
        <w:t xml:space="preserve"> Aunque se cree en el cambio social </w:t>
      </w:r>
      <w:r w:rsidR="003663E2">
        <w:t xml:space="preserve">como mecanismo de transformación y en que la agentividad para propulsarlo, se ve de una manera totalmente individual, es decir, como una forma a través de la cual </w:t>
      </w:r>
      <w:r>
        <w:t>una persona, a través de su comportami</w:t>
      </w:r>
      <w:r w:rsidR="003663E2">
        <w:t>ento, puede modificar la opinión</w:t>
      </w:r>
      <w:r>
        <w:t xml:space="preserve"> de otro ser humano. Se tilda de libe</w:t>
      </w:r>
      <w:r w:rsidR="003663E2">
        <w:t xml:space="preserve">ral, pues la aproximación de cambio toma al individuo como referencia. Puede existir y, de hecho, hay una visión de las necesidades del grupo como colectivo concreto y formas colectivas a través de las cuales se puede mejorar (instituciones, asociaciones, etc), pero esa predisposición a la acción colectiva no cristaliza. Aunque en el G4 había dos personas que militaban o eran simpatizantes de dos asociaciones (de Jóvenes Musulmanes y Achime, respectivamente), los temas de organización colectiva siempre han salido a instancias de los moderadores respectivos. Como bien se sabe cuándo se utiliza la técnica del grupo de discusión, lo que no sale en un grupo no se encuentra en el imaginario colectivo. Cabe añadir, que la selección de los individuos que la empresa realiza a través de las asociaciones existentes repercute en la sobre-representación del asociacionismo. </w:t>
      </w:r>
      <w:r w:rsidR="00B67C7F">
        <w:t xml:space="preserve">En pocas palabras, el asociacionismo es muy escaso y el poco que se ve, probablemente, viene determinado por la forma de selección de los participantes. </w:t>
      </w:r>
    </w:p>
    <w:p w:rsidR="00013C0B" w:rsidRDefault="00B67C7F">
      <w:r>
        <w:t>Aún con todo, tanto Jóvenes Musulmanes de España o Achime suelen ser asociaciones que reaccionan a acontecimientos. Esto es, se encuentran disponibles para los medios cuando estos lo desean o, en el caso de Achime, defiende los derechos de las mujeres con hiyab. Sin embargo, no hay un enfoque activo hacia la sociedad, sino que es más bien reactivo. En estos dos casos,  la categoría en torno a la cual se produce la acción</w:t>
      </w:r>
      <w:r w:rsidR="007B3DBF">
        <w:t xml:space="preserve"> colectiva es el Islam. </w:t>
      </w:r>
    </w:p>
    <w:p w:rsidR="00235903" w:rsidRPr="00013C0B" w:rsidRDefault="009B4E2D">
      <w:pPr>
        <w:rPr>
          <w:b/>
        </w:rPr>
      </w:pPr>
      <w:r>
        <w:rPr>
          <w:b/>
        </w:rPr>
        <w:t>3</w:t>
      </w:r>
      <w:r w:rsidR="00B67C7F">
        <w:rPr>
          <w:b/>
        </w:rPr>
        <w:t>.2 La interrelación entre clase y</w:t>
      </w:r>
      <w:r w:rsidR="00013C0B" w:rsidRPr="00013C0B">
        <w:rPr>
          <w:b/>
        </w:rPr>
        <w:t xml:space="preserve"> etnicidad</w:t>
      </w:r>
    </w:p>
    <w:p w:rsidR="00C80D39" w:rsidRDefault="000B0DAE">
      <w:r>
        <w:t>Se comparte con Paerregaard (2010)</w:t>
      </w:r>
      <w:r w:rsidR="00C750F3">
        <w:t xml:space="preserve"> que no se puede hablar de diáspora</w:t>
      </w:r>
      <w:r w:rsidR="00B67C7F">
        <w:t xml:space="preserve"> y aplicar el término de manera</w:t>
      </w:r>
      <w:r w:rsidR="007B3DBF">
        <w:t xml:space="preserve"> homogénea a toda una comunidad</w:t>
      </w:r>
      <w:r w:rsidR="00B67C7F">
        <w:t xml:space="preserve"> como si fuera válido para todo el mundo, pues las diferencias intra-comunitarias son muy notables. Analíticamente es más pertinente es distinguir qué grupos sustentan qué estrategias de incorporación en el seno de cada comunidad étnica. </w:t>
      </w:r>
      <w:r>
        <w:t xml:space="preserve">El trabajo de Paerregard </w:t>
      </w:r>
      <w:r w:rsidR="00C80D39">
        <w:t>sobre las comunidades peruanas en el extranjero concluye que sólo pueden ser consideradas como diásporas las clases medias-altas y altas que establecen vínculos de tipo profesional</w:t>
      </w:r>
    </w:p>
    <w:p w:rsidR="00C750F3" w:rsidRPr="00D84E5B" w:rsidRDefault="00C80D39">
      <w:r>
        <w:t>Bumsoo (2008) no trabaja con la categoría de diáspora y, por tanto, no está interesada en determina</w:t>
      </w:r>
      <w:r w:rsidR="007B3DBF">
        <w:t xml:space="preserve">r las cualidades de ésta, sino </w:t>
      </w:r>
      <w:r>
        <w:t xml:space="preserve">en ver la evolución que la clase ha tenido en la </w:t>
      </w:r>
      <w:r>
        <w:lastRenderedPageBreak/>
        <w:t xml:space="preserve">comunidad de koreanos en Japón. Señala que la importancia de ésta ha variado con el paso del tiempo. Si en los años 60, la discriminación étnica no podía diferenciarse de la de clase, en un tándem de reforzamiento mutuo, en la década de los 90 la clase comienza a independizarse de la etnicidad con la aparición de un nuevo grupo social formado por koreanos ricos. </w:t>
      </w:r>
      <w:r w:rsidR="00C750F3">
        <w:t>Mi propia tesis (Ferreiro, 2011)</w:t>
      </w:r>
      <w:r w:rsidR="00D84E5B">
        <w:t xml:space="preserve"> incide</w:t>
      </w:r>
      <w:r w:rsidR="00C750F3">
        <w:t xml:space="preserve"> en la clase como un elemento fundamental a la hora de incorporarse de un modo u otro a la sociedad de acogida y apunta que la escasa clase media marroquí</w:t>
      </w:r>
      <w:r>
        <w:t xml:space="preserve"> en </w:t>
      </w:r>
      <w:r w:rsidR="00D84E5B">
        <w:t>la CAM se encuentra más abierta a hacer concesiones,</w:t>
      </w:r>
      <w:r w:rsidR="00C750F3">
        <w:t xml:space="preserve"> encuentra menores dificultades y mucha menos discriminac</w:t>
      </w:r>
      <w:r>
        <w:t>ión por parte de la sociedad.</w:t>
      </w:r>
    </w:p>
    <w:p w:rsidR="00384515" w:rsidRDefault="00C80D39">
      <w:r>
        <w:t>En la investigación presentada en este trabajo</w:t>
      </w:r>
      <w:r w:rsidR="00D84E5B">
        <w:t xml:space="preserve"> todo el mundo es de clase trabajadora</w:t>
      </w:r>
      <w:r>
        <w:t xml:space="preserve">. Por tanto, no se puede analizar dicha variable como independiente. </w:t>
      </w:r>
      <w:r w:rsidR="00384515">
        <w:t>Sin embargo, hay datos que apuntan que la falta de acción cívica y la pasividad de</w:t>
      </w:r>
      <w:r w:rsidR="00D84E5B">
        <w:t xml:space="preserve"> esperar</w:t>
      </w:r>
      <w:r w:rsidR="00384515">
        <w:t xml:space="preserve"> que sea la</w:t>
      </w:r>
      <w:r w:rsidR="00D84E5B">
        <w:t xml:space="preserve"> “gente formada” o los profesionales quienes mejoren su situación apuntan, claramente, en la dirección de la clase como categoría clave para explic</w:t>
      </w:r>
      <w:r w:rsidR="00384515">
        <w:t xml:space="preserve">ar la falta de acción cívica. Si a ello se suma, la extendida pasividad y desempoderamiento que se produce como resultado de las discriminaciones a las que se ven sometidos, </w:t>
      </w:r>
      <w:r w:rsidR="007B3DBF">
        <w:t xml:space="preserve">además de su deprivación material, </w:t>
      </w:r>
      <w:r w:rsidR="00384515">
        <w:t xml:space="preserve">resulta factible concluir que las condiciones materiales de pobreza, precariedad y incertidumbre son un impedimento que inhibe la organización comunitaria y, por tanto, que el grupo étnico pueda ser identificado como una diáspora. </w:t>
      </w:r>
    </w:p>
    <w:p w:rsidR="00013C0B" w:rsidRDefault="00D84E5B">
      <w:r>
        <w:t>De hecho, en los grupos del mismo estrato social pero que han tenido la oportunidad de estudiar hay una perc</w:t>
      </w:r>
      <w:r w:rsidR="00235903">
        <w:t>epción</w:t>
      </w:r>
      <w:r>
        <w:t xml:space="preserve"> de mejora de estatus y es ahí donde se habla de asociacionismo o resistencia, si bien siempre desd</w:t>
      </w:r>
      <w:r w:rsidR="00384515">
        <w:t>e un posicionamiento individual, mencionado en la sección anterior.</w:t>
      </w:r>
      <w:r>
        <w:t xml:space="preserve"> </w:t>
      </w:r>
      <w:r w:rsidR="00013C0B">
        <w:t>Dicho posicionamiento individual corrobora el e</w:t>
      </w:r>
      <w:r w:rsidR="00384515">
        <w:t>lemento ideológico que se baraja</w:t>
      </w:r>
      <w:r w:rsidR="00013C0B">
        <w:t xml:space="preserve"> como hipótesis del</w:t>
      </w:r>
      <w:r w:rsidR="00384515">
        <w:t xml:space="preserve"> presente</w:t>
      </w:r>
      <w:r w:rsidR="00013C0B">
        <w:t xml:space="preserve"> trabajo. Desde el punto de vista material, las graves car</w:t>
      </w:r>
      <w:r w:rsidR="00384515">
        <w:t xml:space="preserve">encias que todos ellos sufren </w:t>
      </w:r>
      <w:r w:rsidR="00013C0B">
        <w:t>tiene como consecuencia mayoritaria una resignación que desempoder</w:t>
      </w:r>
      <w:r w:rsidR="00384515">
        <w:t>a o, en los casos más orientados a la acción</w:t>
      </w:r>
      <w:r w:rsidR="00013C0B">
        <w:t xml:space="preserve">, un empoderamiento individual para lograr beneficios </w:t>
      </w:r>
      <w:r w:rsidR="00384515">
        <w:t>individuales.</w:t>
      </w:r>
    </w:p>
    <w:p w:rsidR="007536DF" w:rsidRPr="005A562D" w:rsidRDefault="003D3521" w:rsidP="005A562D">
      <w:pPr>
        <w:pStyle w:val="ListParagraph"/>
        <w:numPr>
          <w:ilvl w:val="0"/>
          <w:numId w:val="25"/>
        </w:numPr>
        <w:rPr>
          <w:b/>
        </w:rPr>
      </w:pPr>
      <w:r w:rsidRPr="005A562D">
        <w:rPr>
          <w:b/>
        </w:rPr>
        <w:t>CONCLUSIONES</w:t>
      </w:r>
    </w:p>
    <w:p w:rsidR="006427D3" w:rsidRDefault="00384515">
      <w:r w:rsidRPr="00384515">
        <w:t xml:space="preserve">El trabajo realizado muestra que </w:t>
      </w:r>
      <w:r w:rsidR="006427D3">
        <w:t xml:space="preserve">la combinación entre la </w:t>
      </w:r>
      <w:r w:rsidRPr="00384515">
        <w:t>pobreza y</w:t>
      </w:r>
      <w:r w:rsidR="006427D3">
        <w:t xml:space="preserve"> el</w:t>
      </w:r>
      <w:r w:rsidRPr="00384515">
        <w:t xml:space="preserve"> </w:t>
      </w:r>
      <w:r w:rsidR="006427D3">
        <w:t>(</w:t>
      </w:r>
      <w:r w:rsidRPr="00384515">
        <w:t>neo</w:t>
      </w:r>
      <w:r w:rsidR="006427D3">
        <w:t xml:space="preserve">) </w:t>
      </w:r>
      <w:r w:rsidRPr="00384515">
        <w:t>liberalismo impiden que se forme una di</w:t>
      </w:r>
      <w:r>
        <w:t xml:space="preserve">áspora. En realidad, </w:t>
      </w:r>
      <w:r w:rsidR="006427D3">
        <w:t xml:space="preserve">no sólo inhibe la formación de un grupo diaspórico que pueda ser denominado como tal, sino que inhibe prácticamente cualquier acción colectiva orientada a la consecución de objetivos como grupo. </w:t>
      </w:r>
    </w:p>
    <w:p w:rsidR="009B4E2D" w:rsidRDefault="006427D3">
      <w:r>
        <w:t>Si bien, no se pretende hacer unas conclusiones de tipo normativo en donde ser una “diáspora” sea algo bueno por definición y la acción colectiva, “lo adecuado” para lograr cambios sociales, resulta pertinente pensar si el modelo que se está construyendo con los marroquíes en la CAM es el más adecuado para construir una sociedad con cierto grado de cohesión social. Actualmente, se trata de una comunidad formada por personas atomi</w:t>
      </w:r>
      <w:r w:rsidR="009B4E2D">
        <w:t>zadas y desmpoderadas</w:t>
      </w:r>
      <w:r>
        <w:t xml:space="preserve"> con una sociedad que les discrimina. Cabe preguntarse si se trata de la mejor manera que, como sociedad, tenemos para incorporar</w:t>
      </w:r>
      <w:r w:rsidR="00A643F6">
        <w:t xml:space="preserve"> </w:t>
      </w:r>
      <w:r>
        <w:t xml:space="preserve">a los primo-migrantes y </w:t>
      </w:r>
      <w:r w:rsidR="007B3DBF">
        <w:t xml:space="preserve">a </w:t>
      </w:r>
      <w:r>
        <w:t xml:space="preserve">sus hijos. </w:t>
      </w:r>
      <w:r w:rsidR="00A643F6">
        <w:t xml:space="preserve">Como mínimo, se pierde el potencial humano en sentido más </w:t>
      </w:r>
      <w:r w:rsidR="005A562D">
        <w:t>amplio (no sólo laboral) de unas personas</w:t>
      </w:r>
      <w:r w:rsidR="00A643F6">
        <w:t xml:space="preserve"> cuya brillan</w:t>
      </w:r>
      <w:r w:rsidR="005A562D">
        <w:t xml:space="preserve">tez nunca se llegará a conocer. Pero, de forma más importante, se dificulta la integración y con ello se alimenta la islamofobia. </w:t>
      </w:r>
    </w:p>
    <w:p w:rsidR="004757F3" w:rsidRPr="000E5F21" w:rsidRDefault="004757F3">
      <w:pPr>
        <w:rPr>
          <w:b/>
        </w:rPr>
      </w:pPr>
    </w:p>
    <w:p w:rsidR="005714AC" w:rsidRPr="005A562D" w:rsidRDefault="008B7A9C" w:rsidP="005A562D">
      <w:pPr>
        <w:pStyle w:val="ListParagraph"/>
        <w:numPr>
          <w:ilvl w:val="0"/>
          <w:numId w:val="25"/>
        </w:numPr>
        <w:rPr>
          <w:b/>
          <w:lang w:val="en-US"/>
        </w:rPr>
      </w:pPr>
      <w:r w:rsidRPr="005A562D">
        <w:rPr>
          <w:b/>
          <w:lang w:val="en-US"/>
        </w:rPr>
        <w:lastRenderedPageBreak/>
        <w:t>BIBLIOGRAFÍA</w:t>
      </w:r>
    </w:p>
    <w:p w:rsidR="00D84E5B" w:rsidRDefault="00D84E5B">
      <w:pPr>
        <w:rPr>
          <w:lang w:val="en-US"/>
        </w:rPr>
      </w:pPr>
      <w:r>
        <w:rPr>
          <w:lang w:val="en-US"/>
        </w:rPr>
        <w:t xml:space="preserve">BUMSOO, Kim (2008): “Bringing class back in: the changing basis of inequality and the Korean minority in Japan, </w:t>
      </w:r>
      <w:r w:rsidRPr="00C94257">
        <w:rPr>
          <w:i/>
          <w:lang w:val="en-US"/>
        </w:rPr>
        <w:t>Ethnic and Racial Studies</w:t>
      </w:r>
      <w:r w:rsidR="00C94257">
        <w:rPr>
          <w:lang w:val="en-US"/>
        </w:rPr>
        <w:t xml:space="preserve">, </w:t>
      </w:r>
      <w:r>
        <w:rPr>
          <w:lang w:val="en-US"/>
        </w:rPr>
        <w:t>31:5, pp. 871-</w:t>
      </w:r>
      <w:r w:rsidR="00C94257">
        <w:rPr>
          <w:lang w:val="en-US"/>
        </w:rPr>
        <w:t xml:space="preserve">898. </w:t>
      </w:r>
    </w:p>
    <w:p w:rsidR="00801BEB" w:rsidRPr="000E5F21" w:rsidRDefault="00801BEB">
      <w:r>
        <w:rPr>
          <w:lang w:val="en-US"/>
        </w:rPr>
        <w:t xml:space="preserve">BRUNEAU, Michel (2010):  “Diasporas, transnational spaces and communities” (chapter 2) in: </w:t>
      </w:r>
      <w:r w:rsidRPr="00801BEB">
        <w:rPr>
          <w:lang w:val="en-US"/>
        </w:rPr>
        <w:t xml:space="preserve">BAUBÖCK, R. and FAIST, T. (eds.): </w:t>
      </w:r>
      <w:r w:rsidRPr="00801BEB">
        <w:rPr>
          <w:i/>
          <w:lang w:val="en-US"/>
        </w:rPr>
        <w:t xml:space="preserve">Diaspora and Transnationalism. </w:t>
      </w:r>
      <w:r w:rsidRPr="000E5F21">
        <w:rPr>
          <w:i/>
        </w:rPr>
        <w:t>Concepts, theories</w:t>
      </w:r>
      <w:r w:rsidRPr="000E5F21">
        <w:t xml:space="preserve"> </w:t>
      </w:r>
      <w:r w:rsidRPr="000E5F21">
        <w:rPr>
          <w:i/>
        </w:rPr>
        <w:t>and methods,</w:t>
      </w:r>
      <w:r w:rsidRPr="000E5F21">
        <w:t xml:space="preserve"> Amsterdam: Amsterdam university press, pp. 35-49. </w:t>
      </w:r>
    </w:p>
    <w:p w:rsidR="00A643F6" w:rsidRPr="00A643F6" w:rsidRDefault="00A643F6">
      <w:r w:rsidRPr="00A643F6">
        <w:t>CALDUCH CERVERA, R. (2003): “Cultura y civilizaci</w:t>
      </w:r>
      <w:r>
        <w:t xml:space="preserve">ón en la sociedad internacional”, Iglesia, </w:t>
      </w:r>
      <w:r w:rsidRPr="00A643F6">
        <w:rPr>
          <w:i/>
        </w:rPr>
        <w:t>Estado y sociedad internacional. Libro homenaje a don José Jiménez y Martínez</w:t>
      </w:r>
      <w:r>
        <w:t xml:space="preserve"> </w:t>
      </w:r>
      <w:r w:rsidRPr="00A643F6">
        <w:rPr>
          <w:i/>
        </w:rPr>
        <w:t>de Carbajal</w:t>
      </w:r>
      <w:r>
        <w:t>, Madrid: Editorial San Pablo Ceu, pp. 299-321.</w:t>
      </w:r>
    </w:p>
    <w:p w:rsidR="005714AC" w:rsidRPr="007536DF" w:rsidRDefault="00D81922">
      <w:pPr>
        <w:rPr>
          <w:lang w:val="en-US"/>
        </w:rPr>
      </w:pPr>
      <w:r w:rsidRPr="007536DF">
        <w:rPr>
          <w:lang w:val="en-US"/>
        </w:rPr>
        <w:t>COHEN</w:t>
      </w:r>
      <w:r w:rsidR="0063238A" w:rsidRPr="007536DF">
        <w:rPr>
          <w:lang w:val="en-US"/>
        </w:rPr>
        <w:t>, Robin</w:t>
      </w:r>
      <w:r w:rsidRPr="007536DF">
        <w:rPr>
          <w:lang w:val="en-US"/>
        </w:rPr>
        <w:t xml:space="preserve"> (1997): </w:t>
      </w:r>
      <w:r w:rsidR="0063238A" w:rsidRPr="007536DF">
        <w:rPr>
          <w:i/>
          <w:lang w:val="en-US"/>
        </w:rPr>
        <w:t>Global diasporas. An introduction</w:t>
      </w:r>
      <w:r w:rsidR="0063238A" w:rsidRPr="007536DF">
        <w:rPr>
          <w:lang w:val="en-US"/>
        </w:rPr>
        <w:t xml:space="preserve">, Nueva York: Routledge. </w:t>
      </w:r>
    </w:p>
    <w:p w:rsidR="005E5052" w:rsidRDefault="005E5052">
      <w:r>
        <w:t>COLECTIVO IOÉ (2012):</w:t>
      </w:r>
    </w:p>
    <w:p w:rsidR="005E5052" w:rsidRDefault="005E5052">
      <w:r>
        <w:t xml:space="preserve">COLECTIVO IOÉ (2012): “Crisis e inmigración marroquí en España”: 2007-2011. Disponible en: </w:t>
      </w:r>
      <w:hyperlink r:id="rId8" w:history="1">
        <w:r w:rsidRPr="009860F2">
          <w:rPr>
            <w:rStyle w:val="Hyperlink"/>
          </w:rPr>
          <w:t>https://www.colectivoioe.org/uploads/16ed2b9a5f0868dc55be62fa17d667ca48a97980.pdf</w:t>
        </w:r>
      </w:hyperlink>
      <w:r>
        <w:t xml:space="preserve"> (consultado en agosto de 2017)</w:t>
      </w:r>
    </w:p>
    <w:p w:rsidR="005714AC" w:rsidRPr="005E5052" w:rsidRDefault="005714AC">
      <w:r w:rsidRPr="0063238A">
        <w:t xml:space="preserve">CORBETTA, P. (2003): </w:t>
      </w:r>
      <w:r w:rsidRPr="0063238A">
        <w:rPr>
          <w:i/>
        </w:rPr>
        <w:t>Metodología y técnicas de investigación social</w:t>
      </w:r>
      <w:r w:rsidRPr="0063238A">
        <w:t xml:space="preserve">, Madrid: Mc Graw Hill Interamericana </w:t>
      </w:r>
      <w:r w:rsidRPr="005E5052">
        <w:t>de España.</w:t>
      </w:r>
    </w:p>
    <w:p w:rsidR="005714AC" w:rsidRPr="005714AC" w:rsidRDefault="005714AC">
      <w:pPr>
        <w:rPr>
          <w:lang w:val="en-US"/>
        </w:rPr>
      </w:pPr>
      <w:r w:rsidRPr="005714AC">
        <w:rPr>
          <w:lang w:val="en-US"/>
        </w:rPr>
        <w:t xml:space="preserve">GEST, Justin (2010): </w:t>
      </w:r>
      <w:r w:rsidRPr="005714AC">
        <w:rPr>
          <w:i/>
          <w:lang w:val="en-US"/>
        </w:rPr>
        <w:t>Apart. Alienated and engaged muslims in the West</w:t>
      </w:r>
      <w:r w:rsidRPr="005714AC">
        <w:rPr>
          <w:lang w:val="en-US"/>
        </w:rPr>
        <w:t>, Nueva York: Columbia University Presss.</w:t>
      </w:r>
    </w:p>
    <w:p w:rsidR="004757F3" w:rsidRPr="000E5F21" w:rsidRDefault="004757F3">
      <w:pPr>
        <w:rPr>
          <w:b/>
        </w:rPr>
      </w:pPr>
      <w:r w:rsidRPr="004757F3">
        <w:rPr>
          <w:lang w:val="en-US"/>
        </w:rPr>
        <w:t xml:space="preserve">FAIST, Thomas (2010): “Diaspora and transnationalism: what kind of dance partners (chapter one): in: BAUBÖCK, R. and FAIST, T. (eds.): </w:t>
      </w:r>
      <w:r w:rsidRPr="004757F3">
        <w:rPr>
          <w:i/>
          <w:lang w:val="en-US"/>
        </w:rPr>
        <w:t xml:space="preserve">Diaspora and Transnationalism. </w:t>
      </w:r>
      <w:r w:rsidRPr="000E5F21">
        <w:rPr>
          <w:i/>
        </w:rPr>
        <w:t>Concepts, theories</w:t>
      </w:r>
      <w:r w:rsidRPr="000E5F21">
        <w:t xml:space="preserve"> </w:t>
      </w:r>
      <w:r w:rsidRPr="000E5F21">
        <w:rPr>
          <w:i/>
        </w:rPr>
        <w:t>and methods,</w:t>
      </w:r>
      <w:r w:rsidRPr="000E5F21">
        <w:t xml:space="preserve"> Amsterdam: Amsterdam university press, pp. 7-34.</w:t>
      </w:r>
      <w:r w:rsidRPr="000E5F21">
        <w:rPr>
          <w:b/>
        </w:rPr>
        <w:t xml:space="preserve"> </w:t>
      </w:r>
    </w:p>
    <w:p w:rsidR="0023464B" w:rsidRDefault="0023464B">
      <w:r>
        <w:t xml:space="preserve">FERREIRO PRADO, Lucía (2011): Migraciones internacionales e influencia cultural: españoles y marroquíes en la Comunidad Autónoma de Madrid. Universidad Rey Juan Carlos, departamento de Derecho Público II. Disponible en: </w:t>
      </w:r>
      <w:hyperlink r:id="rId9" w:history="1">
        <w:r w:rsidRPr="004B4861">
          <w:rPr>
            <w:rStyle w:val="Hyperlink"/>
          </w:rPr>
          <w:t>https://eciencia.urjc.es/bitstream/handle/10115/11480/Tesis%20Lucia%20Ferreiro.pdf?sequence=1</w:t>
        </w:r>
      </w:hyperlink>
      <w:r>
        <w:t xml:space="preserve"> </w:t>
      </w:r>
    </w:p>
    <w:p w:rsidR="008B7A9C" w:rsidRPr="0026350D" w:rsidRDefault="0023464B">
      <w:r>
        <w:t xml:space="preserve">FERREIRO PRADO, Lucía (2014): </w:t>
      </w:r>
      <w:r w:rsidRPr="0023464B">
        <w:rPr>
          <w:i/>
        </w:rPr>
        <w:t>La convivencia entre españoles y marroquíes. El impacto de las migraciones en las relaciones culturales</w:t>
      </w:r>
      <w:r>
        <w:t xml:space="preserve">, Madrid: Dykinson. </w:t>
      </w:r>
    </w:p>
    <w:p w:rsidR="005714AC" w:rsidRDefault="005714AC" w:rsidP="005714AC">
      <w:r>
        <w:t xml:space="preserve">MARTIN CRIADO, E. (1997): “El grupo de discusión como situación social”, </w:t>
      </w:r>
      <w:r w:rsidRPr="005714AC">
        <w:rPr>
          <w:i/>
        </w:rPr>
        <w:t>REIS,</w:t>
      </w:r>
      <w:r>
        <w:t xml:space="preserve"> núme</w:t>
      </w:r>
      <w:r w:rsidR="00801BEB">
        <w:t xml:space="preserve">ro 79, pp. 81-112. </w:t>
      </w:r>
    </w:p>
    <w:p w:rsidR="00801BEB" w:rsidRPr="00801BEB" w:rsidRDefault="00801BEB" w:rsidP="005714AC">
      <w:pPr>
        <w:rPr>
          <w:lang w:val="en-US"/>
        </w:rPr>
      </w:pPr>
      <w:r w:rsidRPr="00801BEB">
        <w:rPr>
          <w:lang w:val="en-US"/>
        </w:rPr>
        <w:t xml:space="preserve">PAERREGAARD, K. (2010): “Interrogating diáspora: power and conflict in Peruvian migration” in: </w:t>
      </w:r>
      <w:r w:rsidRPr="004757F3">
        <w:rPr>
          <w:lang w:val="en-US"/>
        </w:rPr>
        <w:t xml:space="preserve">BAUBÖCK, R. and FAIST, T. (eds.): </w:t>
      </w:r>
      <w:r w:rsidRPr="004757F3">
        <w:rPr>
          <w:i/>
          <w:lang w:val="en-US"/>
        </w:rPr>
        <w:t>Diaspora and Transnationalism. Concepts, theories</w:t>
      </w:r>
      <w:r w:rsidRPr="004757F3">
        <w:rPr>
          <w:lang w:val="en-US"/>
        </w:rPr>
        <w:t xml:space="preserve"> </w:t>
      </w:r>
      <w:r w:rsidRPr="004757F3">
        <w:rPr>
          <w:i/>
          <w:lang w:val="en-US"/>
        </w:rPr>
        <w:t>and methods,</w:t>
      </w:r>
      <w:r w:rsidRPr="004757F3">
        <w:rPr>
          <w:lang w:val="en-US"/>
        </w:rPr>
        <w:t xml:space="preserve"> Amsterdam: Amste</w:t>
      </w:r>
      <w:r>
        <w:rPr>
          <w:lang w:val="en-US"/>
        </w:rPr>
        <w:t>rdam university press, pp. 91-107.</w:t>
      </w:r>
    </w:p>
    <w:p w:rsidR="005714AC" w:rsidRPr="000E5F21" w:rsidRDefault="005714AC" w:rsidP="005714AC">
      <w:pPr>
        <w:rPr>
          <w:lang w:val="en-US"/>
        </w:rPr>
      </w:pPr>
      <w:r w:rsidRPr="000E5F21">
        <w:rPr>
          <w:lang w:val="en-US"/>
        </w:rPr>
        <w:t xml:space="preserve">IBAÑEZ, Jesús (2003) [1979]: </w:t>
      </w:r>
      <w:r w:rsidRPr="000E5F21">
        <w:rPr>
          <w:i/>
          <w:lang w:val="en-US"/>
        </w:rPr>
        <w:t>Más allá de la sociología</w:t>
      </w:r>
      <w:r w:rsidRPr="000E5F21">
        <w:rPr>
          <w:lang w:val="en-US"/>
        </w:rPr>
        <w:t xml:space="preserve">, Madrid: Siglo XXI. </w:t>
      </w:r>
    </w:p>
    <w:p w:rsidR="005714AC" w:rsidRDefault="00653E19">
      <w:pPr>
        <w:rPr>
          <w:lang w:val="en-US"/>
        </w:rPr>
      </w:pPr>
      <w:r w:rsidRPr="00653E19">
        <w:rPr>
          <w:lang w:val="en-US"/>
        </w:rPr>
        <w:t xml:space="preserve">SHEFFER, Gabriel (1986): </w:t>
      </w:r>
      <w:r w:rsidRPr="00653E19">
        <w:rPr>
          <w:i/>
          <w:lang w:val="en-US"/>
        </w:rPr>
        <w:t>Modern diasporas in international politics</w:t>
      </w:r>
      <w:r>
        <w:rPr>
          <w:lang w:val="en-US"/>
        </w:rPr>
        <w:t>, Londres: Croom Helm.</w:t>
      </w:r>
    </w:p>
    <w:p w:rsidR="00A643F6" w:rsidRPr="00801BEB" w:rsidRDefault="00D81922">
      <w:r w:rsidRPr="00D81922">
        <w:lastRenderedPageBreak/>
        <w:t xml:space="preserve">RAMÍREZ, A. PLANET, A. </w:t>
      </w:r>
      <w:r w:rsidRPr="00D81922">
        <w:rPr>
          <w:i/>
        </w:rPr>
        <w:t>et al</w:t>
      </w:r>
      <w:r w:rsidRPr="00D81922">
        <w:t xml:space="preserve"> (2016): </w:t>
      </w:r>
      <w:r>
        <w:t>“</w:t>
      </w:r>
      <w:r w:rsidRPr="00D81922">
        <w:t>Justificaci</w:t>
      </w:r>
      <w:r>
        <w:t>ón grupos de discusión”. Documento colectivo elaborado por todos lo</w:t>
      </w:r>
      <w:r w:rsidR="00801BEB">
        <w:t>s investigadores. No publicado.</w:t>
      </w:r>
    </w:p>
    <w:p w:rsidR="00A643F6" w:rsidRPr="00A643F6" w:rsidRDefault="00A643F6">
      <w:r w:rsidRPr="00A643F6">
        <w:t xml:space="preserve">VALLE DE FRUTOS, S. (2005): </w:t>
      </w:r>
      <w:r w:rsidRPr="004757F3">
        <w:rPr>
          <w:i/>
        </w:rPr>
        <w:t>Cultura y civilización: un acercamiento desde las</w:t>
      </w:r>
      <w:r>
        <w:t xml:space="preserve"> </w:t>
      </w:r>
      <w:r w:rsidRPr="004757F3">
        <w:rPr>
          <w:i/>
        </w:rPr>
        <w:t>ciencias sociales</w:t>
      </w:r>
      <w:r>
        <w:t xml:space="preserve">, </w:t>
      </w:r>
      <w:r w:rsidR="004757F3">
        <w:t xml:space="preserve">Madrid: Editorial Biblioteca Nueva. </w:t>
      </w:r>
    </w:p>
    <w:p w:rsidR="00801BEB" w:rsidRDefault="00B64751">
      <w:pPr>
        <w:rPr>
          <w:lang w:val="en-US"/>
        </w:rPr>
      </w:pPr>
      <w:r w:rsidRPr="00A643F6">
        <w:rPr>
          <w:lang w:val="en-US"/>
        </w:rPr>
        <w:t xml:space="preserve">VERTOVEC, S. and COHEN, R. (1999): “Introduction” en: VERTOVEC, S. and COHEN, R. (eds.): </w:t>
      </w:r>
      <w:r w:rsidRPr="00A643F6">
        <w:rPr>
          <w:i/>
          <w:lang w:val="en-US"/>
        </w:rPr>
        <w:t>Migration, Diasporas and Transnationalism</w:t>
      </w:r>
      <w:r w:rsidRPr="00A643F6">
        <w:rPr>
          <w:lang w:val="en-US"/>
        </w:rPr>
        <w:t>, Chelteham and Northhampton: Library of Congress.</w:t>
      </w:r>
    </w:p>
    <w:p w:rsidR="00801BEB" w:rsidRPr="00801BEB" w:rsidRDefault="00801BEB" w:rsidP="00801BEB">
      <w:pPr>
        <w:rPr>
          <w:lang w:val="en-US"/>
        </w:rPr>
      </w:pPr>
      <w:r>
        <w:rPr>
          <w:lang w:val="en-US"/>
        </w:rPr>
        <w:t xml:space="preserve">WAINER, Agnieszka (2010): “Instrumentalising diasporas for development. International and European Policy Discourse” in: </w:t>
      </w:r>
      <w:r w:rsidRPr="00801BEB">
        <w:rPr>
          <w:lang w:val="en-US"/>
        </w:rPr>
        <w:t xml:space="preserve">BAUBÖCK, R. and FAIST, T. (eds.): </w:t>
      </w:r>
      <w:r w:rsidRPr="00801BEB">
        <w:rPr>
          <w:i/>
          <w:lang w:val="en-US"/>
        </w:rPr>
        <w:t>Diaspora and Transnationalism. Concepts, theories</w:t>
      </w:r>
      <w:r w:rsidRPr="00801BEB">
        <w:rPr>
          <w:lang w:val="en-US"/>
        </w:rPr>
        <w:t xml:space="preserve"> </w:t>
      </w:r>
      <w:r w:rsidRPr="00801BEB">
        <w:rPr>
          <w:i/>
          <w:lang w:val="en-US"/>
        </w:rPr>
        <w:t>and methods,</w:t>
      </w:r>
      <w:r w:rsidRPr="00801BEB">
        <w:rPr>
          <w:lang w:val="en-US"/>
        </w:rPr>
        <w:t xml:space="preserve"> Amsterd</w:t>
      </w:r>
      <w:r>
        <w:rPr>
          <w:lang w:val="en-US"/>
        </w:rPr>
        <w:t>am: Amsterdam university press, pp. 73-90.</w:t>
      </w:r>
    </w:p>
    <w:p w:rsidR="00801BEB" w:rsidRPr="00A643F6" w:rsidRDefault="00801BEB">
      <w:pPr>
        <w:rPr>
          <w:lang w:val="en-US"/>
        </w:rPr>
      </w:pPr>
    </w:p>
    <w:sectPr w:rsidR="00801BEB" w:rsidRPr="00A643F6">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3A14" w:rsidRDefault="00493A14" w:rsidP="00DD77C1">
      <w:pPr>
        <w:spacing w:after="0" w:line="240" w:lineRule="auto"/>
      </w:pPr>
      <w:r>
        <w:separator/>
      </w:r>
    </w:p>
  </w:endnote>
  <w:endnote w:type="continuationSeparator" w:id="0">
    <w:p w:rsidR="00493A14" w:rsidRDefault="00493A14" w:rsidP="00DD7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2809"/>
      <w:docPartObj>
        <w:docPartGallery w:val="Page Numbers (Bottom of Page)"/>
        <w:docPartUnique/>
      </w:docPartObj>
    </w:sdtPr>
    <w:sdtEndPr>
      <w:rPr>
        <w:noProof/>
      </w:rPr>
    </w:sdtEndPr>
    <w:sdtContent>
      <w:p w:rsidR="003663E2" w:rsidRDefault="003663E2">
        <w:pPr>
          <w:pStyle w:val="Footer"/>
          <w:jc w:val="center"/>
        </w:pPr>
        <w:r>
          <w:fldChar w:fldCharType="begin"/>
        </w:r>
        <w:r>
          <w:instrText xml:space="preserve"> PAGE   \* MERGEFORMAT </w:instrText>
        </w:r>
        <w:r>
          <w:fldChar w:fldCharType="separate"/>
        </w:r>
        <w:r w:rsidR="005A562D">
          <w:rPr>
            <w:noProof/>
          </w:rPr>
          <w:t>2</w:t>
        </w:r>
        <w:r>
          <w:rPr>
            <w:noProof/>
          </w:rPr>
          <w:fldChar w:fldCharType="end"/>
        </w:r>
      </w:p>
    </w:sdtContent>
  </w:sdt>
  <w:p w:rsidR="003663E2" w:rsidRDefault="003663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3A14" w:rsidRDefault="00493A14" w:rsidP="00DD77C1">
      <w:pPr>
        <w:spacing w:after="0" w:line="240" w:lineRule="auto"/>
      </w:pPr>
      <w:r>
        <w:separator/>
      </w:r>
    </w:p>
  </w:footnote>
  <w:footnote w:type="continuationSeparator" w:id="0">
    <w:p w:rsidR="00493A14" w:rsidRDefault="00493A14" w:rsidP="00DD77C1">
      <w:pPr>
        <w:spacing w:after="0" w:line="240" w:lineRule="auto"/>
      </w:pPr>
      <w:r>
        <w:continuationSeparator/>
      </w:r>
    </w:p>
  </w:footnote>
  <w:footnote w:id="1">
    <w:p w:rsidR="000E5F21" w:rsidRDefault="000E5F21">
      <w:pPr>
        <w:pStyle w:val="FootnoteText"/>
      </w:pPr>
      <w:r>
        <w:rPr>
          <w:rStyle w:val="FootnoteReference"/>
        </w:rPr>
        <w:footnoteRef/>
      </w:r>
      <w:r>
        <w:t xml:space="preserve"> Traducción propia (L.F.).</w:t>
      </w:r>
    </w:p>
  </w:footnote>
  <w:footnote w:id="2">
    <w:p w:rsidR="003663E2" w:rsidRDefault="003663E2">
      <w:pPr>
        <w:pStyle w:val="FootnoteText"/>
      </w:pPr>
      <w:r>
        <w:rPr>
          <w:rStyle w:val="FootnoteReference"/>
        </w:rPr>
        <w:footnoteRef/>
      </w:r>
      <w:r>
        <w:t xml:space="preserve"> “Demandas de empleo pendientes de trabajadores extranjeros, total, paro registrado y demandas no incluidas en el paro registrado, según sexo, por país de nacionalidad”, Anuario del Ministerio de Empleo y Seguridad Social. </w:t>
      </w:r>
    </w:p>
  </w:footnote>
  <w:footnote w:id="3">
    <w:p w:rsidR="003663E2" w:rsidRPr="00ED411C" w:rsidRDefault="003663E2" w:rsidP="00ED411C">
      <w:pPr>
        <w:spacing w:after="0" w:line="240" w:lineRule="auto"/>
        <w:rPr>
          <w:sz w:val="20"/>
          <w:szCs w:val="20"/>
        </w:rPr>
      </w:pPr>
      <w:r w:rsidRPr="00ED411C">
        <w:rPr>
          <w:rStyle w:val="FootnoteReference"/>
          <w:sz w:val="20"/>
          <w:szCs w:val="20"/>
        </w:rPr>
        <w:footnoteRef/>
      </w:r>
      <w:r w:rsidRPr="00ED411C">
        <w:rPr>
          <w:sz w:val="20"/>
          <w:szCs w:val="20"/>
        </w:rPr>
        <w:t xml:space="preserve"> La población marroquí comparte unos rasgos comunes de religión (Islam), étnicos (su énfasis e</w:t>
      </w:r>
      <w:r w:rsidR="007B3DBF">
        <w:rPr>
          <w:sz w:val="20"/>
          <w:szCs w:val="20"/>
        </w:rPr>
        <w:t xml:space="preserve">n su origen árabe, aunque también hay bereberes), así como </w:t>
      </w:r>
      <w:r w:rsidR="004757F3">
        <w:rPr>
          <w:sz w:val="20"/>
          <w:szCs w:val="20"/>
        </w:rPr>
        <w:t>nacionalidad (ma</w:t>
      </w:r>
      <w:r w:rsidRPr="00ED411C">
        <w:rPr>
          <w:sz w:val="20"/>
          <w:szCs w:val="20"/>
        </w:rPr>
        <w:t xml:space="preserve">rroquí), condición social (clase obrera) que parecen suficientes para generar una identidad colectiva. </w:t>
      </w:r>
    </w:p>
    <w:p w:rsidR="003663E2" w:rsidRDefault="003663E2">
      <w:pPr>
        <w:pStyle w:val="FootnoteText"/>
      </w:pPr>
    </w:p>
  </w:footnote>
  <w:footnote w:id="4">
    <w:p w:rsidR="003663E2" w:rsidRPr="00C12CD0" w:rsidRDefault="003663E2" w:rsidP="00C12CD0">
      <w:pPr>
        <w:spacing w:after="0" w:line="240" w:lineRule="auto"/>
        <w:contextualSpacing/>
        <w:rPr>
          <w:rFonts w:eastAsia="Arial" w:cs="Times New Roman"/>
          <w:color w:val="741B47"/>
          <w:sz w:val="20"/>
          <w:szCs w:val="20"/>
        </w:rPr>
      </w:pPr>
      <w:r w:rsidRPr="00D81922">
        <w:rPr>
          <w:rStyle w:val="FootnoteReference"/>
          <w:rFonts w:cs="Times New Roman"/>
          <w:sz w:val="20"/>
          <w:szCs w:val="20"/>
        </w:rPr>
        <w:footnoteRef/>
      </w:r>
      <w:r w:rsidRPr="00D81922">
        <w:rPr>
          <w:rFonts w:cs="Times New Roman"/>
          <w:sz w:val="20"/>
          <w:szCs w:val="20"/>
        </w:rPr>
        <w:t xml:space="preserve"> “</w:t>
      </w:r>
      <w:r w:rsidRPr="00D81922">
        <w:rPr>
          <w:rFonts w:eastAsia="Arial" w:cs="Times New Roman"/>
          <w:sz w:val="20"/>
          <w:szCs w:val="20"/>
        </w:rPr>
        <w:t xml:space="preserve">Hemos incluido nuevas y nuevos musulmanes (conversos)  porque tenemos la hipótesis de que la condición de musulmana o de musulmán puede activar la conciencia de la acción colectiva en combinación con otros estatutos como el de extranjería, desigualdad social y desigualdad de género” (Ramírez, A. y Planet, A. </w:t>
      </w:r>
      <w:r w:rsidRPr="00D81922">
        <w:rPr>
          <w:rFonts w:eastAsia="Arial" w:cs="Times New Roman"/>
          <w:i/>
          <w:sz w:val="20"/>
          <w:szCs w:val="20"/>
        </w:rPr>
        <w:t>et al.</w:t>
      </w:r>
      <w:r w:rsidRPr="00D81922">
        <w:rPr>
          <w:rFonts w:eastAsia="Arial" w:cs="Times New Roman"/>
          <w:sz w:val="20"/>
          <w:szCs w:val="20"/>
        </w:rPr>
        <w:t xml:space="preserve"> 2016). </w:t>
      </w:r>
    </w:p>
  </w:footnote>
  <w:footnote w:id="5">
    <w:p w:rsidR="003663E2" w:rsidRDefault="003663E2">
      <w:pPr>
        <w:pStyle w:val="FootnoteText"/>
      </w:pPr>
      <w:r>
        <w:rPr>
          <w:rStyle w:val="FootnoteReference"/>
        </w:rPr>
        <w:footnoteRef/>
      </w:r>
      <w:r>
        <w:t xml:space="preserve"> La distinción entre primo-migrante y nacidos en España tuvo como resultado el no incluir la edad como criterio de heterogenidad. Esto supuso algún problema en el grupo III, pues había una mujer de cincuenta y pico años y otra de 19. Normalmente, en estos casos, la gente más joven suele silenciarse. En este grupo, la animadversión entre ambas fue manifiesta d</w:t>
      </w:r>
      <w:r w:rsidR="007B3DBF">
        <w:t>esde el principio y se generó un</w:t>
      </w:r>
      <w:r>
        <w:t xml:space="preserve"> deseado efecto de un grupo de confrontación, es decir, polarizado entre dos posiciones; lo cual supone un problema para detectar el discurso social. </w:t>
      </w:r>
    </w:p>
  </w:footnote>
  <w:footnote w:id="6">
    <w:p w:rsidR="003663E2" w:rsidRDefault="003663E2">
      <w:pPr>
        <w:pStyle w:val="FootnoteText"/>
      </w:pPr>
      <w:r>
        <w:rPr>
          <w:rStyle w:val="FootnoteReference"/>
        </w:rPr>
        <w:footnoteRef/>
      </w:r>
      <w:r>
        <w:t xml:space="preserve"> Mi tesis doctoral (Ferreiro, 2011) supone un caso de buena práctica donde se muestra con todo detalle cómo llevar a cabo una investigación con grupos de discusión y pocos recursos económicos. Refleja, no obstante, que un buen proceso de contactación requiere una inversión de tiempo y energía enorme.</w:t>
      </w:r>
    </w:p>
  </w:footnote>
  <w:footnote w:id="7">
    <w:p w:rsidR="003663E2" w:rsidRDefault="003663E2">
      <w:pPr>
        <w:pStyle w:val="FootnoteText"/>
      </w:pPr>
      <w:r>
        <w:rPr>
          <w:rStyle w:val="FootnoteReference"/>
        </w:rPr>
        <w:footnoteRef/>
      </w:r>
      <w:r>
        <w:t xml:space="preserve"> Una mujer es inmigrante de primera generación llegada en los 90 a España, mientras la otra persona es una española conversa. </w:t>
      </w:r>
    </w:p>
  </w:footnote>
  <w:footnote w:id="8">
    <w:p w:rsidR="003663E2" w:rsidRDefault="003663E2">
      <w:pPr>
        <w:pStyle w:val="FootnoteText"/>
      </w:pPr>
      <w:r>
        <w:rPr>
          <w:rStyle w:val="FootnoteReference"/>
        </w:rPr>
        <w:footnoteRef/>
      </w:r>
      <w:r>
        <w:t xml:space="preserve"> El nombre de la categoría “individualista-fatatalista es de (Ramírez. G4).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B4574"/>
    <w:multiLevelType w:val="hybridMultilevel"/>
    <w:tmpl w:val="44443602"/>
    <w:lvl w:ilvl="0" w:tplc="2A289144">
      <w:start w:val="3"/>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3B271ED"/>
    <w:multiLevelType w:val="hybridMultilevel"/>
    <w:tmpl w:val="F58241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45300D8"/>
    <w:multiLevelType w:val="hybridMultilevel"/>
    <w:tmpl w:val="0D3E40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D66AEC"/>
    <w:multiLevelType w:val="hybridMultilevel"/>
    <w:tmpl w:val="77AA3D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E3B11B7"/>
    <w:multiLevelType w:val="hybridMultilevel"/>
    <w:tmpl w:val="B0285D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46072B"/>
    <w:multiLevelType w:val="hybridMultilevel"/>
    <w:tmpl w:val="F12CDB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8C205DD"/>
    <w:multiLevelType w:val="multilevel"/>
    <w:tmpl w:val="2E9A4C0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
    <w:nsid w:val="1A5E432E"/>
    <w:multiLevelType w:val="hybridMultilevel"/>
    <w:tmpl w:val="00E6C3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AA72752"/>
    <w:multiLevelType w:val="hybridMultilevel"/>
    <w:tmpl w:val="603898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B4D09E6"/>
    <w:multiLevelType w:val="hybridMultilevel"/>
    <w:tmpl w:val="C64E22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C99464C"/>
    <w:multiLevelType w:val="hybridMultilevel"/>
    <w:tmpl w:val="D9566B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DED55FB"/>
    <w:multiLevelType w:val="hybridMultilevel"/>
    <w:tmpl w:val="E73C6B9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F497A53"/>
    <w:multiLevelType w:val="hybridMultilevel"/>
    <w:tmpl w:val="C1C89E9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1FFF2B5A"/>
    <w:multiLevelType w:val="hybridMultilevel"/>
    <w:tmpl w:val="8C2030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2315ADE"/>
    <w:multiLevelType w:val="hybridMultilevel"/>
    <w:tmpl w:val="6220F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4465934"/>
    <w:multiLevelType w:val="hybridMultilevel"/>
    <w:tmpl w:val="B21ECC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5DD360E"/>
    <w:multiLevelType w:val="hybridMultilevel"/>
    <w:tmpl w:val="E7BA6A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0E96B6B"/>
    <w:multiLevelType w:val="hybridMultilevel"/>
    <w:tmpl w:val="E3AE35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44215D12"/>
    <w:multiLevelType w:val="hybridMultilevel"/>
    <w:tmpl w:val="78A25A7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F541A17"/>
    <w:multiLevelType w:val="hybridMultilevel"/>
    <w:tmpl w:val="59CC4B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1BE0980"/>
    <w:multiLevelType w:val="hybridMultilevel"/>
    <w:tmpl w:val="1632E47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69E11F39"/>
    <w:multiLevelType w:val="hybridMultilevel"/>
    <w:tmpl w:val="32A664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36D68CC"/>
    <w:multiLevelType w:val="hybridMultilevel"/>
    <w:tmpl w:val="6C240E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5191DC8"/>
    <w:multiLevelType w:val="hybridMultilevel"/>
    <w:tmpl w:val="BE5AF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7E637F42"/>
    <w:multiLevelType w:val="hybridMultilevel"/>
    <w:tmpl w:val="849E03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20"/>
  </w:num>
  <w:num w:numId="4">
    <w:abstractNumId w:val="3"/>
  </w:num>
  <w:num w:numId="5">
    <w:abstractNumId w:val="4"/>
  </w:num>
  <w:num w:numId="6">
    <w:abstractNumId w:val="13"/>
  </w:num>
  <w:num w:numId="7">
    <w:abstractNumId w:val="19"/>
  </w:num>
  <w:num w:numId="8">
    <w:abstractNumId w:val="14"/>
  </w:num>
  <w:num w:numId="9">
    <w:abstractNumId w:val="9"/>
  </w:num>
  <w:num w:numId="10">
    <w:abstractNumId w:val="6"/>
  </w:num>
  <w:num w:numId="11">
    <w:abstractNumId w:val="2"/>
  </w:num>
  <w:num w:numId="12">
    <w:abstractNumId w:val="11"/>
  </w:num>
  <w:num w:numId="13">
    <w:abstractNumId w:val="15"/>
  </w:num>
  <w:num w:numId="14">
    <w:abstractNumId w:val="17"/>
  </w:num>
  <w:num w:numId="15">
    <w:abstractNumId w:val="23"/>
  </w:num>
  <w:num w:numId="16">
    <w:abstractNumId w:val="8"/>
  </w:num>
  <w:num w:numId="17">
    <w:abstractNumId w:val="21"/>
  </w:num>
  <w:num w:numId="18">
    <w:abstractNumId w:val="1"/>
  </w:num>
  <w:num w:numId="19">
    <w:abstractNumId w:val="10"/>
  </w:num>
  <w:num w:numId="20">
    <w:abstractNumId w:val="7"/>
  </w:num>
  <w:num w:numId="21">
    <w:abstractNumId w:val="5"/>
  </w:num>
  <w:num w:numId="22">
    <w:abstractNumId w:val="24"/>
  </w:num>
  <w:num w:numId="23">
    <w:abstractNumId w:val="16"/>
  </w:num>
  <w:num w:numId="24">
    <w:abstractNumId w:val="22"/>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C8B"/>
    <w:rsid w:val="000123EB"/>
    <w:rsid w:val="00013C0B"/>
    <w:rsid w:val="00097704"/>
    <w:rsid w:val="000B0DAE"/>
    <w:rsid w:val="000B7CBB"/>
    <w:rsid w:val="000E5F21"/>
    <w:rsid w:val="00114647"/>
    <w:rsid w:val="00136520"/>
    <w:rsid w:val="001858AB"/>
    <w:rsid w:val="001A765E"/>
    <w:rsid w:val="001B1226"/>
    <w:rsid w:val="0023464B"/>
    <w:rsid w:val="00235903"/>
    <w:rsid w:val="00245238"/>
    <w:rsid w:val="0026350D"/>
    <w:rsid w:val="002E317D"/>
    <w:rsid w:val="002F245E"/>
    <w:rsid w:val="00305935"/>
    <w:rsid w:val="00363769"/>
    <w:rsid w:val="00365739"/>
    <w:rsid w:val="003663E2"/>
    <w:rsid w:val="00376D79"/>
    <w:rsid w:val="00384515"/>
    <w:rsid w:val="003A67C2"/>
    <w:rsid w:val="003D3521"/>
    <w:rsid w:val="003D5F37"/>
    <w:rsid w:val="003E670E"/>
    <w:rsid w:val="004163E0"/>
    <w:rsid w:val="004508F1"/>
    <w:rsid w:val="00463DEC"/>
    <w:rsid w:val="004757F3"/>
    <w:rsid w:val="00490203"/>
    <w:rsid w:val="00493A14"/>
    <w:rsid w:val="004F5FE7"/>
    <w:rsid w:val="005209AE"/>
    <w:rsid w:val="00532F5A"/>
    <w:rsid w:val="005331B9"/>
    <w:rsid w:val="0054055E"/>
    <w:rsid w:val="0054285B"/>
    <w:rsid w:val="00557E19"/>
    <w:rsid w:val="005714AC"/>
    <w:rsid w:val="0059734A"/>
    <w:rsid w:val="005A562D"/>
    <w:rsid w:val="005A5D0D"/>
    <w:rsid w:val="005B0A7F"/>
    <w:rsid w:val="005E1E66"/>
    <w:rsid w:val="005E5052"/>
    <w:rsid w:val="0063238A"/>
    <w:rsid w:val="006427D3"/>
    <w:rsid w:val="00653E19"/>
    <w:rsid w:val="006A1B90"/>
    <w:rsid w:val="006B251F"/>
    <w:rsid w:val="006C5033"/>
    <w:rsid w:val="00720783"/>
    <w:rsid w:val="00730925"/>
    <w:rsid w:val="0074347F"/>
    <w:rsid w:val="007536DF"/>
    <w:rsid w:val="007A4E81"/>
    <w:rsid w:val="007B0805"/>
    <w:rsid w:val="007B3DBF"/>
    <w:rsid w:val="00801BEB"/>
    <w:rsid w:val="00842D56"/>
    <w:rsid w:val="0085148A"/>
    <w:rsid w:val="008B1EF0"/>
    <w:rsid w:val="008B7A9C"/>
    <w:rsid w:val="008C0F40"/>
    <w:rsid w:val="008E3E0A"/>
    <w:rsid w:val="009564FA"/>
    <w:rsid w:val="00981DDF"/>
    <w:rsid w:val="009A539B"/>
    <w:rsid w:val="009B4E2D"/>
    <w:rsid w:val="009C3CA8"/>
    <w:rsid w:val="009F6149"/>
    <w:rsid w:val="00A14A5B"/>
    <w:rsid w:val="00A22CA1"/>
    <w:rsid w:val="00A6219F"/>
    <w:rsid w:val="00A643F6"/>
    <w:rsid w:val="00AA3861"/>
    <w:rsid w:val="00AA4F4B"/>
    <w:rsid w:val="00B47FB7"/>
    <w:rsid w:val="00B64751"/>
    <w:rsid w:val="00B67C7F"/>
    <w:rsid w:val="00B8117F"/>
    <w:rsid w:val="00B94D8C"/>
    <w:rsid w:val="00BA60B1"/>
    <w:rsid w:val="00BD5183"/>
    <w:rsid w:val="00BF5564"/>
    <w:rsid w:val="00C12CD0"/>
    <w:rsid w:val="00C6490E"/>
    <w:rsid w:val="00C750F3"/>
    <w:rsid w:val="00C76BC7"/>
    <w:rsid w:val="00C80D39"/>
    <w:rsid w:val="00C94257"/>
    <w:rsid w:val="00D5263A"/>
    <w:rsid w:val="00D61F50"/>
    <w:rsid w:val="00D81922"/>
    <w:rsid w:val="00D82D01"/>
    <w:rsid w:val="00D84E5B"/>
    <w:rsid w:val="00D91D8F"/>
    <w:rsid w:val="00DD77C1"/>
    <w:rsid w:val="00E0019C"/>
    <w:rsid w:val="00E20A3C"/>
    <w:rsid w:val="00E31E0A"/>
    <w:rsid w:val="00E637A3"/>
    <w:rsid w:val="00E77435"/>
    <w:rsid w:val="00ED411C"/>
    <w:rsid w:val="00F21FD3"/>
    <w:rsid w:val="00F32C8B"/>
    <w:rsid w:val="00F83200"/>
    <w:rsid w:val="00F84F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3E2BE7-8BEA-4AF6-B05F-DF60A1B1E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D79"/>
    <w:pPr>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0805"/>
    <w:pPr>
      <w:ind w:left="720"/>
      <w:contextualSpacing/>
    </w:pPr>
  </w:style>
  <w:style w:type="paragraph" w:styleId="Header">
    <w:name w:val="header"/>
    <w:basedOn w:val="Normal"/>
    <w:link w:val="HeaderChar"/>
    <w:uiPriority w:val="99"/>
    <w:unhideWhenUsed/>
    <w:rsid w:val="00DD77C1"/>
    <w:pPr>
      <w:tabs>
        <w:tab w:val="center" w:pos="4252"/>
        <w:tab w:val="right" w:pos="8504"/>
      </w:tabs>
      <w:spacing w:after="0" w:line="240" w:lineRule="auto"/>
    </w:pPr>
  </w:style>
  <w:style w:type="character" w:customStyle="1" w:styleId="HeaderChar">
    <w:name w:val="Header Char"/>
    <w:basedOn w:val="DefaultParagraphFont"/>
    <w:link w:val="Header"/>
    <w:uiPriority w:val="99"/>
    <w:rsid w:val="00DD77C1"/>
    <w:rPr>
      <w:rFonts w:ascii="Times New Roman" w:hAnsi="Times New Roman"/>
      <w:sz w:val="24"/>
    </w:rPr>
  </w:style>
  <w:style w:type="paragraph" w:styleId="Footer">
    <w:name w:val="footer"/>
    <w:basedOn w:val="Normal"/>
    <w:link w:val="FooterChar"/>
    <w:uiPriority w:val="99"/>
    <w:unhideWhenUsed/>
    <w:rsid w:val="00DD77C1"/>
    <w:pPr>
      <w:tabs>
        <w:tab w:val="center" w:pos="4252"/>
        <w:tab w:val="right" w:pos="8504"/>
      </w:tabs>
      <w:spacing w:after="0" w:line="240" w:lineRule="auto"/>
    </w:pPr>
  </w:style>
  <w:style w:type="character" w:customStyle="1" w:styleId="FooterChar">
    <w:name w:val="Footer Char"/>
    <w:basedOn w:val="DefaultParagraphFont"/>
    <w:link w:val="Footer"/>
    <w:uiPriority w:val="99"/>
    <w:rsid w:val="00DD77C1"/>
    <w:rPr>
      <w:rFonts w:ascii="Times New Roman" w:hAnsi="Times New Roman"/>
      <w:sz w:val="24"/>
    </w:rPr>
  </w:style>
  <w:style w:type="character" w:styleId="Hyperlink">
    <w:name w:val="Hyperlink"/>
    <w:basedOn w:val="DefaultParagraphFont"/>
    <w:uiPriority w:val="99"/>
    <w:unhideWhenUsed/>
    <w:rsid w:val="0023464B"/>
    <w:rPr>
      <w:color w:val="0563C1" w:themeColor="hyperlink"/>
      <w:u w:val="single"/>
    </w:rPr>
  </w:style>
  <w:style w:type="paragraph" w:styleId="FootnoteText">
    <w:name w:val="footnote text"/>
    <w:basedOn w:val="Normal"/>
    <w:link w:val="FootnoteTextChar"/>
    <w:uiPriority w:val="99"/>
    <w:semiHidden/>
    <w:unhideWhenUsed/>
    <w:rsid w:val="00ED411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411C"/>
    <w:rPr>
      <w:rFonts w:ascii="Times New Roman" w:hAnsi="Times New Roman"/>
      <w:sz w:val="20"/>
      <w:szCs w:val="20"/>
    </w:rPr>
  </w:style>
  <w:style w:type="character" w:styleId="FootnoteReference">
    <w:name w:val="footnote reference"/>
    <w:basedOn w:val="DefaultParagraphFont"/>
    <w:uiPriority w:val="99"/>
    <w:semiHidden/>
    <w:unhideWhenUsed/>
    <w:rsid w:val="00ED411C"/>
    <w:rPr>
      <w:vertAlign w:val="superscript"/>
    </w:rPr>
  </w:style>
  <w:style w:type="paragraph" w:styleId="NoSpacing">
    <w:name w:val="No Spacing"/>
    <w:uiPriority w:val="1"/>
    <w:qFormat/>
    <w:rsid w:val="00363769"/>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ectivoioe.org/uploads/16ed2b9a5f0868dc55be62fa17d667ca48a97980.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ciencia.urjc.es/bitstream/handle/10115/11480/Tesis%20Lucia%20Ferreiro.pdf?sequen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2333D-D6A8-4092-97DA-3BB28748B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6128</Words>
  <Characters>33704</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Lucía Ferreiro Prado</dc:creator>
  <cp:keywords/>
  <dc:description/>
  <cp:lastModifiedBy>Lucía Ferreiro Prado</cp:lastModifiedBy>
  <cp:revision>2</cp:revision>
  <dcterms:created xsi:type="dcterms:W3CDTF">2017-08-28T14:30:00Z</dcterms:created>
  <dcterms:modified xsi:type="dcterms:W3CDTF">2017-08-28T14:30:00Z</dcterms:modified>
</cp:coreProperties>
</file>