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768238" w14:textId="77777777" w:rsidR="008E50ED" w:rsidRPr="000A3C4B" w:rsidRDefault="004F5DF2" w:rsidP="000A3C4B">
      <w:pPr>
        <w:spacing w:line="360" w:lineRule="auto"/>
        <w:ind w:right="-291"/>
        <w:rPr>
          <w:b/>
          <w:sz w:val="28"/>
          <w:szCs w:val="28"/>
        </w:rPr>
      </w:pPr>
      <w:r>
        <w:rPr>
          <w:b/>
          <w:sz w:val="28"/>
          <w:szCs w:val="28"/>
        </w:rPr>
        <w:t>La legalidad como razón pública.</w:t>
      </w:r>
      <w:r w:rsidR="008E50ED" w:rsidRPr="000A3C4B">
        <w:rPr>
          <w:b/>
          <w:sz w:val="28"/>
          <w:szCs w:val="28"/>
        </w:rPr>
        <w:t xml:space="preserve"> </w:t>
      </w:r>
      <w:r>
        <w:rPr>
          <w:b/>
          <w:sz w:val="28"/>
          <w:szCs w:val="28"/>
        </w:rPr>
        <w:t>U</w:t>
      </w:r>
      <w:r w:rsidR="000A3C4B" w:rsidRPr="000A3C4B">
        <w:rPr>
          <w:b/>
          <w:sz w:val="28"/>
          <w:szCs w:val="28"/>
        </w:rPr>
        <w:t>na visión colaborativa de la interpretación de los derechos en una democracia constitucional</w:t>
      </w:r>
    </w:p>
    <w:p w14:paraId="256E89F1" w14:textId="77777777" w:rsidR="000A3C4B" w:rsidRDefault="000A3C4B" w:rsidP="000A3C4B">
      <w:pPr>
        <w:spacing w:line="360" w:lineRule="auto"/>
        <w:ind w:right="-291"/>
        <w:rPr>
          <w:b/>
        </w:rPr>
      </w:pPr>
    </w:p>
    <w:p w14:paraId="1CAEB619" w14:textId="76B03DD5" w:rsidR="000A3C4B" w:rsidRDefault="005907EF" w:rsidP="000A3C4B">
      <w:pPr>
        <w:spacing w:line="360" w:lineRule="auto"/>
        <w:ind w:right="-291"/>
      </w:pPr>
      <w:r>
        <w:t xml:space="preserve">Mariano C Melero </w:t>
      </w:r>
    </w:p>
    <w:p w14:paraId="758CA4DC" w14:textId="77777777" w:rsidR="000A3C4B" w:rsidRPr="000A3C4B" w:rsidRDefault="000A3C4B" w:rsidP="000A3C4B">
      <w:pPr>
        <w:spacing w:line="360" w:lineRule="auto"/>
        <w:ind w:right="-291"/>
      </w:pPr>
      <w:r>
        <w:t>Universidad Autónoma de Madrid</w:t>
      </w:r>
    </w:p>
    <w:p w14:paraId="2F9D8C93" w14:textId="77777777" w:rsidR="000A3C4B" w:rsidRDefault="000A3C4B" w:rsidP="008E50ED">
      <w:pPr>
        <w:spacing w:line="360" w:lineRule="auto"/>
        <w:ind w:right="-291"/>
        <w:jc w:val="both"/>
        <w:rPr>
          <w:b/>
        </w:rPr>
      </w:pPr>
    </w:p>
    <w:p w14:paraId="4A26B898" w14:textId="77777777" w:rsidR="000A3C4B" w:rsidRDefault="000A3C4B" w:rsidP="008E50ED">
      <w:pPr>
        <w:spacing w:line="360" w:lineRule="auto"/>
        <w:ind w:right="-291"/>
        <w:jc w:val="both"/>
        <w:rPr>
          <w:b/>
        </w:rPr>
      </w:pPr>
    </w:p>
    <w:p w14:paraId="4A848D37" w14:textId="77777777" w:rsidR="000A3C4B" w:rsidRPr="000A3C4B" w:rsidRDefault="000A3C4B" w:rsidP="004F1C85">
      <w:pPr>
        <w:spacing w:line="360" w:lineRule="auto"/>
        <w:ind w:right="-291"/>
        <w:jc w:val="both"/>
        <w:rPr>
          <w:b/>
        </w:rPr>
      </w:pPr>
      <w:r w:rsidRPr="000A3C4B">
        <w:rPr>
          <w:b/>
        </w:rPr>
        <w:t>1.</w:t>
      </w:r>
      <w:r>
        <w:rPr>
          <w:b/>
        </w:rPr>
        <w:t xml:space="preserve"> </w:t>
      </w:r>
      <w:r w:rsidRPr="000A3C4B">
        <w:rPr>
          <w:b/>
        </w:rPr>
        <w:t>Planteamiento</w:t>
      </w:r>
    </w:p>
    <w:p w14:paraId="5A2A4355" w14:textId="77777777" w:rsidR="000A3C4B" w:rsidRPr="000A3C4B" w:rsidRDefault="000A3C4B" w:rsidP="004F1C85">
      <w:pPr>
        <w:spacing w:line="360" w:lineRule="auto"/>
      </w:pPr>
    </w:p>
    <w:p w14:paraId="2265F13E" w14:textId="77777777" w:rsidR="002E2734" w:rsidRDefault="000A3C4B" w:rsidP="004F1C85">
      <w:pPr>
        <w:spacing w:line="360" w:lineRule="auto"/>
        <w:ind w:right="-291"/>
        <w:jc w:val="both"/>
      </w:pPr>
      <w:r>
        <w:t>El principal problema que plantea la garantía jurisdiccion</w:t>
      </w:r>
      <w:r w:rsidR="002E2734">
        <w:t>al de los derechos constitucionales</w:t>
      </w:r>
      <w:r>
        <w:t xml:space="preserve"> es su déf</w:t>
      </w:r>
      <w:r w:rsidR="00741DF7">
        <w:t>icit democrático: los jueces y (</w:t>
      </w:r>
      <w:r>
        <w:t>en regímenes de control de</w:t>
      </w:r>
      <w:r w:rsidR="00741DF7">
        <w:t xml:space="preserve"> constitucionalidad concentrado)</w:t>
      </w:r>
      <w:r>
        <w:t xml:space="preserve"> los tribunales constitucionales tienen la capacidad de revisar la legislación y las decisiones públicas con </w:t>
      </w:r>
      <w:r w:rsidR="002E2734">
        <w:t>vistas a determinar su compatibilidad o no con los derechos básicos. Dicho control incluye en algunos sistemas jurídicos la capacidad para no aplicar las disposiciones legales que los jueces (o tribunales constitucionales) consideren inconsistentes con los derechos protegidos constitucionalmente. A este tipo de constitucionalismo, hoy en día predominante, se le suele denominar ‘jurí</w:t>
      </w:r>
      <w:r w:rsidR="00146A13">
        <w:t>dico’ por cuanto que asume la constitución</w:t>
      </w:r>
      <w:r w:rsidR="002E2734">
        <w:t xml:space="preserve"> como parte integrante de los sistemas jurídicos judicialmente garantizados.</w:t>
      </w:r>
    </w:p>
    <w:p w14:paraId="3BE49770" w14:textId="77777777" w:rsidR="002E2734" w:rsidRDefault="002E2734" w:rsidP="002E2734">
      <w:pPr>
        <w:spacing w:line="360" w:lineRule="auto"/>
        <w:ind w:right="-289" w:firstLine="709"/>
        <w:jc w:val="both"/>
      </w:pPr>
      <w:r>
        <w:t xml:space="preserve">Frente a este tipo de constitucionalismo, ha surgido una corriente dentro del pensamiento político </w:t>
      </w:r>
      <w:r w:rsidR="00741DF7">
        <w:t xml:space="preserve">y jurídico </w:t>
      </w:r>
      <w:r>
        <w:t xml:space="preserve">que reivindica el papel de los poderes electos en la promoción y protección de los derechos fundamentales. Según esta corriente de pensamiento, muy influyente en los debates contemporáneos, </w:t>
      </w:r>
      <w:r w:rsidR="005C7213">
        <w:t xml:space="preserve">la interpretación de los derechos es un ejercicio esencialmente político que debe </w:t>
      </w:r>
      <w:r w:rsidR="00A649BE">
        <w:t>realizarse por los poderes del e</w:t>
      </w:r>
      <w:r w:rsidR="005C7213">
        <w:t xml:space="preserve">stado orientados políticamente. Dicho de </w:t>
      </w:r>
      <w:r w:rsidR="00741DF7">
        <w:t>otro modo, que</w:t>
      </w:r>
      <w:r w:rsidR="005C7213">
        <w:t xml:space="preserve"> las formas democráticas de gobierno no sólo sirven</w:t>
      </w:r>
      <w:r>
        <w:t xml:space="preserve"> </w:t>
      </w:r>
      <w:r w:rsidR="005C7213">
        <w:t>para resolver del mejor modo los desacuerdos sobre los proyectos polít</w:t>
      </w:r>
      <w:r w:rsidR="00741DF7">
        <w:t xml:space="preserve">icos, sino también </w:t>
      </w:r>
      <w:r w:rsidR="005C7213">
        <w:t xml:space="preserve">para dirimir los inevitables desacuerdos sobre la aplicación de los derechos constitucionales en los casos particulares. Por esta razón, denominaré aquí a esta posición ‘constitucionalismo político’. </w:t>
      </w:r>
    </w:p>
    <w:p w14:paraId="4B927B34" w14:textId="47197D9F" w:rsidR="00741DF7" w:rsidRDefault="00741DF7" w:rsidP="002E2734">
      <w:pPr>
        <w:spacing w:line="360" w:lineRule="auto"/>
        <w:ind w:right="-289" w:firstLine="709"/>
        <w:jc w:val="both"/>
      </w:pPr>
      <w:r>
        <w:t xml:space="preserve">La discusión se plantea vivamente en el debate sobre la </w:t>
      </w:r>
      <w:r w:rsidR="00146A13">
        <w:t>‘</w:t>
      </w:r>
      <w:r>
        <w:t>constitucionalización</w:t>
      </w:r>
      <w:r w:rsidR="00146A13">
        <w:t>’</w:t>
      </w:r>
      <w:r w:rsidR="005907EF">
        <w:t xml:space="preserve"> del D</w:t>
      </w:r>
      <w:r>
        <w:t>erecho internacional a través de los convenios regionales de derechos humanos (</w:t>
      </w:r>
      <w:r w:rsidR="007F13B1">
        <w:t xml:space="preserve">principalmente, el Convenio </w:t>
      </w:r>
      <w:r>
        <w:t>Eur</w:t>
      </w:r>
      <w:r w:rsidR="007F13B1">
        <w:t>opeo y la Convención Interamericana</w:t>
      </w:r>
      <w:r>
        <w:t xml:space="preserve">). </w:t>
      </w:r>
      <w:r w:rsidR="00146A13">
        <w:t>Si nos centramos en</w:t>
      </w:r>
      <w:r w:rsidR="007F13B1">
        <w:t xml:space="preserve"> </w:t>
      </w:r>
      <w:r>
        <w:t>el debate</w:t>
      </w:r>
      <w:r w:rsidR="00146A13">
        <w:t xml:space="preserve"> actual</w:t>
      </w:r>
      <w:r>
        <w:t xml:space="preserve"> </w:t>
      </w:r>
      <w:r w:rsidR="007F13B1">
        <w:t>en torno a</w:t>
      </w:r>
      <w:r>
        <w:t>l uso del principio de subsidiariedad en el razonamiento de los tribunales internacionales de dere</w:t>
      </w:r>
      <w:r w:rsidR="002C3ED6">
        <w:t>chos humanos</w:t>
      </w:r>
      <w:r w:rsidR="007F13B1">
        <w:t xml:space="preserve">, la discusión </w:t>
      </w:r>
      <w:r w:rsidR="00146A13">
        <w:t xml:space="preserve">entre ambas posiciones </w:t>
      </w:r>
      <w:r w:rsidR="00146A13">
        <w:lastRenderedPageBreak/>
        <w:t>constitucionales podría formularse en los siguientes términos</w:t>
      </w:r>
      <w:r w:rsidR="00A979CA">
        <w:t xml:space="preserve">: </w:t>
      </w:r>
      <w:r w:rsidR="002C3ED6">
        <w:t>cuando un</w:t>
      </w:r>
      <w:r w:rsidR="00A979CA">
        <w:t xml:space="preserve"> tribunal internacional ap</w:t>
      </w:r>
      <w:r w:rsidR="00146A13">
        <w:t xml:space="preserve">lica el ‘margen de apreciación’ en favor de un estado que ha sido </w:t>
      </w:r>
      <w:r w:rsidR="0019761E">
        <w:t>i</w:t>
      </w:r>
      <w:r w:rsidR="00146A13">
        <w:t xml:space="preserve">mpugnado </w:t>
      </w:r>
      <w:r w:rsidR="0019761E">
        <w:t>por la violación de un derecho del convenio</w:t>
      </w:r>
      <w:r w:rsidR="00A979CA">
        <w:t>, ¿quién actúa</w:t>
      </w:r>
      <w:r w:rsidR="002C3ED6">
        <w:t xml:space="preserve"> </w:t>
      </w:r>
      <w:r w:rsidR="00A979CA">
        <w:t>como</w:t>
      </w:r>
      <w:r>
        <w:t xml:space="preserve"> </w:t>
      </w:r>
      <w:r w:rsidRPr="00A979CA">
        <w:rPr>
          <w:i/>
        </w:rPr>
        <w:t>agente subsidiario</w:t>
      </w:r>
      <w:r>
        <w:t xml:space="preserve"> en</w:t>
      </w:r>
      <w:r w:rsidR="00A10315">
        <w:t xml:space="preserve"> la</w:t>
      </w:r>
      <w:r>
        <w:t xml:space="preserve"> </w:t>
      </w:r>
      <w:r w:rsidR="00A979CA">
        <w:t>interpretación</w:t>
      </w:r>
      <w:r w:rsidR="0019761E">
        <w:t xml:space="preserve"> del derecho</w:t>
      </w:r>
      <w:r w:rsidR="00B13147">
        <w:t>? ¿el e</w:t>
      </w:r>
      <w:r w:rsidR="00A979CA">
        <w:t>stado miembro impugnado,</w:t>
      </w:r>
      <w:r w:rsidR="0019761E">
        <w:t xml:space="preserve"> quien</w:t>
      </w:r>
      <w:r w:rsidR="00146A13">
        <w:t xml:space="preserve"> ha podido convencer</w:t>
      </w:r>
      <w:r w:rsidR="00A979CA">
        <w:t xml:space="preserve"> al tribunal</w:t>
      </w:r>
      <w:r w:rsidR="0019761E">
        <w:t xml:space="preserve"> de</w:t>
      </w:r>
      <w:r w:rsidR="00A979CA">
        <w:t xml:space="preserve"> que en realidad se trata de una limita</w:t>
      </w:r>
      <w:r w:rsidR="0019761E">
        <w:t xml:space="preserve">ción </w:t>
      </w:r>
      <w:r w:rsidR="002C3ED6">
        <w:t xml:space="preserve">del derecho </w:t>
      </w:r>
      <w:r w:rsidR="0019761E">
        <w:t>justificada razonablemente</w:t>
      </w:r>
      <w:r w:rsidR="00A10315">
        <w:t xml:space="preserve"> </w:t>
      </w:r>
      <w:r w:rsidR="00A979CA">
        <w:t xml:space="preserve">a la luz de los valores últimos de una sociedad democrática? </w:t>
      </w:r>
      <w:r>
        <w:t>¿</w:t>
      </w:r>
      <w:r w:rsidR="00A979CA">
        <w:t xml:space="preserve">o </w:t>
      </w:r>
      <w:r w:rsidR="00A10315">
        <w:t xml:space="preserve">más bien </w:t>
      </w:r>
      <w:r w:rsidR="00A979CA">
        <w:t>el tribunal</w:t>
      </w:r>
      <w:r w:rsidR="00A10315">
        <w:t xml:space="preserve"> internacional</w:t>
      </w:r>
      <w:r w:rsidR="00A979CA">
        <w:t>, que viendo que no puede proteger mejor</w:t>
      </w:r>
      <w:r w:rsidR="00A649BE">
        <w:t xml:space="preserve"> que el e</w:t>
      </w:r>
      <w:r w:rsidR="00A10315">
        <w:t>stado impugnado</w:t>
      </w:r>
      <w:r w:rsidR="00A979CA">
        <w:t xml:space="preserve"> el derecho en cuestión en la</w:t>
      </w:r>
      <w:r w:rsidR="00A10315">
        <w:t>s</w:t>
      </w:r>
      <w:r w:rsidR="00A979CA">
        <w:t xml:space="preserve"> circunstancias del caso, reconoce su papel subsidiario y decide no intervenir</w:t>
      </w:r>
      <w:r w:rsidR="00146A13">
        <w:t xml:space="preserve">? En definitiva, ¿quién debe considerarse como el ‘arbitro final’ en la interpretación de los derechos humanos? </w:t>
      </w:r>
    </w:p>
    <w:p w14:paraId="4D8D59B9" w14:textId="77777777" w:rsidR="00A10315" w:rsidRDefault="00A76082" w:rsidP="002E2734">
      <w:pPr>
        <w:spacing w:line="360" w:lineRule="auto"/>
        <w:ind w:right="-289" w:firstLine="709"/>
        <w:jc w:val="both"/>
      </w:pPr>
      <w:r>
        <w:t>Los</w:t>
      </w:r>
      <w:r w:rsidR="00A10315">
        <w:t xml:space="preserve"> ‘constitucionalistas jurídicos’ dirían que</w:t>
      </w:r>
      <w:r w:rsidR="0019761E">
        <w:t xml:space="preserve"> el agente subsidiario es</w:t>
      </w:r>
      <w:r w:rsidR="00A649BE">
        <w:t xml:space="preserve"> el e</w:t>
      </w:r>
      <w:r w:rsidR="00A10315">
        <w:t>stad</w:t>
      </w:r>
      <w:r w:rsidR="0019761E">
        <w:t>o impugnado, dado que son los tribunales internacionales</w:t>
      </w:r>
      <w:r w:rsidR="00A10315">
        <w:t xml:space="preserve"> los que están obligados por su función a </w:t>
      </w:r>
      <w:r w:rsidR="002C3ED6">
        <w:t>interpretar</w:t>
      </w:r>
      <w:r w:rsidR="00A10315">
        <w:t xml:space="preserve"> los convenios de derechos humanos</w:t>
      </w:r>
      <w:r w:rsidR="002C3ED6">
        <w:t xml:space="preserve"> y a hacerlos cumplir a los estados según dicha interpretación</w:t>
      </w:r>
      <w:r w:rsidR="00A10315">
        <w:t xml:space="preserve">. </w:t>
      </w:r>
      <w:r w:rsidR="0019761E">
        <w:t>Según esta posición, l</w:t>
      </w:r>
      <w:r w:rsidR="00A10315">
        <w:t>os tribunales abdicarían de su responsabilidad si aceptasen una interpretación de lo</w:t>
      </w:r>
      <w:r w:rsidR="0019761E">
        <w:t xml:space="preserve">s </w:t>
      </w:r>
      <w:r w:rsidR="002C3ED6">
        <w:t>der</w:t>
      </w:r>
      <w:r w:rsidR="00844120">
        <w:t>echos</w:t>
      </w:r>
      <w:r w:rsidR="00A631EE">
        <w:t xml:space="preserve"> con la que no estuvieran de acuerdo en atención (o como deferencia) al origen democrático de dicha interpretación</w:t>
      </w:r>
      <w:r w:rsidR="00A10315">
        <w:t xml:space="preserve">. Un ejemplo muy ilustrativo </w:t>
      </w:r>
      <w:r w:rsidR="0019761E">
        <w:t xml:space="preserve">de este enfoque es </w:t>
      </w:r>
      <w:r w:rsidR="00A10315">
        <w:t xml:space="preserve">el famoso caso </w:t>
      </w:r>
      <w:r w:rsidR="00A10315" w:rsidRPr="00A76082">
        <w:rPr>
          <w:i/>
        </w:rPr>
        <w:t>Gelman v. Uruguay</w:t>
      </w:r>
      <w:r w:rsidR="00A10315">
        <w:t xml:space="preserve"> ante la Corte Interamericana de Derechos Humanos</w:t>
      </w:r>
      <w:r>
        <w:t xml:space="preserve">, donde el tribunal declaró contraria a los derechos del Convenio </w:t>
      </w:r>
      <w:r w:rsidR="00A631EE">
        <w:t xml:space="preserve">Interamericano de Derechos Humanos </w:t>
      </w:r>
      <w:r>
        <w:t xml:space="preserve">una Ley de Caducidad respaldada hasta por dos veces por el pueblo uruguayo. </w:t>
      </w:r>
    </w:p>
    <w:p w14:paraId="42B7F442" w14:textId="77777777" w:rsidR="00A76082" w:rsidRDefault="00A76082" w:rsidP="002E2734">
      <w:pPr>
        <w:spacing w:line="360" w:lineRule="auto"/>
        <w:ind w:right="-289" w:firstLine="709"/>
        <w:jc w:val="both"/>
      </w:pPr>
      <w:r>
        <w:t>Los ‘constitucionalistas políticos’</w:t>
      </w:r>
      <w:r w:rsidR="0019761E">
        <w:t>, por el contrario,</w:t>
      </w:r>
      <w:r>
        <w:t xml:space="preserve"> afirmarían que los que deben actuar subsidiariamente son los tribunales (incluidos los constitucionales y los tribunales internacionales de derechos humanos)</w:t>
      </w:r>
      <w:r w:rsidR="0019761E">
        <w:t xml:space="preserve">. Desde esta posición, son los </w:t>
      </w:r>
      <w:r w:rsidR="002C3ED6">
        <w:t>gobiernos y parlamentos de los e</w:t>
      </w:r>
      <w:r w:rsidR="0019761E">
        <w:t>stados</w:t>
      </w:r>
      <w:r>
        <w:t xml:space="preserve"> democráticos los que deben tener la última palabra en la interpretación de los derechos</w:t>
      </w:r>
      <w:r w:rsidR="0019761E">
        <w:t xml:space="preserve"> humanos</w:t>
      </w:r>
      <w:r w:rsidR="002C3ED6">
        <w:t>, por lo que</w:t>
      </w:r>
      <w:r w:rsidR="0019761E">
        <w:t xml:space="preserve"> los </w:t>
      </w:r>
      <w:r w:rsidR="00B13147">
        <w:t>tribunales</w:t>
      </w:r>
      <w:r>
        <w:t xml:space="preserve"> no deben intervenir a no ser que tengan fuertes razones para pensar que pueden promover o proteger mejor los derechos en el caso en cuestión.  </w:t>
      </w:r>
      <w:r w:rsidR="007F13B1">
        <w:t>En el contexto internacional</w:t>
      </w:r>
      <w:r w:rsidR="00B13147">
        <w:t>, los estados democráticos deben disfrutar de un margen de</w:t>
      </w:r>
      <w:r w:rsidR="007F13B1">
        <w:t xml:space="preserve"> apreciación en</w:t>
      </w:r>
      <w:r w:rsidR="00B13147">
        <w:t xml:space="preserve"> aquellas circunstancias</w:t>
      </w:r>
      <w:r w:rsidR="007F13B1">
        <w:t xml:space="preserve"> en las que sus autoridades internas están al menos tan equipadas y dispuestas como el tribunal internacional para determinar si existe una violación de los derechos del convenio.  </w:t>
      </w:r>
      <w:r w:rsidR="00B13147">
        <w:t xml:space="preserve">  </w:t>
      </w:r>
    </w:p>
    <w:p w14:paraId="262270F4" w14:textId="3BE6862C" w:rsidR="00D16132" w:rsidRPr="000A3C4B" w:rsidRDefault="007F13B1" w:rsidP="00A649BE">
      <w:pPr>
        <w:spacing w:line="360" w:lineRule="auto"/>
        <w:ind w:right="-289" w:firstLine="709"/>
        <w:jc w:val="both"/>
      </w:pPr>
      <w:r>
        <w:t>En este trabajo trataré de articular una posición teórica intermedia que supere las dos posiciones enfrentadas. Una posición teórica capaz d</w:t>
      </w:r>
      <w:r w:rsidR="00D16132">
        <w:t>e reconciliar los dos requerimientos</w:t>
      </w:r>
      <w:r>
        <w:t xml:space="preserve"> simultáneamente: </w:t>
      </w:r>
      <w:r w:rsidR="00D16132">
        <w:t xml:space="preserve">por un lado, la demanda de respeto y deferencia a las decisiones democráticas, y por otro, la importancia de unos tribunales nacionales e internacionales </w:t>
      </w:r>
      <w:r w:rsidR="00D16132">
        <w:lastRenderedPageBreak/>
        <w:t xml:space="preserve">fuertes e independientes. </w:t>
      </w:r>
      <w:r w:rsidR="002C3ED6">
        <w:t>A d</w:t>
      </w:r>
      <w:r w:rsidR="00FD4066">
        <w:t xml:space="preserve">icha posición la denominaré aquí </w:t>
      </w:r>
      <w:r w:rsidR="00FD4066" w:rsidRPr="00FD4066">
        <w:rPr>
          <w:i/>
        </w:rPr>
        <w:t>la teoría de la legalidad como razón pública</w:t>
      </w:r>
      <w:r w:rsidR="00FD4066">
        <w:t xml:space="preserve">. </w:t>
      </w:r>
      <w:r w:rsidR="00A649BE">
        <w:t xml:space="preserve">Para ello, presentaré en primer lugar el ideal político que persigue dicha teoría, que consiste en </w:t>
      </w:r>
      <w:r w:rsidR="00FD4066">
        <w:t xml:space="preserve">una </w:t>
      </w:r>
      <w:r w:rsidR="00D16132">
        <w:t>determinada cul</w:t>
      </w:r>
      <w:r w:rsidR="00A649BE">
        <w:t xml:space="preserve">tura constitucional a la que </w:t>
      </w:r>
      <w:r w:rsidR="00D16132">
        <w:t>denomina</w:t>
      </w:r>
      <w:r w:rsidR="00A649BE">
        <w:t>ré</w:t>
      </w:r>
      <w:r w:rsidR="00D16132">
        <w:t xml:space="preserve"> ‘una cultura democrática de la justificación’</w:t>
      </w:r>
      <w:r w:rsidR="00F941DF">
        <w:t>.</w:t>
      </w:r>
      <w:r w:rsidR="00A649BE">
        <w:t xml:space="preserve"> A continuación, desarrollaré</w:t>
      </w:r>
      <w:r w:rsidR="00D16132">
        <w:t xml:space="preserve"> lo que podríamos denominar </w:t>
      </w:r>
      <w:r w:rsidR="002651A0">
        <w:t>“</w:t>
      </w:r>
      <w:r w:rsidR="00D16132">
        <w:t xml:space="preserve">el enfoque </w:t>
      </w:r>
      <w:r w:rsidR="00D16132" w:rsidRPr="00D16132">
        <w:rPr>
          <w:i/>
        </w:rPr>
        <w:t>common law</w:t>
      </w:r>
      <w:r w:rsidR="002651A0">
        <w:t xml:space="preserve"> de protección de derechos”</w:t>
      </w:r>
      <w:r w:rsidR="00A649BE">
        <w:t xml:space="preserve"> </w:t>
      </w:r>
      <w:r w:rsidR="00D16132">
        <w:t xml:space="preserve">como la base </w:t>
      </w:r>
      <w:r w:rsidR="00FD4066">
        <w:t>de un modelo colaborativo de justic</w:t>
      </w:r>
      <w:r w:rsidR="00A649BE">
        <w:t xml:space="preserve">ia constitucional. </w:t>
      </w:r>
      <w:bookmarkStart w:id="0" w:name="_GoBack"/>
      <w:bookmarkEnd w:id="0"/>
    </w:p>
    <w:p w14:paraId="1254067A" w14:textId="77777777" w:rsidR="008E50ED" w:rsidRDefault="008E50ED" w:rsidP="00741DF7">
      <w:pPr>
        <w:spacing w:line="360" w:lineRule="auto"/>
        <w:ind w:right="-291"/>
        <w:rPr>
          <w:b/>
        </w:rPr>
      </w:pPr>
    </w:p>
    <w:p w14:paraId="3C8934E3" w14:textId="77777777" w:rsidR="008E50ED" w:rsidRPr="008E50ED" w:rsidRDefault="000A3C4B" w:rsidP="008E50ED">
      <w:pPr>
        <w:spacing w:line="360" w:lineRule="auto"/>
        <w:ind w:right="-291"/>
        <w:rPr>
          <w:b/>
        </w:rPr>
      </w:pPr>
      <w:r>
        <w:rPr>
          <w:b/>
        </w:rPr>
        <w:t>2</w:t>
      </w:r>
      <w:r w:rsidR="008E50ED" w:rsidRPr="008E50ED">
        <w:rPr>
          <w:b/>
        </w:rPr>
        <w:t>.</w:t>
      </w:r>
      <w:r w:rsidR="008E50ED">
        <w:rPr>
          <w:b/>
        </w:rPr>
        <w:t xml:space="preserve"> </w:t>
      </w:r>
      <w:r w:rsidR="008E50ED" w:rsidRPr="008E50ED">
        <w:rPr>
          <w:b/>
        </w:rPr>
        <w:t>Una cultura democrática de la justificación</w:t>
      </w:r>
    </w:p>
    <w:p w14:paraId="76BEB5A3" w14:textId="77777777" w:rsidR="008E50ED" w:rsidRDefault="008E50ED" w:rsidP="008E50ED">
      <w:pPr>
        <w:spacing w:line="360" w:lineRule="auto"/>
        <w:ind w:right="-291" w:firstLine="709"/>
        <w:jc w:val="both"/>
      </w:pPr>
    </w:p>
    <w:p w14:paraId="0D4B31DE" w14:textId="77777777" w:rsidR="008E50ED" w:rsidRDefault="008E50ED" w:rsidP="008E50ED">
      <w:pPr>
        <w:spacing w:line="360" w:lineRule="auto"/>
        <w:ind w:right="-291"/>
        <w:jc w:val="both"/>
      </w:pPr>
      <w:r>
        <w:t>La discusión ent</w:t>
      </w:r>
      <w:r w:rsidR="00741DF7">
        <w:t>re constitucionalistas ‘jurídicos’</w:t>
      </w:r>
      <w:r>
        <w:t xml:space="preserve"> y </w:t>
      </w:r>
      <w:r w:rsidR="00741DF7">
        <w:t>‘</w:t>
      </w:r>
      <w:r>
        <w:t>políticos</w:t>
      </w:r>
      <w:r w:rsidR="00741DF7">
        <w:t>’</w:t>
      </w:r>
      <w:r>
        <w:t xml:space="preserve"> se centra en la cuestión de quién está mejor situado para tener la autoridad final en la interpretación de los derechos y la identificación del Derecho. Desde la teoría de la legalidad como razón pública, sin embargo, esta discusión es secundaria. Según dicha teoría, </w:t>
      </w:r>
      <w:r>
        <w:rPr>
          <w:i/>
        </w:rPr>
        <w:t>l</w:t>
      </w:r>
      <w:r w:rsidRPr="001211B5">
        <w:rPr>
          <w:i/>
        </w:rPr>
        <w:t>a cuestión central</w:t>
      </w:r>
      <w:r>
        <w:t xml:space="preserve"> no es quién tiene la autoridad final, sino qué estructura institucional hace posible una adecuada justificación de cualquier límite legal de los derechos</w:t>
      </w:r>
      <w:r w:rsidR="00F941DF">
        <w:t>.</w:t>
      </w:r>
      <w:r>
        <w:rPr>
          <w:rStyle w:val="Refdenotaalpie"/>
        </w:rPr>
        <w:footnoteReference w:id="1"/>
      </w:r>
      <w:r w:rsidR="00A649BE">
        <w:t xml:space="preserve"> </w:t>
      </w:r>
      <w:r>
        <w:t>Lo importante no es cómo interpretar la esencia de los derechos sino cuál es el proceso más adecuado para evaluar si un límite sobre los derechos se ha justificado apropiadamente. Por encima de la cuestión de ‘quién decide’, es mucho más apremiante la cuestión sobre el diseño de los mecanismos institucionales que reflejen la responsabilidad compartida en la protección y fomento de los derechos humanos. Las consideraciones democráticas son extremadamente importantes en el diseño y la operatividad de esos mecanismos institucionales, “pero enfocar todas las cuestiones sobre derechos humanos desde el prisma de ‘quién decide’ puede, paradójicamente, impedir la adecuada aproximación a esas consideraciones democráticas”</w:t>
      </w:r>
      <w:r w:rsidR="00F941DF">
        <w:t>.</w:t>
      </w:r>
      <w:r>
        <w:rPr>
          <w:rStyle w:val="Refdenotaalpie"/>
        </w:rPr>
        <w:footnoteReference w:id="2"/>
      </w:r>
      <w:r w:rsidRPr="007A61E0">
        <w:t xml:space="preserve"> </w:t>
      </w:r>
    </w:p>
    <w:p w14:paraId="18C4CAAC" w14:textId="39399A9D" w:rsidR="008E50ED" w:rsidRDefault="008E50ED" w:rsidP="008E50ED">
      <w:pPr>
        <w:spacing w:line="360" w:lineRule="auto"/>
        <w:ind w:right="-291" w:firstLine="709"/>
        <w:jc w:val="both"/>
      </w:pPr>
      <w:r>
        <w:t>El debate sobre la cuestión de quién tiene la autoridad final supone un obstáculo para la cuestión mucho más perentoria de cómo asegurar la realización práctica y efectiva de los derechos fundamentales de un modo compatible con la tradición de democracia parlamentaria. Para la teoría de la legalidad como razón</w:t>
      </w:r>
      <w:r w:rsidR="00401906">
        <w:t xml:space="preserve"> pública, dicho objetivo requiere una justicia constitucional basada en la colaboración de los tres poderes del estado</w:t>
      </w:r>
      <w:r w:rsidR="005907EF">
        <w:t>, es decir, un diseño</w:t>
      </w:r>
      <w:r w:rsidR="00615278">
        <w:t xml:space="preserve"> institucional </w:t>
      </w:r>
      <w:r>
        <w:t xml:space="preserve">“capaz de otorgar un destacado papel a los tribunales en la articulación y promoción de los valores fundamentales de la sociedad, al tiempo que reconoce un papel </w:t>
      </w:r>
      <w:r>
        <w:lastRenderedPageBreak/>
        <w:t>significativo a las ramas democráticas y la administración en la definición y desarrollo de esos valores”</w:t>
      </w:r>
      <w:r w:rsidR="00F941DF">
        <w:t>.</w:t>
      </w:r>
      <w:r>
        <w:rPr>
          <w:rStyle w:val="Refdenotaalpie"/>
        </w:rPr>
        <w:footnoteReference w:id="3"/>
      </w:r>
    </w:p>
    <w:p w14:paraId="509FE4BA" w14:textId="1D79735B" w:rsidR="008E50ED" w:rsidRDefault="008E50ED" w:rsidP="008E50ED">
      <w:pPr>
        <w:spacing w:line="360" w:lineRule="auto"/>
        <w:ind w:right="-291" w:firstLine="709"/>
        <w:jc w:val="both"/>
      </w:pPr>
      <w:r>
        <w:t xml:space="preserve">Según la teoría de la legalidad como razón pública, el modelo colaborativo exige replantear la relación entre los diferentes poderes de una democracia liberal conforme a lo que se ha venido a denominar </w:t>
      </w:r>
      <w:r w:rsidRPr="00DE2759">
        <w:rPr>
          <w:i/>
        </w:rPr>
        <w:t>una cultura democrática de la justificación</w:t>
      </w:r>
      <w:r>
        <w:t xml:space="preserve">. En este sentido, el modelo colaborativo requiere concebir los papeles respectivos de las instituciones en materia de derechos humanos no sobre la base de la soberanía o autoridad última, sino desde la perspectiva de la colaboración y la responsabilidad compartida. En palabras de </w:t>
      </w:r>
      <w:r w:rsidR="00D370FB">
        <w:t xml:space="preserve">Murray </w:t>
      </w:r>
      <w:r>
        <w:t>Hunt:</w:t>
      </w:r>
    </w:p>
    <w:p w14:paraId="21168EE9" w14:textId="77777777" w:rsidR="008E50ED" w:rsidRPr="009425C0" w:rsidRDefault="008E50ED" w:rsidP="008E50ED">
      <w:pPr>
        <w:spacing w:before="120" w:after="130" w:line="360" w:lineRule="auto"/>
        <w:ind w:left="851" w:right="-291"/>
        <w:jc w:val="both"/>
        <w:rPr>
          <w:sz w:val="22"/>
          <w:szCs w:val="22"/>
        </w:rPr>
      </w:pPr>
      <w:r w:rsidRPr="00257D96">
        <w:rPr>
          <w:sz w:val="22"/>
          <w:szCs w:val="22"/>
        </w:rPr>
        <w:t>Una cultura democrática de la justificación es un orden político y jurídico basado en una responsabilidad compartida en la protección y promoción de los derechos humanos, en la que toda acción o inacción que afecte a los derechos humanos debe justificarse mediante razones públicamente disponibles que el parlamento y los tribunales evalúan para asegurar su compatibilidad con los compromisos más fundamentales de la sociedad, y en donde cada una de tales instituciones respeta el papel legítimo de las demás</w:t>
      </w:r>
      <w:r w:rsidR="00F941DF">
        <w:rPr>
          <w:sz w:val="22"/>
          <w:szCs w:val="22"/>
        </w:rPr>
        <w:t>.</w:t>
      </w:r>
      <w:r w:rsidRPr="00257D96">
        <w:rPr>
          <w:rStyle w:val="Refdenotaalpie"/>
          <w:sz w:val="22"/>
          <w:szCs w:val="22"/>
        </w:rPr>
        <w:footnoteReference w:id="4"/>
      </w:r>
    </w:p>
    <w:p w14:paraId="7975443A" w14:textId="77777777" w:rsidR="008E50ED" w:rsidRDefault="008E50ED" w:rsidP="008E50ED">
      <w:pPr>
        <w:spacing w:line="360" w:lineRule="auto"/>
        <w:ind w:right="-291"/>
        <w:jc w:val="both"/>
      </w:pPr>
      <w:r>
        <w:t xml:space="preserve">Ahora bien, dada la fuerza expansiva de los derechos humanos, capaces en principio de alcanzar todas las áreas sustantivas de la acción colectiva, no es posible acotar un ámbito o área específica relativa a los derechos humanos. La colaboración e interdependencia institucional supone, por tanto, que </w:t>
      </w:r>
      <w:r w:rsidRPr="00825FF8">
        <w:rPr>
          <w:i/>
        </w:rPr>
        <w:t>todos</w:t>
      </w:r>
      <w:r>
        <w:t xml:space="preserve"> los ejercicios del poder del Estado, todas las decisiones, actos u omisiones públicas, han de venir acompañados por su correspondiente justificación basada en razones públicas, es decir, en explicaciones racionales que todos los afectados por tales acciones u omisiones puedan razonablemente aceptar.</w:t>
      </w:r>
    </w:p>
    <w:p w14:paraId="22C75F21" w14:textId="545FF9D3" w:rsidR="008E50ED" w:rsidRDefault="008E50ED" w:rsidP="008E50ED">
      <w:pPr>
        <w:spacing w:line="360" w:lineRule="auto"/>
        <w:ind w:right="-291" w:firstLine="709"/>
        <w:jc w:val="both"/>
      </w:pPr>
      <w:r>
        <w:t xml:space="preserve">La noción de ‘cultura de la justificación’ fue elaborada por primera vez por Etienne Mureinik en el contexto de la transición democrática de Sudáfrica, como contraposición a la ‘cultura de la autoridad’ que había impuesto el régimen del </w:t>
      </w:r>
      <w:r w:rsidRPr="00153385">
        <w:rPr>
          <w:i/>
        </w:rPr>
        <w:t>apartheid</w:t>
      </w:r>
      <w:r w:rsidR="00F941DF">
        <w:rPr>
          <w:i/>
        </w:rPr>
        <w:t>.</w:t>
      </w:r>
      <w:r>
        <w:rPr>
          <w:rStyle w:val="Refdenotaalpie"/>
        </w:rPr>
        <w:footnoteReference w:id="5"/>
      </w:r>
      <w:r>
        <w:t xml:space="preserve"> Según Mureinik, la base jurídica de una cultura de la autoridad reside en la doctrina de la soberanía parlamentaria. “Universalmente, esa doct</w:t>
      </w:r>
      <w:r w:rsidR="00615278">
        <w:t>rina enseña que lo que dice el p</w:t>
      </w:r>
      <w:r>
        <w:t>arlamento es ley, sin necesidad de ofrecer ninguna justificación a los tribunales”</w:t>
      </w:r>
      <w:r w:rsidR="00F941DF">
        <w:t>.</w:t>
      </w:r>
      <w:r>
        <w:rPr>
          <w:rStyle w:val="Refdenotaalpie"/>
        </w:rPr>
        <w:footnoteReference w:id="6"/>
      </w:r>
      <w:r>
        <w:t xml:space="preserve"> Por el contrario, en una cultura de la justificación, “el liderazgo del gobierno descansa en la contundencia de los argumentos que ofrece en defensa de sus decisiones, no en el miedo que inspira la fuerza de </w:t>
      </w:r>
      <w:r>
        <w:lastRenderedPageBreak/>
        <w:t>sus órdenes”</w:t>
      </w:r>
      <w:r>
        <w:rPr>
          <w:rStyle w:val="Refdenotaalpie"/>
        </w:rPr>
        <w:footnoteReference w:id="7"/>
      </w:r>
      <w:r w:rsidR="002B66F6">
        <w:t>.</w:t>
      </w:r>
      <w:r>
        <w:t xml:space="preserve"> Una cultura de la justificación se basa en la persuasión, no en la coerción, una cultura en la que es costumbre que todo ejercicio del poder se justifique apelando a razones públicas cuya compatibilidad con los valores constitucionales se garantiza mediante una revisión independiente.  </w:t>
      </w:r>
    </w:p>
    <w:p w14:paraId="55994AC8" w14:textId="66C95E59" w:rsidR="008E50ED" w:rsidRDefault="00615278" w:rsidP="008E50ED">
      <w:pPr>
        <w:spacing w:line="360" w:lineRule="auto"/>
        <w:ind w:right="-291" w:firstLine="709"/>
        <w:jc w:val="both"/>
      </w:pPr>
      <w:r>
        <w:t xml:space="preserve">David </w:t>
      </w:r>
      <w:r w:rsidR="008E50ED">
        <w:t xml:space="preserve">Dyzenhaus </w:t>
      </w:r>
      <w:r>
        <w:t xml:space="preserve">ha </w:t>
      </w:r>
      <w:r w:rsidR="008E50ED">
        <w:t>desarrolla</w:t>
      </w:r>
      <w:r>
        <w:t>do</w:t>
      </w:r>
      <w:r w:rsidR="008E50ED">
        <w:t xml:space="preserve"> esta noción, estableciendo una taxonomía más compleja de culturas </w:t>
      </w:r>
      <w:r w:rsidR="008E50ED" w:rsidRPr="00D95A1E">
        <w:t>jurídicas</w:t>
      </w:r>
      <w:r w:rsidR="008E50ED">
        <w:t xml:space="preserve"> que la pergeñada por</w:t>
      </w:r>
      <w:r w:rsidR="008E50ED" w:rsidRPr="00D95A1E">
        <w:t xml:space="preserve"> Mureinik</w:t>
      </w:r>
      <w:r w:rsidR="008E50ED">
        <w:rPr>
          <w:rStyle w:val="Refdenotaalpie"/>
        </w:rPr>
        <w:footnoteReference w:id="8"/>
      </w:r>
      <w:r w:rsidR="002B66F6">
        <w:t>.</w:t>
      </w:r>
      <w:r w:rsidR="008E50ED" w:rsidRPr="00D95A1E">
        <w:t xml:space="preserve"> </w:t>
      </w:r>
      <w:r w:rsidR="008E50ED">
        <w:t xml:space="preserve">Según esta nueva clasificación, la cultura de la justificación ocuparía un terreno intermedio entre la “cultura positivista del reflejo” y la “cultura liberal de la neutralidad”. </w:t>
      </w:r>
      <w:r w:rsidR="008E50ED" w:rsidRPr="00D95A1E">
        <w:t>En p</w:t>
      </w:r>
      <w:r w:rsidR="008E50ED">
        <w:t xml:space="preserve">rimer lugar, en lugar </w:t>
      </w:r>
      <w:r w:rsidR="008E50ED" w:rsidRPr="00D95A1E">
        <w:t xml:space="preserve">de </w:t>
      </w:r>
      <w:r w:rsidR="008E50ED">
        <w:t xml:space="preserve">la </w:t>
      </w:r>
      <w:r w:rsidR="008E50ED" w:rsidRPr="00D95A1E">
        <w:t>“cultura de la autoridad”</w:t>
      </w:r>
      <w:r w:rsidR="008E50ED">
        <w:t xml:space="preserve"> de Mureinik</w:t>
      </w:r>
      <w:r w:rsidR="008E50ED" w:rsidRPr="00D95A1E">
        <w:t>, Dyzenhaus designa</w:t>
      </w:r>
      <w:r w:rsidR="008E50ED">
        <w:t xml:space="preserve"> como “cultura del reflejo” aquella cultura jurídica en la que el Derecho se limita a comunicar</w:t>
      </w:r>
      <w:r w:rsidR="008E50ED" w:rsidRPr="00D95A1E">
        <w:t xml:space="preserve"> los juicios hechos en la arena política</w:t>
      </w:r>
      <w:r w:rsidR="008E50ED">
        <w:t xml:space="preserve"> por la mayoría. El Derecho propiamente dicho es la legislación procedente del Parlamento, la expresión resultante de la deliberación política. Los jueces deben aplicar</w:t>
      </w:r>
      <w:r w:rsidR="008E50ED" w:rsidRPr="00D95A1E">
        <w:t xml:space="preserve"> sumisamente la voluntad claramente expresada de los legisladores</w:t>
      </w:r>
      <w:r w:rsidR="008E50ED">
        <w:t xml:space="preserve">, y los ciudadanos han de obedecer las leyes tal y como son. Se trata, pues, de una cultura jurídica basada en la autoridad y la obediencia, lo cual no significa que se trate de una cultura de por sí autoritaria. En su forma más radical, es decir, en el ideal político de Bentham, la cultura del reflejo es legítima sólo si las instituciones están abiertas a las reformas legislativas que exigen los ciudadanos a la luz de los efectos de las leyes. Sólo si pierde su legitimidad democrática, una cultura de este tipo puede devenir en autoritaria (como ocurrió en Sudáfrica). Para nuestros propósitos, cabría decir que ésta es la cultura de la legalidad que defiende el constitucionalismo político. </w:t>
      </w:r>
    </w:p>
    <w:p w14:paraId="74D6B3AB" w14:textId="692CA3C1" w:rsidR="008E50ED" w:rsidRDefault="008E50ED" w:rsidP="008E50ED">
      <w:pPr>
        <w:spacing w:line="360" w:lineRule="auto"/>
        <w:ind w:right="-291" w:firstLine="709"/>
        <w:jc w:val="both"/>
      </w:pPr>
      <w:r>
        <w:t>El constitucionalismo liberal, por su parte, vindica una “cultura de la neutralidad”. En este tipo de cultura jurídica el Derecho se utiliza como medio para preservar una serie de principios morales a salvo de la democracia. Tales principios están dirigidos a garantizar la autonomía individual, de modo que cualquier acción estatal es ilegítima cuando infringe el derecho fundamental de los individuos a decidir por sí mismos cómo vivir sus vidas. En este sentido, los principios liberales expresan la verdadera voz de la razón pública, puesto que delimitan el ámbito de la acción legítima del Estado, y son los tribunales quienes están encargados de determinar su naturaleza y alcance. La legislación democrática es una forma inferior de Derecho, cuya legitimidad depende de su compatibilidad con la definición judicial de los límites de la razón pública</w:t>
      </w:r>
      <w:r>
        <w:rPr>
          <w:rStyle w:val="Refdenotaalpie"/>
        </w:rPr>
        <w:footnoteReference w:id="9"/>
      </w:r>
      <w:r w:rsidR="002B66F6">
        <w:t>.</w:t>
      </w:r>
    </w:p>
    <w:p w14:paraId="6BB79F3B" w14:textId="05F05E91" w:rsidR="008E50ED" w:rsidRDefault="008E50ED" w:rsidP="008E50ED">
      <w:pPr>
        <w:spacing w:line="360" w:lineRule="auto"/>
        <w:ind w:right="-291" w:firstLine="709"/>
        <w:jc w:val="both"/>
      </w:pPr>
      <w:r>
        <w:lastRenderedPageBreak/>
        <w:t>La cultura de la justificación que defiende la teoría de la legalidad como razón pública comparte con el constitucionalismo político la idea de que el m</w:t>
      </w:r>
      <w:r w:rsidR="005907EF">
        <w:t>odo primordial de producir Derecho</w:t>
      </w:r>
      <w:r>
        <w:t xml:space="preserve"> es el procedimiento democrático, de modo que el papel de los jueces en el orden jurídico es derivado de una teoría de la legislación en lugar de una teoría de la interpretación judicial. Y comparte con el constitucionalismo liberal la noción de que el núcleo de la función judicial es proteger los principios f</w:t>
      </w:r>
      <w:r w:rsidR="00DE3FD2">
        <w:t>undamentales del D</w:t>
      </w:r>
      <w:r>
        <w:t xml:space="preserve">erecho. Pero esos principios no tienen el tipo de contenido que defienden los liberales (no tienen un contenido determinado por los jueces que las leyes y las decisiones ejecutivas deben respetar para ser válidas). Son, como veremos en el siguiente apartado, los principios inherentes al orden jurídico, que a su vez articulan el principio básico de la democracia: </w:t>
      </w:r>
    </w:p>
    <w:p w14:paraId="7E647ADD" w14:textId="19503BC5" w:rsidR="008E50ED" w:rsidRPr="00342E28" w:rsidRDefault="008E50ED" w:rsidP="008E50ED">
      <w:pPr>
        <w:spacing w:before="120" w:after="130" w:line="360" w:lineRule="auto"/>
        <w:ind w:left="851" w:right="-291"/>
        <w:jc w:val="both"/>
        <w:rPr>
          <w:sz w:val="22"/>
          <w:szCs w:val="22"/>
        </w:rPr>
      </w:pPr>
      <w:r w:rsidRPr="00E64A44">
        <w:rPr>
          <w:sz w:val="22"/>
          <w:szCs w:val="22"/>
        </w:rPr>
        <w:t>El principio básico es que todas las decisiones respaldadas por la fuerza pública que in</w:t>
      </w:r>
      <w:r>
        <w:rPr>
          <w:sz w:val="22"/>
          <w:szCs w:val="22"/>
        </w:rPr>
        <w:t>voca la autoridad de ‘el pueblo’</w:t>
      </w:r>
      <w:r w:rsidRPr="00E64A44">
        <w:rPr>
          <w:sz w:val="22"/>
          <w:szCs w:val="22"/>
        </w:rPr>
        <w:t xml:space="preserve"> son legítimas sólo si puede mostrarse que son justificables. Y l</w:t>
      </w:r>
      <w:r w:rsidR="00DE3FD2">
        <w:rPr>
          <w:sz w:val="22"/>
          <w:szCs w:val="22"/>
        </w:rPr>
        <w:t>os criterios de justificación</w:t>
      </w:r>
      <w:r w:rsidRPr="00E64A44">
        <w:rPr>
          <w:sz w:val="22"/>
          <w:szCs w:val="22"/>
        </w:rPr>
        <w:t xml:space="preserve"> no pueden ser agrupados en una categoría de susta</w:t>
      </w:r>
      <w:r w:rsidR="00DE3FD2">
        <w:rPr>
          <w:sz w:val="22"/>
          <w:szCs w:val="22"/>
        </w:rPr>
        <w:t>ncia o de procedimiento. E</w:t>
      </w:r>
      <w:r w:rsidRPr="00E64A44">
        <w:rPr>
          <w:sz w:val="22"/>
          <w:szCs w:val="22"/>
        </w:rPr>
        <w:t>n una cultura de la justificación, la determinación del contenido de los criterios sustantivos debe ser siempre al menos hasta cierto punt</w:t>
      </w:r>
      <w:r w:rsidR="00DE3FD2">
        <w:rPr>
          <w:sz w:val="22"/>
          <w:szCs w:val="22"/>
        </w:rPr>
        <w:t>o una cuestión de procedimiento, y</w:t>
      </w:r>
      <w:r w:rsidRPr="00E64A44">
        <w:rPr>
          <w:sz w:val="22"/>
          <w:szCs w:val="22"/>
        </w:rPr>
        <w:t xml:space="preserve"> los criterios para seleccionar el procedimiento correcto se adoptan muy a</w:t>
      </w:r>
      <w:r>
        <w:rPr>
          <w:sz w:val="22"/>
          <w:szCs w:val="22"/>
        </w:rPr>
        <w:t xml:space="preserve"> menudo por razones sustantivas</w:t>
      </w:r>
      <w:r w:rsidRPr="00E64A44">
        <w:rPr>
          <w:rStyle w:val="Refdenotaalpie"/>
          <w:sz w:val="22"/>
          <w:szCs w:val="22"/>
        </w:rPr>
        <w:footnoteReference w:id="10"/>
      </w:r>
      <w:r w:rsidR="002B66F6">
        <w:rPr>
          <w:sz w:val="22"/>
          <w:szCs w:val="22"/>
        </w:rPr>
        <w:t>.</w:t>
      </w:r>
    </w:p>
    <w:p w14:paraId="6FCA67CB" w14:textId="7A02B724" w:rsidR="008E50ED" w:rsidRDefault="008E50ED" w:rsidP="008E50ED">
      <w:pPr>
        <w:spacing w:line="360" w:lineRule="auto"/>
        <w:ind w:right="-291" w:firstLine="709"/>
        <w:jc w:val="both"/>
      </w:pPr>
      <w:r>
        <w:t>Por tanto, aunque la cultura liberal de la neutralidad pueda considerarse también una cultura de la justificación, se trata de una concepción excesivamente limitada de la misma, que recorta el requerimiento de justificación de un modo inaceptable desde un punto de vista democrático. Para la legalidad como razón pública, por el contrario, los principios de la legalidad son “las restricciones de una justificación adecuada”, por lo que “no pueden concebirse como restricciones sobre la democracia, sino como sus facilitadores”</w:t>
      </w:r>
      <w:r>
        <w:rPr>
          <w:rStyle w:val="Refdenotaalpie"/>
        </w:rPr>
        <w:footnoteReference w:id="11"/>
      </w:r>
      <w:r w:rsidR="002B66F6">
        <w:t>.</w:t>
      </w:r>
      <w:r>
        <w:t xml:space="preserve"> No hay, pues, para esta concepción, ningún derecho “que, como cuestión de principio, deba considerarse tan determinado, que pueda o deba ser inmune a la determinación a través de un proceso de justificación”</w:t>
      </w:r>
      <w:r>
        <w:rPr>
          <w:rStyle w:val="Refdenotaalpie"/>
        </w:rPr>
        <w:footnoteReference w:id="12"/>
      </w:r>
      <w:r w:rsidR="002B66F6">
        <w:t>.</w:t>
      </w:r>
    </w:p>
    <w:p w14:paraId="42FCCC29" w14:textId="735435D9" w:rsidR="008E50ED" w:rsidRDefault="008E50ED" w:rsidP="008E50ED">
      <w:pPr>
        <w:spacing w:line="360" w:lineRule="auto"/>
        <w:ind w:right="-291" w:firstLine="709"/>
        <w:jc w:val="both"/>
      </w:pPr>
      <w:r>
        <w:t xml:space="preserve">Por último, una cultura democrática de la justificación está basada en un ideal sustantivo: el de una ciudadanía activa, dotada de los recursos suficientes para obligar a los poderes públicos a dar cuenta de sus decisiones. Este es un ideal típicamente republicano y democrático, que incide en la aspiración de que los ciudadanos sean los autores del Derecho al que están sujetos. Según la teoría de la legalidad como razón pública, este ideal no puede </w:t>
      </w:r>
      <w:r>
        <w:lastRenderedPageBreak/>
        <w:t>realizarse plenamente si se confina su realización institucional en los mecanismos</w:t>
      </w:r>
      <w:r w:rsidR="00DE3FD2">
        <w:t xml:space="preserve"> de la democracia parlamentaria</w:t>
      </w:r>
      <w:r>
        <w:t xml:space="preserve"> </w:t>
      </w:r>
      <w:r w:rsidR="00DE3FD2">
        <w:t>(especialmente en un</w:t>
      </w:r>
      <w:r>
        <w:t xml:space="preserve"> context</w:t>
      </w:r>
      <w:r w:rsidR="00DE3FD2">
        <w:t xml:space="preserve">o como </w:t>
      </w:r>
      <w:r>
        <w:t>el actual Estado administrativo, en el que el contenido de la legislación depende en gran medida de su interpretación por los órganos administrativos</w:t>
      </w:r>
      <w:r w:rsidR="00DE3FD2">
        <w:t>)</w:t>
      </w:r>
      <w:r>
        <w:t xml:space="preserve">. En una cultura de la justificación, la idea republicana de la libertad como no dominación se realiza por los mecanismos institucionales situados más allá del Parlamento, en lo que aquí he denominado la ‘segunda parte de la democracia deliberativa’. </w:t>
      </w:r>
    </w:p>
    <w:p w14:paraId="77310CA5" w14:textId="77777777" w:rsidR="008E50ED" w:rsidRDefault="008E50ED" w:rsidP="008E50ED">
      <w:pPr>
        <w:spacing w:line="360" w:lineRule="auto"/>
        <w:ind w:right="-291"/>
        <w:jc w:val="both"/>
      </w:pPr>
    </w:p>
    <w:p w14:paraId="2FBF0849" w14:textId="77777777" w:rsidR="00A257BF" w:rsidRDefault="004F1C85" w:rsidP="008E50ED">
      <w:pPr>
        <w:spacing w:line="360" w:lineRule="auto"/>
        <w:ind w:right="-291"/>
        <w:jc w:val="both"/>
        <w:rPr>
          <w:b/>
        </w:rPr>
      </w:pPr>
      <w:r>
        <w:rPr>
          <w:b/>
        </w:rPr>
        <w:t xml:space="preserve">3. </w:t>
      </w:r>
      <w:r w:rsidR="00A257BF" w:rsidRPr="00A257BF">
        <w:rPr>
          <w:b/>
        </w:rPr>
        <w:t xml:space="preserve">Constitucionalismo </w:t>
      </w:r>
      <w:r w:rsidR="00A257BF" w:rsidRPr="004F1C85">
        <w:rPr>
          <w:b/>
          <w:i/>
        </w:rPr>
        <w:t>common law</w:t>
      </w:r>
    </w:p>
    <w:p w14:paraId="4EAD9330" w14:textId="77777777" w:rsidR="004F1C85" w:rsidRPr="00A257BF" w:rsidRDefault="004F1C85" w:rsidP="008E50ED">
      <w:pPr>
        <w:spacing w:line="360" w:lineRule="auto"/>
        <w:ind w:right="-291"/>
        <w:jc w:val="both"/>
        <w:rPr>
          <w:b/>
        </w:rPr>
      </w:pPr>
    </w:p>
    <w:p w14:paraId="73F47AE4" w14:textId="06E41D74" w:rsidR="00C0002D" w:rsidRDefault="00A257BF" w:rsidP="00A257BF">
      <w:pPr>
        <w:spacing w:line="360" w:lineRule="auto"/>
        <w:ind w:right="-291"/>
        <w:jc w:val="both"/>
        <w:rPr>
          <w:rFonts w:eastAsia="MS Mincho"/>
        </w:rPr>
      </w:pPr>
      <w:r w:rsidRPr="00A257BF">
        <w:rPr>
          <w:rFonts w:eastAsia="MS Mincho"/>
        </w:rPr>
        <w:t xml:space="preserve">El estilo </w:t>
      </w:r>
      <w:r w:rsidRPr="00615278">
        <w:rPr>
          <w:rFonts w:eastAsia="MS Mincho"/>
          <w:i/>
        </w:rPr>
        <w:t>common law</w:t>
      </w:r>
      <w:r w:rsidRPr="00A257BF">
        <w:rPr>
          <w:rFonts w:eastAsia="MS Mincho"/>
        </w:rPr>
        <w:t xml:space="preserve"> de razonamiento supone una idea de la relación entre las autoridades legislativa y judicial en la que ambas participan en </w:t>
      </w:r>
      <w:r w:rsidR="00DE3FD2">
        <w:rPr>
          <w:rFonts w:eastAsia="MS Mincho"/>
        </w:rPr>
        <w:t>la realización de la razón del D</w:t>
      </w:r>
      <w:r w:rsidRPr="00A257BF">
        <w:rPr>
          <w:rFonts w:eastAsia="MS Mincho"/>
        </w:rPr>
        <w:t xml:space="preserve">erecho como un proyecto común. No hay rivalidad, ni competencia por la soberanía, dado que la tarea de ejercer la autoridad se concibe como una empresa común. En este apartado argumentaré que la relación de los jueces con los legisladores en el modelo colaborativo no difiere en lo esencial de la relación que han mantenido ambos poderes en la tradición del </w:t>
      </w:r>
      <w:r w:rsidRPr="00615278">
        <w:rPr>
          <w:rFonts w:eastAsia="MS Mincho"/>
          <w:i/>
        </w:rPr>
        <w:t>common law</w:t>
      </w:r>
      <w:r w:rsidRPr="00A257BF">
        <w:rPr>
          <w:rFonts w:eastAsia="MS Mincho"/>
        </w:rPr>
        <w:t>. Aunque en dicha tradición la interpretac</w:t>
      </w:r>
      <w:r w:rsidR="00433E7B">
        <w:rPr>
          <w:rFonts w:eastAsia="MS Mincho"/>
        </w:rPr>
        <w:t>ión del Derecho corresponde en principio a los jueces, la protección de los derechos individuales ha supuesto siempre</w:t>
      </w:r>
      <w:r w:rsidRPr="00A257BF">
        <w:rPr>
          <w:rFonts w:eastAsia="MS Mincho"/>
        </w:rPr>
        <w:t xml:space="preserve"> el papel cooperativo de las instituciones políticas. El modelo colaborativo actual refuerza esa cooperación exigiendo a los jueces que interpreten las leyes de modo que resulten consistentes con los derechos protegidos, y permitiendo a los legisladores responder a las decisiones del tribunal supremo mediante legislación ordinaria. Como veremos al final de este apartado, la transformación más importante del modelo colaborativo respecto a </w:t>
      </w:r>
      <w:r>
        <w:rPr>
          <w:rFonts w:eastAsia="MS Mincho"/>
        </w:rPr>
        <w:t xml:space="preserve">la </w:t>
      </w:r>
      <w:r w:rsidRPr="00A257BF">
        <w:rPr>
          <w:rFonts w:eastAsia="MS Mincho"/>
        </w:rPr>
        <w:t xml:space="preserve">tradición </w:t>
      </w:r>
      <w:r w:rsidRPr="00615278">
        <w:rPr>
          <w:rFonts w:eastAsia="MS Mincho"/>
          <w:i/>
        </w:rPr>
        <w:t>common law</w:t>
      </w:r>
      <w:r w:rsidRPr="00A257BF">
        <w:rPr>
          <w:rFonts w:eastAsia="MS Mincho"/>
        </w:rPr>
        <w:t xml:space="preserve"> ha sido obligar a los jueces a superar su habitual sumisión al principio de soberanía parlamentaria.  </w:t>
      </w:r>
    </w:p>
    <w:p w14:paraId="051B7099" w14:textId="6D49DA58" w:rsidR="00C0002D" w:rsidRDefault="00A257BF" w:rsidP="00C0002D">
      <w:pPr>
        <w:spacing w:line="360" w:lineRule="auto"/>
        <w:ind w:right="-289" w:firstLine="709"/>
        <w:jc w:val="both"/>
        <w:rPr>
          <w:rFonts w:eastAsia="MS Mincho"/>
        </w:rPr>
      </w:pPr>
      <w:r w:rsidRPr="00A257BF">
        <w:rPr>
          <w:rFonts w:eastAsia="MS Mincho"/>
        </w:rPr>
        <w:t xml:space="preserve">Tradicionalmente, los jueces de los sistemas jurídicos </w:t>
      </w:r>
      <w:r w:rsidRPr="00615278">
        <w:rPr>
          <w:rFonts w:eastAsia="MS Mincho"/>
          <w:i/>
        </w:rPr>
        <w:t>common law</w:t>
      </w:r>
      <w:r w:rsidRPr="00A257BF">
        <w:rPr>
          <w:rFonts w:eastAsia="MS Mincho"/>
        </w:rPr>
        <w:t xml:space="preserve"> podían revisar la legalidad de las disposiciones de Derecho penal y Derecho administrativo, garantizando unos principios de equidad y una serie de derechos “no escritos”. De este modo, mediante las ‘presunciones </w:t>
      </w:r>
      <w:r w:rsidRPr="00615278">
        <w:rPr>
          <w:rFonts w:eastAsia="MS Mincho"/>
          <w:i/>
        </w:rPr>
        <w:t>common law</w:t>
      </w:r>
      <w:r w:rsidRPr="00A257BF">
        <w:rPr>
          <w:rFonts w:eastAsia="MS Mincho"/>
        </w:rPr>
        <w:t xml:space="preserve">’, los jueces llamaban la atención del legislador y del gobierno respecto a la importancia de ciertos valores que de otro modo podían ser ignorados por las leyes </w:t>
      </w:r>
      <w:r w:rsidR="00433E7B">
        <w:rPr>
          <w:rFonts w:eastAsia="MS Mincho"/>
        </w:rPr>
        <w:t>o los actos administrativos. Una de estas presuncio</w:t>
      </w:r>
      <w:r w:rsidRPr="00A257BF">
        <w:rPr>
          <w:rFonts w:eastAsia="MS Mincho"/>
        </w:rPr>
        <w:t>n</w:t>
      </w:r>
      <w:r w:rsidR="00433E7B">
        <w:rPr>
          <w:rFonts w:eastAsia="MS Mincho"/>
        </w:rPr>
        <w:t xml:space="preserve">es </w:t>
      </w:r>
      <w:r w:rsidR="00DC44D9">
        <w:rPr>
          <w:rFonts w:eastAsia="MS Mincho"/>
        </w:rPr>
        <w:t xml:space="preserve">obligaba a interpretar </w:t>
      </w:r>
      <w:r w:rsidRPr="00A257BF">
        <w:rPr>
          <w:rFonts w:eastAsia="MS Mincho"/>
        </w:rPr>
        <w:t xml:space="preserve">que, en ausencia de una expresa declaración en contrario, el parlamento no pretendía imponer una responsabilidad criminal retrospectiva. </w:t>
      </w:r>
      <w:r w:rsidR="00DC44D9" w:rsidRPr="00DC44D9">
        <w:rPr>
          <w:rFonts w:eastAsia="MS Mincho"/>
          <w:lang w:val="es-ES"/>
        </w:rPr>
        <w:t>En este senti</w:t>
      </w:r>
      <w:r w:rsidR="00DC44D9">
        <w:rPr>
          <w:rFonts w:eastAsia="MS Mincho"/>
          <w:lang w:val="es-ES"/>
        </w:rPr>
        <w:t xml:space="preserve">do, </w:t>
      </w:r>
      <w:r w:rsidRPr="00DC44D9">
        <w:rPr>
          <w:rFonts w:eastAsia="MS Mincho"/>
          <w:lang w:val="es-ES"/>
        </w:rPr>
        <w:t>John Willis llegó a hablar de “</w:t>
      </w:r>
      <w:r w:rsidRPr="00DC44D9">
        <w:rPr>
          <w:rFonts w:eastAsia="MS Mincho"/>
          <w:i/>
          <w:lang w:val="es-ES"/>
        </w:rPr>
        <w:t xml:space="preserve">a </w:t>
      </w:r>
      <w:r w:rsidRPr="00DC44D9">
        <w:rPr>
          <w:rFonts w:eastAsia="MS Mincho"/>
          <w:i/>
          <w:lang w:val="es-ES"/>
        </w:rPr>
        <w:lastRenderedPageBreak/>
        <w:t>common law Bill of Rights</w:t>
      </w:r>
      <w:r w:rsidR="002B66F6">
        <w:rPr>
          <w:rFonts w:eastAsia="MS Mincho"/>
          <w:lang w:val="es-ES"/>
        </w:rPr>
        <w:t>”</w:t>
      </w:r>
      <w:r>
        <w:rPr>
          <w:rStyle w:val="Refdenotaalpie"/>
          <w:rFonts w:eastAsia="MS Mincho"/>
          <w:lang w:val="en-GB"/>
        </w:rPr>
        <w:footnoteReference w:id="13"/>
      </w:r>
      <w:r w:rsidR="002B66F6" w:rsidRPr="002B66F6">
        <w:rPr>
          <w:rFonts w:eastAsia="MS Mincho"/>
          <w:lang w:val="es-ES"/>
        </w:rPr>
        <w:t>.</w:t>
      </w:r>
      <w:r w:rsidRPr="00DC44D9">
        <w:rPr>
          <w:rFonts w:eastAsia="MS Mincho"/>
          <w:lang w:val="es-ES"/>
        </w:rPr>
        <w:t xml:space="preserve"> </w:t>
      </w:r>
      <w:r w:rsidRPr="00A257BF">
        <w:rPr>
          <w:rFonts w:eastAsia="MS Mincho"/>
        </w:rPr>
        <w:t xml:space="preserve">No obstante, los tribunales no tenían necesariamente la última palabra. Las decisiones judiciales podían ser revisadas o rechazadas por el legislativo, mediante el ejercicio normal de su actividad normativa, en aquellos casos donde éste estaba dispuesto a desplazar claramente las normas producidas por los jueces. Si los jueces aplicaban una ‘presunción </w:t>
      </w:r>
      <w:r w:rsidRPr="00615278">
        <w:rPr>
          <w:rFonts w:eastAsia="MS Mincho"/>
          <w:i/>
        </w:rPr>
        <w:t>common law</w:t>
      </w:r>
      <w:r w:rsidRPr="00A257BF">
        <w:rPr>
          <w:rFonts w:eastAsia="MS Mincho"/>
        </w:rPr>
        <w:t>’ de un modo que la sociedad consideraba errónea o inaceptable, la respuesta era simplemente promulgar nueva legislación que desplazara claramente la decisión judicial. De este modo, se salvaguardaba el principio</w:t>
      </w:r>
      <w:r>
        <w:rPr>
          <w:rFonts w:eastAsia="MS Mincho"/>
        </w:rPr>
        <w:t xml:space="preserve"> de la soberanía parlamentaria.</w:t>
      </w:r>
      <w:r w:rsidRPr="00A257BF">
        <w:rPr>
          <w:rFonts w:eastAsia="MS Mincho"/>
        </w:rPr>
        <w:t xml:space="preserve"> </w:t>
      </w:r>
    </w:p>
    <w:p w14:paraId="08BB4320" w14:textId="0DEABE48" w:rsidR="00F941DF" w:rsidRDefault="00A257BF" w:rsidP="00C0002D">
      <w:pPr>
        <w:spacing w:line="360" w:lineRule="auto"/>
        <w:ind w:right="-289" w:firstLine="709"/>
        <w:jc w:val="both"/>
        <w:rPr>
          <w:rFonts w:eastAsia="MS Mincho"/>
        </w:rPr>
      </w:pPr>
      <w:r w:rsidRPr="00A257BF">
        <w:rPr>
          <w:rFonts w:eastAsia="MS Mincho"/>
        </w:rPr>
        <w:t xml:space="preserve">Algunos ejemplos relevantes del enfoque </w:t>
      </w:r>
      <w:r w:rsidRPr="00E02783">
        <w:rPr>
          <w:rFonts w:eastAsia="MS Mincho"/>
          <w:i/>
        </w:rPr>
        <w:t>common law</w:t>
      </w:r>
      <w:r w:rsidRPr="00A257BF">
        <w:rPr>
          <w:rFonts w:eastAsia="MS Mincho"/>
        </w:rPr>
        <w:t xml:space="preserve"> de protección de derechos pueden encontrarse en la actuación del Tribunal Supremo canadiense antes de la entrada en vigor de la Carta de 1986 (</w:t>
      </w:r>
      <w:r w:rsidRPr="00F941DF">
        <w:rPr>
          <w:rFonts w:eastAsia="MS Mincho"/>
          <w:i/>
        </w:rPr>
        <w:t>the Charter</w:t>
      </w:r>
      <w:r w:rsidRPr="00A257BF">
        <w:rPr>
          <w:rFonts w:eastAsia="MS Mincho"/>
        </w:rPr>
        <w:t>)</w:t>
      </w:r>
      <w:r>
        <w:rPr>
          <w:rStyle w:val="Refdenotaalpie"/>
          <w:rFonts w:eastAsia="MS Mincho"/>
        </w:rPr>
        <w:footnoteReference w:id="14"/>
      </w:r>
      <w:r w:rsidR="002B66F6">
        <w:rPr>
          <w:rFonts w:eastAsia="MS Mincho"/>
        </w:rPr>
        <w:t>.</w:t>
      </w:r>
      <w:r w:rsidRPr="00A257BF">
        <w:rPr>
          <w:rFonts w:eastAsia="MS Mincho"/>
        </w:rPr>
        <w:t xml:space="preserve"> En el ámbito de Derecho penal, el Tribunal articuló claramente su presunción </w:t>
      </w:r>
      <w:r w:rsidRPr="00DC44D9">
        <w:rPr>
          <w:rFonts w:eastAsia="MS Mincho"/>
          <w:i/>
        </w:rPr>
        <w:t>common law</w:t>
      </w:r>
      <w:r w:rsidRPr="00A257BF">
        <w:rPr>
          <w:rFonts w:eastAsia="MS Mincho"/>
        </w:rPr>
        <w:t xml:space="preserve"> </w:t>
      </w:r>
      <w:r w:rsidR="002B66F6">
        <w:rPr>
          <w:rFonts w:eastAsia="MS Mincho"/>
        </w:rPr>
        <w:t xml:space="preserve">de </w:t>
      </w:r>
      <w:r w:rsidR="00DC44D9">
        <w:rPr>
          <w:rFonts w:eastAsia="MS Mincho"/>
        </w:rPr>
        <w:t>“</w:t>
      </w:r>
      <w:r w:rsidRPr="00DC44D9">
        <w:rPr>
          <w:rFonts w:eastAsia="MS Mincho"/>
          <w:i/>
        </w:rPr>
        <w:t>mens rea</w:t>
      </w:r>
      <w:r w:rsidR="00DC44D9">
        <w:rPr>
          <w:rFonts w:eastAsia="MS Mincho"/>
        </w:rPr>
        <w:t>”</w:t>
      </w:r>
      <w:r w:rsidR="002B66F6">
        <w:rPr>
          <w:rFonts w:eastAsia="MS Mincho"/>
        </w:rPr>
        <w:t xml:space="preserve"> (dolo) en el caso </w:t>
      </w:r>
      <w:r w:rsidRPr="00F941DF">
        <w:rPr>
          <w:rFonts w:eastAsia="MS Mincho"/>
          <w:i/>
        </w:rPr>
        <w:t>R. v. Beaver</w:t>
      </w:r>
      <w:r w:rsidR="002B66F6">
        <w:rPr>
          <w:rFonts w:eastAsia="MS Mincho"/>
        </w:rPr>
        <w:t>, donde se inculpaba a los hermanos Beaver de posesión de una droga ilegal a pesar de que ellos afirmaban creer que era leche en polvo</w:t>
      </w:r>
      <w:r>
        <w:rPr>
          <w:rStyle w:val="Refdenotaalpie"/>
          <w:rFonts w:eastAsia="MS Mincho"/>
        </w:rPr>
        <w:footnoteReference w:id="15"/>
      </w:r>
      <w:r w:rsidR="002B66F6">
        <w:rPr>
          <w:rFonts w:eastAsia="MS Mincho"/>
        </w:rPr>
        <w:t>.</w:t>
      </w:r>
      <w:r w:rsidRPr="00A257BF">
        <w:rPr>
          <w:rFonts w:eastAsia="MS Mincho"/>
        </w:rPr>
        <w:t xml:space="preserve"> El Derecho penal canadiense de aquel momento penalizaba la posesión de drogas ilegales con independencia de la intención de quien las portase. En la revocación de la sentencia condenatoria de los Beaver, el Tribunal expresó elocuentemente la injusticia que suponía condenar a algu</w:t>
      </w:r>
      <w:r>
        <w:rPr>
          <w:rFonts w:eastAsia="MS Mincho"/>
        </w:rPr>
        <w:t xml:space="preserve">ien en ausencia de una </w:t>
      </w:r>
      <w:r w:rsidRPr="00A257BF">
        <w:rPr>
          <w:rFonts w:eastAsia="MS Mincho"/>
        </w:rPr>
        <w:t>voluntad deliberada de c</w:t>
      </w:r>
      <w:r w:rsidR="002B66F6">
        <w:rPr>
          <w:rFonts w:eastAsia="MS Mincho"/>
        </w:rPr>
        <w:t>ometer un delito, y desafió al P</w:t>
      </w:r>
      <w:r w:rsidRPr="00A257BF">
        <w:rPr>
          <w:rFonts w:eastAsia="MS Mincho"/>
        </w:rPr>
        <w:t xml:space="preserve">arlamento a declarar expresamente que esa injusticia era una consecuencia deseada de su legislación. Años más tarde, en el caso </w:t>
      </w:r>
      <w:r w:rsidRPr="00F941DF">
        <w:rPr>
          <w:rFonts w:eastAsia="MS Mincho"/>
          <w:i/>
        </w:rPr>
        <w:t>Sault Ste. Marie</w:t>
      </w:r>
      <w:r>
        <w:rPr>
          <w:rStyle w:val="Refdenotaalpie"/>
          <w:rFonts w:eastAsia="MS Mincho"/>
        </w:rPr>
        <w:footnoteReference w:id="16"/>
      </w:r>
      <w:r w:rsidR="002B66F6">
        <w:rPr>
          <w:rFonts w:eastAsia="MS Mincho"/>
        </w:rPr>
        <w:t>,</w:t>
      </w:r>
      <w:r w:rsidRPr="00A257BF">
        <w:rPr>
          <w:rFonts w:eastAsia="MS Mincho"/>
        </w:rPr>
        <w:t xml:space="preserve"> el juez Dickson reafirmó </w:t>
      </w:r>
      <w:r w:rsidR="002B66F6">
        <w:rPr>
          <w:rFonts w:eastAsia="MS Mincho"/>
        </w:rPr>
        <w:t xml:space="preserve">(en nombre de la mayoría del tribunal) </w:t>
      </w:r>
      <w:r w:rsidRPr="00A257BF">
        <w:rPr>
          <w:rFonts w:eastAsia="MS Mincho"/>
        </w:rPr>
        <w:t>esta posición, manifestando con sus argumentos un principio de equidad hacia los acusados</w:t>
      </w:r>
      <w:r w:rsidR="002B66F6">
        <w:rPr>
          <w:rFonts w:eastAsia="MS Mincho"/>
        </w:rPr>
        <w:t xml:space="preserve"> de un delito que </w:t>
      </w:r>
      <w:r w:rsidRPr="00A257BF">
        <w:rPr>
          <w:rFonts w:eastAsia="MS Mincho"/>
        </w:rPr>
        <w:t xml:space="preserve">el legislativo no tuvo en cuenta </w:t>
      </w:r>
      <w:r w:rsidR="002B66F6">
        <w:rPr>
          <w:rFonts w:eastAsia="MS Mincho"/>
        </w:rPr>
        <w:t xml:space="preserve">probablemente </w:t>
      </w:r>
      <w:r w:rsidRPr="00A257BF">
        <w:rPr>
          <w:rFonts w:eastAsia="MS Mincho"/>
        </w:rPr>
        <w:t>al producir s</w:t>
      </w:r>
      <w:r w:rsidR="00D370FB">
        <w:rPr>
          <w:rFonts w:eastAsia="MS Mincho"/>
        </w:rPr>
        <w:t>u legislación penal. Como ha observado Kent</w:t>
      </w:r>
      <w:r w:rsidRPr="00A257BF">
        <w:rPr>
          <w:rFonts w:eastAsia="MS Mincho"/>
        </w:rPr>
        <w:t xml:space="preserve"> Roach, este tipo de casos representa “un excelente ejemplo de cómo el Tribunal puede iniciar y estructurar un diálogo con el legislativo y cómo la judicatura puede aportar sus propias preocupaciones y puntos de vista al diálogo sin tener neces</w:t>
      </w:r>
      <w:r w:rsidR="00F941DF">
        <w:rPr>
          <w:rFonts w:eastAsia="MS Mincho"/>
        </w:rPr>
        <w:t>ariamente la última palabra”.</w:t>
      </w:r>
      <w:r w:rsidR="00F941DF">
        <w:rPr>
          <w:rStyle w:val="Refdenotaalpie"/>
          <w:rFonts w:eastAsia="MS Mincho"/>
        </w:rPr>
        <w:footnoteReference w:id="17"/>
      </w:r>
      <w:r w:rsidRPr="00A257BF">
        <w:rPr>
          <w:rFonts w:eastAsia="MS Mincho"/>
        </w:rPr>
        <w:t xml:space="preserve"> </w:t>
      </w:r>
    </w:p>
    <w:p w14:paraId="130AD62E" w14:textId="6390EEBE" w:rsidR="00F941DF" w:rsidRDefault="00A257BF" w:rsidP="00F941DF">
      <w:pPr>
        <w:spacing w:line="360" w:lineRule="auto"/>
        <w:ind w:right="-289" w:firstLine="709"/>
        <w:jc w:val="both"/>
        <w:rPr>
          <w:rFonts w:eastAsia="MS Mincho"/>
        </w:rPr>
      </w:pPr>
      <w:r w:rsidRPr="00A257BF">
        <w:rPr>
          <w:rFonts w:eastAsia="MS Mincho"/>
        </w:rPr>
        <w:lastRenderedPageBreak/>
        <w:t xml:space="preserve">En el ámbito del Derecho administrativo, el caso más famoso es </w:t>
      </w:r>
      <w:r w:rsidRPr="00F941DF">
        <w:rPr>
          <w:rFonts w:eastAsia="MS Mincho"/>
          <w:i/>
        </w:rPr>
        <w:t>Roncarelli v. Duplessis</w:t>
      </w:r>
      <w:r w:rsidR="00F941DF">
        <w:rPr>
          <w:rStyle w:val="Refdenotaalpie"/>
          <w:rFonts w:eastAsia="MS Mincho"/>
        </w:rPr>
        <w:footnoteReference w:id="18"/>
      </w:r>
      <w:r w:rsidR="002B66F6">
        <w:rPr>
          <w:rFonts w:eastAsia="MS Mincho"/>
        </w:rPr>
        <w:t xml:space="preserve">, </w:t>
      </w:r>
      <w:r w:rsidRPr="00A257BF">
        <w:rPr>
          <w:rFonts w:eastAsia="MS Mincho"/>
        </w:rPr>
        <w:t>en el cual se impugnaba el ejercicio de las facultades discrecionales de un funcionario público. Roncarelli era el propietario de un exitoso restaurante en Montreal, pero también un miembro destacado de los Testigos de Jehová durante la época en la que el Primer Ministro de Quebec, Maurice Duplessis, mantenía una esforzada batalla contra el proselitismo de dicha congregación. Por indicación de Duplessis, la Comisión de Licores del Quebec revocó la licencia de Roncarelli para vender bebidas alcohólicas, lo cual supuso, a la postre, el cierre de su negocio. Cuando el caso llegó al Tribunal Supremo, éste anuló la decisión administrativa alegando que la Comisión había abusado de su discrecionalidad al basar su decisión únicamente en el hecho de que el propietario del restaurante hab</w:t>
      </w:r>
      <w:r w:rsidR="002B66F6">
        <w:rPr>
          <w:rFonts w:eastAsia="MS Mincho"/>
        </w:rPr>
        <w:t>ía pagado la fianza de algunos T</w:t>
      </w:r>
      <w:r w:rsidRPr="00A257BF">
        <w:rPr>
          <w:rFonts w:eastAsia="MS Mincho"/>
        </w:rPr>
        <w:t xml:space="preserve">estigos acusados de distribuir y vender materiales sin licencia. Los magistrados que disintieron de la decisión mayoritaria del Tribunal suscribieron la doctrina </w:t>
      </w:r>
      <w:r w:rsidRPr="002B66F6">
        <w:rPr>
          <w:rFonts w:eastAsia="MS Mincho"/>
          <w:i/>
        </w:rPr>
        <w:t>ultra vires</w:t>
      </w:r>
      <w:r w:rsidRPr="00A257BF">
        <w:rPr>
          <w:rFonts w:eastAsia="MS Mincho"/>
        </w:rPr>
        <w:t xml:space="preserve"> como la base legitimadora de la revisión judicial. Según dicha doctrina, los jueces sólo tienen que supervisar que la administración no actúa arbitrariamente o ‘más allá’ de los poderes que le delega el parlamento. La decisión mayoritaria, sin embargo, encabezada por el juez Rand, desafió directamente dicha doctrina, basando el abuso de discrecionalidad en el propósito que sostuvo la cancelación, y no en la supuesta falta de autoridad de quien dictó la medida administrativa. En palabras del juez Rand, “ninguna ley puede entenderse, sin una declaración expresa, como si autorizara un poder arbitrario ilimitado que pueda ejercerse con cualquier propósito, por muy capr</w:t>
      </w:r>
      <w:r w:rsidR="00F941DF">
        <w:rPr>
          <w:rFonts w:eastAsia="MS Mincho"/>
        </w:rPr>
        <w:t>ichoso o irrelevante que sea”</w:t>
      </w:r>
      <w:r w:rsidR="00F941DF">
        <w:rPr>
          <w:rStyle w:val="Refdenotaalpie"/>
          <w:rFonts w:eastAsia="MS Mincho"/>
        </w:rPr>
        <w:footnoteReference w:id="19"/>
      </w:r>
      <w:r w:rsidR="00D370FB">
        <w:rPr>
          <w:rFonts w:eastAsia="MS Mincho"/>
        </w:rPr>
        <w:t>.</w:t>
      </w:r>
      <w:r w:rsidRPr="00A257BF">
        <w:rPr>
          <w:rFonts w:eastAsia="MS Mincho"/>
        </w:rPr>
        <w:t xml:space="preserve"> De este modo, lo importante no era si la intervención de Duplessis había sido o no decisiva en la cancelación de la licencia. Incluso si la Comisión hubiera actuado por su pr</w:t>
      </w:r>
      <w:r w:rsidR="00F941DF">
        <w:rPr>
          <w:rFonts w:eastAsia="MS Mincho"/>
        </w:rPr>
        <w:t xml:space="preserve">opia iniciativa, habría habido </w:t>
      </w:r>
      <w:r w:rsidRPr="00A257BF">
        <w:rPr>
          <w:rFonts w:eastAsia="MS Mincho"/>
        </w:rPr>
        <w:t>igualmente un abuso de discrecionalidad. Lo relevante para</w:t>
      </w:r>
      <w:r w:rsidR="00D370FB">
        <w:rPr>
          <w:rFonts w:eastAsia="MS Mincho"/>
        </w:rPr>
        <w:t xml:space="preserve"> el Tribunal era que la revocación de la licencia </w:t>
      </w:r>
      <w:r w:rsidRPr="00A257BF">
        <w:rPr>
          <w:rFonts w:eastAsia="MS Mincho"/>
        </w:rPr>
        <w:t>se había basado en el ejercicio de un derecho fundamental (la libertad religiosa) sin que la autoridad pública hubiera ofrecido una justificación adecuada para ello. Este razonamiento no suponía una protección absoluta de la libertad religiosa, pero implicaba poner de relieve que había un derecho fundamental en juego. La única respuesta que le quedaba al gobierno era promulgar alguna norma jurídica que explícitamente permitiera al primer ministro revocar l</w:t>
      </w:r>
      <w:r w:rsidR="00D370FB">
        <w:rPr>
          <w:rFonts w:eastAsia="MS Mincho"/>
        </w:rPr>
        <w:t>as licencias de los T</w:t>
      </w:r>
      <w:r w:rsidRPr="00A257BF">
        <w:rPr>
          <w:rFonts w:eastAsia="MS Mincho"/>
        </w:rPr>
        <w:t xml:space="preserve">estigos de Jehovah o de Frank Roncarelli, lo cual habría supuesto anular la presunción </w:t>
      </w:r>
      <w:r w:rsidRPr="00D370FB">
        <w:rPr>
          <w:rFonts w:eastAsia="MS Mincho"/>
          <w:i/>
        </w:rPr>
        <w:t>common law</w:t>
      </w:r>
      <w:r w:rsidRPr="00A257BF">
        <w:rPr>
          <w:rFonts w:eastAsia="MS Mincho"/>
        </w:rPr>
        <w:t xml:space="preserve"> de equidad que el Tribunal había aplicado en su sentencia.  </w:t>
      </w:r>
    </w:p>
    <w:p w14:paraId="21C754FD" w14:textId="13345254" w:rsidR="00F941DF" w:rsidRDefault="00A257BF" w:rsidP="00F941DF">
      <w:pPr>
        <w:spacing w:line="360" w:lineRule="auto"/>
        <w:ind w:right="-289" w:firstLine="709"/>
        <w:jc w:val="both"/>
        <w:rPr>
          <w:rFonts w:eastAsia="MS Mincho"/>
        </w:rPr>
      </w:pPr>
      <w:r w:rsidRPr="00A257BF">
        <w:rPr>
          <w:rFonts w:eastAsia="MS Mincho"/>
        </w:rPr>
        <w:lastRenderedPageBreak/>
        <w:t xml:space="preserve">Por último, en el ámbito de los derechos de los pueblos indígenas, el Tribunal usó el enfoque </w:t>
      </w:r>
      <w:r w:rsidRPr="00D370FB">
        <w:rPr>
          <w:rFonts w:eastAsia="MS Mincho"/>
          <w:i/>
        </w:rPr>
        <w:t>common law</w:t>
      </w:r>
      <w:r w:rsidRPr="00A257BF">
        <w:rPr>
          <w:rFonts w:eastAsia="MS Mincho"/>
        </w:rPr>
        <w:t xml:space="preserve"> de protección de derechos para limitar, hasta cierto punto, el uso de la supremacía parlamentaria en la revocación de los tratados que garantizaban ciertos títulos y derechos de los aborígenes de Canadá antes de ser reconocidos en la Constitución de 1982. </w:t>
      </w:r>
      <w:r w:rsidR="00F941DF">
        <w:rPr>
          <w:rFonts w:eastAsia="MS Mincho"/>
        </w:rPr>
        <w:t xml:space="preserve">En </w:t>
      </w:r>
      <w:r w:rsidR="00F941DF" w:rsidRPr="00F941DF">
        <w:rPr>
          <w:rFonts w:eastAsia="MS Mincho"/>
          <w:i/>
        </w:rPr>
        <w:t>Calder v. British Columbia</w:t>
      </w:r>
      <w:r w:rsidR="00F941DF">
        <w:rPr>
          <w:rStyle w:val="Refdenotaalpie"/>
          <w:rFonts w:eastAsia="MS Mincho"/>
        </w:rPr>
        <w:footnoteReference w:id="20"/>
      </w:r>
      <w:r w:rsidR="00D370FB">
        <w:rPr>
          <w:rFonts w:eastAsia="MS Mincho"/>
        </w:rPr>
        <w:t>,</w:t>
      </w:r>
      <w:r w:rsidRPr="00A257BF">
        <w:rPr>
          <w:rFonts w:eastAsia="MS Mincho"/>
        </w:rPr>
        <w:t xml:space="preserve"> el Tribun</w:t>
      </w:r>
      <w:r w:rsidR="00D370FB">
        <w:rPr>
          <w:rFonts w:eastAsia="MS Mincho"/>
        </w:rPr>
        <w:t>al afirmó que una decisión del P</w:t>
      </w:r>
      <w:r w:rsidRPr="00A257BF">
        <w:rPr>
          <w:rFonts w:eastAsia="MS Mincho"/>
        </w:rPr>
        <w:t>arlamento que pretendiera extinguir los derechos indígena</w:t>
      </w:r>
      <w:r w:rsidR="00F941DF">
        <w:rPr>
          <w:rFonts w:eastAsia="MS Mincho"/>
        </w:rPr>
        <w:t>s debía ser “clara y directa”</w:t>
      </w:r>
      <w:r w:rsidR="00F941DF">
        <w:rPr>
          <w:rStyle w:val="Refdenotaalpie"/>
          <w:rFonts w:eastAsia="MS Mincho"/>
        </w:rPr>
        <w:footnoteReference w:id="21"/>
      </w:r>
      <w:r w:rsidR="00D370FB">
        <w:rPr>
          <w:rFonts w:eastAsia="MS Mincho"/>
        </w:rPr>
        <w:t>,</w:t>
      </w:r>
      <w:r w:rsidRPr="00A257BF">
        <w:rPr>
          <w:rFonts w:eastAsia="MS Mincho"/>
        </w:rPr>
        <w:t xml:space="preserve"> pues en caso contrario se debería entender que la mayoría ejercía el poder de manera inconsistente con tales títulos. Esta protección </w:t>
      </w:r>
      <w:r w:rsidRPr="00D370FB">
        <w:rPr>
          <w:rFonts w:eastAsia="MS Mincho"/>
          <w:i/>
        </w:rPr>
        <w:t>common law</w:t>
      </w:r>
      <w:r w:rsidRPr="00A257BF">
        <w:rPr>
          <w:rFonts w:eastAsia="MS Mincho"/>
        </w:rPr>
        <w:t xml:space="preserve"> de los derechos no proporcionaba una garantía absoluta frente a las decisiones mayoritarias, pero al menos exi</w:t>
      </w:r>
      <w:r w:rsidR="00D370FB">
        <w:rPr>
          <w:rFonts w:eastAsia="MS Mincho"/>
        </w:rPr>
        <w:t>gía al P</w:t>
      </w:r>
      <w:r w:rsidRPr="00A257BF">
        <w:rPr>
          <w:rFonts w:eastAsia="MS Mincho"/>
        </w:rPr>
        <w:t xml:space="preserve">arlamento que hiciera pública su intención mediante una ley y rindiese cuentas de ese acto de injusticia ante el público en general.     </w:t>
      </w:r>
    </w:p>
    <w:p w14:paraId="7714432D" w14:textId="15E38448" w:rsidR="0002129C" w:rsidRDefault="00A257BF" w:rsidP="0002129C">
      <w:pPr>
        <w:spacing w:line="360" w:lineRule="auto"/>
        <w:ind w:right="-289" w:firstLine="709"/>
        <w:jc w:val="both"/>
        <w:rPr>
          <w:rFonts w:eastAsia="MS Mincho"/>
        </w:rPr>
      </w:pPr>
      <w:r w:rsidRPr="00A257BF">
        <w:rPr>
          <w:rFonts w:eastAsia="MS Mincho"/>
        </w:rPr>
        <w:t xml:space="preserve">En definitiva, las presunciones </w:t>
      </w:r>
      <w:r w:rsidRPr="00615278">
        <w:rPr>
          <w:rFonts w:eastAsia="MS Mincho"/>
          <w:i/>
        </w:rPr>
        <w:t>common law</w:t>
      </w:r>
      <w:r w:rsidRPr="00A257BF">
        <w:rPr>
          <w:rFonts w:eastAsia="MS Mincho"/>
        </w:rPr>
        <w:t xml:space="preserve"> funcionaban como una invitación al legislativo para que considerase algunos valores importantes, pero también para que respondiera y explicase al público y al tribunal por qué en algunos contextos particulares era necesario imponer c</w:t>
      </w:r>
      <w:r w:rsidR="00C0002D">
        <w:rPr>
          <w:rFonts w:eastAsia="MS Mincho"/>
        </w:rPr>
        <w:t>iertos límites a esos valores</w:t>
      </w:r>
      <w:r w:rsidR="00C0002D">
        <w:rPr>
          <w:rStyle w:val="Refdenotaalpie"/>
          <w:rFonts w:eastAsia="MS Mincho"/>
        </w:rPr>
        <w:footnoteReference w:id="22"/>
      </w:r>
      <w:r w:rsidR="00F833E6">
        <w:rPr>
          <w:rFonts w:eastAsia="MS Mincho"/>
        </w:rPr>
        <w:t>.</w:t>
      </w:r>
      <w:r w:rsidRPr="00A257BF">
        <w:rPr>
          <w:rFonts w:eastAsia="MS Mincho"/>
        </w:rPr>
        <w:t xml:space="preserve"> Hoy en día, las modernas presunciones sugieren que, en ausencia de una clara declaración en contra del legislativo, las leyes deben interpretarse de un modo consistente con las Cartas de derechos, el Derecho internacional de derechos humanos, el imperio de la Ley y otros valores co</w:t>
      </w:r>
      <w:r w:rsidR="00D370FB">
        <w:rPr>
          <w:rFonts w:eastAsia="MS Mincho"/>
        </w:rPr>
        <w:t>nstitucionales. Así se estable, por ejemplo, en l</w:t>
      </w:r>
      <w:r w:rsidRPr="00A257BF">
        <w:rPr>
          <w:rFonts w:eastAsia="MS Mincho"/>
        </w:rPr>
        <w:t>a Carta canadiens</w:t>
      </w:r>
      <w:r w:rsidR="00D370FB">
        <w:rPr>
          <w:rFonts w:eastAsia="MS Mincho"/>
        </w:rPr>
        <w:t>e de 1960</w:t>
      </w:r>
      <w:r w:rsidRPr="00A257BF">
        <w:rPr>
          <w:rFonts w:eastAsia="MS Mincho"/>
        </w:rPr>
        <w:t xml:space="preserve"> en su sección 2, y es el tipo de presunción que subyace al esquema de protección que establece la Carta de 1986 (</w:t>
      </w:r>
      <w:r w:rsidRPr="00615278">
        <w:rPr>
          <w:rFonts w:eastAsia="MS Mincho"/>
          <w:i/>
        </w:rPr>
        <w:t>the Charter</w:t>
      </w:r>
      <w:r w:rsidRPr="00A257BF">
        <w:rPr>
          <w:rFonts w:eastAsia="MS Mincho"/>
        </w:rPr>
        <w:t>): el legislativo debe tratar de justificar las limitaciones que desee establecer legalmente sobre los derechos definidos por los tribunales (sección 1), pero también tiene la posibilidad de declarar expresamente su intención de mantener una disposición legislativa a pesar de haber sido declarada por l</w:t>
      </w:r>
      <w:r w:rsidR="00D370FB">
        <w:rPr>
          <w:rFonts w:eastAsia="MS Mincho"/>
        </w:rPr>
        <w:t>os tribunales como incompatible</w:t>
      </w:r>
      <w:r w:rsidRPr="00A257BF">
        <w:rPr>
          <w:rFonts w:eastAsia="MS Mincho"/>
        </w:rPr>
        <w:t xml:space="preserve"> con los derechos protegidos (sección 33).  </w:t>
      </w:r>
    </w:p>
    <w:p w14:paraId="5F620A4F" w14:textId="1555F049" w:rsidR="0002129C" w:rsidRDefault="00A257BF" w:rsidP="0002129C">
      <w:pPr>
        <w:spacing w:line="360" w:lineRule="auto"/>
        <w:ind w:right="-289" w:firstLine="709"/>
        <w:jc w:val="both"/>
        <w:rPr>
          <w:rFonts w:eastAsia="MS Mincho"/>
        </w:rPr>
      </w:pPr>
      <w:r w:rsidRPr="00A257BF">
        <w:rPr>
          <w:rFonts w:eastAsia="MS Mincho"/>
        </w:rPr>
        <w:t xml:space="preserve">En el Reino Unido, las presunciones </w:t>
      </w:r>
      <w:r w:rsidRPr="00615278">
        <w:rPr>
          <w:rFonts w:eastAsia="MS Mincho"/>
          <w:i/>
        </w:rPr>
        <w:t>common law</w:t>
      </w:r>
      <w:r w:rsidRPr="00A257BF">
        <w:rPr>
          <w:rFonts w:eastAsia="MS Mincho"/>
        </w:rPr>
        <w:t xml:space="preserve"> permitieron a los tribunales interpretar la l</w:t>
      </w:r>
      <w:r w:rsidR="00D370FB">
        <w:rPr>
          <w:rFonts w:eastAsia="MS Mincho"/>
        </w:rPr>
        <w:t>egislación de manera conforme a</w:t>
      </w:r>
      <w:r w:rsidRPr="00A257BF">
        <w:rPr>
          <w:rFonts w:eastAsia="MS Mincho"/>
        </w:rPr>
        <w:t xml:space="preserve"> los derechos humanos antes </w:t>
      </w:r>
      <w:r w:rsidR="007E51CF">
        <w:rPr>
          <w:rFonts w:eastAsia="MS Mincho"/>
        </w:rPr>
        <w:t>de la Ley de 1998. C</w:t>
      </w:r>
      <w:r w:rsidRPr="00A257BF">
        <w:rPr>
          <w:rFonts w:eastAsia="MS Mincho"/>
        </w:rPr>
        <w:t>on anterioridad a es</w:t>
      </w:r>
      <w:r w:rsidR="007E51CF">
        <w:rPr>
          <w:rFonts w:eastAsia="MS Mincho"/>
        </w:rPr>
        <w:t>t</w:t>
      </w:r>
      <w:r w:rsidRPr="00A257BF">
        <w:rPr>
          <w:rFonts w:eastAsia="MS Mincho"/>
        </w:rPr>
        <w:t>a fecha</w:t>
      </w:r>
      <w:r w:rsidR="007E51CF">
        <w:rPr>
          <w:rFonts w:eastAsia="MS Mincho"/>
        </w:rPr>
        <w:t>,</w:t>
      </w:r>
      <w:r w:rsidRPr="00A257BF">
        <w:rPr>
          <w:rFonts w:eastAsia="MS Mincho"/>
        </w:rPr>
        <w:t xml:space="preserve"> los tribunales reconocían automáticamente el Derecho internacional de los derechos humanos como parte del </w:t>
      </w:r>
      <w:r w:rsidRPr="00615278">
        <w:rPr>
          <w:rFonts w:eastAsia="MS Mincho"/>
          <w:i/>
        </w:rPr>
        <w:t>common law</w:t>
      </w:r>
      <w:r w:rsidRPr="00A257BF">
        <w:rPr>
          <w:rFonts w:eastAsia="MS Mincho"/>
        </w:rPr>
        <w:t xml:space="preserve">. Los tribunales veían ese tipo de Derecho como un equivalente internacional del </w:t>
      </w:r>
      <w:r w:rsidRPr="00615278">
        <w:rPr>
          <w:rFonts w:eastAsia="MS Mincho"/>
          <w:i/>
        </w:rPr>
        <w:t>common law</w:t>
      </w:r>
      <w:r w:rsidRPr="00A257BF">
        <w:rPr>
          <w:rFonts w:eastAsia="MS Mincho"/>
        </w:rPr>
        <w:t xml:space="preserve"> nacional, “el producto de una práctica universal enraizada en la moral y reconocida a escala </w:t>
      </w:r>
      <w:r w:rsidR="00C0002D">
        <w:rPr>
          <w:rFonts w:eastAsia="MS Mincho"/>
        </w:rPr>
        <w:t>internacional”</w:t>
      </w:r>
      <w:r w:rsidR="00C0002D">
        <w:rPr>
          <w:rStyle w:val="Refdenotaalpie"/>
          <w:rFonts w:eastAsia="MS Mincho"/>
        </w:rPr>
        <w:footnoteReference w:id="23"/>
      </w:r>
      <w:r w:rsidR="00F833E6">
        <w:rPr>
          <w:rFonts w:eastAsia="MS Mincho"/>
        </w:rPr>
        <w:t>.</w:t>
      </w:r>
      <w:r w:rsidRPr="00A257BF">
        <w:rPr>
          <w:rFonts w:eastAsia="MS Mincho"/>
        </w:rPr>
        <w:t xml:space="preserve"> Es </w:t>
      </w:r>
      <w:r w:rsidRPr="00A257BF">
        <w:rPr>
          <w:rFonts w:eastAsia="MS Mincho"/>
        </w:rPr>
        <w:lastRenderedPageBreak/>
        <w:t xml:space="preserve">más, igual que ocurría con el </w:t>
      </w:r>
      <w:r w:rsidRPr="00615278">
        <w:rPr>
          <w:rFonts w:eastAsia="MS Mincho"/>
          <w:i/>
        </w:rPr>
        <w:t>common law</w:t>
      </w:r>
      <w:r w:rsidRPr="00A257BF">
        <w:rPr>
          <w:rFonts w:eastAsia="MS Mincho"/>
        </w:rPr>
        <w:t>, dicho reconocimiento estaba sujeto a la condición de que el Derecho consuetudinario internacional no fuera inconsistente con la legislación britá</w:t>
      </w:r>
      <w:r w:rsidR="00C0002D">
        <w:rPr>
          <w:rFonts w:eastAsia="MS Mincho"/>
        </w:rPr>
        <w:t>nica</w:t>
      </w:r>
      <w:r w:rsidR="00C0002D">
        <w:rPr>
          <w:rStyle w:val="Refdenotaalpie"/>
          <w:rFonts w:eastAsia="MS Mincho"/>
        </w:rPr>
        <w:footnoteReference w:id="24"/>
      </w:r>
      <w:r w:rsidR="00F833E6">
        <w:rPr>
          <w:rFonts w:eastAsia="MS Mincho"/>
        </w:rPr>
        <w:t>.</w:t>
      </w:r>
      <w:r w:rsidRPr="00A257BF">
        <w:rPr>
          <w:rFonts w:eastAsia="MS Mincho"/>
        </w:rPr>
        <w:t xml:space="preserve"> Por otra parte, los tribunales británicos desarrollaron en la práctica una presunción en la interpretación de las </w:t>
      </w:r>
      <w:r w:rsidR="007E51CF">
        <w:rPr>
          <w:rFonts w:eastAsia="MS Mincho"/>
        </w:rPr>
        <w:t>leyes, según la cual cuando el P</w:t>
      </w:r>
      <w:r w:rsidRPr="00A257BF">
        <w:rPr>
          <w:rFonts w:eastAsia="MS Mincho"/>
        </w:rPr>
        <w:t>arlamento promulgaba una ley dando efecto a un tratado internacional, se presumía que había querido satisfacer las obligaciones internacionales del país bajo ese tratado. Lord Diplock en Garland cualificó esta presunción añadiendo el requisito de que las palabras de la disposición legal fueran “razonablemente capaces de soportar dicho significado”, es decir, que no existie</w:t>
      </w:r>
      <w:r w:rsidR="007E51CF">
        <w:rPr>
          <w:rFonts w:eastAsia="MS Mincho"/>
        </w:rPr>
        <w:t>ra una declaración expresa del P</w:t>
      </w:r>
      <w:r w:rsidRPr="00A257BF">
        <w:rPr>
          <w:rFonts w:eastAsia="MS Mincho"/>
        </w:rPr>
        <w:t>arlamento que impidiese</w:t>
      </w:r>
      <w:r w:rsidR="00C0002D">
        <w:rPr>
          <w:rFonts w:eastAsia="MS Mincho"/>
        </w:rPr>
        <w:t xml:space="preserve"> la interpretación correctiva</w:t>
      </w:r>
      <w:r w:rsidR="00C0002D">
        <w:rPr>
          <w:rStyle w:val="Refdenotaalpie"/>
          <w:rFonts w:eastAsia="MS Mincho"/>
        </w:rPr>
        <w:footnoteReference w:id="25"/>
      </w:r>
      <w:r w:rsidR="00F833E6">
        <w:rPr>
          <w:rFonts w:eastAsia="MS Mincho"/>
        </w:rPr>
        <w:t>.</w:t>
      </w:r>
      <w:r w:rsidRPr="00A257BF">
        <w:rPr>
          <w:rFonts w:eastAsia="MS Mincho"/>
        </w:rPr>
        <w:t xml:space="preserve"> Tal presunción era especialmente relevante cuando se trataba de tratados de derechos humanos, lo cual demuestra que, con anterioridad a la Ley de Derechos Humanos, ciertos instrumentos internaciones como el Convenio Europeo o el Pacto Internacional de los Derechos Civiles y Políticos, así como el Derecho internacional consuetudinario procedente de su aplicación, disfrutaban de un estatus especial y, o bien formaban automáticamente parte del Derecho nacional en virtud de su estatus consuetudinario, o al menos coincidían con el contenido del Derecho consuetudinario nacional (es decir, con el </w:t>
      </w:r>
      <w:r w:rsidRPr="00615278">
        <w:rPr>
          <w:rFonts w:eastAsia="MS Mincho"/>
          <w:i/>
        </w:rPr>
        <w:t>common law</w:t>
      </w:r>
      <w:r w:rsidRPr="00A257BF">
        <w:rPr>
          <w:rFonts w:eastAsia="MS Mincho"/>
        </w:rPr>
        <w:t>). El deber/poder judicial que impone actualmente la sección 3 de Ley de Derechos Humanos, según la cual los tribunales deben interpretar las leyes, hasta donde sea posible, conforme a los der</w:t>
      </w:r>
      <w:r w:rsidR="00C0002D">
        <w:rPr>
          <w:rFonts w:eastAsia="MS Mincho"/>
        </w:rPr>
        <w:t>echos protegidos</w:t>
      </w:r>
      <w:r w:rsidR="007E51CF">
        <w:rPr>
          <w:rFonts w:eastAsia="MS Mincho"/>
        </w:rPr>
        <w:t xml:space="preserve"> en el Convenio Europeo</w:t>
      </w:r>
      <w:r w:rsidR="00C0002D">
        <w:rPr>
          <w:rFonts w:eastAsia="MS Mincho"/>
        </w:rPr>
        <w:t xml:space="preserve">, representa la </w:t>
      </w:r>
      <w:r w:rsidRPr="00A257BF">
        <w:rPr>
          <w:rFonts w:eastAsia="MS Mincho"/>
        </w:rPr>
        <w:t>continuación de una práctica establecida entre los jueces británicos. No obstante, la mencionada ley refuerza dicha práctica de un modo importante, al obligar a los jueces a superar su habitual sumisión al princip</w:t>
      </w:r>
      <w:r w:rsidR="00C0002D">
        <w:rPr>
          <w:rFonts w:eastAsia="MS Mincho"/>
        </w:rPr>
        <w:t>io de soberanía parlamentaria</w:t>
      </w:r>
      <w:r w:rsidR="00C0002D">
        <w:rPr>
          <w:rStyle w:val="Refdenotaalpie"/>
          <w:rFonts w:eastAsia="MS Mincho"/>
        </w:rPr>
        <w:footnoteReference w:id="26"/>
      </w:r>
      <w:r w:rsidR="00F833E6">
        <w:rPr>
          <w:rFonts w:eastAsia="MS Mincho"/>
        </w:rPr>
        <w:t>.</w:t>
      </w:r>
      <w:r w:rsidRPr="00A257BF">
        <w:rPr>
          <w:rFonts w:eastAsia="MS Mincho"/>
        </w:rPr>
        <w:t xml:space="preserve">   </w:t>
      </w:r>
    </w:p>
    <w:p w14:paraId="4F32675E" w14:textId="57C91889" w:rsidR="0002129C" w:rsidRDefault="00A257BF" w:rsidP="00DB6F93">
      <w:pPr>
        <w:spacing w:line="360" w:lineRule="auto"/>
        <w:ind w:right="-289" w:firstLine="709"/>
        <w:jc w:val="both"/>
        <w:rPr>
          <w:rFonts w:eastAsia="MS Mincho"/>
        </w:rPr>
      </w:pPr>
      <w:r w:rsidRPr="00A257BF">
        <w:rPr>
          <w:rFonts w:eastAsia="MS Mincho"/>
        </w:rPr>
        <w:t xml:space="preserve">Este último punto es precisamente el que supone una mayor transformación de la tradición </w:t>
      </w:r>
      <w:r w:rsidRPr="00615278">
        <w:rPr>
          <w:rFonts w:eastAsia="MS Mincho"/>
          <w:i/>
        </w:rPr>
        <w:t>common law</w:t>
      </w:r>
      <w:r w:rsidRPr="00A257BF">
        <w:rPr>
          <w:rFonts w:eastAsia="MS Mincho"/>
        </w:rPr>
        <w:t xml:space="preserve">. En efecto, la visión más extendida de los sistemas jurídicos </w:t>
      </w:r>
      <w:r w:rsidRPr="00615278">
        <w:rPr>
          <w:rFonts w:eastAsia="MS Mincho"/>
          <w:i/>
        </w:rPr>
        <w:t xml:space="preserve">common law </w:t>
      </w:r>
      <w:r w:rsidRPr="00A257BF">
        <w:rPr>
          <w:rFonts w:eastAsia="MS Mincho"/>
        </w:rPr>
        <w:t>es la que incide en su parlamentarismo, es decir, en su respeto incondicio</w:t>
      </w:r>
      <w:r w:rsidR="00DB6F93">
        <w:rPr>
          <w:rFonts w:eastAsia="MS Mincho"/>
        </w:rPr>
        <w:t>nal a la supremacía del legislat</w:t>
      </w:r>
      <w:r w:rsidRPr="00A257BF">
        <w:rPr>
          <w:rFonts w:eastAsia="MS Mincho"/>
        </w:rPr>
        <w:t xml:space="preserve">ivo por encima del poder judicial, lo cual vendría a contradecir el enfoque que aquí estamos manteniendo. De hecho, el autor más representativo de dicha </w:t>
      </w:r>
      <w:r w:rsidRPr="00A257BF">
        <w:rPr>
          <w:rFonts w:eastAsia="MS Mincho"/>
        </w:rPr>
        <w:lastRenderedPageBreak/>
        <w:t xml:space="preserve">tradición, Albert V. Dicey, se suele leer como un defensor a ultranza de la soberanía parlamentaria: </w:t>
      </w:r>
      <w:r w:rsidR="00DB6F93">
        <w:rPr>
          <w:rFonts w:eastAsia="MS Mincho"/>
        </w:rPr>
        <w:t xml:space="preserve">según esta lectura, </w:t>
      </w:r>
      <w:r w:rsidRPr="00A257BF">
        <w:rPr>
          <w:rFonts w:eastAsia="MS Mincho"/>
        </w:rPr>
        <w:t xml:space="preserve">el parlamento tiene el poder legal para hacer cualquier ley, de modo que ninguna persona o entidad tiene autoridad para </w:t>
      </w:r>
      <w:r w:rsidR="00C0002D">
        <w:rPr>
          <w:rFonts w:eastAsia="MS Mincho"/>
        </w:rPr>
        <w:t>revocar o inaplicar sus leyes</w:t>
      </w:r>
      <w:r w:rsidR="00C0002D">
        <w:rPr>
          <w:rStyle w:val="Refdenotaalpie"/>
          <w:rFonts w:eastAsia="MS Mincho"/>
        </w:rPr>
        <w:footnoteReference w:id="27"/>
      </w:r>
      <w:r w:rsidR="00F833E6">
        <w:rPr>
          <w:rFonts w:eastAsia="MS Mincho"/>
        </w:rPr>
        <w:t>.</w:t>
      </w:r>
      <w:r w:rsidR="00DB6F93">
        <w:rPr>
          <w:rFonts w:eastAsia="MS Mincho"/>
        </w:rPr>
        <w:t xml:space="preserve"> L</w:t>
      </w:r>
      <w:r w:rsidRPr="00A257BF">
        <w:rPr>
          <w:rFonts w:eastAsia="MS Mincho"/>
        </w:rPr>
        <w:t>a obra de Dicey vendría a representar</w:t>
      </w:r>
      <w:r w:rsidR="007E51CF">
        <w:rPr>
          <w:rFonts w:eastAsia="MS Mincho"/>
        </w:rPr>
        <w:t xml:space="preserve">, según esta visión, </w:t>
      </w:r>
      <w:r w:rsidRPr="00A257BF">
        <w:rPr>
          <w:rFonts w:eastAsia="MS Mincho"/>
        </w:rPr>
        <w:t>un combate de supremacías en competencia, donde el legislativo monopoliza la producción del Derecho y los jueces monopolizan su interpretación.  Bajo</w:t>
      </w:r>
      <w:r w:rsidR="007E51CF">
        <w:rPr>
          <w:rFonts w:eastAsia="MS Mincho"/>
        </w:rPr>
        <w:t xml:space="preserve"> este enfoque, Dicey iría de la mano de </w:t>
      </w:r>
      <w:r w:rsidRPr="00A257BF">
        <w:rPr>
          <w:rFonts w:eastAsia="MS Mincho"/>
        </w:rPr>
        <w:t xml:space="preserve">su maestro </w:t>
      </w:r>
      <w:r w:rsidR="007E51CF">
        <w:rPr>
          <w:rFonts w:eastAsia="MS Mincho"/>
        </w:rPr>
        <w:t xml:space="preserve">John </w:t>
      </w:r>
      <w:r w:rsidRPr="00A257BF">
        <w:rPr>
          <w:rFonts w:eastAsia="MS Mincho"/>
        </w:rPr>
        <w:t>Austin en la defensa de la doctrina que Dyzenhaus denomina “positivismo constitucional”, según la cual el poder legislativo</w:t>
      </w:r>
      <w:r w:rsidR="00CF3C4B">
        <w:rPr>
          <w:rFonts w:eastAsia="MS Mincho"/>
        </w:rPr>
        <w:t xml:space="preserve"> es</w:t>
      </w:r>
      <w:r w:rsidRPr="00A257BF">
        <w:rPr>
          <w:rFonts w:eastAsia="MS Mincho"/>
        </w:rPr>
        <w:t xml:space="preserve"> </w:t>
      </w:r>
      <w:r w:rsidR="00CF3C4B" w:rsidRPr="00A257BF">
        <w:rPr>
          <w:rFonts w:eastAsia="MS Mincho"/>
        </w:rPr>
        <w:t>la única fuente legítima de norm</w:t>
      </w:r>
      <w:r w:rsidR="00CF3C4B">
        <w:rPr>
          <w:rFonts w:eastAsia="MS Mincho"/>
        </w:rPr>
        <w:t>as jurídicas, por lo que no puede considerar</w:t>
      </w:r>
      <w:r w:rsidR="007E51CF">
        <w:rPr>
          <w:rFonts w:eastAsia="MS Mincho"/>
        </w:rPr>
        <w:t>se</w:t>
      </w:r>
      <w:r w:rsidR="00CF3C4B">
        <w:rPr>
          <w:rFonts w:eastAsia="MS Mincho"/>
        </w:rPr>
        <w:t xml:space="preserve"> </w:t>
      </w:r>
      <w:r w:rsidRPr="00A257BF">
        <w:rPr>
          <w:rFonts w:eastAsia="MS Mincho"/>
        </w:rPr>
        <w:t xml:space="preserve">legalmente </w:t>
      </w:r>
      <w:r w:rsidR="00CF3C4B">
        <w:rPr>
          <w:rFonts w:eastAsia="MS Mincho"/>
        </w:rPr>
        <w:t xml:space="preserve">limitado </w:t>
      </w:r>
      <w:r w:rsidRPr="00A257BF">
        <w:rPr>
          <w:rFonts w:eastAsia="MS Mincho"/>
        </w:rPr>
        <w:t>exc</w:t>
      </w:r>
      <w:r w:rsidR="00DB6F93">
        <w:rPr>
          <w:rFonts w:eastAsia="MS Mincho"/>
        </w:rPr>
        <w:t>epto donde los términos de una c</w:t>
      </w:r>
      <w:r w:rsidRPr="00A257BF">
        <w:rPr>
          <w:rFonts w:eastAsia="MS Mincho"/>
        </w:rPr>
        <w:t>onstitución escrita</w:t>
      </w:r>
      <w:r w:rsidR="00F833E6">
        <w:rPr>
          <w:rFonts w:eastAsia="MS Mincho"/>
        </w:rPr>
        <w:t xml:space="preserve"> lo constriñen</w:t>
      </w:r>
      <w:r w:rsidR="00C0002D">
        <w:rPr>
          <w:rStyle w:val="Refdenotaalpie"/>
          <w:rFonts w:eastAsia="MS Mincho"/>
        </w:rPr>
        <w:footnoteReference w:id="28"/>
      </w:r>
      <w:r w:rsidR="00F833E6">
        <w:rPr>
          <w:rFonts w:eastAsia="MS Mincho"/>
        </w:rPr>
        <w:t>.</w:t>
      </w:r>
      <w:r w:rsidRPr="00A257BF">
        <w:rPr>
          <w:rFonts w:eastAsia="MS Mincho"/>
        </w:rPr>
        <w:t xml:space="preserve"> En los casos donde surja un conflicto </w:t>
      </w:r>
      <w:r w:rsidR="00DB6F93">
        <w:rPr>
          <w:rFonts w:eastAsia="MS Mincho"/>
        </w:rPr>
        <w:t xml:space="preserve">o desacuerdo </w:t>
      </w:r>
      <w:r w:rsidRPr="00A257BF">
        <w:rPr>
          <w:rFonts w:eastAsia="MS Mincho"/>
        </w:rPr>
        <w:t>entre ambas supremacías, debe</w:t>
      </w:r>
      <w:r w:rsidR="00DB6F93">
        <w:rPr>
          <w:rFonts w:eastAsia="MS Mincho"/>
        </w:rPr>
        <w:t>rá</w:t>
      </w:r>
      <w:r w:rsidRPr="00A257BF">
        <w:rPr>
          <w:rFonts w:eastAsia="MS Mincho"/>
        </w:rPr>
        <w:t xml:space="preserve"> imponerse la voluntad del parlamento. No hay, pues, desde este enfoque, “base legal para la teoría según la cual los jueces, como exponentes de la moralidad, pueden anular</w:t>
      </w:r>
      <w:r w:rsidR="00C0002D">
        <w:rPr>
          <w:rFonts w:eastAsia="MS Mincho"/>
        </w:rPr>
        <w:t xml:space="preserve"> leyes del parlamento”</w:t>
      </w:r>
      <w:r w:rsidR="00C0002D">
        <w:rPr>
          <w:rStyle w:val="Refdenotaalpie"/>
          <w:rFonts w:eastAsia="MS Mincho"/>
        </w:rPr>
        <w:footnoteReference w:id="29"/>
      </w:r>
      <w:r w:rsidR="00F833E6">
        <w:rPr>
          <w:rFonts w:eastAsia="MS Mincho"/>
        </w:rPr>
        <w:t>.</w:t>
      </w:r>
      <w:r w:rsidRPr="00A257BF">
        <w:rPr>
          <w:rFonts w:eastAsia="MS Mincho"/>
        </w:rPr>
        <w:t xml:space="preserve">  </w:t>
      </w:r>
    </w:p>
    <w:p w14:paraId="5BB465DA" w14:textId="4C05CB43" w:rsidR="0002129C" w:rsidRDefault="00A257BF" w:rsidP="0002129C">
      <w:pPr>
        <w:spacing w:line="360" w:lineRule="auto"/>
        <w:ind w:right="-289" w:firstLine="709"/>
        <w:jc w:val="both"/>
        <w:rPr>
          <w:rFonts w:eastAsia="MS Mincho"/>
        </w:rPr>
      </w:pPr>
      <w:r w:rsidRPr="00A257BF">
        <w:rPr>
          <w:rFonts w:eastAsia="MS Mincho"/>
        </w:rPr>
        <w:t xml:space="preserve">Sin embargo, tanto Trevor Allan como Dyzenhaus ofrecen una lectura diferente de Dicey, según la cual es posible encontrar en la tradición del </w:t>
      </w:r>
      <w:r w:rsidRPr="00CF3C4B">
        <w:rPr>
          <w:rFonts w:eastAsia="MS Mincho"/>
          <w:i/>
        </w:rPr>
        <w:t>common law</w:t>
      </w:r>
      <w:r w:rsidRPr="00A257BF">
        <w:rPr>
          <w:rFonts w:eastAsia="MS Mincho"/>
        </w:rPr>
        <w:t xml:space="preserve"> un precedente del modelo colaborativo. Según estos autores, la concepción del imperio de la Ley de Dicey contiene una visión de la autoridad legislativa en la que el lenguaje general de las leyes es</w:t>
      </w:r>
      <w:r w:rsidR="007E51CF">
        <w:rPr>
          <w:rFonts w:eastAsia="MS Mincho"/>
        </w:rPr>
        <w:t>tá siempre limitado y moldeado</w:t>
      </w:r>
      <w:r w:rsidRPr="00A257BF">
        <w:rPr>
          <w:rFonts w:eastAsia="MS Mincho"/>
        </w:rPr>
        <w:t xml:space="preserve"> en los casos específicos por </w:t>
      </w:r>
      <w:r w:rsidR="00C0002D">
        <w:rPr>
          <w:rFonts w:eastAsia="MS Mincho"/>
        </w:rPr>
        <w:t>“el espíritu de la legalidad”</w:t>
      </w:r>
      <w:r w:rsidR="00C0002D">
        <w:rPr>
          <w:rStyle w:val="Refdenotaalpie"/>
          <w:rFonts w:eastAsia="MS Mincho"/>
        </w:rPr>
        <w:footnoteReference w:id="30"/>
      </w:r>
      <w:r w:rsidR="00F833E6">
        <w:rPr>
          <w:rFonts w:eastAsia="MS Mincho"/>
        </w:rPr>
        <w:t>.</w:t>
      </w:r>
      <w:r w:rsidRPr="00A257BF">
        <w:rPr>
          <w:rFonts w:eastAsia="MS Mincho"/>
        </w:rPr>
        <w:t xml:space="preserve"> Según Dicey, los jueces deben interpretar la legislación de acuerdo con “el espíritu general del </w:t>
      </w:r>
      <w:r w:rsidRPr="00CF3C4B">
        <w:rPr>
          <w:rFonts w:eastAsia="MS Mincho"/>
          <w:i/>
        </w:rPr>
        <w:t>common law</w:t>
      </w:r>
      <w:r w:rsidR="00CF3C4B">
        <w:rPr>
          <w:rFonts w:eastAsia="MS Mincho"/>
        </w:rPr>
        <w:t>” y, como resultado, estar</w:t>
      </w:r>
      <w:r w:rsidRPr="00A257BF">
        <w:rPr>
          <w:rFonts w:eastAsia="MS Mincho"/>
        </w:rPr>
        <w:t xml:space="preserve"> dispuestos a “construir excepciones legales a los principios </w:t>
      </w:r>
      <w:r w:rsidRPr="00CF3C4B">
        <w:rPr>
          <w:rFonts w:eastAsia="MS Mincho"/>
          <w:i/>
        </w:rPr>
        <w:t>common law</w:t>
      </w:r>
      <w:r w:rsidRPr="00A257BF">
        <w:rPr>
          <w:rFonts w:eastAsia="MS Mincho"/>
        </w:rPr>
        <w:t xml:space="preserve"> de un modo que no se recomendaría […] a las Cámaras del Parlamento, si las Cámaras fueran llamadas a i</w:t>
      </w:r>
      <w:r w:rsidR="0002129C">
        <w:rPr>
          <w:rFonts w:eastAsia="MS Mincho"/>
        </w:rPr>
        <w:t>nterpretar sus propias leyes”</w:t>
      </w:r>
      <w:r w:rsidR="0002129C">
        <w:rPr>
          <w:rStyle w:val="Refdenotaalpie"/>
          <w:rFonts w:eastAsia="MS Mincho"/>
        </w:rPr>
        <w:footnoteReference w:id="31"/>
      </w:r>
      <w:r w:rsidR="00F833E6">
        <w:rPr>
          <w:rFonts w:eastAsia="MS Mincho"/>
        </w:rPr>
        <w:t>.</w:t>
      </w:r>
      <w:r w:rsidRPr="00A257BF">
        <w:rPr>
          <w:rFonts w:eastAsia="MS Mincho"/>
        </w:rPr>
        <w:t xml:space="preserve">  </w:t>
      </w:r>
    </w:p>
    <w:p w14:paraId="32B43AD5" w14:textId="4BEADA72" w:rsidR="0002129C" w:rsidRDefault="00A257BF" w:rsidP="0002129C">
      <w:pPr>
        <w:spacing w:line="360" w:lineRule="auto"/>
        <w:ind w:right="-289" w:firstLine="709"/>
        <w:jc w:val="both"/>
        <w:rPr>
          <w:rFonts w:eastAsia="MS Mincho"/>
        </w:rPr>
      </w:pPr>
      <w:r w:rsidRPr="00A257BF">
        <w:rPr>
          <w:rFonts w:eastAsia="MS Mincho"/>
        </w:rPr>
        <w:t>Allan, desde la experiencia constitucional británica, utiliza estas afirmaciones de Dicey para argumentar que sólo las violaciones</w:t>
      </w:r>
      <w:r w:rsidR="00CF3C4B">
        <w:rPr>
          <w:rFonts w:eastAsia="MS Mincho"/>
        </w:rPr>
        <w:t xml:space="preserve"> más atroces del imperio de la l</w:t>
      </w:r>
      <w:r w:rsidRPr="00A257BF">
        <w:rPr>
          <w:rFonts w:eastAsia="MS Mincho"/>
        </w:rPr>
        <w:t>ey requieren una declaración judicial de invalidez; en la mayoría de los casos, los valores constitucionales pueden garantizarse mediante la interpr</w:t>
      </w:r>
      <w:r w:rsidR="00F833E6">
        <w:rPr>
          <w:rFonts w:eastAsia="MS Mincho"/>
        </w:rPr>
        <w:t>etación judicial de las leyes</w:t>
      </w:r>
      <w:r w:rsidR="0002129C">
        <w:rPr>
          <w:rStyle w:val="Refdenotaalpie"/>
          <w:rFonts w:eastAsia="MS Mincho"/>
        </w:rPr>
        <w:footnoteReference w:id="32"/>
      </w:r>
      <w:r w:rsidR="00F833E6">
        <w:rPr>
          <w:rFonts w:eastAsia="MS Mincho"/>
        </w:rPr>
        <w:t>.</w:t>
      </w:r>
      <w:r w:rsidRPr="00A257BF">
        <w:rPr>
          <w:rFonts w:eastAsia="MS Mincho"/>
        </w:rPr>
        <w:t xml:space="preserve"> Al realizar este tipo de interpretaciones, los jueces suelen afirmar que están aplicando la intención del parlamento, incluso cuando adoptan interpretaciones no literales de las leyes, con objeto de evitar un resultado injusto. Aun así, Allan insiste que esta deferencia a la intención del legislativo no </w:t>
      </w:r>
      <w:r w:rsidRPr="00A257BF">
        <w:rPr>
          <w:rFonts w:eastAsia="MS Mincho"/>
        </w:rPr>
        <w:lastRenderedPageBreak/>
        <w:t xml:space="preserve">debería oscurecer el hecho de que los jueces aplican normas constitucionales que tienen un estatus supremo independiente de la voluntad legislativa, y que el legislador no podría violar esas normas incluso aunque expresara claramente su intención de </w:t>
      </w:r>
      <w:r w:rsidR="0002129C">
        <w:rPr>
          <w:rFonts w:eastAsia="MS Mincho"/>
        </w:rPr>
        <w:t>hacerlo</w:t>
      </w:r>
      <w:r w:rsidR="0002129C">
        <w:rPr>
          <w:rStyle w:val="Refdenotaalpie"/>
          <w:rFonts w:eastAsia="MS Mincho"/>
        </w:rPr>
        <w:footnoteReference w:id="33"/>
      </w:r>
      <w:r w:rsidR="00F833E6">
        <w:rPr>
          <w:rFonts w:eastAsia="MS Mincho"/>
        </w:rPr>
        <w:t>.</w:t>
      </w:r>
      <w:r w:rsidRPr="00A257BF">
        <w:rPr>
          <w:rFonts w:eastAsia="MS Mincho"/>
        </w:rPr>
        <w:t xml:space="preserve"> Sin embargo, esta conclusión parece ir más allá de lo que permite enunciar la tradición </w:t>
      </w:r>
      <w:r w:rsidRPr="00CF3C4B">
        <w:rPr>
          <w:rFonts w:eastAsia="MS Mincho"/>
          <w:i/>
        </w:rPr>
        <w:t>common law</w:t>
      </w:r>
      <w:r w:rsidRPr="00A257BF">
        <w:rPr>
          <w:rFonts w:eastAsia="MS Mincho"/>
        </w:rPr>
        <w:t xml:space="preserve">. Una cosa es, como hace Dicey, decir que los jueces pueden interpretar restrictivamente las leyes, a pesar de la intención en contra del legislativo, con objeto de proteger ciertos principios </w:t>
      </w:r>
      <w:r w:rsidRPr="00CF3C4B">
        <w:rPr>
          <w:rFonts w:eastAsia="MS Mincho"/>
          <w:i/>
        </w:rPr>
        <w:t>common law</w:t>
      </w:r>
      <w:r w:rsidRPr="00A257BF">
        <w:rPr>
          <w:rFonts w:eastAsia="MS Mincho"/>
        </w:rPr>
        <w:t>; y otra muy distinta es, como hace Allan, afirmar que tales principios fundamentales imponen restricciones legales a la competenc</w:t>
      </w:r>
      <w:r w:rsidR="0002129C">
        <w:rPr>
          <w:rFonts w:eastAsia="MS Mincho"/>
        </w:rPr>
        <w:t>ia legislativa del parlamento</w:t>
      </w:r>
      <w:r w:rsidR="0002129C">
        <w:rPr>
          <w:rStyle w:val="Refdenotaalpie"/>
          <w:rFonts w:eastAsia="MS Mincho"/>
        </w:rPr>
        <w:footnoteReference w:id="34"/>
      </w:r>
      <w:r w:rsidR="00F833E6">
        <w:rPr>
          <w:rFonts w:eastAsia="MS Mincho"/>
        </w:rPr>
        <w:t>.</w:t>
      </w:r>
      <w:r w:rsidRPr="00A257BF">
        <w:rPr>
          <w:rFonts w:eastAsia="MS Mincho"/>
        </w:rPr>
        <w:t xml:space="preserve"> Ésta última afirmación parece implicar necesariamente la supremacía de los jueces y, por ello mismo, no es compatible con la tradición </w:t>
      </w:r>
      <w:r w:rsidRPr="00CF3C4B">
        <w:rPr>
          <w:rFonts w:eastAsia="MS Mincho"/>
          <w:i/>
        </w:rPr>
        <w:t>common law</w:t>
      </w:r>
      <w:r w:rsidRPr="00A257BF">
        <w:rPr>
          <w:rFonts w:eastAsia="MS Mincho"/>
        </w:rPr>
        <w:t xml:space="preserve">.  </w:t>
      </w:r>
    </w:p>
    <w:p w14:paraId="4741C0AA" w14:textId="61198DD7" w:rsidR="0002129C" w:rsidRDefault="00A257BF" w:rsidP="0002129C">
      <w:pPr>
        <w:spacing w:line="360" w:lineRule="auto"/>
        <w:ind w:right="-289" w:firstLine="709"/>
        <w:jc w:val="both"/>
        <w:rPr>
          <w:rFonts w:eastAsia="MS Mincho"/>
        </w:rPr>
      </w:pPr>
      <w:r w:rsidRPr="00A257BF">
        <w:rPr>
          <w:rFonts w:eastAsia="MS Mincho"/>
        </w:rPr>
        <w:t>Dyzenhaus, en cambio, reconoce en la obra de Dicey una mezcla radicalmente inestable de positivismo jurídico, heredado de John Austin y Jeremy Bentham, y “antipositivismo judicial”, procedente d</w:t>
      </w:r>
      <w:r w:rsidR="0002129C">
        <w:rPr>
          <w:rFonts w:eastAsia="MS Mincho"/>
        </w:rPr>
        <w:t xml:space="preserve">e la tradición del </w:t>
      </w:r>
      <w:r w:rsidR="0002129C" w:rsidRPr="00CF3C4B">
        <w:rPr>
          <w:rFonts w:eastAsia="MS Mincho"/>
          <w:i/>
        </w:rPr>
        <w:t>common law</w:t>
      </w:r>
      <w:r w:rsidR="0002129C">
        <w:rPr>
          <w:rStyle w:val="Refdenotaalpie"/>
          <w:rFonts w:eastAsia="MS Mincho"/>
        </w:rPr>
        <w:footnoteReference w:id="35"/>
      </w:r>
      <w:r w:rsidR="00F833E6">
        <w:rPr>
          <w:rFonts w:eastAsia="MS Mincho"/>
          <w:i/>
        </w:rPr>
        <w:t>.</w:t>
      </w:r>
      <w:r w:rsidRPr="00A257BF">
        <w:rPr>
          <w:rFonts w:eastAsia="MS Mincho"/>
        </w:rPr>
        <w:t xml:space="preserve"> Austin habría iniciado esa tensión al aceptar, junto al principio de soberanía parlamentaria, la conveniencia de una élite judicial que controlase los posibles desmanes de la mayoría. En contra de Bentham, Austin pensó que su teoría positivista podía incluir un tipo de interpretación judicial que fuese más allá de la mera aplicación del contenido factualmente determinable de las leyes, pero siempre que dicha interpretación no se conc</w:t>
      </w:r>
      <w:r w:rsidR="007E51CF">
        <w:rPr>
          <w:rFonts w:eastAsia="MS Mincho"/>
        </w:rPr>
        <w:t>ibiera como determinada por el D</w:t>
      </w:r>
      <w:r w:rsidRPr="00A257BF">
        <w:rPr>
          <w:rFonts w:eastAsia="MS Mincho"/>
        </w:rPr>
        <w:t xml:space="preserve">erecho existente, sino como una producción cuasi-legislativa de nuevas normas jurídicas. Para él, la concepción positivista quedaba a salvo si no se permitía a los jueces concebir su producción normativa bajo la “ficción infantil” de la tradición </w:t>
      </w:r>
      <w:r w:rsidRPr="00CF3C4B">
        <w:rPr>
          <w:rFonts w:eastAsia="MS Mincho"/>
          <w:i/>
        </w:rPr>
        <w:t>common law</w:t>
      </w:r>
      <w:r w:rsidRPr="00A257BF">
        <w:rPr>
          <w:rFonts w:eastAsia="MS Mincho"/>
        </w:rPr>
        <w:t xml:space="preserve"> según la cual las decisiones judiciales sie</w:t>
      </w:r>
      <w:r w:rsidR="007E51CF">
        <w:rPr>
          <w:rFonts w:eastAsia="MS Mincho"/>
        </w:rPr>
        <w:t>mpre están determinadas por el D</w:t>
      </w:r>
      <w:r w:rsidRPr="00A257BF">
        <w:rPr>
          <w:rFonts w:eastAsia="MS Mincho"/>
        </w:rPr>
        <w:t xml:space="preserve">erecho existente.  </w:t>
      </w:r>
    </w:p>
    <w:p w14:paraId="408917F1" w14:textId="529A596A" w:rsidR="0002129C" w:rsidRDefault="00B80D3E" w:rsidP="0002129C">
      <w:pPr>
        <w:spacing w:line="360" w:lineRule="auto"/>
        <w:ind w:right="-289" w:firstLine="709"/>
        <w:jc w:val="both"/>
        <w:rPr>
          <w:rFonts w:eastAsia="MS Mincho"/>
        </w:rPr>
      </w:pPr>
      <w:r>
        <w:rPr>
          <w:rFonts w:eastAsia="MS Mincho"/>
        </w:rPr>
        <w:t>Según Dyzenhaus, Dicey</w:t>
      </w:r>
      <w:r w:rsidR="00A257BF" w:rsidRPr="00A257BF">
        <w:rPr>
          <w:rFonts w:eastAsia="MS Mincho"/>
        </w:rPr>
        <w:t xml:space="preserve"> pretendió combinar la supremacía legislativa con una concepción de la interpretación judicial en la que los jueces se apoya</w:t>
      </w:r>
      <w:r>
        <w:rPr>
          <w:rFonts w:eastAsia="MS Mincho"/>
        </w:rPr>
        <w:t>ba</w:t>
      </w:r>
      <w:r w:rsidR="00A257BF" w:rsidRPr="00A257BF">
        <w:rPr>
          <w:rFonts w:eastAsia="MS Mincho"/>
        </w:rPr>
        <w:t xml:space="preserve">n legítimamente en los valores del </w:t>
      </w:r>
      <w:r w:rsidR="00A257BF" w:rsidRPr="00CF3C4B">
        <w:rPr>
          <w:rFonts w:eastAsia="MS Mincho"/>
          <w:i/>
        </w:rPr>
        <w:t>common law</w:t>
      </w:r>
      <w:r w:rsidR="00A257BF" w:rsidRPr="00A257BF">
        <w:rPr>
          <w:rFonts w:eastAsia="MS Mincho"/>
        </w:rPr>
        <w:t xml:space="preserve"> para interpretar la legislación conforme al “espíritu de la legalidad”. Al dar este paso, </w:t>
      </w:r>
      <w:r>
        <w:rPr>
          <w:rFonts w:eastAsia="MS Mincho"/>
        </w:rPr>
        <w:t xml:space="preserve">Dicey </w:t>
      </w:r>
      <w:r w:rsidR="00A257BF" w:rsidRPr="00A257BF">
        <w:rPr>
          <w:rFonts w:eastAsia="MS Mincho"/>
        </w:rPr>
        <w:t xml:space="preserve">abandonó la idea (que Bentham combatió, pero que Austin promovió) de que </w:t>
      </w:r>
      <w:r w:rsidR="00CF3C4B">
        <w:rPr>
          <w:rFonts w:eastAsia="MS Mincho"/>
        </w:rPr>
        <w:t>el papel de los jueces</w:t>
      </w:r>
      <w:r>
        <w:rPr>
          <w:rFonts w:eastAsia="MS Mincho"/>
        </w:rPr>
        <w:t xml:space="preserve"> en un sistema </w:t>
      </w:r>
      <w:r w:rsidRPr="00B80D3E">
        <w:rPr>
          <w:rFonts w:eastAsia="MS Mincho"/>
          <w:i/>
        </w:rPr>
        <w:t>common law</w:t>
      </w:r>
      <w:r w:rsidR="00CF3C4B">
        <w:rPr>
          <w:rFonts w:eastAsia="MS Mincho"/>
        </w:rPr>
        <w:t xml:space="preserve"> incluye una dimensión cuasi-legislativa</w:t>
      </w:r>
      <w:r w:rsidR="00A257BF" w:rsidRPr="00A257BF">
        <w:rPr>
          <w:rFonts w:eastAsia="MS Mincho"/>
        </w:rPr>
        <w:t xml:space="preserve">. De un modo que recuerda a la teoría de la adjudicación de Dworkin, Dicey creyó que, cuando los jueces interpretan las leyes a la luz de los principios </w:t>
      </w:r>
      <w:r w:rsidR="00A257BF" w:rsidRPr="00CF3C4B">
        <w:rPr>
          <w:rFonts w:eastAsia="MS Mincho"/>
          <w:i/>
        </w:rPr>
        <w:t>common law</w:t>
      </w:r>
      <w:r w:rsidR="00CF3C4B">
        <w:rPr>
          <w:rFonts w:eastAsia="MS Mincho"/>
        </w:rPr>
        <w:t xml:space="preserve"> están meramente aplicando el d</w:t>
      </w:r>
      <w:r w:rsidR="00A257BF" w:rsidRPr="00A257BF">
        <w:rPr>
          <w:rFonts w:eastAsia="MS Mincho"/>
        </w:rPr>
        <w:t>erecho</w:t>
      </w:r>
      <w:r w:rsidR="00CF3C4B">
        <w:rPr>
          <w:rFonts w:eastAsia="MS Mincho"/>
        </w:rPr>
        <w:t xml:space="preserve"> válido</w:t>
      </w:r>
      <w:r>
        <w:rPr>
          <w:rFonts w:eastAsia="MS Mincho"/>
        </w:rPr>
        <w:t xml:space="preserve">. </w:t>
      </w:r>
      <w:r w:rsidR="00163E3E">
        <w:rPr>
          <w:rFonts w:eastAsia="MS Mincho"/>
        </w:rPr>
        <w:t>En su concepción,</w:t>
      </w:r>
      <w:r w:rsidR="00A257BF" w:rsidRPr="00A257BF">
        <w:rPr>
          <w:rFonts w:eastAsia="MS Mincho"/>
        </w:rPr>
        <w:t xml:space="preserve"> los jueces </w:t>
      </w:r>
      <w:r w:rsidR="00A257BF" w:rsidRPr="00A257BF">
        <w:rPr>
          <w:rFonts w:eastAsia="MS Mincho"/>
        </w:rPr>
        <w:lastRenderedPageBreak/>
        <w:t xml:space="preserve">estaban legitimados para interpretar las </w:t>
      </w:r>
      <w:r>
        <w:rPr>
          <w:rFonts w:eastAsia="MS Mincho"/>
        </w:rPr>
        <w:t>leyes conforme a dichos principios, salvo</w:t>
      </w:r>
      <w:r w:rsidR="00A257BF" w:rsidRPr="00A257BF">
        <w:rPr>
          <w:rFonts w:eastAsia="MS Mincho"/>
        </w:rPr>
        <w:t xml:space="preserve"> que el legislador expresara claramente su in</w:t>
      </w:r>
      <w:r>
        <w:rPr>
          <w:rFonts w:eastAsia="MS Mincho"/>
        </w:rPr>
        <w:t>tención de actuar de otro modo.</w:t>
      </w:r>
      <w:r w:rsidR="00163E3E">
        <w:rPr>
          <w:rFonts w:eastAsia="MS Mincho"/>
        </w:rPr>
        <w:t xml:space="preserve"> Esta capacidad </w:t>
      </w:r>
      <w:r w:rsidR="00A257BF" w:rsidRPr="00A257BF">
        <w:rPr>
          <w:rFonts w:eastAsia="MS Mincho"/>
        </w:rPr>
        <w:t>para revocar las decisiones judiciales permitía al legislativo atende</w:t>
      </w:r>
      <w:r w:rsidR="00163E3E">
        <w:rPr>
          <w:rFonts w:eastAsia="MS Mincho"/>
        </w:rPr>
        <w:t>r a las necesidades del momento</w:t>
      </w:r>
      <w:r w:rsidR="00A257BF" w:rsidRPr="00A257BF">
        <w:rPr>
          <w:rFonts w:eastAsia="MS Mincho"/>
        </w:rPr>
        <w:t xml:space="preserve"> incluso a</w:t>
      </w:r>
      <w:r w:rsidR="00163E3E">
        <w:rPr>
          <w:rFonts w:eastAsia="MS Mincho"/>
        </w:rPr>
        <w:t xml:space="preserve"> costa de alguno de los principios protegidos por el </w:t>
      </w:r>
      <w:r w:rsidR="00163E3E" w:rsidRPr="00163E3E">
        <w:rPr>
          <w:rFonts w:eastAsia="MS Mincho"/>
          <w:i/>
        </w:rPr>
        <w:t>common law</w:t>
      </w:r>
      <w:r w:rsidR="00A257BF" w:rsidRPr="00A257BF">
        <w:rPr>
          <w:rFonts w:eastAsia="MS Mincho"/>
        </w:rPr>
        <w:t>. Pero al actuar así, el parlamento no destruía o borraba para siempr</w:t>
      </w:r>
      <w:r w:rsidR="00163E3E">
        <w:rPr>
          <w:rFonts w:eastAsia="MS Mincho"/>
        </w:rPr>
        <w:t>e tal principio; al contrario, dicho</w:t>
      </w:r>
      <w:r w:rsidR="00A257BF" w:rsidRPr="00A257BF">
        <w:rPr>
          <w:rFonts w:eastAsia="MS Mincho"/>
        </w:rPr>
        <w:t xml:space="preserve"> principio perduraba como parte del esquema más general de valores o </w:t>
      </w:r>
      <w:r w:rsidR="007E51CF">
        <w:rPr>
          <w:rFonts w:eastAsia="MS Mincho"/>
        </w:rPr>
        <w:t>principios que configuraban el D</w:t>
      </w:r>
      <w:r w:rsidR="00A257BF" w:rsidRPr="00A257BF">
        <w:rPr>
          <w:rFonts w:eastAsia="MS Mincho"/>
        </w:rPr>
        <w:t>erecho común. Para Dicey, las leyes contrarias a los principios debían concebirse como “excepciones</w:t>
      </w:r>
      <w:r w:rsidR="0002129C">
        <w:rPr>
          <w:rFonts w:eastAsia="MS Mincho"/>
        </w:rPr>
        <w:t xml:space="preserve"> a los principios </w:t>
      </w:r>
      <w:r w:rsidR="0002129C" w:rsidRPr="00B80D3E">
        <w:rPr>
          <w:rFonts w:eastAsia="MS Mincho"/>
          <w:i/>
        </w:rPr>
        <w:t>common law</w:t>
      </w:r>
      <w:r w:rsidR="0002129C">
        <w:rPr>
          <w:rFonts w:eastAsia="MS Mincho"/>
        </w:rPr>
        <w:t>”</w:t>
      </w:r>
      <w:r w:rsidR="0002129C">
        <w:rPr>
          <w:rStyle w:val="Refdenotaalpie"/>
          <w:rFonts w:eastAsia="MS Mincho"/>
        </w:rPr>
        <w:footnoteReference w:id="36"/>
      </w:r>
      <w:r w:rsidR="00F833E6">
        <w:rPr>
          <w:rFonts w:eastAsia="MS Mincho"/>
        </w:rPr>
        <w:t>.</w:t>
      </w:r>
      <w:r w:rsidR="00A257BF" w:rsidRPr="00A257BF">
        <w:rPr>
          <w:rFonts w:eastAsia="MS Mincho"/>
        </w:rPr>
        <w:t xml:space="preserve">   </w:t>
      </w:r>
    </w:p>
    <w:p w14:paraId="66685EC0" w14:textId="2C6E5D94" w:rsidR="0002129C" w:rsidRDefault="0043708A" w:rsidP="0002129C">
      <w:pPr>
        <w:spacing w:line="360" w:lineRule="auto"/>
        <w:ind w:right="-289" w:firstLine="709"/>
        <w:jc w:val="both"/>
        <w:rPr>
          <w:rFonts w:eastAsia="MS Mincho"/>
        </w:rPr>
      </w:pPr>
      <w:r>
        <w:rPr>
          <w:rFonts w:eastAsia="MS Mincho"/>
        </w:rPr>
        <w:t xml:space="preserve">Sea cual fuere la interpretación correcta de </w:t>
      </w:r>
      <w:r w:rsidR="00A257BF" w:rsidRPr="00A257BF">
        <w:rPr>
          <w:rFonts w:eastAsia="MS Mincho"/>
        </w:rPr>
        <w:t>Dicey</w:t>
      </w:r>
      <w:r>
        <w:rPr>
          <w:rFonts w:eastAsia="MS Mincho"/>
        </w:rPr>
        <w:t xml:space="preserve">, lo cierto es que en su concepción </w:t>
      </w:r>
      <w:r w:rsidR="00A257BF" w:rsidRPr="00A257BF">
        <w:rPr>
          <w:rFonts w:eastAsia="MS Mincho"/>
        </w:rPr>
        <w:t xml:space="preserve">el legislativo </w:t>
      </w:r>
      <w:r>
        <w:rPr>
          <w:rFonts w:eastAsia="MS Mincho"/>
        </w:rPr>
        <w:t>sigue siendo</w:t>
      </w:r>
      <w:r w:rsidR="00A257BF" w:rsidRPr="00A257BF">
        <w:rPr>
          <w:rFonts w:eastAsia="MS Mincho"/>
        </w:rPr>
        <w:t xml:space="preserve"> la autoridad suprema qu</w:t>
      </w:r>
      <w:r w:rsidR="00F833E6">
        <w:rPr>
          <w:rFonts w:eastAsia="MS Mincho"/>
        </w:rPr>
        <w:t>e monopoliza la producción del D</w:t>
      </w:r>
      <w:r>
        <w:rPr>
          <w:rFonts w:eastAsia="MS Mincho"/>
        </w:rPr>
        <w:t>erecho, l</w:t>
      </w:r>
      <w:r w:rsidR="00A257BF" w:rsidRPr="00A257BF">
        <w:rPr>
          <w:rFonts w:eastAsia="MS Mincho"/>
        </w:rPr>
        <w:t>o cual colisiona de un modo irresoluble con su concepción de la interpreta</w:t>
      </w:r>
      <w:r w:rsidR="00163E3E">
        <w:rPr>
          <w:rFonts w:eastAsia="MS Mincho"/>
        </w:rPr>
        <w:t xml:space="preserve">ción judicial. </w:t>
      </w:r>
      <w:r>
        <w:rPr>
          <w:rFonts w:eastAsia="MS Mincho"/>
        </w:rPr>
        <w:t xml:space="preserve">Y lo relevante para nuestro enfoque es que es esta misma tensión </w:t>
      </w:r>
      <w:r w:rsidR="00A257BF" w:rsidRPr="00A257BF">
        <w:rPr>
          <w:rFonts w:eastAsia="MS Mincho"/>
        </w:rPr>
        <w:t xml:space="preserve">la que viven los jueces que, operando en el espacio conceptual del </w:t>
      </w:r>
      <w:r w:rsidR="00A257BF" w:rsidRPr="00B80D3E">
        <w:rPr>
          <w:rFonts w:eastAsia="MS Mincho"/>
          <w:i/>
        </w:rPr>
        <w:t>common law</w:t>
      </w:r>
      <w:r w:rsidR="00A257BF" w:rsidRPr="00A257BF">
        <w:rPr>
          <w:rFonts w:eastAsia="MS Mincho"/>
        </w:rPr>
        <w:t>, mantienen una actitud sumisa respecto a la voluntad del legislativo, subordinando sus interpretaciones a los hechos sobre l</w:t>
      </w:r>
      <w:r w:rsidR="0002129C">
        <w:rPr>
          <w:rFonts w:eastAsia="MS Mincho"/>
        </w:rPr>
        <w:t>as intenciones del legislador</w:t>
      </w:r>
      <w:r w:rsidR="0002129C">
        <w:rPr>
          <w:rStyle w:val="Refdenotaalpie"/>
          <w:rFonts w:eastAsia="MS Mincho"/>
        </w:rPr>
        <w:footnoteReference w:id="37"/>
      </w:r>
      <w:r w:rsidR="00F833E6">
        <w:rPr>
          <w:rFonts w:eastAsia="MS Mincho"/>
        </w:rPr>
        <w:t>.</w:t>
      </w:r>
      <w:r w:rsidR="00A257BF" w:rsidRPr="00A257BF">
        <w:rPr>
          <w:rFonts w:eastAsia="MS Mincho"/>
        </w:rPr>
        <w:t xml:space="preserve"> Esta actitud </w:t>
      </w:r>
      <w:r w:rsidR="00F833E6">
        <w:rPr>
          <w:rFonts w:eastAsia="MS Mincho"/>
        </w:rPr>
        <w:t xml:space="preserve">(de </w:t>
      </w:r>
      <w:r>
        <w:rPr>
          <w:rFonts w:eastAsia="MS Mincho"/>
        </w:rPr>
        <w:t xml:space="preserve">“sumisión”, podríamos decir) </w:t>
      </w:r>
      <w:r w:rsidR="00A257BF" w:rsidRPr="00A257BF">
        <w:rPr>
          <w:rFonts w:eastAsia="MS Mincho"/>
        </w:rPr>
        <w:t>es precisamente la que trata de erradicar el modelo colaborativo de constitucionalismo. La colaboración institucional supone el abandono de una visión rígida de la separación de poderes, y su sustitución por una concepción en la que las ramas del gobierno juegan papeles distintos y complementarios en una misma empresa colaborativa</w:t>
      </w:r>
      <w:r>
        <w:rPr>
          <w:rFonts w:eastAsia="MS Mincho"/>
        </w:rPr>
        <w:t xml:space="preserve"> (el mantenimiento del imperio de la ley)</w:t>
      </w:r>
      <w:r w:rsidR="00A257BF" w:rsidRPr="00A257BF">
        <w:rPr>
          <w:rFonts w:eastAsia="MS Mincho"/>
        </w:rPr>
        <w:t>. En orden a cumplir su papel, el legislativo debe producir leyes que traten de alcanzar sus objeti</w:t>
      </w:r>
      <w:r>
        <w:rPr>
          <w:rFonts w:eastAsia="MS Mincho"/>
        </w:rPr>
        <w:t>vos particulares del momento a la luz de es</w:t>
      </w:r>
      <w:r w:rsidR="00A257BF" w:rsidRPr="00A257BF">
        <w:rPr>
          <w:rFonts w:eastAsia="MS Mincho"/>
        </w:rPr>
        <w:t xml:space="preserve">e </w:t>
      </w:r>
      <w:r w:rsidR="0002129C">
        <w:rPr>
          <w:rFonts w:eastAsia="MS Mincho"/>
        </w:rPr>
        <w:t xml:space="preserve">proyecto jurídico más amplio.  </w:t>
      </w:r>
    </w:p>
    <w:p w14:paraId="4D07E2A9" w14:textId="74AC3162" w:rsidR="00A257BF" w:rsidRPr="00A257BF" w:rsidRDefault="00A257BF" w:rsidP="0002129C">
      <w:pPr>
        <w:spacing w:line="360" w:lineRule="auto"/>
        <w:ind w:right="-289" w:firstLine="709"/>
        <w:jc w:val="both"/>
        <w:rPr>
          <w:rFonts w:eastAsia="MS Mincho"/>
        </w:rPr>
      </w:pPr>
      <w:r w:rsidRPr="00A257BF">
        <w:rPr>
          <w:rFonts w:eastAsia="MS Mincho"/>
        </w:rPr>
        <w:t xml:space="preserve">El modelo colaborativo presupone una idea del </w:t>
      </w:r>
      <w:r w:rsidRPr="0043708A">
        <w:rPr>
          <w:rFonts w:eastAsia="MS Mincho"/>
          <w:i/>
        </w:rPr>
        <w:t>rule of law</w:t>
      </w:r>
      <w:r w:rsidRPr="00A257BF">
        <w:rPr>
          <w:rFonts w:eastAsia="MS Mincho"/>
        </w:rPr>
        <w:t xml:space="preserve"> como un tipo de orden social en el que las leyes y decisiones públicas promueven el interés general de acuerdo con ciertos principios fundamentales, y en donde los jueces tienen el deber y la capacidad para interpretar las normas jurídicas conforme a tales principios. Ninguna institución tiene la supr</w:t>
      </w:r>
      <w:r w:rsidR="00F833E6">
        <w:rPr>
          <w:rFonts w:eastAsia="MS Mincho"/>
        </w:rPr>
        <w:t>emacía en la determinación del D</w:t>
      </w:r>
      <w:r w:rsidRPr="00A257BF">
        <w:rPr>
          <w:rFonts w:eastAsia="MS Mincho"/>
        </w:rPr>
        <w:t xml:space="preserve">erecho. Aunque es función de los tribunales vigilar que el legislativo cumple su papel cooperativo, también pueden tener buenas razones para deferir a las interpretaciones de las leyes (y de la Constitución o el </w:t>
      </w:r>
      <w:r w:rsidRPr="0043708A">
        <w:rPr>
          <w:rFonts w:eastAsia="MS Mincho"/>
          <w:i/>
        </w:rPr>
        <w:t>Bill of Rights</w:t>
      </w:r>
      <w:r w:rsidRPr="00A257BF">
        <w:rPr>
          <w:rFonts w:eastAsia="MS Mincho"/>
        </w:rPr>
        <w:t xml:space="preserve">) que realizan el legislativo y el gobierno, en la medida en que éstos justifiquen razonablemente sus interpretaciones.   </w:t>
      </w:r>
    </w:p>
    <w:p w14:paraId="428F5159" w14:textId="77777777" w:rsidR="00FD4066" w:rsidRPr="00FD4066" w:rsidRDefault="00FD4066" w:rsidP="00A257BF">
      <w:pPr>
        <w:spacing w:line="360" w:lineRule="auto"/>
        <w:ind w:right="-291"/>
        <w:jc w:val="both"/>
        <w:rPr>
          <w:rFonts w:eastAsia="MS Mincho"/>
        </w:rPr>
      </w:pPr>
    </w:p>
    <w:p w14:paraId="7303A6D4" w14:textId="77777777" w:rsidR="00E02783" w:rsidRDefault="00E02783" w:rsidP="00E02783">
      <w:pPr>
        <w:spacing w:line="360" w:lineRule="auto"/>
        <w:ind w:right="-289"/>
        <w:jc w:val="both"/>
      </w:pPr>
    </w:p>
    <w:p w14:paraId="6E2409EA" w14:textId="77777777" w:rsidR="00E02783" w:rsidRDefault="00E02783" w:rsidP="00E02783">
      <w:pPr>
        <w:spacing w:line="360" w:lineRule="auto"/>
        <w:ind w:right="-289"/>
        <w:jc w:val="both"/>
      </w:pPr>
    </w:p>
    <w:p w14:paraId="779D511D" w14:textId="77777777" w:rsidR="00E02783" w:rsidRPr="005907EF" w:rsidRDefault="00E02783" w:rsidP="00E02783">
      <w:pPr>
        <w:spacing w:line="360" w:lineRule="auto"/>
        <w:ind w:right="-289"/>
        <w:jc w:val="both"/>
        <w:rPr>
          <w:lang w:val="es-ES"/>
        </w:rPr>
      </w:pPr>
      <w:r w:rsidRPr="005907EF">
        <w:rPr>
          <w:lang w:val="es-ES"/>
        </w:rPr>
        <w:t>BIBLIOGRAFÍA</w:t>
      </w:r>
    </w:p>
    <w:p w14:paraId="693DB028" w14:textId="77777777" w:rsidR="00A23E1F" w:rsidRPr="005907EF" w:rsidRDefault="00A23E1F" w:rsidP="00A23E1F">
      <w:pPr>
        <w:pStyle w:val="Textonotapie"/>
        <w:spacing w:line="360" w:lineRule="auto"/>
        <w:rPr>
          <w:rFonts w:eastAsia="MS Mincho"/>
          <w:lang w:val="es-ES"/>
        </w:rPr>
      </w:pPr>
    </w:p>
    <w:p w14:paraId="7E9BDAA6" w14:textId="77777777" w:rsidR="00436165" w:rsidRPr="00A23E1F" w:rsidRDefault="00436165" w:rsidP="007663B8">
      <w:pPr>
        <w:pStyle w:val="Textonotapie"/>
        <w:spacing w:line="360" w:lineRule="auto"/>
        <w:jc w:val="both"/>
        <w:rPr>
          <w:rFonts w:eastAsia="MS Mincho"/>
          <w:lang w:val="en-GB"/>
        </w:rPr>
      </w:pPr>
      <w:r w:rsidRPr="005907EF">
        <w:rPr>
          <w:rFonts w:eastAsia="MS Mincho"/>
          <w:lang w:val="es-ES"/>
        </w:rPr>
        <w:t>ALLAN, Trevor (2001)</w:t>
      </w:r>
      <w:r w:rsidR="00A23E1F" w:rsidRPr="005907EF">
        <w:rPr>
          <w:rFonts w:eastAsia="MS Mincho"/>
          <w:lang w:val="es-ES"/>
        </w:rPr>
        <w:t xml:space="preserve"> </w:t>
      </w:r>
      <w:r w:rsidR="00A23E1F" w:rsidRPr="005907EF">
        <w:rPr>
          <w:rFonts w:eastAsia="MS Mincho"/>
          <w:i/>
          <w:lang w:val="es-ES"/>
        </w:rPr>
        <w:t xml:space="preserve">Constitutional Justice. </w:t>
      </w:r>
      <w:r w:rsidR="00A23E1F" w:rsidRPr="00A23E1F">
        <w:rPr>
          <w:rFonts w:eastAsia="MS Mincho"/>
          <w:i/>
          <w:lang w:val="en-GB"/>
        </w:rPr>
        <w:t>A Liberal Theory of the Rule of Law</w:t>
      </w:r>
      <w:r w:rsidR="00A23E1F" w:rsidRPr="00A23E1F">
        <w:rPr>
          <w:rFonts w:eastAsia="MS Mincho"/>
          <w:lang w:val="en-GB"/>
        </w:rPr>
        <w:t>. Oxford, Oxford University Press.</w:t>
      </w:r>
    </w:p>
    <w:p w14:paraId="3C2016A1" w14:textId="77777777" w:rsidR="00A23E1F" w:rsidRPr="007663B8" w:rsidRDefault="00A23E1F" w:rsidP="007663B8">
      <w:pPr>
        <w:pStyle w:val="Textonotapie"/>
        <w:spacing w:line="360" w:lineRule="auto"/>
        <w:jc w:val="both"/>
        <w:rPr>
          <w:rFonts w:eastAsia="MS Mincho"/>
          <w:lang w:val="es-ES"/>
        </w:rPr>
      </w:pPr>
      <w:r w:rsidRPr="007663B8">
        <w:rPr>
          <w:lang w:val="en-GB"/>
        </w:rPr>
        <w:t>BICKEL,</w:t>
      </w:r>
      <w:r w:rsidR="007663B8" w:rsidRPr="007663B8">
        <w:rPr>
          <w:lang w:val="en-GB"/>
        </w:rPr>
        <w:t xml:space="preserve"> Alexander M. (1986) The Least Dangerous Branch. The Supreme Court at the Bar of Politics [1962] (2ª edición). </w:t>
      </w:r>
      <w:r w:rsidR="007663B8" w:rsidRPr="007663B8">
        <w:t xml:space="preserve">New Haven, Yale University Press. </w:t>
      </w:r>
      <w:r w:rsidRPr="00A23E1F">
        <w:t xml:space="preserve"> </w:t>
      </w:r>
    </w:p>
    <w:p w14:paraId="3610EFF0" w14:textId="77777777" w:rsidR="00436165" w:rsidRPr="00A23E1F" w:rsidRDefault="00436165" w:rsidP="007663B8">
      <w:pPr>
        <w:pStyle w:val="Textonotapie"/>
        <w:spacing w:line="360" w:lineRule="auto"/>
        <w:jc w:val="both"/>
      </w:pPr>
      <w:r w:rsidRPr="00A23E1F">
        <w:t>BULYGIN</w:t>
      </w:r>
      <w:r w:rsidR="007663B8" w:rsidRPr="007663B8">
        <w:t xml:space="preserve"> Eugenio (1991) “Sentencia judicial y creación del derecho”, en Alchourrón, C.E. y Bulygin, E. (eds.), </w:t>
      </w:r>
      <w:r w:rsidR="007663B8" w:rsidRPr="007663B8">
        <w:rPr>
          <w:i/>
        </w:rPr>
        <w:t>Análisis lógico y derecho</w:t>
      </w:r>
      <w:r w:rsidR="007663B8" w:rsidRPr="007663B8">
        <w:t>. Madrid, Centro de Estudios Políticos y Constitucionales, 355-369.</w:t>
      </w:r>
    </w:p>
    <w:p w14:paraId="42D18EAC" w14:textId="77777777" w:rsidR="00A23E1F" w:rsidRPr="007663B8" w:rsidRDefault="00A23E1F" w:rsidP="007663B8">
      <w:pPr>
        <w:pStyle w:val="Textonotapie"/>
        <w:spacing w:line="360" w:lineRule="auto"/>
        <w:jc w:val="both"/>
        <w:rPr>
          <w:rFonts w:eastAsia="MS Mincho"/>
          <w:lang w:val="en-GB"/>
        </w:rPr>
      </w:pPr>
      <w:r w:rsidRPr="00A23E1F">
        <w:t>CALABRESI, Guido</w:t>
      </w:r>
      <w:r w:rsidR="007663B8">
        <w:t xml:space="preserve"> (1982) </w:t>
      </w:r>
      <w:r w:rsidR="007663B8" w:rsidRPr="007663B8">
        <w:rPr>
          <w:i/>
        </w:rPr>
        <w:t>A Common Law for the Age of Statutes.</w:t>
      </w:r>
      <w:r w:rsidR="007663B8" w:rsidRPr="007663B8">
        <w:t xml:space="preserve"> </w:t>
      </w:r>
      <w:r w:rsidR="007663B8" w:rsidRPr="007663B8">
        <w:rPr>
          <w:lang w:val="en-GB"/>
        </w:rPr>
        <w:t xml:space="preserve">Cambridge, Mass., Harvard University Press.  </w:t>
      </w:r>
    </w:p>
    <w:p w14:paraId="7C5B3712" w14:textId="77777777" w:rsidR="00436165" w:rsidRPr="007663B8" w:rsidRDefault="00436165" w:rsidP="007663B8">
      <w:pPr>
        <w:pStyle w:val="Textonotapie"/>
        <w:spacing w:line="360" w:lineRule="auto"/>
        <w:jc w:val="both"/>
        <w:rPr>
          <w:lang w:val="en-GB"/>
        </w:rPr>
      </w:pPr>
      <w:r w:rsidRPr="007663B8">
        <w:rPr>
          <w:rFonts w:eastAsia="MS Mincho"/>
          <w:lang w:val="en-GB"/>
        </w:rPr>
        <w:t>DICEY</w:t>
      </w:r>
      <w:r w:rsidR="007663B8" w:rsidRPr="007663B8">
        <w:rPr>
          <w:rFonts w:eastAsia="MS Mincho"/>
          <w:lang w:val="en-GB"/>
        </w:rPr>
        <w:t xml:space="preserve">, Albert V. (1915) </w:t>
      </w:r>
      <w:r w:rsidR="007663B8" w:rsidRPr="007663B8">
        <w:rPr>
          <w:rFonts w:eastAsia="MS Mincho"/>
          <w:i/>
          <w:lang w:val="en-GB"/>
        </w:rPr>
        <w:t>Introduction to the Study of the Law of the Constitution</w:t>
      </w:r>
      <w:r w:rsidR="007663B8" w:rsidRPr="007663B8">
        <w:rPr>
          <w:rFonts w:eastAsia="MS Mincho"/>
          <w:lang w:val="en-GB"/>
        </w:rPr>
        <w:t>. 8ª edición. Indianapolis, Liberty Fund.</w:t>
      </w:r>
    </w:p>
    <w:p w14:paraId="525C9E88" w14:textId="77777777" w:rsidR="00A23E1F" w:rsidRPr="007663B8" w:rsidRDefault="00E02783" w:rsidP="007663B8">
      <w:pPr>
        <w:pStyle w:val="Textonotapie"/>
        <w:spacing w:line="360" w:lineRule="auto"/>
        <w:ind w:right="-291"/>
        <w:jc w:val="both"/>
        <w:rPr>
          <w:lang w:val="en-GB"/>
        </w:rPr>
      </w:pPr>
      <w:r w:rsidRPr="007663B8">
        <w:rPr>
          <w:lang w:val="en-GB"/>
        </w:rPr>
        <w:t>D</w:t>
      </w:r>
      <w:r w:rsidR="00436165" w:rsidRPr="007663B8">
        <w:rPr>
          <w:lang w:val="en-GB"/>
        </w:rPr>
        <w:t>YZENHAUS</w:t>
      </w:r>
      <w:r w:rsidR="00A23E1F" w:rsidRPr="007663B8">
        <w:rPr>
          <w:lang w:val="en-GB"/>
        </w:rPr>
        <w:t>, David (1996)</w:t>
      </w:r>
      <w:r w:rsidR="007663B8" w:rsidRPr="007663B8">
        <w:rPr>
          <w:lang w:val="en-GB"/>
        </w:rPr>
        <w:t xml:space="preserve"> “The legitimacy of legality”, </w:t>
      </w:r>
      <w:r w:rsidR="007663B8" w:rsidRPr="007663B8">
        <w:rPr>
          <w:i/>
          <w:lang w:val="en-GB"/>
        </w:rPr>
        <w:t>University of Toronto Law Journal</w:t>
      </w:r>
      <w:r w:rsidR="007663B8" w:rsidRPr="007663B8">
        <w:rPr>
          <w:lang w:val="en-GB"/>
        </w:rPr>
        <w:t xml:space="preserve">, 46, 129-180.   </w:t>
      </w:r>
    </w:p>
    <w:p w14:paraId="463A9DF3" w14:textId="77777777" w:rsidR="00E02783" w:rsidRPr="00A23E1F" w:rsidRDefault="00A23E1F" w:rsidP="007663B8">
      <w:pPr>
        <w:pStyle w:val="Textonotapie"/>
        <w:spacing w:line="360" w:lineRule="auto"/>
        <w:ind w:right="-291"/>
        <w:jc w:val="both"/>
        <w:rPr>
          <w:lang w:val="en-GB"/>
        </w:rPr>
      </w:pPr>
      <w:r w:rsidRPr="00A23E1F">
        <w:rPr>
          <w:lang w:val="en-GB"/>
        </w:rPr>
        <w:t xml:space="preserve">-- </w:t>
      </w:r>
      <w:r w:rsidR="00E02783" w:rsidRPr="00A23E1F">
        <w:rPr>
          <w:lang w:val="en-GB"/>
        </w:rPr>
        <w:t>(1998)</w:t>
      </w:r>
      <w:r w:rsidR="007663B8">
        <w:rPr>
          <w:lang w:val="en-GB"/>
        </w:rPr>
        <w:t xml:space="preserve"> </w:t>
      </w:r>
      <w:r w:rsidR="007663B8" w:rsidRPr="007663B8">
        <w:rPr>
          <w:lang w:val="en-GB"/>
        </w:rPr>
        <w:t xml:space="preserve">“Law as Justification: Etienne Mureinik's Conception of Legal Culture”, </w:t>
      </w:r>
      <w:r w:rsidR="007663B8" w:rsidRPr="007663B8">
        <w:rPr>
          <w:i/>
          <w:lang w:val="en-GB"/>
        </w:rPr>
        <w:t>South African Journal on Human Rights</w:t>
      </w:r>
      <w:r w:rsidR="007663B8" w:rsidRPr="007663B8">
        <w:rPr>
          <w:lang w:val="en-GB"/>
        </w:rPr>
        <w:t>, 14, 11-37.</w:t>
      </w:r>
    </w:p>
    <w:p w14:paraId="51CA4540" w14:textId="77777777" w:rsidR="00436165" w:rsidRPr="00A23E1F" w:rsidRDefault="00436165" w:rsidP="007663B8">
      <w:pPr>
        <w:pStyle w:val="Textonotapie"/>
        <w:spacing w:line="360" w:lineRule="auto"/>
        <w:ind w:right="-291"/>
        <w:jc w:val="both"/>
        <w:rPr>
          <w:lang w:val="en-GB"/>
        </w:rPr>
      </w:pPr>
      <w:r w:rsidRPr="00A23E1F">
        <w:rPr>
          <w:lang w:val="en-GB"/>
        </w:rPr>
        <w:t>-- (2006)</w:t>
      </w:r>
      <w:r w:rsidR="007663B8">
        <w:rPr>
          <w:lang w:val="en-GB"/>
        </w:rPr>
        <w:t xml:space="preserve"> </w:t>
      </w:r>
      <w:r w:rsidR="007663B8" w:rsidRPr="007663B8">
        <w:rPr>
          <w:i/>
          <w:lang w:val="en-GB"/>
        </w:rPr>
        <w:t>The Constitution of Law: Legality in a Time of Emergency</w:t>
      </w:r>
      <w:r w:rsidR="007663B8" w:rsidRPr="007663B8">
        <w:rPr>
          <w:lang w:val="en-GB"/>
        </w:rPr>
        <w:t>. Cambridge, Cambridge University Press.</w:t>
      </w:r>
    </w:p>
    <w:p w14:paraId="57CF7726" w14:textId="77777777" w:rsidR="00436165" w:rsidRPr="00A23E1F" w:rsidRDefault="00436165" w:rsidP="007663B8">
      <w:pPr>
        <w:pStyle w:val="Textonotapie"/>
        <w:spacing w:line="360" w:lineRule="auto"/>
        <w:ind w:right="-291"/>
        <w:jc w:val="both"/>
        <w:rPr>
          <w:lang w:val="en-GB"/>
        </w:rPr>
      </w:pPr>
      <w:r w:rsidRPr="00A23E1F">
        <w:rPr>
          <w:lang w:val="en-GB"/>
        </w:rPr>
        <w:t>-- (2010)</w:t>
      </w:r>
      <w:r w:rsidR="007663B8">
        <w:rPr>
          <w:lang w:val="en-GB"/>
        </w:rPr>
        <w:t xml:space="preserve"> </w:t>
      </w:r>
      <w:r w:rsidR="007663B8" w:rsidRPr="007663B8">
        <w:rPr>
          <w:i/>
          <w:lang w:val="en-GB"/>
        </w:rPr>
        <w:t>Hard Cases in Wicked Legal Systems. Pathologies of Legality</w:t>
      </w:r>
      <w:r w:rsidR="007663B8" w:rsidRPr="007663B8">
        <w:rPr>
          <w:lang w:val="en-GB"/>
        </w:rPr>
        <w:t>. 2ª edición. Oxford, Oxford University Press.</w:t>
      </w:r>
    </w:p>
    <w:p w14:paraId="4D1AD0E9" w14:textId="77777777" w:rsidR="00E02783" w:rsidRPr="00A23E1F" w:rsidRDefault="00E02783" w:rsidP="007663B8">
      <w:pPr>
        <w:pStyle w:val="Textonotapie"/>
        <w:spacing w:line="360" w:lineRule="auto"/>
        <w:ind w:right="-291"/>
        <w:jc w:val="both"/>
        <w:rPr>
          <w:lang w:val="en-GB"/>
        </w:rPr>
      </w:pPr>
      <w:r w:rsidRPr="00A23E1F">
        <w:rPr>
          <w:lang w:val="en-GB"/>
        </w:rPr>
        <w:t>-- (2015)</w:t>
      </w:r>
      <w:r w:rsidR="007663B8">
        <w:rPr>
          <w:lang w:val="en-GB"/>
        </w:rPr>
        <w:t xml:space="preserve"> </w:t>
      </w:r>
      <w:r w:rsidR="007663B8" w:rsidRPr="007663B8">
        <w:rPr>
          <w:lang w:val="en-GB"/>
        </w:rPr>
        <w:t xml:space="preserve">“What is a Democratic Culture of Justification?”, en M. Hunt, H. J. Hooper y P. Yowell (eds.), </w:t>
      </w:r>
      <w:r w:rsidR="007663B8" w:rsidRPr="007663B8">
        <w:rPr>
          <w:i/>
          <w:lang w:val="en-GB"/>
        </w:rPr>
        <w:t>Parliament and Human Rights. Redressing the Democratic Deficit.</w:t>
      </w:r>
      <w:r w:rsidR="007663B8" w:rsidRPr="007663B8">
        <w:rPr>
          <w:lang w:val="en-GB"/>
        </w:rPr>
        <w:t xml:space="preserve"> Oxford, Hart, 425-445.</w:t>
      </w:r>
    </w:p>
    <w:p w14:paraId="18CD47E6" w14:textId="77777777" w:rsidR="00A23E1F" w:rsidRPr="00A23E1F" w:rsidRDefault="00A23E1F" w:rsidP="007663B8">
      <w:pPr>
        <w:pStyle w:val="Textonotapie"/>
        <w:spacing w:line="360" w:lineRule="auto"/>
        <w:ind w:right="-291"/>
        <w:jc w:val="both"/>
        <w:rPr>
          <w:lang w:val="en-GB"/>
        </w:rPr>
      </w:pPr>
      <w:r w:rsidRPr="00A23E1F">
        <w:rPr>
          <w:lang w:val="en-GB"/>
        </w:rPr>
        <w:t>FINNIS,</w:t>
      </w:r>
      <w:r w:rsidR="007663B8">
        <w:rPr>
          <w:lang w:val="en-GB"/>
        </w:rPr>
        <w:t xml:space="preserve"> </w:t>
      </w:r>
      <w:r w:rsidR="007663B8" w:rsidRPr="007663B8">
        <w:rPr>
          <w:lang w:val="en-GB"/>
        </w:rPr>
        <w:t xml:space="preserve">John (1980) </w:t>
      </w:r>
      <w:r w:rsidR="007663B8" w:rsidRPr="007663B8">
        <w:rPr>
          <w:i/>
          <w:lang w:val="en-GB"/>
        </w:rPr>
        <w:t>Natural Law and Natural Rights</w:t>
      </w:r>
      <w:r w:rsidR="007663B8" w:rsidRPr="007663B8">
        <w:rPr>
          <w:lang w:val="en-GB"/>
        </w:rPr>
        <w:t xml:space="preserve"> (2ª edición). Oxford, Oxford University Press.</w:t>
      </w:r>
    </w:p>
    <w:p w14:paraId="164C0073" w14:textId="77777777" w:rsidR="00A23E1F" w:rsidRPr="00A23E1F" w:rsidRDefault="00A23E1F" w:rsidP="007663B8">
      <w:pPr>
        <w:pStyle w:val="Textonotapie"/>
        <w:spacing w:line="360" w:lineRule="auto"/>
        <w:ind w:right="-291"/>
        <w:jc w:val="both"/>
        <w:rPr>
          <w:lang w:val="en-GB"/>
        </w:rPr>
      </w:pPr>
      <w:r w:rsidRPr="00A23E1F">
        <w:rPr>
          <w:lang w:val="en-GB"/>
        </w:rPr>
        <w:t>FULLER, Lon (1969)</w:t>
      </w:r>
      <w:r w:rsidR="007663B8">
        <w:rPr>
          <w:lang w:val="en-GB"/>
        </w:rPr>
        <w:t xml:space="preserve"> </w:t>
      </w:r>
      <w:r w:rsidR="007663B8" w:rsidRPr="007663B8">
        <w:rPr>
          <w:i/>
          <w:lang w:val="en-GB"/>
        </w:rPr>
        <w:t>The Morality of Law</w:t>
      </w:r>
      <w:r w:rsidR="007663B8" w:rsidRPr="007663B8">
        <w:rPr>
          <w:lang w:val="en-GB"/>
        </w:rPr>
        <w:t xml:space="preserve"> (2ª edición). New Haven, Yale University Press.</w:t>
      </w:r>
    </w:p>
    <w:p w14:paraId="7CB9F099" w14:textId="77777777" w:rsidR="00A23E1F" w:rsidRPr="00A23E1F" w:rsidRDefault="00A23E1F" w:rsidP="007663B8">
      <w:pPr>
        <w:pStyle w:val="Textonotapie"/>
        <w:spacing w:line="360" w:lineRule="auto"/>
        <w:ind w:right="-291"/>
        <w:jc w:val="both"/>
        <w:rPr>
          <w:rFonts w:eastAsia="MS Mincho"/>
          <w:lang w:val="en-GB"/>
        </w:rPr>
      </w:pPr>
      <w:r w:rsidRPr="00A23E1F">
        <w:rPr>
          <w:lang w:val="en-GB"/>
        </w:rPr>
        <w:t>GLENDON</w:t>
      </w:r>
      <w:r w:rsidR="007663B8">
        <w:rPr>
          <w:lang w:val="en-GB"/>
        </w:rPr>
        <w:t xml:space="preserve">, </w:t>
      </w:r>
      <w:r w:rsidR="007663B8" w:rsidRPr="007663B8">
        <w:rPr>
          <w:lang w:val="en-GB"/>
        </w:rPr>
        <w:t xml:space="preserve">Mary A. (1991) </w:t>
      </w:r>
      <w:r w:rsidR="007663B8" w:rsidRPr="007663B8">
        <w:rPr>
          <w:i/>
          <w:lang w:val="en-GB"/>
        </w:rPr>
        <w:t>Rights Talk: The Impoverishment of Political Discourse.</w:t>
      </w:r>
      <w:r w:rsidR="007663B8" w:rsidRPr="007663B8">
        <w:rPr>
          <w:lang w:val="en-GB"/>
        </w:rPr>
        <w:t xml:space="preserve"> Nueva York, Free Press.</w:t>
      </w:r>
    </w:p>
    <w:p w14:paraId="04501FF6" w14:textId="77777777" w:rsidR="00436165" w:rsidRPr="00A23E1F" w:rsidRDefault="00436165" w:rsidP="007663B8">
      <w:pPr>
        <w:pStyle w:val="Textonotapie"/>
        <w:spacing w:line="360" w:lineRule="auto"/>
        <w:ind w:right="-291"/>
        <w:jc w:val="both"/>
        <w:rPr>
          <w:rFonts w:eastAsia="MS Mincho"/>
          <w:lang w:val="en-GB"/>
        </w:rPr>
      </w:pPr>
      <w:r w:rsidRPr="00A23E1F">
        <w:rPr>
          <w:rFonts w:eastAsia="MS Mincho"/>
          <w:lang w:val="en-GB"/>
        </w:rPr>
        <w:t>GOLDSWORTH</w:t>
      </w:r>
      <w:r w:rsidR="007663B8">
        <w:rPr>
          <w:rFonts w:eastAsia="MS Mincho"/>
          <w:lang w:val="en-GB"/>
        </w:rPr>
        <w:t xml:space="preserve">Y, </w:t>
      </w:r>
      <w:r w:rsidR="007663B8" w:rsidRPr="007663B8">
        <w:rPr>
          <w:rFonts w:eastAsia="MS Mincho"/>
          <w:lang w:val="en-GB"/>
        </w:rPr>
        <w:t xml:space="preserve">Jeffrey (1999) </w:t>
      </w:r>
      <w:r w:rsidR="007663B8" w:rsidRPr="007663B8">
        <w:rPr>
          <w:rFonts w:eastAsia="MS Mincho"/>
          <w:i/>
          <w:lang w:val="en-GB"/>
        </w:rPr>
        <w:t>The Sovereignty of Parliament: History and Philosophy</w:t>
      </w:r>
      <w:r w:rsidR="007663B8" w:rsidRPr="007663B8">
        <w:rPr>
          <w:rFonts w:eastAsia="MS Mincho"/>
          <w:lang w:val="en-GB"/>
        </w:rPr>
        <w:t>, Oxford: Clarendon Press.</w:t>
      </w:r>
    </w:p>
    <w:p w14:paraId="10E6D5F2" w14:textId="77777777" w:rsidR="00436165" w:rsidRPr="00A23E1F" w:rsidRDefault="00436165" w:rsidP="007663B8">
      <w:pPr>
        <w:pStyle w:val="Textonotapie"/>
        <w:spacing w:line="360" w:lineRule="auto"/>
        <w:ind w:right="-291"/>
        <w:jc w:val="both"/>
        <w:rPr>
          <w:lang w:val="en-GB"/>
        </w:rPr>
      </w:pPr>
      <w:r w:rsidRPr="00A23E1F">
        <w:rPr>
          <w:rFonts w:eastAsia="MS Mincho"/>
          <w:lang w:val="en-GB"/>
        </w:rPr>
        <w:lastRenderedPageBreak/>
        <w:t>HICKMAN</w:t>
      </w:r>
      <w:r w:rsidR="007663B8">
        <w:rPr>
          <w:rFonts w:eastAsia="MS Mincho"/>
          <w:lang w:val="en-GB"/>
        </w:rPr>
        <w:t xml:space="preserve">, Tom </w:t>
      </w:r>
      <w:r w:rsidR="007663B8" w:rsidRPr="007663B8">
        <w:rPr>
          <w:rFonts w:eastAsia="MS Mincho"/>
          <w:lang w:val="en-GB"/>
        </w:rPr>
        <w:t xml:space="preserve">(2010) </w:t>
      </w:r>
      <w:r w:rsidR="007663B8" w:rsidRPr="007663B8">
        <w:rPr>
          <w:rFonts w:eastAsia="MS Mincho"/>
          <w:i/>
          <w:lang w:val="en-GB"/>
        </w:rPr>
        <w:t>Public Law After the Human Rights Act.</w:t>
      </w:r>
      <w:r w:rsidR="007663B8" w:rsidRPr="007663B8">
        <w:rPr>
          <w:rFonts w:eastAsia="MS Mincho"/>
          <w:lang w:val="en-GB"/>
        </w:rPr>
        <w:t xml:space="preserve"> Oxford, Hart Publishing.</w:t>
      </w:r>
    </w:p>
    <w:p w14:paraId="02AA5386" w14:textId="77777777" w:rsidR="00E02783" w:rsidRPr="00A23E1F" w:rsidRDefault="00436165" w:rsidP="007663B8">
      <w:pPr>
        <w:pStyle w:val="Textonotapie"/>
        <w:spacing w:line="360" w:lineRule="auto"/>
        <w:ind w:right="-291"/>
        <w:jc w:val="both"/>
        <w:rPr>
          <w:lang w:val="en-GB"/>
        </w:rPr>
      </w:pPr>
      <w:r w:rsidRPr="00A23E1F">
        <w:rPr>
          <w:lang w:val="en-GB"/>
        </w:rPr>
        <w:t>HUNT</w:t>
      </w:r>
      <w:r w:rsidR="007663B8">
        <w:rPr>
          <w:lang w:val="en-GB"/>
        </w:rPr>
        <w:t xml:space="preserve">, </w:t>
      </w:r>
      <w:r w:rsidR="007663B8" w:rsidRPr="007663B8">
        <w:rPr>
          <w:lang w:val="en-GB"/>
        </w:rPr>
        <w:t xml:space="preserve">Murray (1997) </w:t>
      </w:r>
      <w:r w:rsidR="007663B8" w:rsidRPr="007663B8">
        <w:rPr>
          <w:i/>
          <w:lang w:val="en-GB"/>
        </w:rPr>
        <w:t>Using Human Rights Law in English Courts.</w:t>
      </w:r>
      <w:r w:rsidR="007663B8" w:rsidRPr="007663B8">
        <w:rPr>
          <w:lang w:val="en-GB"/>
        </w:rPr>
        <w:t xml:space="preserve"> Oxford, Hart Publishing.</w:t>
      </w:r>
    </w:p>
    <w:p w14:paraId="5B52EE68" w14:textId="77777777" w:rsidR="00E02783" w:rsidRDefault="00E02783" w:rsidP="007663B8">
      <w:pPr>
        <w:pStyle w:val="Textonotapie"/>
        <w:spacing w:line="360" w:lineRule="auto"/>
        <w:ind w:right="-291"/>
        <w:jc w:val="both"/>
        <w:rPr>
          <w:lang w:val="en-GB"/>
        </w:rPr>
      </w:pPr>
      <w:r w:rsidRPr="00A23E1F">
        <w:rPr>
          <w:lang w:val="en-GB"/>
        </w:rPr>
        <w:t>-- (2007)</w:t>
      </w:r>
      <w:r w:rsidR="007663B8">
        <w:rPr>
          <w:lang w:val="en-GB"/>
        </w:rPr>
        <w:t xml:space="preserve"> </w:t>
      </w:r>
      <w:r w:rsidR="007663B8" w:rsidRPr="007663B8">
        <w:rPr>
          <w:lang w:val="en-GB"/>
        </w:rPr>
        <w:t xml:space="preserve">“Reshaping Constitutionalism”, en J. Morison, K. McEvoy y G. Anthony (eds.) </w:t>
      </w:r>
      <w:r w:rsidR="007663B8" w:rsidRPr="000B5B13">
        <w:rPr>
          <w:i/>
          <w:lang w:val="en-GB"/>
        </w:rPr>
        <w:t>Judges, Transition, and Human Rights.</w:t>
      </w:r>
      <w:r w:rsidR="007663B8" w:rsidRPr="007663B8">
        <w:rPr>
          <w:lang w:val="en-GB"/>
        </w:rPr>
        <w:t xml:space="preserve"> Oxford, Oxford University Press, 467-477.</w:t>
      </w:r>
    </w:p>
    <w:p w14:paraId="1790E480" w14:textId="77777777" w:rsidR="000B5B13" w:rsidRPr="00A23E1F" w:rsidRDefault="000B5B13" w:rsidP="007663B8">
      <w:pPr>
        <w:pStyle w:val="Textonotapie"/>
        <w:spacing w:line="360" w:lineRule="auto"/>
        <w:ind w:right="-291"/>
        <w:jc w:val="both"/>
        <w:rPr>
          <w:lang w:val="en-GB"/>
        </w:rPr>
      </w:pPr>
      <w:r w:rsidRPr="00A23E1F">
        <w:rPr>
          <w:lang w:val="en-GB"/>
        </w:rPr>
        <w:t>-- (2015)</w:t>
      </w:r>
      <w:r>
        <w:rPr>
          <w:lang w:val="en-GB"/>
        </w:rPr>
        <w:t xml:space="preserve"> </w:t>
      </w:r>
      <w:r w:rsidRPr="000B5B13">
        <w:rPr>
          <w:lang w:val="en-GB"/>
        </w:rPr>
        <w:t xml:space="preserve">“Introduction”, en M. Hunt, H. J. Hooper y P. Yowell (eds.), </w:t>
      </w:r>
      <w:r w:rsidRPr="000B5B13">
        <w:rPr>
          <w:i/>
          <w:lang w:val="en-GB"/>
        </w:rPr>
        <w:t xml:space="preserve">Parliament and Human Rights. Redressing the Democratic Deficit. </w:t>
      </w:r>
      <w:r w:rsidRPr="000B5B13">
        <w:rPr>
          <w:lang w:val="en-GB"/>
        </w:rPr>
        <w:t>Oxford, Hart, 1-25.</w:t>
      </w:r>
    </w:p>
    <w:p w14:paraId="2C9ACF61" w14:textId="77777777" w:rsidR="00E02783" w:rsidRPr="00A23E1F" w:rsidRDefault="00A23E1F" w:rsidP="007663B8">
      <w:pPr>
        <w:pStyle w:val="Textonotapie"/>
        <w:spacing w:line="360" w:lineRule="auto"/>
        <w:ind w:right="-291"/>
        <w:jc w:val="both"/>
        <w:rPr>
          <w:lang w:val="en-GB"/>
        </w:rPr>
      </w:pPr>
      <w:r w:rsidRPr="00A23E1F">
        <w:rPr>
          <w:lang w:val="en-GB"/>
        </w:rPr>
        <w:t>KAVANAGH, Aileen</w:t>
      </w:r>
      <w:r w:rsidR="000B5B13">
        <w:rPr>
          <w:lang w:val="en-GB"/>
        </w:rPr>
        <w:t xml:space="preserve"> (2009) </w:t>
      </w:r>
      <w:r w:rsidR="000B5B13" w:rsidRPr="000B5B13">
        <w:rPr>
          <w:i/>
          <w:lang w:val="en-GB"/>
        </w:rPr>
        <w:t>Constitutional Review under the UK Human Rights Act.</w:t>
      </w:r>
      <w:r w:rsidR="000B5B13" w:rsidRPr="000B5B13">
        <w:rPr>
          <w:lang w:val="en-GB"/>
        </w:rPr>
        <w:t xml:space="preserve"> Cambridge, Cambridge University Press.</w:t>
      </w:r>
    </w:p>
    <w:p w14:paraId="4A127DA7" w14:textId="77777777" w:rsidR="00E02783" w:rsidRPr="00A23E1F" w:rsidRDefault="00E02783" w:rsidP="007663B8">
      <w:pPr>
        <w:pStyle w:val="Textonotapie"/>
        <w:spacing w:line="360" w:lineRule="auto"/>
        <w:ind w:right="-291"/>
        <w:jc w:val="both"/>
        <w:rPr>
          <w:lang w:val="en-GB"/>
        </w:rPr>
      </w:pPr>
      <w:r w:rsidRPr="00A23E1F">
        <w:rPr>
          <w:lang w:val="en-GB"/>
        </w:rPr>
        <w:t>M</w:t>
      </w:r>
      <w:r w:rsidR="00436165" w:rsidRPr="00A23E1F">
        <w:rPr>
          <w:lang w:val="en-GB"/>
        </w:rPr>
        <w:t>UREINIK</w:t>
      </w:r>
      <w:r w:rsidR="000B5B13">
        <w:rPr>
          <w:lang w:val="en-GB"/>
        </w:rPr>
        <w:t xml:space="preserve">, </w:t>
      </w:r>
      <w:r w:rsidR="000B5B13" w:rsidRPr="000B5B13">
        <w:rPr>
          <w:lang w:val="en-GB"/>
        </w:rPr>
        <w:t xml:space="preserve">Etienne (1994) “A Bridge to Where?: Introducing the Interim Bill of Rights”, </w:t>
      </w:r>
      <w:r w:rsidR="000B5B13" w:rsidRPr="000B5B13">
        <w:rPr>
          <w:i/>
          <w:lang w:val="en-GB"/>
        </w:rPr>
        <w:t>South African Journal on Human Rights</w:t>
      </w:r>
      <w:r w:rsidR="000B5B13" w:rsidRPr="000B5B13">
        <w:rPr>
          <w:lang w:val="en-GB"/>
        </w:rPr>
        <w:t>, 10, 31-48.</w:t>
      </w:r>
    </w:p>
    <w:p w14:paraId="426B3919" w14:textId="77777777" w:rsidR="00A23E1F" w:rsidRPr="00A23E1F" w:rsidRDefault="00A23E1F" w:rsidP="007663B8">
      <w:pPr>
        <w:pStyle w:val="Textonotapie"/>
        <w:spacing w:line="360" w:lineRule="auto"/>
        <w:ind w:right="-291"/>
        <w:jc w:val="both"/>
        <w:rPr>
          <w:lang w:val="en-GB"/>
        </w:rPr>
      </w:pPr>
      <w:r w:rsidRPr="00A23E1F">
        <w:rPr>
          <w:lang w:val="en-GB"/>
        </w:rPr>
        <w:t>PERRY, Michael (</w:t>
      </w:r>
      <w:r w:rsidR="000B5B13">
        <w:rPr>
          <w:lang w:val="en-GB"/>
        </w:rPr>
        <w:t>200</w:t>
      </w:r>
      <w:r w:rsidRPr="00A23E1F">
        <w:rPr>
          <w:lang w:val="en-GB"/>
        </w:rPr>
        <w:t>3)</w:t>
      </w:r>
      <w:r w:rsidR="000B5B13">
        <w:rPr>
          <w:lang w:val="en-GB"/>
        </w:rPr>
        <w:t xml:space="preserve"> </w:t>
      </w:r>
      <w:r w:rsidR="000B5B13" w:rsidRPr="000B5B13">
        <w:rPr>
          <w:lang w:val="en-GB"/>
        </w:rPr>
        <w:t xml:space="preserve">“Protecting Human Rights in a Democracy: What Role for the Courts?”, </w:t>
      </w:r>
      <w:r w:rsidR="000B5B13" w:rsidRPr="000B5B13">
        <w:rPr>
          <w:i/>
          <w:lang w:val="en-GB"/>
        </w:rPr>
        <w:t>Wake Forest Law Review</w:t>
      </w:r>
      <w:r w:rsidR="000B5B13" w:rsidRPr="000B5B13">
        <w:rPr>
          <w:lang w:val="en-GB"/>
        </w:rPr>
        <w:t>, 38, 635-696.</w:t>
      </w:r>
    </w:p>
    <w:p w14:paraId="267A4E39" w14:textId="77777777" w:rsidR="00436165" w:rsidRPr="000B5B13" w:rsidRDefault="00436165" w:rsidP="007663B8">
      <w:pPr>
        <w:pStyle w:val="Textonotapie"/>
        <w:spacing w:line="360" w:lineRule="auto"/>
        <w:ind w:right="-291"/>
        <w:jc w:val="both"/>
        <w:rPr>
          <w:lang w:val="es-ES"/>
        </w:rPr>
      </w:pPr>
      <w:r w:rsidRPr="000B5B13">
        <w:rPr>
          <w:lang w:val="es-ES"/>
        </w:rPr>
        <w:t>POSTEMA, Gerald (2014)</w:t>
      </w:r>
      <w:r w:rsidR="000B5B13" w:rsidRPr="000B5B13">
        <w:rPr>
          <w:lang w:val="es-ES"/>
        </w:rPr>
        <w:t xml:space="preserve"> “El dominio del Derecho. Recíproca rendición de cuentas e imperio de la Ley” (trad. cast. J. M. Sauca), </w:t>
      </w:r>
      <w:r w:rsidR="000B5B13" w:rsidRPr="000B5B13">
        <w:rPr>
          <w:i/>
          <w:lang w:val="es-ES"/>
        </w:rPr>
        <w:t>Enomía. Revista en Cultura de la Legalidad</w:t>
      </w:r>
      <w:r w:rsidR="000B5B13" w:rsidRPr="000B5B13">
        <w:rPr>
          <w:lang w:val="es-ES"/>
        </w:rPr>
        <w:t>, 6, 4-15.</w:t>
      </w:r>
    </w:p>
    <w:p w14:paraId="3D17A7E4" w14:textId="77777777" w:rsidR="00E02783" w:rsidRPr="00A23E1F" w:rsidRDefault="00E02783" w:rsidP="007663B8">
      <w:pPr>
        <w:pStyle w:val="Textonotapie"/>
        <w:spacing w:line="360" w:lineRule="auto"/>
        <w:ind w:right="-291"/>
        <w:jc w:val="both"/>
        <w:rPr>
          <w:lang w:val="en-GB"/>
        </w:rPr>
      </w:pPr>
      <w:r w:rsidRPr="005907EF">
        <w:rPr>
          <w:lang w:val="es-ES"/>
        </w:rPr>
        <w:t>R</w:t>
      </w:r>
      <w:r w:rsidR="00436165" w:rsidRPr="005907EF">
        <w:rPr>
          <w:lang w:val="es-ES"/>
        </w:rPr>
        <w:t>AWLS</w:t>
      </w:r>
      <w:r w:rsidR="000B5B13" w:rsidRPr="005907EF">
        <w:rPr>
          <w:lang w:val="es-ES"/>
        </w:rPr>
        <w:t xml:space="preserve">, John (1993) </w:t>
      </w:r>
      <w:r w:rsidR="000B5B13" w:rsidRPr="005907EF">
        <w:rPr>
          <w:i/>
          <w:lang w:val="es-ES"/>
        </w:rPr>
        <w:t>Political Liberalism.</w:t>
      </w:r>
      <w:r w:rsidR="000B5B13" w:rsidRPr="005907EF">
        <w:rPr>
          <w:lang w:val="es-ES"/>
        </w:rPr>
        <w:t xml:space="preserve"> </w:t>
      </w:r>
      <w:r w:rsidR="000B5B13" w:rsidRPr="000B5B13">
        <w:rPr>
          <w:lang w:val="en-GB"/>
        </w:rPr>
        <w:t>Nueva York, Columbia University Press.</w:t>
      </w:r>
    </w:p>
    <w:p w14:paraId="4F909EBC" w14:textId="77777777" w:rsidR="000B5B13" w:rsidRDefault="00E02783" w:rsidP="007663B8">
      <w:pPr>
        <w:pStyle w:val="Textonotapie"/>
        <w:spacing w:line="360" w:lineRule="auto"/>
        <w:ind w:right="-291"/>
        <w:jc w:val="both"/>
        <w:rPr>
          <w:rFonts w:eastAsia="MS Mincho"/>
          <w:lang w:val="en-GB"/>
        </w:rPr>
      </w:pPr>
      <w:r w:rsidRPr="00A23E1F">
        <w:rPr>
          <w:rFonts w:eastAsia="MS Mincho"/>
          <w:lang w:val="en-GB"/>
        </w:rPr>
        <w:t>R</w:t>
      </w:r>
      <w:r w:rsidR="00436165" w:rsidRPr="00A23E1F">
        <w:rPr>
          <w:rFonts w:eastAsia="MS Mincho"/>
          <w:lang w:val="en-GB"/>
        </w:rPr>
        <w:t>OACH</w:t>
      </w:r>
      <w:r w:rsidR="00A23E1F" w:rsidRPr="00A23E1F">
        <w:rPr>
          <w:rFonts w:eastAsia="MS Mincho"/>
          <w:lang w:val="en-GB"/>
        </w:rPr>
        <w:t xml:space="preserve">, </w:t>
      </w:r>
      <w:r w:rsidR="000B5B13" w:rsidRPr="000B5B13">
        <w:rPr>
          <w:rFonts w:eastAsia="MS Mincho"/>
          <w:lang w:val="en-GB"/>
        </w:rPr>
        <w:t xml:space="preserve">Kent (1997) “What’s New and Old About the Legal Process?”, </w:t>
      </w:r>
      <w:r w:rsidR="000B5B13" w:rsidRPr="000B5B13">
        <w:rPr>
          <w:rFonts w:eastAsia="MS Mincho"/>
          <w:i/>
          <w:lang w:val="en-GB"/>
        </w:rPr>
        <w:t>Toronto Law Journal</w:t>
      </w:r>
      <w:r w:rsidR="000B5B13" w:rsidRPr="000B5B13">
        <w:rPr>
          <w:rFonts w:eastAsia="MS Mincho"/>
          <w:lang w:val="en-GB"/>
        </w:rPr>
        <w:t xml:space="preserve">, 47, 363-394.  </w:t>
      </w:r>
    </w:p>
    <w:p w14:paraId="7A266204" w14:textId="77777777" w:rsidR="000B5B13" w:rsidRDefault="000B5B13" w:rsidP="007663B8">
      <w:pPr>
        <w:pStyle w:val="Textonotapie"/>
        <w:spacing w:line="360" w:lineRule="auto"/>
        <w:ind w:right="-291"/>
        <w:jc w:val="both"/>
        <w:rPr>
          <w:rFonts w:eastAsia="MS Mincho"/>
          <w:lang w:val="en-GB"/>
        </w:rPr>
      </w:pPr>
      <w:r>
        <w:rPr>
          <w:rFonts w:eastAsia="MS Mincho"/>
          <w:lang w:val="en-GB"/>
        </w:rPr>
        <w:t>─ (2001)</w:t>
      </w:r>
      <w:r w:rsidRPr="000B5B13">
        <w:rPr>
          <w:rFonts w:eastAsia="MS Mincho"/>
          <w:lang w:val="en-GB"/>
        </w:rPr>
        <w:t xml:space="preserve"> </w:t>
      </w:r>
      <w:r w:rsidRPr="000B5B13">
        <w:rPr>
          <w:rFonts w:eastAsia="MS Mincho"/>
          <w:i/>
          <w:lang w:val="en-GB"/>
        </w:rPr>
        <w:t>The Supreme Court on Trial: Judicial Activism or Democratic Dialogue</w:t>
      </w:r>
      <w:r w:rsidRPr="000B5B13">
        <w:rPr>
          <w:rFonts w:eastAsia="MS Mincho"/>
          <w:lang w:val="en-GB"/>
        </w:rPr>
        <w:t xml:space="preserve">, Toronto, Irwin Law. </w:t>
      </w:r>
    </w:p>
    <w:p w14:paraId="2D8B3DD9" w14:textId="77777777" w:rsidR="00E02783" w:rsidRPr="000B5B13" w:rsidRDefault="000B5B13" w:rsidP="007663B8">
      <w:pPr>
        <w:pStyle w:val="Textonotapie"/>
        <w:spacing w:line="360" w:lineRule="auto"/>
        <w:ind w:right="-291"/>
        <w:jc w:val="both"/>
        <w:rPr>
          <w:rFonts w:eastAsia="MS Mincho"/>
          <w:lang w:val="en-GB"/>
        </w:rPr>
      </w:pPr>
      <w:r>
        <w:rPr>
          <w:rFonts w:eastAsia="MS Mincho"/>
          <w:lang w:val="en-GB"/>
        </w:rPr>
        <w:t>─ (2007)</w:t>
      </w:r>
      <w:r w:rsidRPr="000B5B13">
        <w:rPr>
          <w:rFonts w:eastAsia="MS Mincho"/>
          <w:lang w:val="en-GB"/>
        </w:rPr>
        <w:t xml:space="preserve"> “Dialogic Judicial Review and Its Critics”, en D. Dyzenhaus, S. Reibetanz y A. Ripstein (eds.), </w:t>
      </w:r>
      <w:r w:rsidRPr="000B5B13">
        <w:rPr>
          <w:rFonts w:eastAsia="MS Mincho"/>
          <w:i/>
          <w:lang w:val="en-GB"/>
        </w:rPr>
        <w:t>Law and Morality</w:t>
      </w:r>
      <w:r w:rsidRPr="000B5B13">
        <w:rPr>
          <w:rFonts w:eastAsia="MS Mincho"/>
          <w:lang w:val="en-GB"/>
        </w:rPr>
        <w:t xml:space="preserve">. 3ª edición. Toronto, University of Toronto Press, 589644.  ROUX, Theunis (2013) </w:t>
      </w:r>
      <w:r w:rsidRPr="000B5B13">
        <w:rPr>
          <w:rFonts w:eastAsia="MS Mincho"/>
          <w:i/>
          <w:lang w:val="en-GB"/>
        </w:rPr>
        <w:t>The Politics of Principle: The First South African Constitutional Court, 1995-2005.</w:t>
      </w:r>
      <w:r w:rsidRPr="000B5B13">
        <w:rPr>
          <w:rFonts w:eastAsia="MS Mincho"/>
          <w:lang w:val="en-GB"/>
        </w:rPr>
        <w:t xml:space="preserve"> Cambridge, Cambridge University Press</w:t>
      </w:r>
      <w:r>
        <w:rPr>
          <w:rFonts w:eastAsia="MS Mincho"/>
          <w:lang w:val="en-GB"/>
        </w:rPr>
        <w:t>.</w:t>
      </w:r>
    </w:p>
    <w:p w14:paraId="51D07430" w14:textId="77777777" w:rsidR="00436165" w:rsidRPr="00A23E1F" w:rsidRDefault="00436165" w:rsidP="007663B8">
      <w:pPr>
        <w:pStyle w:val="Textonotapie"/>
        <w:spacing w:line="360" w:lineRule="auto"/>
        <w:jc w:val="both"/>
        <w:rPr>
          <w:lang w:val="en-GB"/>
        </w:rPr>
      </w:pPr>
      <w:r w:rsidRPr="00A23E1F">
        <w:rPr>
          <w:rFonts w:eastAsia="MS Mincho"/>
          <w:lang w:val="en-GB"/>
        </w:rPr>
        <w:t>WALTERS</w:t>
      </w:r>
      <w:r w:rsidR="000B5B13">
        <w:rPr>
          <w:rFonts w:eastAsia="MS Mincho"/>
          <w:lang w:val="en-GB"/>
        </w:rPr>
        <w:t xml:space="preserve">, </w:t>
      </w:r>
      <w:r w:rsidR="000B5B13" w:rsidRPr="000B5B13">
        <w:rPr>
          <w:rFonts w:eastAsia="MS Mincho"/>
          <w:lang w:val="en-GB"/>
        </w:rPr>
        <w:t xml:space="preserve">Mark D. (2003) “Common Law, Reason, and Sovereign Will”, </w:t>
      </w:r>
      <w:r w:rsidR="000B5B13" w:rsidRPr="000B5B13">
        <w:rPr>
          <w:rFonts w:eastAsia="MS Mincho"/>
          <w:i/>
          <w:lang w:val="en-GB"/>
        </w:rPr>
        <w:t>Toronto Law Journal</w:t>
      </w:r>
      <w:r w:rsidR="000B5B13" w:rsidRPr="000B5B13">
        <w:rPr>
          <w:rFonts w:eastAsia="MS Mincho"/>
          <w:lang w:val="en-GB"/>
        </w:rPr>
        <w:t>, 53, 65-88.</w:t>
      </w:r>
    </w:p>
    <w:p w14:paraId="450644C8" w14:textId="77777777" w:rsidR="00E02783" w:rsidRPr="000B5B13" w:rsidRDefault="00E02783" w:rsidP="007663B8">
      <w:pPr>
        <w:pStyle w:val="Textonotapie"/>
        <w:spacing w:line="360" w:lineRule="auto"/>
        <w:ind w:right="-285"/>
        <w:jc w:val="both"/>
        <w:rPr>
          <w:rFonts w:eastAsia="MS Mincho"/>
          <w:lang w:val="en-GB"/>
        </w:rPr>
      </w:pPr>
      <w:r w:rsidRPr="000B5B13">
        <w:rPr>
          <w:rFonts w:eastAsia="MS Mincho"/>
          <w:lang w:val="en-GB"/>
        </w:rPr>
        <w:t>W</w:t>
      </w:r>
      <w:r w:rsidR="00436165" w:rsidRPr="000B5B13">
        <w:rPr>
          <w:rFonts w:eastAsia="MS Mincho"/>
          <w:lang w:val="en-GB"/>
        </w:rPr>
        <w:t>ILLIS</w:t>
      </w:r>
      <w:r w:rsidR="000B5B13" w:rsidRPr="000B5B13">
        <w:rPr>
          <w:rFonts w:eastAsia="MS Mincho"/>
          <w:lang w:val="en-GB"/>
        </w:rPr>
        <w:t xml:space="preserve">, John (1938) “Statute Interpretation in a Nutshell”, </w:t>
      </w:r>
      <w:r w:rsidR="000B5B13" w:rsidRPr="000B5B13">
        <w:rPr>
          <w:rFonts w:eastAsia="MS Mincho"/>
          <w:i/>
          <w:lang w:val="en-GB"/>
        </w:rPr>
        <w:t>The Canadian Bar Review</w:t>
      </w:r>
      <w:r w:rsidR="000B5B13" w:rsidRPr="000B5B13">
        <w:rPr>
          <w:rFonts w:eastAsia="MS Mincho"/>
          <w:lang w:val="en-GB"/>
        </w:rPr>
        <w:t>, 16(1), 1-27</w:t>
      </w:r>
    </w:p>
    <w:p w14:paraId="1C89835A" w14:textId="77777777" w:rsidR="00E02783" w:rsidRPr="000B5B13" w:rsidRDefault="00E02783" w:rsidP="007663B8">
      <w:pPr>
        <w:pStyle w:val="Textonotapie"/>
        <w:spacing w:line="360" w:lineRule="auto"/>
        <w:jc w:val="both"/>
        <w:rPr>
          <w:lang w:val="en-GB"/>
        </w:rPr>
      </w:pPr>
    </w:p>
    <w:p w14:paraId="6280CD3D" w14:textId="77777777" w:rsidR="00E02783" w:rsidRPr="000B5B13" w:rsidRDefault="00E02783" w:rsidP="00A23E1F">
      <w:pPr>
        <w:pStyle w:val="Textonotapie"/>
        <w:spacing w:line="360" w:lineRule="auto"/>
        <w:ind w:right="-285"/>
        <w:jc w:val="both"/>
        <w:rPr>
          <w:lang w:val="en-GB"/>
        </w:rPr>
      </w:pPr>
    </w:p>
    <w:p w14:paraId="024E8A2F" w14:textId="77777777" w:rsidR="00567C15" w:rsidRPr="000B5B13" w:rsidRDefault="00A45D65" w:rsidP="00A23E1F">
      <w:pPr>
        <w:pStyle w:val="Textonotapie"/>
        <w:spacing w:line="360" w:lineRule="auto"/>
        <w:ind w:right="-285"/>
        <w:jc w:val="both"/>
        <w:rPr>
          <w:sz w:val="20"/>
          <w:szCs w:val="20"/>
          <w:lang w:val="en-GB"/>
        </w:rPr>
      </w:pPr>
      <w:r w:rsidRPr="000B5B13">
        <w:rPr>
          <w:lang w:val="en-GB"/>
        </w:rPr>
        <w:tab/>
      </w:r>
      <w:r w:rsidRPr="000B5B13">
        <w:rPr>
          <w:lang w:val="en-GB"/>
        </w:rPr>
        <w:tab/>
      </w:r>
      <w:r w:rsidRPr="000B5B13">
        <w:rPr>
          <w:lang w:val="en-GB"/>
        </w:rPr>
        <w:tab/>
      </w:r>
      <w:r w:rsidRPr="000B5B13">
        <w:rPr>
          <w:lang w:val="en-GB"/>
        </w:rPr>
        <w:tab/>
      </w:r>
      <w:r w:rsidRPr="000B5B13">
        <w:rPr>
          <w:lang w:val="en-GB"/>
        </w:rPr>
        <w:tab/>
      </w:r>
      <w:r w:rsidRPr="000B5B13">
        <w:rPr>
          <w:lang w:val="en-GB"/>
        </w:rPr>
        <w:tab/>
      </w:r>
      <w:r w:rsidRPr="000B5B13">
        <w:rPr>
          <w:lang w:val="en-GB"/>
        </w:rPr>
        <w:tab/>
      </w:r>
    </w:p>
    <w:sectPr w:rsidR="00567C15" w:rsidRPr="000B5B13">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DAB80D" w14:textId="77777777" w:rsidR="007F7B78" w:rsidRDefault="007F7B78" w:rsidP="008E50ED">
      <w:r>
        <w:separator/>
      </w:r>
    </w:p>
  </w:endnote>
  <w:endnote w:type="continuationSeparator" w:id="0">
    <w:p w14:paraId="6F343943" w14:textId="77777777" w:rsidR="007F7B78" w:rsidRDefault="007F7B78" w:rsidP="008E5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6633128"/>
      <w:docPartObj>
        <w:docPartGallery w:val="Page Numbers (Bottom of Page)"/>
        <w:docPartUnique/>
      </w:docPartObj>
    </w:sdtPr>
    <w:sdtEndPr/>
    <w:sdtContent>
      <w:p w14:paraId="671FBE80" w14:textId="75359415" w:rsidR="007E51CF" w:rsidRDefault="007E51CF">
        <w:pPr>
          <w:pStyle w:val="Piedepgina"/>
          <w:jc w:val="right"/>
        </w:pPr>
        <w:r>
          <w:fldChar w:fldCharType="begin"/>
        </w:r>
        <w:r>
          <w:instrText>PAGE   \* MERGEFORMAT</w:instrText>
        </w:r>
        <w:r>
          <w:fldChar w:fldCharType="separate"/>
        </w:r>
        <w:r w:rsidR="002651A0" w:rsidRPr="002651A0">
          <w:rPr>
            <w:noProof/>
            <w:lang w:val="es-ES"/>
          </w:rPr>
          <w:t>1</w:t>
        </w:r>
        <w:r>
          <w:fldChar w:fldCharType="end"/>
        </w:r>
      </w:p>
    </w:sdtContent>
  </w:sdt>
  <w:p w14:paraId="47DC0FFD" w14:textId="77777777" w:rsidR="007E51CF" w:rsidRDefault="007E51C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D189BF" w14:textId="77777777" w:rsidR="007F7B78" w:rsidRDefault="007F7B78" w:rsidP="008E50ED">
      <w:r>
        <w:separator/>
      </w:r>
    </w:p>
  </w:footnote>
  <w:footnote w:type="continuationSeparator" w:id="0">
    <w:p w14:paraId="0EF358B6" w14:textId="77777777" w:rsidR="007F7B78" w:rsidRDefault="007F7B78" w:rsidP="008E50ED">
      <w:r>
        <w:continuationSeparator/>
      </w:r>
    </w:p>
  </w:footnote>
  <w:footnote w:id="1">
    <w:p w14:paraId="56F15FC2" w14:textId="77777777" w:rsidR="007E51CF" w:rsidRPr="0065266E" w:rsidRDefault="007E51CF" w:rsidP="008E50ED">
      <w:pPr>
        <w:pStyle w:val="Textonotapie"/>
        <w:ind w:right="-291"/>
        <w:jc w:val="both"/>
        <w:rPr>
          <w:sz w:val="20"/>
          <w:szCs w:val="20"/>
          <w:lang w:val="en-GB"/>
        </w:rPr>
      </w:pPr>
      <w:r w:rsidRPr="006F3296">
        <w:rPr>
          <w:rStyle w:val="Refdenotaalpie"/>
          <w:sz w:val="20"/>
          <w:szCs w:val="20"/>
        </w:rPr>
        <w:footnoteRef/>
      </w:r>
      <w:r>
        <w:rPr>
          <w:sz w:val="20"/>
          <w:szCs w:val="20"/>
          <w:lang w:val="en-GB"/>
        </w:rPr>
        <w:t xml:space="preserve"> Dyzenhaus (2015),</w:t>
      </w:r>
      <w:r w:rsidRPr="0065266E">
        <w:rPr>
          <w:sz w:val="20"/>
          <w:szCs w:val="20"/>
          <w:lang w:val="en-GB"/>
        </w:rPr>
        <w:t xml:space="preserve"> </w:t>
      </w:r>
      <w:r>
        <w:rPr>
          <w:sz w:val="20"/>
          <w:szCs w:val="20"/>
          <w:lang w:val="en-GB"/>
        </w:rPr>
        <w:t>427.</w:t>
      </w:r>
    </w:p>
  </w:footnote>
  <w:footnote w:id="2">
    <w:p w14:paraId="04F386D9" w14:textId="77777777" w:rsidR="007E51CF" w:rsidRPr="0065266E" w:rsidRDefault="007E51CF" w:rsidP="008E50ED">
      <w:pPr>
        <w:pStyle w:val="Textonotapie"/>
        <w:ind w:right="-291"/>
        <w:jc w:val="both"/>
        <w:rPr>
          <w:sz w:val="20"/>
          <w:szCs w:val="20"/>
          <w:lang w:val="en-GB"/>
        </w:rPr>
      </w:pPr>
      <w:r w:rsidRPr="00DC51F0">
        <w:rPr>
          <w:rStyle w:val="Refdenotaalpie"/>
          <w:sz w:val="20"/>
          <w:szCs w:val="20"/>
        </w:rPr>
        <w:footnoteRef/>
      </w:r>
      <w:r>
        <w:rPr>
          <w:sz w:val="20"/>
          <w:szCs w:val="20"/>
          <w:lang w:val="en-GB"/>
        </w:rPr>
        <w:t xml:space="preserve"> Hunt</w:t>
      </w:r>
      <w:r w:rsidRPr="0065266E">
        <w:rPr>
          <w:sz w:val="20"/>
          <w:szCs w:val="20"/>
          <w:lang w:val="en-GB"/>
        </w:rPr>
        <w:t xml:space="preserve"> </w:t>
      </w:r>
      <w:r>
        <w:rPr>
          <w:sz w:val="20"/>
          <w:szCs w:val="20"/>
          <w:lang w:val="en-GB"/>
        </w:rPr>
        <w:t>(</w:t>
      </w:r>
      <w:r w:rsidRPr="0065266E">
        <w:rPr>
          <w:sz w:val="20"/>
          <w:szCs w:val="20"/>
          <w:lang w:val="en-GB"/>
        </w:rPr>
        <w:t>2015</w:t>
      </w:r>
      <w:r>
        <w:rPr>
          <w:sz w:val="20"/>
          <w:szCs w:val="20"/>
          <w:lang w:val="en-GB"/>
        </w:rPr>
        <w:t>), 13.</w:t>
      </w:r>
    </w:p>
  </w:footnote>
  <w:footnote w:id="3">
    <w:p w14:paraId="0D88DF7E" w14:textId="77777777" w:rsidR="007E51CF" w:rsidRPr="0065266E" w:rsidRDefault="007E51CF" w:rsidP="008E50ED">
      <w:pPr>
        <w:pStyle w:val="Textonotapie"/>
        <w:ind w:right="-291"/>
        <w:jc w:val="both"/>
        <w:rPr>
          <w:sz w:val="20"/>
          <w:szCs w:val="20"/>
          <w:lang w:val="en-GB"/>
        </w:rPr>
      </w:pPr>
      <w:r w:rsidRPr="00DC51F0">
        <w:rPr>
          <w:rStyle w:val="Refdenotaalpie"/>
          <w:sz w:val="20"/>
          <w:szCs w:val="20"/>
        </w:rPr>
        <w:footnoteRef/>
      </w:r>
      <w:r w:rsidRPr="0065266E">
        <w:rPr>
          <w:sz w:val="20"/>
          <w:szCs w:val="20"/>
          <w:lang w:val="en-GB"/>
        </w:rPr>
        <w:t xml:space="preserve"> Hu</w:t>
      </w:r>
      <w:r>
        <w:rPr>
          <w:sz w:val="20"/>
          <w:szCs w:val="20"/>
          <w:lang w:val="en-GB"/>
        </w:rPr>
        <w:t>nt</w:t>
      </w:r>
      <w:r w:rsidRPr="0065266E">
        <w:rPr>
          <w:sz w:val="20"/>
          <w:szCs w:val="20"/>
          <w:lang w:val="en-GB"/>
        </w:rPr>
        <w:t xml:space="preserve"> </w:t>
      </w:r>
      <w:r>
        <w:rPr>
          <w:sz w:val="20"/>
          <w:szCs w:val="20"/>
          <w:lang w:val="en-GB"/>
        </w:rPr>
        <w:t>(2007),</w:t>
      </w:r>
      <w:r w:rsidRPr="0065266E">
        <w:rPr>
          <w:sz w:val="20"/>
          <w:szCs w:val="20"/>
          <w:lang w:val="en-GB"/>
        </w:rPr>
        <w:t xml:space="preserve"> 470.</w:t>
      </w:r>
    </w:p>
  </w:footnote>
  <w:footnote w:id="4">
    <w:p w14:paraId="56F2A223" w14:textId="77777777" w:rsidR="007E51CF" w:rsidRPr="0065266E" w:rsidRDefault="007E51CF" w:rsidP="008E50ED">
      <w:pPr>
        <w:pStyle w:val="Textonotapie"/>
        <w:ind w:right="-291"/>
        <w:jc w:val="both"/>
        <w:rPr>
          <w:sz w:val="20"/>
          <w:szCs w:val="20"/>
          <w:lang w:val="en-GB"/>
        </w:rPr>
      </w:pPr>
      <w:r w:rsidRPr="00900B06">
        <w:rPr>
          <w:rStyle w:val="Refdenotaalpie"/>
          <w:sz w:val="20"/>
          <w:szCs w:val="20"/>
        </w:rPr>
        <w:footnoteRef/>
      </w:r>
      <w:r>
        <w:rPr>
          <w:sz w:val="20"/>
          <w:szCs w:val="20"/>
          <w:lang w:val="en-GB"/>
        </w:rPr>
        <w:t xml:space="preserve"> Hunt (2015), 2.</w:t>
      </w:r>
    </w:p>
  </w:footnote>
  <w:footnote w:id="5">
    <w:p w14:paraId="35430FDA" w14:textId="77777777" w:rsidR="007E51CF" w:rsidRPr="00900B06" w:rsidRDefault="007E51CF" w:rsidP="008E50ED">
      <w:pPr>
        <w:pStyle w:val="Textonotapie"/>
        <w:ind w:right="-291"/>
        <w:jc w:val="both"/>
        <w:rPr>
          <w:sz w:val="20"/>
          <w:szCs w:val="20"/>
        </w:rPr>
      </w:pPr>
      <w:r w:rsidRPr="00900B06">
        <w:rPr>
          <w:rStyle w:val="Refdenotaalpie"/>
          <w:sz w:val="20"/>
          <w:szCs w:val="20"/>
        </w:rPr>
        <w:footnoteRef/>
      </w:r>
      <w:r w:rsidRPr="005907EF">
        <w:rPr>
          <w:sz w:val="20"/>
          <w:szCs w:val="20"/>
          <w:lang w:val="en-GB"/>
        </w:rPr>
        <w:t xml:space="preserve"> Mureinik (1994). </w:t>
      </w:r>
      <w:r>
        <w:rPr>
          <w:sz w:val="20"/>
          <w:szCs w:val="20"/>
        </w:rPr>
        <w:t>Para un análisis exhaustivo de ese momento histórico, y de sus consecuencias para el movimiento constitucionalista, véase Roux (2013).</w:t>
      </w:r>
    </w:p>
  </w:footnote>
  <w:footnote w:id="6">
    <w:p w14:paraId="68C3F0B0" w14:textId="77777777" w:rsidR="007E51CF" w:rsidRPr="00900B06" w:rsidRDefault="007E51CF" w:rsidP="008E50ED">
      <w:pPr>
        <w:pStyle w:val="Textonotapie"/>
        <w:ind w:right="-291"/>
        <w:jc w:val="both"/>
        <w:rPr>
          <w:sz w:val="20"/>
          <w:szCs w:val="20"/>
        </w:rPr>
      </w:pPr>
      <w:r w:rsidRPr="00900B06">
        <w:rPr>
          <w:rStyle w:val="Refdenotaalpie"/>
          <w:sz w:val="20"/>
          <w:szCs w:val="20"/>
        </w:rPr>
        <w:footnoteRef/>
      </w:r>
      <w:r>
        <w:rPr>
          <w:sz w:val="20"/>
          <w:szCs w:val="20"/>
        </w:rPr>
        <w:t xml:space="preserve"> Mureinik (1994),</w:t>
      </w:r>
      <w:r w:rsidRPr="00900B06">
        <w:rPr>
          <w:sz w:val="20"/>
          <w:szCs w:val="20"/>
        </w:rPr>
        <w:t xml:space="preserve"> 31.</w:t>
      </w:r>
    </w:p>
  </w:footnote>
  <w:footnote w:id="7">
    <w:p w14:paraId="3FF58F9E" w14:textId="77777777" w:rsidR="007E51CF" w:rsidRPr="002957E6" w:rsidRDefault="007E51CF" w:rsidP="008E50ED">
      <w:pPr>
        <w:pStyle w:val="Textonotapie"/>
        <w:ind w:right="-291"/>
        <w:jc w:val="both"/>
        <w:rPr>
          <w:sz w:val="20"/>
          <w:szCs w:val="20"/>
        </w:rPr>
      </w:pPr>
      <w:r w:rsidRPr="002957E6">
        <w:rPr>
          <w:rStyle w:val="Refdenotaalpie"/>
          <w:sz w:val="20"/>
          <w:szCs w:val="20"/>
        </w:rPr>
        <w:footnoteRef/>
      </w:r>
      <w:r>
        <w:rPr>
          <w:sz w:val="20"/>
          <w:szCs w:val="20"/>
        </w:rPr>
        <w:t xml:space="preserve"> Ibíd.,</w:t>
      </w:r>
      <w:r w:rsidRPr="002957E6">
        <w:rPr>
          <w:sz w:val="20"/>
          <w:szCs w:val="20"/>
        </w:rPr>
        <w:t xml:space="preserve"> 32.</w:t>
      </w:r>
    </w:p>
  </w:footnote>
  <w:footnote w:id="8">
    <w:p w14:paraId="4A9367A8" w14:textId="77777777" w:rsidR="007E51CF" w:rsidRPr="00D20727" w:rsidRDefault="007E51CF" w:rsidP="008E50ED">
      <w:pPr>
        <w:pStyle w:val="Textonotapie"/>
        <w:ind w:right="-291"/>
        <w:rPr>
          <w:sz w:val="20"/>
          <w:szCs w:val="20"/>
        </w:rPr>
      </w:pPr>
      <w:r w:rsidRPr="00D20727">
        <w:rPr>
          <w:rStyle w:val="Refdenotaalpie"/>
          <w:sz w:val="20"/>
          <w:szCs w:val="20"/>
        </w:rPr>
        <w:footnoteRef/>
      </w:r>
      <w:r w:rsidRPr="00D20727">
        <w:rPr>
          <w:sz w:val="20"/>
          <w:szCs w:val="20"/>
        </w:rPr>
        <w:t xml:space="preserve"> Dyzenhaus (1998), 33-37.</w:t>
      </w:r>
    </w:p>
  </w:footnote>
  <w:footnote w:id="9">
    <w:p w14:paraId="13FC67E8" w14:textId="77777777" w:rsidR="007E51CF" w:rsidRPr="00C5244A" w:rsidRDefault="007E51CF" w:rsidP="008E50ED">
      <w:pPr>
        <w:pStyle w:val="Textonotapie"/>
        <w:ind w:right="-291"/>
        <w:jc w:val="both"/>
        <w:rPr>
          <w:i/>
          <w:sz w:val="20"/>
          <w:szCs w:val="20"/>
        </w:rPr>
      </w:pPr>
      <w:r w:rsidRPr="00D20727">
        <w:rPr>
          <w:rStyle w:val="Refdenotaalpie"/>
          <w:sz w:val="20"/>
          <w:szCs w:val="20"/>
        </w:rPr>
        <w:footnoteRef/>
      </w:r>
      <w:r w:rsidRPr="00D20727">
        <w:rPr>
          <w:sz w:val="20"/>
          <w:szCs w:val="20"/>
        </w:rPr>
        <w:t xml:space="preserve"> La concepción más completa de la idea liberal de </w:t>
      </w:r>
      <w:r>
        <w:rPr>
          <w:sz w:val="20"/>
          <w:szCs w:val="20"/>
        </w:rPr>
        <w:t xml:space="preserve">la </w:t>
      </w:r>
      <w:r w:rsidRPr="00D20727">
        <w:rPr>
          <w:sz w:val="20"/>
          <w:szCs w:val="20"/>
        </w:rPr>
        <w:t>razón</w:t>
      </w:r>
      <w:r w:rsidRPr="00C5244A">
        <w:rPr>
          <w:sz w:val="20"/>
          <w:szCs w:val="20"/>
        </w:rPr>
        <w:t xml:space="preserve"> pública es la de John Rawls en </w:t>
      </w:r>
      <w:r w:rsidRPr="00C5244A">
        <w:rPr>
          <w:i/>
          <w:sz w:val="20"/>
          <w:szCs w:val="20"/>
        </w:rPr>
        <w:t xml:space="preserve">Political Liberalism.  </w:t>
      </w:r>
    </w:p>
  </w:footnote>
  <w:footnote w:id="10">
    <w:p w14:paraId="552AFAE2" w14:textId="77777777" w:rsidR="007E51CF" w:rsidRPr="00AA1DB6" w:rsidRDefault="007E51CF" w:rsidP="008E50ED">
      <w:pPr>
        <w:pStyle w:val="Textonotapie"/>
        <w:ind w:right="-291"/>
        <w:jc w:val="both"/>
        <w:rPr>
          <w:sz w:val="20"/>
          <w:szCs w:val="20"/>
        </w:rPr>
      </w:pPr>
      <w:r w:rsidRPr="00BE0F4E">
        <w:rPr>
          <w:rStyle w:val="Refdenotaalpie"/>
          <w:sz w:val="20"/>
          <w:szCs w:val="20"/>
        </w:rPr>
        <w:footnoteRef/>
      </w:r>
      <w:r w:rsidRPr="00AA1DB6">
        <w:rPr>
          <w:sz w:val="20"/>
          <w:szCs w:val="20"/>
        </w:rPr>
        <w:t xml:space="preserve"> Dyzenhaus (1998), 35.</w:t>
      </w:r>
    </w:p>
  </w:footnote>
  <w:footnote w:id="11">
    <w:p w14:paraId="6CE79481" w14:textId="77777777" w:rsidR="007E51CF" w:rsidRPr="00AA1DB6" w:rsidRDefault="007E51CF" w:rsidP="008E50ED">
      <w:pPr>
        <w:pStyle w:val="Textonotapie"/>
        <w:ind w:right="-291"/>
        <w:jc w:val="both"/>
        <w:rPr>
          <w:sz w:val="20"/>
          <w:szCs w:val="20"/>
        </w:rPr>
      </w:pPr>
      <w:r w:rsidRPr="00BE0F4E">
        <w:rPr>
          <w:rStyle w:val="Refdenotaalpie"/>
          <w:sz w:val="20"/>
          <w:szCs w:val="20"/>
        </w:rPr>
        <w:footnoteRef/>
      </w:r>
      <w:r w:rsidRPr="00AA1DB6">
        <w:rPr>
          <w:sz w:val="20"/>
          <w:szCs w:val="20"/>
        </w:rPr>
        <w:t xml:space="preserve"> Ibíd., 30, 31.</w:t>
      </w:r>
    </w:p>
  </w:footnote>
  <w:footnote w:id="12">
    <w:p w14:paraId="0B3901FE" w14:textId="77777777" w:rsidR="007E51CF" w:rsidRPr="00AA1DB6" w:rsidRDefault="007E51CF" w:rsidP="008E50ED">
      <w:pPr>
        <w:pStyle w:val="Textonotapie"/>
        <w:ind w:right="-291"/>
        <w:jc w:val="both"/>
      </w:pPr>
      <w:r w:rsidRPr="00BE0F4E">
        <w:rPr>
          <w:rStyle w:val="Refdenotaalpie"/>
          <w:sz w:val="20"/>
          <w:szCs w:val="20"/>
        </w:rPr>
        <w:footnoteRef/>
      </w:r>
      <w:r w:rsidRPr="00AA1DB6">
        <w:rPr>
          <w:sz w:val="20"/>
          <w:szCs w:val="20"/>
        </w:rPr>
        <w:t xml:space="preserve"> Ibíd., 36.</w:t>
      </w:r>
    </w:p>
  </w:footnote>
  <w:footnote w:id="13">
    <w:p w14:paraId="250E1AC2" w14:textId="3761AF0C" w:rsidR="007E51CF" w:rsidRPr="00C0002D" w:rsidRDefault="007E51CF" w:rsidP="00A257BF">
      <w:pPr>
        <w:pStyle w:val="Textonotapie"/>
        <w:ind w:right="-285"/>
        <w:jc w:val="both"/>
        <w:rPr>
          <w:sz w:val="20"/>
          <w:szCs w:val="20"/>
        </w:rPr>
      </w:pPr>
      <w:r w:rsidRPr="00A257BF">
        <w:rPr>
          <w:rStyle w:val="Refdenotaalpie"/>
          <w:sz w:val="20"/>
          <w:szCs w:val="20"/>
        </w:rPr>
        <w:footnoteRef/>
      </w:r>
      <w:r w:rsidRPr="00A257BF">
        <w:rPr>
          <w:sz w:val="20"/>
          <w:szCs w:val="20"/>
        </w:rPr>
        <w:t xml:space="preserve"> </w:t>
      </w:r>
      <w:r w:rsidRPr="00A257BF">
        <w:rPr>
          <w:rFonts w:eastAsia="MS Mincho"/>
          <w:sz w:val="20"/>
          <w:szCs w:val="20"/>
        </w:rPr>
        <w:t xml:space="preserve">Willis (1938), 17. Este ilustre profesor de Derecho público canadiense fue crítico con las “viejas presunciones” ligadas al liberalismo económico (como las que iban contra la expropiación sin compensación), pero defendió aquellas otras que se incorporaron al </w:t>
      </w:r>
      <w:r w:rsidRPr="00615278">
        <w:rPr>
          <w:rFonts w:eastAsia="MS Mincho"/>
          <w:i/>
          <w:sz w:val="20"/>
          <w:szCs w:val="20"/>
        </w:rPr>
        <w:t>common law</w:t>
      </w:r>
      <w:r w:rsidRPr="00A257BF">
        <w:rPr>
          <w:rFonts w:eastAsia="MS Mincho"/>
          <w:sz w:val="20"/>
          <w:szCs w:val="20"/>
        </w:rPr>
        <w:t xml:space="preserve"> para reflejar la preocupación por los derechos humanos. Según el autor, estas presunciones servían para controlar la intención del legislativo. “Los jueces de Canadá y el Reino Unido no tienen poder para declarar leyes inconstitucionales sólo porque no se ajustan a las viejas buenas formas de pensar; sin embargo, pueden usar las presunciones para moldear las innovaciones legislativas de acuerdo con las viejas nociones. Las pr</w:t>
      </w:r>
      <w:r>
        <w:rPr>
          <w:rFonts w:eastAsia="MS Mincho"/>
          <w:sz w:val="20"/>
          <w:szCs w:val="20"/>
        </w:rPr>
        <w:t>esunciones son en resumen ‘una c</w:t>
      </w:r>
      <w:r w:rsidRPr="00A257BF">
        <w:rPr>
          <w:rFonts w:eastAsia="MS Mincho"/>
          <w:sz w:val="20"/>
          <w:szCs w:val="20"/>
        </w:rPr>
        <w:t xml:space="preserve">onstitución ideal’ para el </w:t>
      </w:r>
      <w:r w:rsidRPr="00C0002D">
        <w:rPr>
          <w:rFonts w:eastAsia="MS Mincho"/>
          <w:sz w:val="20"/>
          <w:szCs w:val="20"/>
        </w:rPr>
        <w:t xml:space="preserve">Reino Unido y Canadá” (ibíd.).  </w:t>
      </w:r>
    </w:p>
  </w:footnote>
  <w:footnote w:id="14">
    <w:p w14:paraId="292541C5" w14:textId="77777777" w:rsidR="007E51CF" w:rsidRPr="00A649BE" w:rsidRDefault="007E51CF">
      <w:pPr>
        <w:pStyle w:val="Textonotapie"/>
        <w:rPr>
          <w:sz w:val="20"/>
          <w:szCs w:val="20"/>
          <w:lang w:val="en-GB"/>
        </w:rPr>
      </w:pPr>
      <w:r w:rsidRPr="00C0002D">
        <w:rPr>
          <w:rStyle w:val="Refdenotaalpie"/>
          <w:sz w:val="20"/>
          <w:szCs w:val="20"/>
        </w:rPr>
        <w:footnoteRef/>
      </w:r>
      <w:r w:rsidRPr="00A649BE">
        <w:rPr>
          <w:sz w:val="20"/>
          <w:szCs w:val="20"/>
          <w:lang w:val="en-GB"/>
        </w:rPr>
        <w:t xml:space="preserve"> </w:t>
      </w:r>
      <w:r w:rsidRPr="00A649BE">
        <w:rPr>
          <w:rFonts w:eastAsia="MS Mincho"/>
          <w:sz w:val="20"/>
          <w:szCs w:val="20"/>
          <w:lang w:val="en-GB"/>
        </w:rPr>
        <w:t>Véase Roach (2001), 254-260.</w:t>
      </w:r>
    </w:p>
  </w:footnote>
  <w:footnote w:id="15">
    <w:p w14:paraId="1558EC60" w14:textId="77777777" w:rsidR="007E51CF" w:rsidRPr="00A649BE" w:rsidRDefault="007E51CF">
      <w:pPr>
        <w:pStyle w:val="Textonotapie"/>
        <w:rPr>
          <w:sz w:val="20"/>
          <w:szCs w:val="20"/>
          <w:lang w:val="en-GB"/>
        </w:rPr>
      </w:pPr>
      <w:r w:rsidRPr="00C0002D">
        <w:rPr>
          <w:rStyle w:val="Refdenotaalpie"/>
          <w:sz w:val="20"/>
          <w:szCs w:val="20"/>
        </w:rPr>
        <w:footnoteRef/>
      </w:r>
      <w:r w:rsidRPr="00A649BE">
        <w:rPr>
          <w:sz w:val="20"/>
          <w:szCs w:val="20"/>
          <w:lang w:val="en-GB"/>
        </w:rPr>
        <w:t xml:space="preserve"> </w:t>
      </w:r>
      <w:r w:rsidRPr="00A649BE">
        <w:rPr>
          <w:rFonts w:eastAsia="MS Mincho"/>
          <w:sz w:val="20"/>
          <w:szCs w:val="20"/>
          <w:lang w:val="en-GB"/>
        </w:rPr>
        <w:t>[1957] SCR 531.</w:t>
      </w:r>
    </w:p>
  </w:footnote>
  <w:footnote w:id="16">
    <w:p w14:paraId="0F70CF22" w14:textId="77777777" w:rsidR="007E51CF" w:rsidRPr="00C0002D" w:rsidRDefault="007E51CF">
      <w:pPr>
        <w:pStyle w:val="Textonotapie"/>
        <w:rPr>
          <w:sz w:val="20"/>
          <w:szCs w:val="20"/>
          <w:lang w:val="en-GB"/>
        </w:rPr>
      </w:pPr>
      <w:r w:rsidRPr="00C0002D">
        <w:rPr>
          <w:rStyle w:val="Refdenotaalpie"/>
          <w:sz w:val="20"/>
          <w:szCs w:val="20"/>
        </w:rPr>
        <w:footnoteRef/>
      </w:r>
      <w:r w:rsidRPr="00C0002D">
        <w:rPr>
          <w:sz w:val="20"/>
          <w:szCs w:val="20"/>
          <w:lang w:val="en-GB"/>
        </w:rPr>
        <w:t xml:space="preserve"> </w:t>
      </w:r>
      <w:r w:rsidRPr="00E02783">
        <w:rPr>
          <w:rFonts w:eastAsia="MS Mincho"/>
          <w:i/>
          <w:sz w:val="20"/>
          <w:szCs w:val="20"/>
          <w:lang w:val="en-GB"/>
        </w:rPr>
        <w:t>R. v. Sault Ste. Marie</w:t>
      </w:r>
      <w:r w:rsidRPr="00C0002D">
        <w:rPr>
          <w:rFonts w:eastAsia="MS Mincho"/>
          <w:sz w:val="20"/>
          <w:szCs w:val="20"/>
          <w:lang w:val="en-GB"/>
        </w:rPr>
        <w:t xml:space="preserve">, [1978] 2 SCR 1299.  </w:t>
      </w:r>
    </w:p>
  </w:footnote>
  <w:footnote w:id="17">
    <w:p w14:paraId="75C6FDED" w14:textId="77777777" w:rsidR="007E51CF" w:rsidRPr="00A649BE" w:rsidRDefault="007E51CF">
      <w:pPr>
        <w:pStyle w:val="Textonotapie"/>
        <w:rPr>
          <w:lang w:val="en-GB"/>
        </w:rPr>
      </w:pPr>
      <w:r w:rsidRPr="00C0002D">
        <w:rPr>
          <w:rStyle w:val="Refdenotaalpie"/>
          <w:sz w:val="20"/>
          <w:szCs w:val="20"/>
        </w:rPr>
        <w:footnoteRef/>
      </w:r>
      <w:r w:rsidRPr="00A649BE">
        <w:rPr>
          <w:sz w:val="20"/>
          <w:szCs w:val="20"/>
          <w:lang w:val="en-GB"/>
        </w:rPr>
        <w:t xml:space="preserve"> </w:t>
      </w:r>
      <w:r w:rsidRPr="00A649BE">
        <w:rPr>
          <w:rFonts w:eastAsia="MS Mincho"/>
          <w:sz w:val="20"/>
          <w:szCs w:val="20"/>
          <w:lang w:val="en-GB"/>
        </w:rPr>
        <w:t>Roach (2001), 260.</w:t>
      </w:r>
    </w:p>
  </w:footnote>
  <w:footnote w:id="18">
    <w:p w14:paraId="6E085E3D" w14:textId="77777777" w:rsidR="007E51CF" w:rsidRPr="00A649BE" w:rsidRDefault="007E51CF">
      <w:pPr>
        <w:pStyle w:val="Textonotapie"/>
        <w:rPr>
          <w:sz w:val="20"/>
          <w:szCs w:val="20"/>
          <w:lang w:val="en-GB"/>
        </w:rPr>
      </w:pPr>
      <w:r w:rsidRPr="00C0002D">
        <w:rPr>
          <w:rStyle w:val="Refdenotaalpie"/>
          <w:sz w:val="20"/>
          <w:szCs w:val="20"/>
        </w:rPr>
        <w:footnoteRef/>
      </w:r>
      <w:r w:rsidRPr="00A649BE">
        <w:rPr>
          <w:sz w:val="20"/>
          <w:szCs w:val="20"/>
          <w:lang w:val="en-GB"/>
        </w:rPr>
        <w:t xml:space="preserve"> </w:t>
      </w:r>
      <w:r w:rsidRPr="00A649BE">
        <w:rPr>
          <w:rFonts w:eastAsia="MS Mincho"/>
          <w:sz w:val="20"/>
          <w:szCs w:val="20"/>
          <w:lang w:val="en-GB"/>
        </w:rPr>
        <w:t>[1959] SCR 121.</w:t>
      </w:r>
    </w:p>
  </w:footnote>
  <w:footnote w:id="19">
    <w:p w14:paraId="52142ECA" w14:textId="77777777" w:rsidR="007E51CF" w:rsidRPr="00A649BE" w:rsidRDefault="007E51CF">
      <w:pPr>
        <w:pStyle w:val="Textonotapie"/>
        <w:rPr>
          <w:lang w:val="en-GB"/>
        </w:rPr>
      </w:pPr>
      <w:r w:rsidRPr="00C0002D">
        <w:rPr>
          <w:rStyle w:val="Refdenotaalpie"/>
          <w:sz w:val="20"/>
          <w:szCs w:val="20"/>
        </w:rPr>
        <w:footnoteRef/>
      </w:r>
      <w:r w:rsidRPr="00A649BE">
        <w:rPr>
          <w:sz w:val="20"/>
          <w:szCs w:val="20"/>
          <w:lang w:val="en-GB"/>
        </w:rPr>
        <w:t xml:space="preserve"> </w:t>
      </w:r>
      <w:r w:rsidRPr="00A649BE">
        <w:rPr>
          <w:rFonts w:eastAsia="MS Mincho"/>
          <w:sz w:val="20"/>
          <w:szCs w:val="20"/>
          <w:lang w:val="en-GB"/>
        </w:rPr>
        <w:t>Ibíd., 140.</w:t>
      </w:r>
    </w:p>
  </w:footnote>
  <w:footnote w:id="20">
    <w:p w14:paraId="6B53D31F" w14:textId="77777777" w:rsidR="007E51CF" w:rsidRPr="00C0002D" w:rsidRDefault="007E51CF">
      <w:pPr>
        <w:pStyle w:val="Textonotapie"/>
        <w:rPr>
          <w:sz w:val="20"/>
          <w:szCs w:val="20"/>
        </w:rPr>
      </w:pPr>
      <w:r w:rsidRPr="00C0002D">
        <w:rPr>
          <w:rStyle w:val="Refdenotaalpie"/>
          <w:sz w:val="20"/>
          <w:szCs w:val="20"/>
        </w:rPr>
        <w:footnoteRef/>
      </w:r>
      <w:r w:rsidRPr="00C0002D">
        <w:rPr>
          <w:sz w:val="20"/>
          <w:szCs w:val="20"/>
        </w:rPr>
        <w:t xml:space="preserve"> </w:t>
      </w:r>
      <w:r w:rsidRPr="00C0002D">
        <w:rPr>
          <w:rFonts w:eastAsia="MS Mincho"/>
          <w:sz w:val="20"/>
          <w:szCs w:val="20"/>
        </w:rPr>
        <w:t>[1973] SCR 313.</w:t>
      </w:r>
    </w:p>
  </w:footnote>
  <w:footnote w:id="21">
    <w:p w14:paraId="09D74101" w14:textId="77777777" w:rsidR="007E51CF" w:rsidRPr="00C0002D" w:rsidRDefault="007E51CF">
      <w:pPr>
        <w:pStyle w:val="Textonotapie"/>
        <w:rPr>
          <w:sz w:val="20"/>
          <w:szCs w:val="20"/>
        </w:rPr>
      </w:pPr>
      <w:r w:rsidRPr="00C0002D">
        <w:rPr>
          <w:rStyle w:val="Refdenotaalpie"/>
          <w:sz w:val="20"/>
          <w:szCs w:val="20"/>
        </w:rPr>
        <w:footnoteRef/>
      </w:r>
      <w:r w:rsidRPr="00C0002D">
        <w:rPr>
          <w:sz w:val="20"/>
          <w:szCs w:val="20"/>
        </w:rPr>
        <w:t xml:space="preserve"> </w:t>
      </w:r>
      <w:r w:rsidRPr="00C0002D">
        <w:rPr>
          <w:rFonts w:eastAsia="MS Mincho"/>
          <w:sz w:val="20"/>
          <w:szCs w:val="20"/>
        </w:rPr>
        <w:t>Ibíd., 404.</w:t>
      </w:r>
    </w:p>
  </w:footnote>
  <w:footnote w:id="22">
    <w:p w14:paraId="21E576D7" w14:textId="77777777" w:rsidR="007E51CF" w:rsidRPr="00C0002D" w:rsidRDefault="007E51CF">
      <w:pPr>
        <w:pStyle w:val="Textonotapie"/>
      </w:pPr>
      <w:r w:rsidRPr="00C0002D">
        <w:rPr>
          <w:rStyle w:val="Refdenotaalpie"/>
          <w:sz w:val="20"/>
          <w:szCs w:val="20"/>
        </w:rPr>
        <w:footnoteRef/>
      </w:r>
      <w:r w:rsidRPr="00C0002D">
        <w:rPr>
          <w:sz w:val="20"/>
          <w:szCs w:val="20"/>
        </w:rPr>
        <w:t xml:space="preserve"> </w:t>
      </w:r>
      <w:r w:rsidRPr="00C0002D">
        <w:rPr>
          <w:rFonts w:eastAsia="MS Mincho"/>
          <w:sz w:val="20"/>
          <w:szCs w:val="20"/>
        </w:rPr>
        <w:t>Roach (2001), 514.</w:t>
      </w:r>
    </w:p>
  </w:footnote>
  <w:footnote w:id="23">
    <w:p w14:paraId="7B0CE7C6" w14:textId="77777777" w:rsidR="007E51CF" w:rsidRPr="004F1C85" w:rsidRDefault="007E51CF" w:rsidP="004F1C85">
      <w:pPr>
        <w:pStyle w:val="Textonotapie"/>
        <w:ind w:right="-285"/>
        <w:jc w:val="both"/>
        <w:rPr>
          <w:sz w:val="20"/>
          <w:szCs w:val="20"/>
        </w:rPr>
      </w:pPr>
      <w:r w:rsidRPr="004F1C85">
        <w:rPr>
          <w:rStyle w:val="Refdenotaalpie"/>
          <w:sz w:val="20"/>
          <w:szCs w:val="20"/>
        </w:rPr>
        <w:footnoteRef/>
      </w:r>
      <w:r w:rsidRPr="004F1C85">
        <w:rPr>
          <w:sz w:val="20"/>
          <w:szCs w:val="20"/>
        </w:rPr>
        <w:t xml:space="preserve"> </w:t>
      </w:r>
      <w:r w:rsidRPr="004F1C85">
        <w:rPr>
          <w:rFonts w:eastAsia="MS Mincho"/>
          <w:sz w:val="20"/>
          <w:szCs w:val="20"/>
        </w:rPr>
        <w:t>Hunt (1997), 13.</w:t>
      </w:r>
    </w:p>
  </w:footnote>
  <w:footnote w:id="24">
    <w:p w14:paraId="392496AF" w14:textId="77777777" w:rsidR="007E51CF" w:rsidRPr="00A649BE" w:rsidRDefault="007E51CF" w:rsidP="004F1C85">
      <w:pPr>
        <w:pStyle w:val="Textonotapie"/>
        <w:ind w:right="-285"/>
        <w:jc w:val="both"/>
        <w:rPr>
          <w:sz w:val="20"/>
          <w:szCs w:val="20"/>
          <w:lang w:val="en-GB"/>
        </w:rPr>
      </w:pPr>
      <w:r w:rsidRPr="004F1C85">
        <w:rPr>
          <w:rStyle w:val="Refdenotaalpie"/>
          <w:sz w:val="20"/>
          <w:szCs w:val="20"/>
        </w:rPr>
        <w:footnoteRef/>
      </w:r>
      <w:r w:rsidRPr="004F1C85">
        <w:rPr>
          <w:sz w:val="20"/>
          <w:szCs w:val="20"/>
        </w:rPr>
        <w:t xml:space="preserve"> </w:t>
      </w:r>
      <w:r w:rsidRPr="004F1C85">
        <w:rPr>
          <w:rFonts w:eastAsia="MS Mincho"/>
          <w:sz w:val="20"/>
          <w:szCs w:val="20"/>
        </w:rPr>
        <w:t xml:space="preserve">Como afirma Lord Atkin en </w:t>
      </w:r>
      <w:r w:rsidRPr="00E02783">
        <w:rPr>
          <w:rFonts w:eastAsia="MS Mincho"/>
          <w:i/>
          <w:sz w:val="20"/>
          <w:szCs w:val="20"/>
        </w:rPr>
        <w:t>Chung Chi Cheung v. The King</w:t>
      </w:r>
      <w:r w:rsidRPr="004F1C85">
        <w:rPr>
          <w:rFonts w:eastAsia="MS Mincho"/>
          <w:sz w:val="20"/>
          <w:szCs w:val="20"/>
        </w:rPr>
        <w:t xml:space="preserve"> [1939] AC 160, 168: “Los tribunales reconocen la existencia de un cuerpo de normas que es aceptado entre las naciones. En cualquier asunto judicial, los tribunales procuran determinar la norma relevante y, cuando la encuentran, la tratan como si estuviera incorporada al Derecho nacional, siempre que no sea inconsistente con las normas promulgadas en las leyes o que hayan sido declaradas por sus tribunales”. </w:t>
      </w:r>
      <w:r w:rsidRPr="00A649BE">
        <w:rPr>
          <w:rFonts w:eastAsia="MS Mincho"/>
          <w:sz w:val="20"/>
          <w:szCs w:val="20"/>
          <w:lang w:val="en-GB"/>
        </w:rPr>
        <w:t>Citado en Hunt (1997), 11.</w:t>
      </w:r>
    </w:p>
  </w:footnote>
  <w:footnote w:id="25">
    <w:p w14:paraId="4BB585E0" w14:textId="77777777" w:rsidR="007E51CF" w:rsidRPr="004F1C85" w:rsidRDefault="007E51CF" w:rsidP="004F1C85">
      <w:pPr>
        <w:pStyle w:val="Textonotapie"/>
        <w:ind w:right="-285"/>
        <w:jc w:val="both"/>
        <w:rPr>
          <w:sz w:val="20"/>
          <w:szCs w:val="20"/>
        </w:rPr>
      </w:pPr>
      <w:r w:rsidRPr="004F1C85">
        <w:rPr>
          <w:rStyle w:val="Refdenotaalpie"/>
          <w:sz w:val="20"/>
          <w:szCs w:val="20"/>
        </w:rPr>
        <w:footnoteRef/>
      </w:r>
      <w:r w:rsidRPr="004F1C85">
        <w:rPr>
          <w:sz w:val="20"/>
          <w:szCs w:val="20"/>
          <w:lang w:val="en-GB"/>
        </w:rPr>
        <w:t xml:space="preserve"> </w:t>
      </w:r>
      <w:r w:rsidRPr="00E02783">
        <w:rPr>
          <w:rFonts w:eastAsia="MS Mincho"/>
          <w:i/>
          <w:sz w:val="20"/>
          <w:szCs w:val="20"/>
          <w:lang w:val="en-GB"/>
        </w:rPr>
        <w:t>Garland v. British Rail Engineering Ltd.</w:t>
      </w:r>
      <w:r w:rsidRPr="004F1C85">
        <w:rPr>
          <w:rFonts w:eastAsia="MS Mincho"/>
          <w:sz w:val="20"/>
          <w:szCs w:val="20"/>
          <w:lang w:val="en-GB"/>
        </w:rPr>
        <w:t xml:space="preserve"> </w:t>
      </w:r>
      <w:r w:rsidRPr="00A649BE">
        <w:rPr>
          <w:rFonts w:eastAsia="MS Mincho"/>
          <w:sz w:val="20"/>
          <w:szCs w:val="20"/>
          <w:lang w:val="en-GB"/>
        </w:rPr>
        <w:t xml:space="preserve">[1983] 2 AC 751, 771A-B. </w:t>
      </w:r>
      <w:r w:rsidRPr="004F1C85">
        <w:rPr>
          <w:rFonts w:eastAsia="MS Mincho"/>
          <w:sz w:val="20"/>
          <w:szCs w:val="20"/>
        </w:rPr>
        <w:t>Hunt (1997), 18.</w:t>
      </w:r>
    </w:p>
  </w:footnote>
  <w:footnote w:id="26">
    <w:p w14:paraId="0DDDB519" w14:textId="77777777" w:rsidR="007E51CF" w:rsidRPr="00C0002D" w:rsidRDefault="007E51CF" w:rsidP="004F1C85">
      <w:pPr>
        <w:pStyle w:val="Textonotapie"/>
        <w:ind w:right="-285"/>
        <w:jc w:val="both"/>
      </w:pPr>
      <w:r w:rsidRPr="004F1C85">
        <w:rPr>
          <w:rStyle w:val="Refdenotaalpie"/>
          <w:sz w:val="20"/>
          <w:szCs w:val="20"/>
        </w:rPr>
        <w:footnoteRef/>
      </w:r>
      <w:r w:rsidRPr="004F1C85">
        <w:rPr>
          <w:sz w:val="20"/>
          <w:szCs w:val="20"/>
        </w:rPr>
        <w:t xml:space="preserve"> </w:t>
      </w:r>
      <w:r w:rsidRPr="004F1C85">
        <w:rPr>
          <w:rFonts w:eastAsia="MS Mincho"/>
          <w:sz w:val="20"/>
          <w:szCs w:val="20"/>
        </w:rPr>
        <w:t xml:space="preserve">Ibíd., cap. 5. Hunt explica que la tendencia judicial a afirmar la identidad entre el </w:t>
      </w:r>
      <w:r w:rsidRPr="00E02783">
        <w:rPr>
          <w:rFonts w:eastAsia="MS Mincho"/>
          <w:i/>
          <w:sz w:val="20"/>
          <w:szCs w:val="20"/>
        </w:rPr>
        <w:t>common law</w:t>
      </w:r>
      <w:r w:rsidRPr="004F1C85">
        <w:rPr>
          <w:rFonts w:eastAsia="MS Mincho"/>
          <w:sz w:val="20"/>
          <w:szCs w:val="20"/>
        </w:rPr>
        <w:t xml:space="preserve"> y el Convenio europeo de derechos humanos fue seguida por la voluntad de desarrollar el </w:t>
      </w:r>
      <w:r w:rsidRPr="00E02783">
        <w:rPr>
          <w:rFonts w:eastAsia="MS Mincho"/>
          <w:i/>
          <w:sz w:val="20"/>
          <w:szCs w:val="20"/>
        </w:rPr>
        <w:t>common law</w:t>
      </w:r>
      <w:r w:rsidRPr="004F1C85">
        <w:rPr>
          <w:rFonts w:eastAsia="MS Mincho"/>
          <w:sz w:val="20"/>
          <w:szCs w:val="20"/>
        </w:rPr>
        <w:t xml:space="preserve"> con el objetivo de alcanzar dicha identificación. Este segundo momento dio lugar a lo que el autor denomina “la emergencia de una jurisdicción </w:t>
      </w:r>
      <w:r w:rsidRPr="00E02783">
        <w:rPr>
          <w:rFonts w:eastAsia="MS Mincho"/>
          <w:i/>
          <w:sz w:val="20"/>
          <w:szCs w:val="20"/>
        </w:rPr>
        <w:t>common law</w:t>
      </w:r>
      <w:r w:rsidRPr="004F1C85">
        <w:rPr>
          <w:rFonts w:eastAsia="MS Mincho"/>
          <w:sz w:val="20"/>
          <w:szCs w:val="20"/>
        </w:rPr>
        <w:t xml:space="preserve"> de los derechos humanos”.</w:t>
      </w:r>
    </w:p>
  </w:footnote>
  <w:footnote w:id="27">
    <w:p w14:paraId="0D7947F1" w14:textId="77777777" w:rsidR="007E51CF" w:rsidRPr="00A649BE" w:rsidRDefault="007E51CF">
      <w:pPr>
        <w:pStyle w:val="Textonotapie"/>
        <w:rPr>
          <w:sz w:val="20"/>
          <w:szCs w:val="20"/>
          <w:lang w:val="en-GB"/>
        </w:rPr>
      </w:pPr>
      <w:r w:rsidRPr="004F1C85">
        <w:rPr>
          <w:rStyle w:val="Refdenotaalpie"/>
          <w:sz w:val="20"/>
          <w:szCs w:val="20"/>
        </w:rPr>
        <w:footnoteRef/>
      </w:r>
      <w:r w:rsidRPr="00A649BE">
        <w:rPr>
          <w:sz w:val="20"/>
          <w:szCs w:val="20"/>
          <w:lang w:val="en-GB"/>
        </w:rPr>
        <w:t xml:space="preserve"> </w:t>
      </w:r>
      <w:r w:rsidRPr="00A649BE">
        <w:rPr>
          <w:rFonts w:eastAsia="MS Mincho"/>
          <w:sz w:val="20"/>
          <w:szCs w:val="20"/>
          <w:lang w:val="en-GB"/>
        </w:rPr>
        <w:t>Dicey (1915), 3-4.</w:t>
      </w:r>
    </w:p>
  </w:footnote>
  <w:footnote w:id="28">
    <w:p w14:paraId="00C9A373" w14:textId="77777777" w:rsidR="007E51CF" w:rsidRPr="00A649BE" w:rsidRDefault="007E51CF">
      <w:pPr>
        <w:pStyle w:val="Textonotapie"/>
        <w:rPr>
          <w:sz w:val="20"/>
          <w:szCs w:val="20"/>
          <w:lang w:val="en-GB"/>
        </w:rPr>
      </w:pPr>
      <w:r w:rsidRPr="004F1C85">
        <w:rPr>
          <w:rStyle w:val="Refdenotaalpie"/>
          <w:sz w:val="20"/>
          <w:szCs w:val="20"/>
        </w:rPr>
        <w:footnoteRef/>
      </w:r>
      <w:r w:rsidRPr="00A649BE">
        <w:rPr>
          <w:sz w:val="20"/>
          <w:szCs w:val="20"/>
          <w:lang w:val="en-GB"/>
        </w:rPr>
        <w:t xml:space="preserve"> </w:t>
      </w:r>
      <w:r w:rsidRPr="00A649BE">
        <w:rPr>
          <w:rFonts w:eastAsia="MS Mincho"/>
          <w:sz w:val="20"/>
          <w:szCs w:val="20"/>
          <w:lang w:val="en-GB"/>
        </w:rPr>
        <w:t>Goldsworthy (1999), 1-21.</w:t>
      </w:r>
    </w:p>
  </w:footnote>
  <w:footnote w:id="29">
    <w:p w14:paraId="52901D69" w14:textId="77777777" w:rsidR="007E51CF" w:rsidRPr="00A649BE" w:rsidRDefault="007E51CF">
      <w:pPr>
        <w:pStyle w:val="Textonotapie"/>
        <w:rPr>
          <w:sz w:val="20"/>
          <w:szCs w:val="20"/>
          <w:lang w:val="en-GB"/>
        </w:rPr>
      </w:pPr>
      <w:r w:rsidRPr="004F1C85">
        <w:rPr>
          <w:rStyle w:val="Refdenotaalpie"/>
          <w:sz w:val="20"/>
          <w:szCs w:val="20"/>
        </w:rPr>
        <w:footnoteRef/>
      </w:r>
      <w:r w:rsidRPr="00A649BE">
        <w:rPr>
          <w:sz w:val="20"/>
          <w:szCs w:val="20"/>
          <w:lang w:val="en-GB"/>
        </w:rPr>
        <w:t xml:space="preserve"> </w:t>
      </w:r>
      <w:r w:rsidRPr="00A649BE">
        <w:rPr>
          <w:rFonts w:eastAsia="MS Mincho"/>
          <w:sz w:val="20"/>
          <w:szCs w:val="20"/>
          <w:lang w:val="en-GB"/>
        </w:rPr>
        <w:t>Dicey (1915), 19.</w:t>
      </w:r>
    </w:p>
  </w:footnote>
  <w:footnote w:id="30">
    <w:p w14:paraId="7DC52C8B" w14:textId="77777777" w:rsidR="007E51CF" w:rsidRPr="00A649BE" w:rsidRDefault="007E51CF">
      <w:pPr>
        <w:pStyle w:val="Textonotapie"/>
        <w:rPr>
          <w:sz w:val="20"/>
          <w:szCs w:val="20"/>
          <w:lang w:val="en-GB"/>
        </w:rPr>
      </w:pPr>
      <w:r w:rsidRPr="004F1C85">
        <w:rPr>
          <w:rStyle w:val="Refdenotaalpie"/>
          <w:sz w:val="20"/>
          <w:szCs w:val="20"/>
        </w:rPr>
        <w:footnoteRef/>
      </w:r>
      <w:r w:rsidRPr="00A649BE">
        <w:rPr>
          <w:sz w:val="20"/>
          <w:szCs w:val="20"/>
          <w:lang w:val="en-GB"/>
        </w:rPr>
        <w:t xml:space="preserve"> </w:t>
      </w:r>
      <w:r w:rsidRPr="00A649BE">
        <w:rPr>
          <w:rFonts w:eastAsia="MS Mincho"/>
          <w:sz w:val="20"/>
          <w:szCs w:val="20"/>
          <w:lang w:val="en-GB"/>
        </w:rPr>
        <w:t>Ibíd., 273; Dyzenhaus (2006), 71; T. Allan (2001), 13-21.</w:t>
      </w:r>
    </w:p>
  </w:footnote>
  <w:footnote w:id="31">
    <w:p w14:paraId="104ACF47" w14:textId="77777777" w:rsidR="007E51CF" w:rsidRPr="004F1C85" w:rsidRDefault="007E51CF">
      <w:pPr>
        <w:pStyle w:val="Textonotapie"/>
        <w:rPr>
          <w:sz w:val="20"/>
          <w:szCs w:val="20"/>
        </w:rPr>
      </w:pPr>
      <w:r w:rsidRPr="004F1C85">
        <w:rPr>
          <w:rStyle w:val="Refdenotaalpie"/>
          <w:sz w:val="20"/>
          <w:szCs w:val="20"/>
        </w:rPr>
        <w:footnoteRef/>
      </w:r>
      <w:r w:rsidRPr="004F1C85">
        <w:rPr>
          <w:sz w:val="20"/>
          <w:szCs w:val="20"/>
        </w:rPr>
        <w:t xml:space="preserve"> </w:t>
      </w:r>
      <w:r w:rsidRPr="004F1C85">
        <w:rPr>
          <w:rFonts w:eastAsia="MS Mincho"/>
          <w:sz w:val="20"/>
          <w:szCs w:val="20"/>
        </w:rPr>
        <w:t>Ibíd.</w:t>
      </w:r>
    </w:p>
  </w:footnote>
  <w:footnote w:id="32">
    <w:p w14:paraId="20FE9729" w14:textId="77777777" w:rsidR="007E51CF" w:rsidRPr="004F1C85" w:rsidRDefault="007E51CF">
      <w:pPr>
        <w:pStyle w:val="Textonotapie"/>
        <w:rPr>
          <w:sz w:val="20"/>
          <w:szCs w:val="20"/>
        </w:rPr>
      </w:pPr>
      <w:r w:rsidRPr="004F1C85">
        <w:rPr>
          <w:rStyle w:val="Refdenotaalpie"/>
          <w:sz w:val="20"/>
          <w:szCs w:val="20"/>
        </w:rPr>
        <w:footnoteRef/>
      </w:r>
      <w:r w:rsidRPr="004F1C85">
        <w:rPr>
          <w:sz w:val="20"/>
          <w:szCs w:val="20"/>
        </w:rPr>
        <w:t xml:space="preserve"> </w:t>
      </w:r>
      <w:r w:rsidRPr="004F1C85">
        <w:rPr>
          <w:rFonts w:eastAsia="MS Mincho"/>
          <w:sz w:val="20"/>
          <w:szCs w:val="20"/>
        </w:rPr>
        <w:t>T. Allan (2001), 202, 210, 214.</w:t>
      </w:r>
    </w:p>
  </w:footnote>
  <w:footnote w:id="33">
    <w:p w14:paraId="61F9B47E" w14:textId="77777777" w:rsidR="007E51CF" w:rsidRPr="0002129C" w:rsidRDefault="007E51CF" w:rsidP="0002129C">
      <w:pPr>
        <w:pStyle w:val="Textonotapie"/>
        <w:ind w:right="-285"/>
        <w:jc w:val="both"/>
        <w:rPr>
          <w:sz w:val="20"/>
          <w:szCs w:val="20"/>
        </w:rPr>
      </w:pPr>
      <w:r w:rsidRPr="0002129C">
        <w:rPr>
          <w:rStyle w:val="Refdenotaalpie"/>
          <w:sz w:val="20"/>
          <w:szCs w:val="20"/>
        </w:rPr>
        <w:footnoteRef/>
      </w:r>
      <w:r w:rsidRPr="0002129C">
        <w:rPr>
          <w:sz w:val="20"/>
          <w:szCs w:val="20"/>
        </w:rPr>
        <w:t xml:space="preserve"> </w:t>
      </w:r>
      <w:r w:rsidRPr="0002129C">
        <w:rPr>
          <w:rFonts w:eastAsia="MS Mincho"/>
          <w:sz w:val="20"/>
          <w:szCs w:val="20"/>
        </w:rPr>
        <w:t>Ibíd., 205. Para el autor, la intención implícita del parlamento de respetar los valores constitucionales “es un componente intrínseco de cualquier sistema de gobierno que intente asegurar el bien público” (ibíd.).</w:t>
      </w:r>
    </w:p>
  </w:footnote>
  <w:footnote w:id="34">
    <w:p w14:paraId="438E333E" w14:textId="77777777" w:rsidR="007E51CF" w:rsidRPr="0002129C" w:rsidRDefault="007E51CF">
      <w:pPr>
        <w:pStyle w:val="Textonotapie"/>
        <w:rPr>
          <w:sz w:val="20"/>
          <w:szCs w:val="20"/>
        </w:rPr>
      </w:pPr>
      <w:r w:rsidRPr="0002129C">
        <w:rPr>
          <w:rStyle w:val="Refdenotaalpie"/>
          <w:sz w:val="20"/>
          <w:szCs w:val="20"/>
        </w:rPr>
        <w:footnoteRef/>
      </w:r>
      <w:r w:rsidRPr="0002129C">
        <w:rPr>
          <w:sz w:val="20"/>
          <w:szCs w:val="20"/>
        </w:rPr>
        <w:t xml:space="preserve"> </w:t>
      </w:r>
      <w:r w:rsidRPr="0002129C">
        <w:rPr>
          <w:rFonts w:eastAsia="MS Mincho"/>
          <w:sz w:val="20"/>
          <w:szCs w:val="20"/>
        </w:rPr>
        <w:t>Walters (2003), 73-74.</w:t>
      </w:r>
    </w:p>
  </w:footnote>
  <w:footnote w:id="35">
    <w:p w14:paraId="4150B9D3" w14:textId="77777777" w:rsidR="007E51CF" w:rsidRPr="0002129C" w:rsidRDefault="007E51CF">
      <w:pPr>
        <w:pStyle w:val="Textonotapie"/>
        <w:rPr>
          <w:sz w:val="20"/>
          <w:szCs w:val="20"/>
        </w:rPr>
      </w:pPr>
      <w:r w:rsidRPr="0002129C">
        <w:rPr>
          <w:rStyle w:val="Refdenotaalpie"/>
          <w:sz w:val="20"/>
          <w:szCs w:val="20"/>
        </w:rPr>
        <w:footnoteRef/>
      </w:r>
      <w:r w:rsidRPr="0002129C">
        <w:rPr>
          <w:sz w:val="20"/>
          <w:szCs w:val="20"/>
        </w:rPr>
        <w:t xml:space="preserve"> </w:t>
      </w:r>
      <w:r w:rsidRPr="0002129C">
        <w:rPr>
          <w:rFonts w:eastAsia="MS Mincho"/>
          <w:sz w:val="20"/>
          <w:szCs w:val="20"/>
        </w:rPr>
        <w:t>Dyzenhaus (2006), 71.</w:t>
      </w:r>
    </w:p>
  </w:footnote>
  <w:footnote w:id="36">
    <w:p w14:paraId="50F5A77F" w14:textId="77777777" w:rsidR="007E51CF" w:rsidRPr="004F1C85" w:rsidRDefault="007E51CF" w:rsidP="004F1C85">
      <w:pPr>
        <w:pStyle w:val="Textonotapie"/>
        <w:ind w:right="-285"/>
        <w:jc w:val="both"/>
        <w:rPr>
          <w:sz w:val="20"/>
          <w:szCs w:val="20"/>
        </w:rPr>
      </w:pPr>
      <w:r w:rsidRPr="004F1C85">
        <w:rPr>
          <w:rStyle w:val="Refdenotaalpie"/>
          <w:sz w:val="20"/>
          <w:szCs w:val="20"/>
        </w:rPr>
        <w:footnoteRef/>
      </w:r>
      <w:r w:rsidRPr="004F1C85">
        <w:rPr>
          <w:sz w:val="20"/>
          <w:szCs w:val="20"/>
        </w:rPr>
        <w:t xml:space="preserve"> </w:t>
      </w:r>
      <w:r w:rsidRPr="004F1C85">
        <w:rPr>
          <w:rFonts w:eastAsia="MS Mincho"/>
          <w:sz w:val="20"/>
          <w:szCs w:val="20"/>
        </w:rPr>
        <w:t>Hickman (2010), 80. Hickman se basa en la teoría de la adjudicación de Dicey para deducir que su reconciliación de la soberanía parlamentaria y el imperio de la Ley no implica ninguna tensión irresoluble. En el mismo sentido que Trevor Allan, el autor encuentra en la obra de Dicey una concepción que promueve una “conversación constitucional fuerte” entre el parlamento y los jueces.</w:t>
      </w:r>
    </w:p>
  </w:footnote>
  <w:footnote w:id="37">
    <w:p w14:paraId="7B2796CA" w14:textId="77777777" w:rsidR="007E51CF" w:rsidRPr="0002129C" w:rsidRDefault="007E51CF">
      <w:pPr>
        <w:pStyle w:val="Textonotapie"/>
      </w:pPr>
      <w:r w:rsidRPr="004F1C85">
        <w:rPr>
          <w:rStyle w:val="Refdenotaalpie"/>
          <w:sz w:val="20"/>
          <w:szCs w:val="20"/>
        </w:rPr>
        <w:footnoteRef/>
      </w:r>
      <w:r w:rsidRPr="004F1C85">
        <w:rPr>
          <w:sz w:val="20"/>
          <w:szCs w:val="20"/>
        </w:rPr>
        <w:t xml:space="preserve"> </w:t>
      </w:r>
      <w:r w:rsidRPr="004F1C85">
        <w:rPr>
          <w:rFonts w:eastAsia="MS Mincho"/>
          <w:sz w:val="20"/>
          <w:szCs w:val="20"/>
        </w:rPr>
        <w:t>Dyzenhaus (2010), 203.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4E44F0"/>
    <w:multiLevelType w:val="hybridMultilevel"/>
    <w:tmpl w:val="7E5AC9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679A47F3"/>
    <w:multiLevelType w:val="hybridMultilevel"/>
    <w:tmpl w:val="4C329DF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6D45404C"/>
    <w:multiLevelType w:val="hybridMultilevel"/>
    <w:tmpl w:val="20C46B7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F2666CB"/>
    <w:multiLevelType w:val="hybridMultilevel"/>
    <w:tmpl w:val="50286116"/>
    <w:lvl w:ilvl="0" w:tplc="7D406EDC">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784D7BCC"/>
    <w:multiLevelType w:val="hybridMultilevel"/>
    <w:tmpl w:val="886E722E"/>
    <w:lvl w:ilvl="0" w:tplc="CA56FE6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53DD"/>
    <w:rsid w:val="0002129C"/>
    <w:rsid w:val="00044652"/>
    <w:rsid w:val="000A3C4B"/>
    <w:rsid w:val="000B5B13"/>
    <w:rsid w:val="00111F10"/>
    <w:rsid w:val="00120531"/>
    <w:rsid w:val="00145C14"/>
    <w:rsid w:val="00146A13"/>
    <w:rsid w:val="00163E3E"/>
    <w:rsid w:val="0019761E"/>
    <w:rsid w:val="002651A0"/>
    <w:rsid w:val="002A3F37"/>
    <w:rsid w:val="002B66F6"/>
    <w:rsid w:val="002C3ED6"/>
    <w:rsid w:val="002E2734"/>
    <w:rsid w:val="00346397"/>
    <w:rsid w:val="003E3377"/>
    <w:rsid w:val="00401906"/>
    <w:rsid w:val="00433E7B"/>
    <w:rsid w:val="00436165"/>
    <w:rsid w:val="0043708A"/>
    <w:rsid w:val="00441A89"/>
    <w:rsid w:val="004F1C85"/>
    <w:rsid w:val="004F5DF2"/>
    <w:rsid w:val="005553DD"/>
    <w:rsid w:val="00567C15"/>
    <w:rsid w:val="00573FDF"/>
    <w:rsid w:val="005907EF"/>
    <w:rsid w:val="005C7213"/>
    <w:rsid w:val="00615278"/>
    <w:rsid w:val="00741DF7"/>
    <w:rsid w:val="007663B8"/>
    <w:rsid w:val="007E51CF"/>
    <w:rsid w:val="007F13B1"/>
    <w:rsid w:val="007F7B78"/>
    <w:rsid w:val="00844120"/>
    <w:rsid w:val="008E50ED"/>
    <w:rsid w:val="00965660"/>
    <w:rsid w:val="00977DE9"/>
    <w:rsid w:val="00A10315"/>
    <w:rsid w:val="00A23E1F"/>
    <w:rsid w:val="00A257BF"/>
    <w:rsid w:val="00A45D65"/>
    <w:rsid w:val="00A631EE"/>
    <w:rsid w:val="00A649BE"/>
    <w:rsid w:val="00A76082"/>
    <w:rsid w:val="00A96A19"/>
    <w:rsid w:val="00A979CA"/>
    <w:rsid w:val="00B13147"/>
    <w:rsid w:val="00B80D3E"/>
    <w:rsid w:val="00C0002D"/>
    <w:rsid w:val="00CF3C4B"/>
    <w:rsid w:val="00D16132"/>
    <w:rsid w:val="00D370FB"/>
    <w:rsid w:val="00DB6F93"/>
    <w:rsid w:val="00DC0450"/>
    <w:rsid w:val="00DC44D9"/>
    <w:rsid w:val="00DE3FD2"/>
    <w:rsid w:val="00E02783"/>
    <w:rsid w:val="00F065F4"/>
    <w:rsid w:val="00F833E6"/>
    <w:rsid w:val="00F941DF"/>
    <w:rsid w:val="00FD406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9F6EC"/>
  <w15:chartTrackingRefBased/>
  <w15:docId w15:val="{767047D4-4ED6-409F-B5AF-521CC116A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E50ED"/>
    <w:pPr>
      <w:spacing w:after="0" w:line="240" w:lineRule="auto"/>
    </w:pPr>
    <w:rPr>
      <w:rFonts w:ascii="Times New Roman" w:eastAsiaTheme="minorEastAsia" w:hAnsi="Times New Roman"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unhideWhenUsed/>
    <w:rsid w:val="008E50ED"/>
  </w:style>
  <w:style w:type="character" w:customStyle="1" w:styleId="TextonotapieCar">
    <w:name w:val="Texto nota pie Car"/>
    <w:basedOn w:val="Fuentedeprrafopredeter"/>
    <w:link w:val="Textonotapie"/>
    <w:uiPriority w:val="99"/>
    <w:rsid w:val="008E50ED"/>
    <w:rPr>
      <w:rFonts w:ascii="Times New Roman" w:eastAsiaTheme="minorEastAsia" w:hAnsi="Times New Roman" w:cs="Times New Roman"/>
      <w:sz w:val="24"/>
      <w:szCs w:val="24"/>
      <w:lang w:val="es-ES_tradnl" w:eastAsia="es-ES"/>
    </w:rPr>
  </w:style>
  <w:style w:type="character" w:styleId="Refdenotaalpie">
    <w:name w:val="footnote reference"/>
    <w:basedOn w:val="Fuentedeprrafopredeter"/>
    <w:uiPriority w:val="99"/>
    <w:unhideWhenUsed/>
    <w:rsid w:val="008E50ED"/>
    <w:rPr>
      <w:vertAlign w:val="superscript"/>
    </w:rPr>
  </w:style>
  <w:style w:type="paragraph" w:styleId="Prrafodelista">
    <w:name w:val="List Paragraph"/>
    <w:basedOn w:val="Normal"/>
    <w:uiPriority w:val="34"/>
    <w:qFormat/>
    <w:rsid w:val="008E50ED"/>
    <w:pPr>
      <w:ind w:left="720"/>
      <w:contextualSpacing/>
    </w:pPr>
  </w:style>
  <w:style w:type="paragraph" w:styleId="Encabezado">
    <w:name w:val="header"/>
    <w:basedOn w:val="Normal"/>
    <w:link w:val="EncabezadoCar"/>
    <w:uiPriority w:val="99"/>
    <w:unhideWhenUsed/>
    <w:rsid w:val="004F1C85"/>
    <w:pPr>
      <w:tabs>
        <w:tab w:val="center" w:pos="4252"/>
        <w:tab w:val="right" w:pos="8504"/>
      </w:tabs>
    </w:pPr>
  </w:style>
  <w:style w:type="character" w:customStyle="1" w:styleId="EncabezadoCar">
    <w:name w:val="Encabezado Car"/>
    <w:basedOn w:val="Fuentedeprrafopredeter"/>
    <w:link w:val="Encabezado"/>
    <w:uiPriority w:val="99"/>
    <w:rsid w:val="004F1C85"/>
    <w:rPr>
      <w:rFonts w:ascii="Times New Roman" w:eastAsiaTheme="minorEastAsia" w:hAnsi="Times New Roman" w:cs="Times New Roman"/>
      <w:sz w:val="24"/>
      <w:szCs w:val="24"/>
      <w:lang w:val="es-ES_tradnl" w:eastAsia="es-ES"/>
    </w:rPr>
  </w:style>
  <w:style w:type="paragraph" w:styleId="Piedepgina">
    <w:name w:val="footer"/>
    <w:basedOn w:val="Normal"/>
    <w:link w:val="PiedepginaCar"/>
    <w:uiPriority w:val="99"/>
    <w:unhideWhenUsed/>
    <w:rsid w:val="004F1C85"/>
    <w:pPr>
      <w:tabs>
        <w:tab w:val="center" w:pos="4252"/>
        <w:tab w:val="right" w:pos="8504"/>
      </w:tabs>
    </w:pPr>
  </w:style>
  <w:style w:type="character" w:customStyle="1" w:styleId="PiedepginaCar">
    <w:name w:val="Pie de página Car"/>
    <w:basedOn w:val="Fuentedeprrafopredeter"/>
    <w:link w:val="Piedepgina"/>
    <w:uiPriority w:val="99"/>
    <w:rsid w:val="004F1C85"/>
    <w:rPr>
      <w:rFonts w:ascii="Times New Roman" w:eastAsiaTheme="minorEastAsia" w:hAnsi="Times New Roman" w:cs="Times New Roman"/>
      <w:sz w:val="24"/>
      <w:szCs w:val="24"/>
      <w:lang w:val="es-ES_tradnl" w:eastAsia="es-ES"/>
    </w:rPr>
  </w:style>
  <w:style w:type="character" w:styleId="Refdecomentario">
    <w:name w:val="annotation reference"/>
    <w:basedOn w:val="Fuentedeprrafopredeter"/>
    <w:uiPriority w:val="99"/>
    <w:semiHidden/>
    <w:unhideWhenUsed/>
    <w:rsid w:val="00120531"/>
    <w:rPr>
      <w:sz w:val="16"/>
      <w:szCs w:val="16"/>
    </w:rPr>
  </w:style>
  <w:style w:type="paragraph" w:styleId="Textocomentario">
    <w:name w:val="annotation text"/>
    <w:basedOn w:val="Normal"/>
    <w:link w:val="TextocomentarioCar"/>
    <w:uiPriority w:val="99"/>
    <w:semiHidden/>
    <w:unhideWhenUsed/>
    <w:rsid w:val="00120531"/>
    <w:rPr>
      <w:sz w:val="20"/>
      <w:szCs w:val="20"/>
    </w:rPr>
  </w:style>
  <w:style w:type="character" w:customStyle="1" w:styleId="TextocomentarioCar">
    <w:name w:val="Texto comentario Car"/>
    <w:basedOn w:val="Fuentedeprrafopredeter"/>
    <w:link w:val="Textocomentario"/>
    <w:uiPriority w:val="99"/>
    <w:semiHidden/>
    <w:rsid w:val="00120531"/>
    <w:rPr>
      <w:rFonts w:ascii="Times New Roman" w:eastAsiaTheme="minorEastAsia" w:hAnsi="Times New Roman"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120531"/>
    <w:rPr>
      <w:b/>
      <w:bCs/>
    </w:rPr>
  </w:style>
  <w:style w:type="character" w:customStyle="1" w:styleId="AsuntodelcomentarioCar">
    <w:name w:val="Asunto del comentario Car"/>
    <w:basedOn w:val="TextocomentarioCar"/>
    <w:link w:val="Asuntodelcomentario"/>
    <w:uiPriority w:val="99"/>
    <w:semiHidden/>
    <w:rsid w:val="00120531"/>
    <w:rPr>
      <w:rFonts w:ascii="Times New Roman" w:eastAsiaTheme="minorEastAsia" w:hAnsi="Times New Roman" w:cs="Times New Roman"/>
      <w:b/>
      <w:bCs/>
      <w:sz w:val="20"/>
      <w:szCs w:val="20"/>
      <w:lang w:val="es-ES_tradnl" w:eastAsia="es-ES"/>
    </w:rPr>
  </w:style>
  <w:style w:type="paragraph" w:styleId="Textodeglobo">
    <w:name w:val="Balloon Text"/>
    <w:basedOn w:val="Normal"/>
    <w:link w:val="TextodegloboCar"/>
    <w:uiPriority w:val="99"/>
    <w:semiHidden/>
    <w:unhideWhenUsed/>
    <w:rsid w:val="0012053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20531"/>
    <w:rPr>
      <w:rFonts w:ascii="Segoe UI" w:eastAsiaTheme="minorEastAsia" w:hAnsi="Segoe UI" w:cs="Segoe UI"/>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20D613-8F35-44F7-9E4E-466C975D4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540</TotalTime>
  <Pages>1</Pages>
  <Words>6011</Words>
  <Characters>33063</Characters>
  <Application>Microsoft Office Word</Application>
  <DocSecurity>0</DocSecurity>
  <Lines>275</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Mariano Carlos Melero de la Torre</dc:creator>
  <cp:keywords/>
  <dc:description/>
  <cp:lastModifiedBy>Mariano Carlos Melero Torre</cp:lastModifiedBy>
  <cp:revision>11</cp:revision>
  <dcterms:created xsi:type="dcterms:W3CDTF">2017-03-20T11:09:00Z</dcterms:created>
  <dcterms:modified xsi:type="dcterms:W3CDTF">2017-09-05T11:26:00Z</dcterms:modified>
</cp:coreProperties>
</file>