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BFC" w:rsidRPr="000D7D0A" w:rsidRDefault="00844BFC">
      <w:pPr>
        <w:rPr>
          <w:rFonts w:ascii="Times New Roman" w:hAnsi="Times New Roman" w:cs="Times New Roman"/>
          <w:strike/>
          <w:sz w:val="24"/>
          <w:szCs w:val="24"/>
        </w:rPr>
      </w:pPr>
      <w:bookmarkStart w:id="0" w:name="_Toc487465095"/>
      <w:bookmarkStart w:id="1" w:name="_Toc486704493"/>
    </w:p>
    <w:p w:rsidR="00844BFC" w:rsidRPr="000D7D0A" w:rsidRDefault="00844BFC" w:rsidP="00A266E3">
      <w:pPr>
        <w:pStyle w:val="Ttulo1"/>
        <w:jc w:val="center"/>
        <w:rPr>
          <w:rFonts w:ascii="Times New Roman" w:hAnsi="Times New Roman" w:cs="Times New Roman"/>
          <w:color w:val="auto"/>
        </w:rPr>
      </w:pPr>
      <w:bookmarkStart w:id="2" w:name="_Toc492389017"/>
      <w:r w:rsidRPr="000D7D0A">
        <w:rPr>
          <w:rFonts w:ascii="Times New Roman" w:hAnsi="Times New Roman" w:cs="Times New Roman"/>
          <w:color w:val="auto"/>
        </w:rPr>
        <w:t xml:space="preserve">Las vías </w:t>
      </w:r>
      <w:r w:rsidR="00AB6C2C" w:rsidRPr="000D7D0A">
        <w:rPr>
          <w:rFonts w:ascii="Times New Roman" w:hAnsi="Times New Roman" w:cs="Times New Roman"/>
          <w:color w:val="auto"/>
        </w:rPr>
        <w:t>verdes como p</w:t>
      </w:r>
      <w:r w:rsidR="00983F75" w:rsidRPr="000D7D0A">
        <w:rPr>
          <w:rFonts w:ascii="Times New Roman" w:hAnsi="Times New Roman" w:cs="Times New Roman"/>
          <w:color w:val="auto"/>
        </w:rPr>
        <w:t>olítica multinivel</w:t>
      </w:r>
      <w:r w:rsidR="00AB6C2C" w:rsidRPr="000D7D0A">
        <w:rPr>
          <w:rFonts w:ascii="Times New Roman" w:hAnsi="Times New Roman" w:cs="Times New Roman"/>
          <w:color w:val="auto"/>
        </w:rPr>
        <w:t>. Los casos de</w:t>
      </w:r>
      <w:r w:rsidRPr="000D7D0A">
        <w:rPr>
          <w:rFonts w:ascii="Times New Roman" w:hAnsi="Times New Roman" w:cs="Times New Roman"/>
          <w:color w:val="auto"/>
        </w:rPr>
        <w:t xml:space="preserve"> Ojos Negros y Girona</w:t>
      </w:r>
      <w:bookmarkEnd w:id="2"/>
    </w:p>
    <w:p w:rsidR="00844BFC" w:rsidRPr="000D7D0A" w:rsidRDefault="00844BFC">
      <w:pPr>
        <w:rPr>
          <w:rFonts w:ascii="Times New Roman" w:hAnsi="Times New Roman" w:cs="Times New Roman"/>
          <w:sz w:val="24"/>
          <w:szCs w:val="24"/>
        </w:rPr>
      </w:pPr>
    </w:p>
    <w:p w:rsidR="00844BFC" w:rsidRPr="000D7D0A" w:rsidRDefault="00844BFC" w:rsidP="00894AB5">
      <w:pPr>
        <w:jc w:val="right"/>
        <w:rPr>
          <w:rFonts w:ascii="Times New Roman" w:hAnsi="Times New Roman" w:cs="Times New Roman"/>
          <w:sz w:val="24"/>
          <w:szCs w:val="24"/>
        </w:rPr>
      </w:pPr>
      <w:proofErr w:type="spellStart"/>
      <w:r w:rsidRPr="000D7D0A">
        <w:rPr>
          <w:rFonts w:ascii="Times New Roman" w:hAnsi="Times New Roman" w:cs="Times New Roman"/>
          <w:sz w:val="24"/>
          <w:szCs w:val="24"/>
        </w:rPr>
        <w:t>Macià</w:t>
      </w:r>
      <w:proofErr w:type="spellEnd"/>
      <w:r w:rsidRPr="000D7D0A">
        <w:rPr>
          <w:rFonts w:ascii="Times New Roman" w:hAnsi="Times New Roman" w:cs="Times New Roman"/>
          <w:sz w:val="24"/>
          <w:szCs w:val="24"/>
        </w:rPr>
        <w:t xml:space="preserve"> Serra i Serra</w:t>
      </w:r>
    </w:p>
    <w:p w:rsidR="00844BFC" w:rsidRPr="000D7D0A" w:rsidRDefault="00844BFC" w:rsidP="00894AB5">
      <w:pPr>
        <w:jc w:val="right"/>
        <w:rPr>
          <w:rFonts w:ascii="Times New Roman" w:hAnsi="Times New Roman" w:cs="Times New Roman"/>
          <w:sz w:val="24"/>
          <w:szCs w:val="24"/>
        </w:rPr>
      </w:pPr>
      <w:proofErr w:type="spellStart"/>
      <w:r w:rsidRPr="000D7D0A">
        <w:rPr>
          <w:rFonts w:ascii="Times New Roman" w:hAnsi="Times New Roman" w:cs="Times New Roman"/>
          <w:sz w:val="24"/>
          <w:szCs w:val="24"/>
        </w:rPr>
        <w:t>Àrea</w:t>
      </w:r>
      <w:proofErr w:type="spellEnd"/>
      <w:r w:rsidRPr="000D7D0A">
        <w:rPr>
          <w:rFonts w:ascii="Times New Roman" w:hAnsi="Times New Roman" w:cs="Times New Roman"/>
          <w:sz w:val="24"/>
          <w:szCs w:val="24"/>
        </w:rPr>
        <w:t xml:space="preserve"> de Ciencia Política </w:t>
      </w:r>
    </w:p>
    <w:p w:rsidR="00844BFC" w:rsidRPr="000D7D0A" w:rsidRDefault="00844BFC" w:rsidP="00894AB5">
      <w:pPr>
        <w:jc w:val="right"/>
        <w:rPr>
          <w:rFonts w:ascii="Times New Roman" w:hAnsi="Times New Roman" w:cs="Times New Roman"/>
          <w:sz w:val="24"/>
          <w:szCs w:val="24"/>
        </w:rPr>
      </w:pPr>
      <w:r w:rsidRPr="000D7D0A">
        <w:rPr>
          <w:rFonts w:ascii="Times New Roman" w:hAnsi="Times New Roman" w:cs="Times New Roman"/>
          <w:sz w:val="24"/>
          <w:szCs w:val="24"/>
        </w:rPr>
        <w:t>Facultad de Derecho</w:t>
      </w:r>
    </w:p>
    <w:p w:rsidR="00844BFC" w:rsidRPr="000D7D0A" w:rsidRDefault="00844BFC" w:rsidP="00894AB5">
      <w:pPr>
        <w:jc w:val="right"/>
        <w:rPr>
          <w:rFonts w:ascii="Times New Roman" w:hAnsi="Times New Roman" w:cs="Times New Roman"/>
          <w:sz w:val="24"/>
          <w:szCs w:val="24"/>
        </w:rPr>
      </w:pPr>
      <w:proofErr w:type="spellStart"/>
      <w:r w:rsidRPr="000D7D0A">
        <w:rPr>
          <w:rFonts w:ascii="Times New Roman" w:hAnsi="Times New Roman" w:cs="Times New Roman"/>
          <w:sz w:val="24"/>
          <w:szCs w:val="24"/>
        </w:rPr>
        <w:t>Universitat</w:t>
      </w:r>
      <w:proofErr w:type="spellEnd"/>
      <w:r w:rsidRPr="000D7D0A">
        <w:rPr>
          <w:rFonts w:ascii="Times New Roman" w:hAnsi="Times New Roman" w:cs="Times New Roman"/>
          <w:sz w:val="24"/>
          <w:szCs w:val="24"/>
        </w:rPr>
        <w:t xml:space="preserve"> de Girona</w:t>
      </w:r>
    </w:p>
    <w:p w:rsidR="00844BFC" w:rsidRPr="000D7D0A" w:rsidRDefault="00361692" w:rsidP="00894AB5">
      <w:pPr>
        <w:jc w:val="right"/>
        <w:rPr>
          <w:rFonts w:ascii="Times New Roman" w:hAnsi="Times New Roman" w:cs="Times New Roman"/>
          <w:sz w:val="24"/>
          <w:szCs w:val="24"/>
        </w:rPr>
      </w:pPr>
      <w:hyperlink r:id="rId8" w:history="1">
        <w:r w:rsidR="00844BFC" w:rsidRPr="000D7D0A">
          <w:rPr>
            <w:rStyle w:val="Hipervnculo"/>
            <w:rFonts w:ascii="Times New Roman" w:hAnsi="Times New Roman" w:cs="Times New Roman"/>
            <w:color w:val="auto"/>
            <w:sz w:val="24"/>
            <w:szCs w:val="24"/>
          </w:rPr>
          <w:t>Macia.serra@udg.edu</w:t>
        </w:r>
      </w:hyperlink>
    </w:p>
    <w:p w:rsidR="00894AB5" w:rsidRPr="000D7D0A" w:rsidRDefault="00894AB5">
      <w:pPr>
        <w:rPr>
          <w:rFonts w:ascii="Times New Roman" w:hAnsi="Times New Roman" w:cs="Times New Roman"/>
          <w:sz w:val="24"/>
          <w:szCs w:val="24"/>
        </w:rPr>
      </w:pPr>
    </w:p>
    <w:p w:rsidR="00844BFC" w:rsidRPr="000D7D0A" w:rsidRDefault="00844BFC">
      <w:pPr>
        <w:rPr>
          <w:rFonts w:ascii="Times New Roman" w:hAnsi="Times New Roman" w:cs="Times New Roman"/>
          <w:i/>
          <w:sz w:val="24"/>
          <w:szCs w:val="24"/>
        </w:rPr>
      </w:pPr>
      <w:r w:rsidRPr="000D7D0A">
        <w:rPr>
          <w:rFonts w:ascii="Times New Roman" w:hAnsi="Times New Roman" w:cs="Times New Roman"/>
          <w:sz w:val="24"/>
          <w:szCs w:val="24"/>
        </w:rPr>
        <w:t xml:space="preserve">El autor es profesor asociado de Ciencia Política en la </w:t>
      </w:r>
      <w:proofErr w:type="spellStart"/>
      <w:r w:rsidR="00894AB5" w:rsidRPr="000D7D0A">
        <w:rPr>
          <w:rFonts w:ascii="Times New Roman" w:hAnsi="Times New Roman" w:cs="Times New Roman"/>
          <w:i/>
          <w:sz w:val="24"/>
          <w:szCs w:val="24"/>
        </w:rPr>
        <w:t>Universitat</w:t>
      </w:r>
      <w:proofErr w:type="spellEnd"/>
      <w:r w:rsidR="00894AB5" w:rsidRPr="000D7D0A">
        <w:rPr>
          <w:rFonts w:ascii="Times New Roman" w:hAnsi="Times New Roman" w:cs="Times New Roman"/>
          <w:i/>
          <w:sz w:val="24"/>
          <w:szCs w:val="24"/>
        </w:rPr>
        <w:t xml:space="preserve"> </w:t>
      </w:r>
      <w:r w:rsidRPr="000D7D0A">
        <w:rPr>
          <w:rFonts w:ascii="Times New Roman" w:hAnsi="Times New Roman" w:cs="Times New Roman"/>
          <w:i/>
          <w:sz w:val="24"/>
          <w:szCs w:val="24"/>
        </w:rPr>
        <w:t>de Girona</w:t>
      </w:r>
      <w:r w:rsidRPr="000D7D0A">
        <w:rPr>
          <w:rFonts w:ascii="Times New Roman" w:hAnsi="Times New Roman" w:cs="Times New Roman"/>
          <w:sz w:val="24"/>
          <w:szCs w:val="24"/>
        </w:rPr>
        <w:t xml:space="preserve"> y alumno del Programa de Doctorado</w:t>
      </w:r>
      <w:r w:rsidRPr="000D7D0A">
        <w:rPr>
          <w:rFonts w:ascii="Times New Roman" w:hAnsi="Times New Roman" w:cs="Times New Roman"/>
          <w:i/>
          <w:sz w:val="24"/>
          <w:szCs w:val="24"/>
        </w:rPr>
        <w:t xml:space="preserve"> Estado de Derecho y Gobernanza Global</w:t>
      </w:r>
      <w:r w:rsidRPr="000D7D0A">
        <w:rPr>
          <w:rFonts w:ascii="Times New Roman" w:hAnsi="Times New Roman" w:cs="Times New Roman"/>
          <w:sz w:val="24"/>
          <w:szCs w:val="24"/>
        </w:rPr>
        <w:t xml:space="preserve"> de la </w:t>
      </w:r>
      <w:r w:rsidRPr="000D7D0A">
        <w:rPr>
          <w:rFonts w:ascii="Times New Roman" w:hAnsi="Times New Roman" w:cs="Times New Roman"/>
          <w:i/>
          <w:sz w:val="24"/>
          <w:szCs w:val="24"/>
        </w:rPr>
        <w:t>Universidad de Salamanca.</w:t>
      </w:r>
    </w:p>
    <w:p w:rsidR="003A3785" w:rsidRPr="000D7D0A" w:rsidRDefault="003A3785">
      <w:pPr>
        <w:rPr>
          <w:rFonts w:ascii="Times New Roman" w:hAnsi="Times New Roman" w:cs="Times New Roman"/>
          <w:i/>
          <w:sz w:val="24"/>
          <w:szCs w:val="24"/>
        </w:rPr>
      </w:pPr>
    </w:p>
    <w:p w:rsidR="003A3785" w:rsidRPr="000D7D0A" w:rsidRDefault="003A3785">
      <w:pPr>
        <w:rPr>
          <w:rFonts w:ascii="Times New Roman" w:hAnsi="Times New Roman" w:cs="Times New Roman"/>
          <w:i/>
          <w:sz w:val="24"/>
          <w:szCs w:val="24"/>
        </w:rPr>
      </w:pPr>
      <w:r w:rsidRPr="000D7D0A">
        <w:rPr>
          <w:rFonts w:ascii="Times New Roman" w:hAnsi="Times New Roman" w:cs="Times New Roman"/>
          <w:i/>
          <w:sz w:val="24"/>
          <w:szCs w:val="24"/>
        </w:rPr>
        <w:t>Resumen</w:t>
      </w:r>
    </w:p>
    <w:p w:rsidR="00A266E3" w:rsidRPr="000D7D0A" w:rsidRDefault="003A3785" w:rsidP="003A3785">
      <w:pPr>
        <w:rPr>
          <w:rFonts w:ascii="Times New Roman" w:hAnsi="Times New Roman" w:cs="Times New Roman"/>
          <w:sz w:val="24"/>
          <w:szCs w:val="24"/>
        </w:rPr>
      </w:pPr>
      <w:r w:rsidRPr="000D7D0A">
        <w:rPr>
          <w:rFonts w:ascii="Times New Roman" w:hAnsi="Times New Roman" w:cs="Times New Roman"/>
          <w:sz w:val="24"/>
          <w:szCs w:val="24"/>
        </w:rPr>
        <w:t>En la actualidad hay numerosas políticas públicas que requieren de un estilo de gestión colaborativo entre diferentes actores, alejado de la lógica burocrática clásica con competencias y jerarquías claramente definidas.</w:t>
      </w:r>
    </w:p>
    <w:p w:rsidR="003A3785" w:rsidRPr="000D7D0A" w:rsidRDefault="003A3785" w:rsidP="003A3785">
      <w:pPr>
        <w:rPr>
          <w:rFonts w:ascii="Times New Roman" w:hAnsi="Times New Roman" w:cs="Times New Roman"/>
          <w:sz w:val="24"/>
          <w:szCs w:val="24"/>
        </w:rPr>
      </w:pPr>
      <w:r w:rsidRPr="000D7D0A">
        <w:rPr>
          <w:rFonts w:ascii="Times New Roman" w:hAnsi="Times New Roman" w:cs="Times New Roman"/>
          <w:sz w:val="24"/>
          <w:szCs w:val="24"/>
        </w:rPr>
        <w:t xml:space="preserve"> Las vías verdes son un ejemplo de ello.</w:t>
      </w:r>
      <w:r w:rsidR="00A266E3" w:rsidRPr="000D7D0A">
        <w:rPr>
          <w:rFonts w:ascii="Times New Roman" w:hAnsi="Times New Roman" w:cs="Times New Roman"/>
          <w:sz w:val="24"/>
          <w:szCs w:val="24"/>
        </w:rPr>
        <w:t xml:space="preserve"> </w:t>
      </w:r>
      <w:r w:rsidR="00894AB5" w:rsidRPr="000D7D0A">
        <w:rPr>
          <w:rFonts w:ascii="Times New Roman" w:hAnsi="Times New Roman" w:cs="Times New Roman"/>
          <w:sz w:val="24"/>
          <w:szCs w:val="24"/>
        </w:rPr>
        <w:t>Su largo recorrido y su relación con diferentes políticas públicas</w:t>
      </w:r>
      <w:r w:rsidR="00AB6C2C" w:rsidRPr="000D7D0A">
        <w:rPr>
          <w:rFonts w:ascii="Times New Roman" w:hAnsi="Times New Roman" w:cs="Times New Roman"/>
          <w:sz w:val="24"/>
          <w:szCs w:val="24"/>
        </w:rPr>
        <w:t>, entre otras características, las</w:t>
      </w:r>
      <w:r w:rsidR="00894AB5" w:rsidRPr="000D7D0A">
        <w:rPr>
          <w:rFonts w:ascii="Times New Roman" w:hAnsi="Times New Roman" w:cs="Times New Roman"/>
          <w:sz w:val="24"/>
          <w:szCs w:val="24"/>
        </w:rPr>
        <w:t xml:space="preserve"> convierten en un caso útil para el análisis de las relacione</w:t>
      </w:r>
      <w:r w:rsidR="00AB6C2C" w:rsidRPr="000D7D0A">
        <w:rPr>
          <w:rFonts w:ascii="Times New Roman" w:hAnsi="Times New Roman" w:cs="Times New Roman"/>
          <w:sz w:val="24"/>
          <w:szCs w:val="24"/>
        </w:rPr>
        <w:t>s</w:t>
      </w:r>
      <w:r w:rsidR="00894AB5" w:rsidRPr="000D7D0A">
        <w:rPr>
          <w:rFonts w:ascii="Times New Roman" w:hAnsi="Times New Roman" w:cs="Times New Roman"/>
          <w:sz w:val="24"/>
          <w:szCs w:val="24"/>
        </w:rPr>
        <w:t xml:space="preserve"> multinivel. </w:t>
      </w:r>
      <w:r w:rsidR="00AB6C2C" w:rsidRPr="000D7D0A">
        <w:rPr>
          <w:rFonts w:ascii="Times New Roman" w:hAnsi="Times New Roman" w:cs="Times New Roman"/>
          <w:sz w:val="24"/>
          <w:szCs w:val="24"/>
        </w:rPr>
        <w:t xml:space="preserve"> En la ponencia s</w:t>
      </w:r>
      <w:r w:rsidRPr="000D7D0A">
        <w:rPr>
          <w:rFonts w:ascii="Times New Roman" w:hAnsi="Times New Roman" w:cs="Times New Roman"/>
          <w:sz w:val="24"/>
          <w:szCs w:val="24"/>
        </w:rPr>
        <w:t xml:space="preserve">e analizan </w:t>
      </w:r>
      <w:r w:rsidR="00A266E3" w:rsidRPr="000D7D0A">
        <w:rPr>
          <w:rFonts w:ascii="Times New Roman" w:hAnsi="Times New Roman" w:cs="Times New Roman"/>
          <w:sz w:val="24"/>
          <w:szCs w:val="24"/>
        </w:rPr>
        <w:t>dos</w:t>
      </w:r>
      <w:r w:rsidR="00894AB5" w:rsidRPr="000D7D0A">
        <w:rPr>
          <w:rFonts w:ascii="Times New Roman" w:hAnsi="Times New Roman" w:cs="Times New Roman"/>
          <w:sz w:val="24"/>
          <w:szCs w:val="24"/>
        </w:rPr>
        <w:t xml:space="preserve"> vías verdes </w:t>
      </w:r>
      <w:r w:rsidR="00A266E3" w:rsidRPr="000D7D0A">
        <w:rPr>
          <w:rFonts w:ascii="Times New Roman" w:hAnsi="Times New Roman" w:cs="Times New Roman"/>
          <w:sz w:val="24"/>
          <w:szCs w:val="24"/>
        </w:rPr>
        <w:t xml:space="preserve">creadas y gestionadas de manera muy diferente, y cómo esto afecta a su situación actual. </w:t>
      </w:r>
      <w:r w:rsidR="00AB6C2C" w:rsidRPr="000D7D0A">
        <w:rPr>
          <w:rFonts w:ascii="Times New Roman" w:hAnsi="Times New Roman" w:cs="Times New Roman"/>
          <w:sz w:val="24"/>
          <w:szCs w:val="24"/>
        </w:rPr>
        <w:t xml:space="preserve"> </w:t>
      </w:r>
      <w:r w:rsidR="003B7FDF" w:rsidRPr="000D7D0A">
        <w:rPr>
          <w:rFonts w:ascii="Times New Roman" w:hAnsi="Times New Roman" w:cs="Times New Roman"/>
          <w:sz w:val="24"/>
          <w:szCs w:val="24"/>
        </w:rPr>
        <w:t xml:space="preserve"> </w:t>
      </w:r>
    </w:p>
    <w:p w:rsidR="00844BFC" w:rsidRPr="000D7D0A" w:rsidRDefault="00844BFC">
      <w:pPr>
        <w:rPr>
          <w:rFonts w:ascii="Times New Roman" w:hAnsi="Times New Roman" w:cs="Times New Roman"/>
          <w:sz w:val="24"/>
          <w:szCs w:val="24"/>
        </w:rPr>
      </w:pPr>
    </w:p>
    <w:p w:rsidR="00844BFC" w:rsidRPr="000D7D0A" w:rsidRDefault="00844BFC">
      <w:pPr>
        <w:rPr>
          <w:rFonts w:ascii="Times New Roman" w:hAnsi="Times New Roman" w:cs="Times New Roman"/>
          <w:sz w:val="24"/>
          <w:szCs w:val="24"/>
        </w:rPr>
      </w:pPr>
      <w:r w:rsidRPr="000D7D0A">
        <w:rPr>
          <w:rFonts w:ascii="Times New Roman" w:hAnsi="Times New Roman" w:cs="Times New Roman"/>
          <w:sz w:val="24"/>
          <w:szCs w:val="24"/>
        </w:rPr>
        <w:t xml:space="preserve">Palabras Clave: </w:t>
      </w:r>
      <w:r w:rsidR="000D4F0F" w:rsidRPr="000D7D0A">
        <w:rPr>
          <w:rFonts w:ascii="Times New Roman" w:hAnsi="Times New Roman" w:cs="Times New Roman"/>
          <w:sz w:val="24"/>
          <w:szCs w:val="24"/>
        </w:rPr>
        <w:t xml:space="preserve">Políticas Públicas, Gobernanza Multinivel, </w:t>
      </w:r>
      <w:proofErr w:type="spellStart"/>
      <w:r w:rsidR="000D4F0F" w:rsidRPr="000D7D0A">
        <w:rPr>
          <w:rFonts w:ascii="Times New Roman" w:hAnsi="Times New Roman" w:cs="Times New Roman"/>
          <w:sz w:val="24"/>
          <w:szCs w:val="24"/>
        </w:rPr>
        <w:t>Transversalidad</w:t>
      </w:r>
      <w:proofErr w:type="spellEnd"/>
      <w:r w:rsidR="000D4F0F" w:rsidRPr="000D7D0A">
        <w:rPr>
          <w:rFonts w:ascii="Times New Roman" w:hAnsi="Times New Roman" w:cs="Times New Roman"/>
          <w:sz w:val="24"/>
          <w:szCs w:val="24"/>
        </w:rPr>
        <w:t>, Medio Ambiente, Turismo</w:t>
      </w:r>
    </w:p>
    <w:p w:rsidR="00844BFC" w:rsidRPr="000D7D0A" w:rsidRDefault="00844BFC">
      <w:pPr>
        <w:rPr>
          <w:rFonts w:ascii="Times New Roman" w:hAnsi="Times New Roman" w:cs="Times New Roman"/>
          <w:sz w:val="24"/>
          <w:szCs w:val="24"/>
        </w:rPr>
      </w:pPr>
      <w:r w:rsidRPr="000D7D0A">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rPr>
        <w:id w:val="1018472384"/>
        <w:docPartObj>
          <w:docPartGallery w:val="Table of Contents"/>
          <w:docPartUnique/>
        </w:docPartObj>
      </w:sdtPr>
      <w:sdtContent>
        <w:p w:rsidR="00894AB5" w:rsidRPr="000D7D0A" w:rsidRDefault="00894AB5">
          <w:pPr>
            <w:pStyle w:val="TtulodeTDC"/>
            <w:rPr>
              <w:rFonts w:ascii="Times New Roman" w:hAnsi="Times New Roman" w:cs="Times New Roman"/>
              <w:color w:val="auto"/>
              <w:sz w:val="24"/>
              <w:szCs w:val="24"/>
            </w:rPr>
          </w:pPr>
        </w:p>
        <w:p w:rsidR="000D7D0A" w:rsidRDefault="00361692">
          <w:pPr>
            <w:pStyle w:val="TDC1"/>
            <w:tabs>
              <w:tab w:val="right" w:leader="dot" w:pos="8494"/>
            </w:tabs>
            <w:rPr>
              <w:rFonts w:eastAsiaTheme="minorEastAsia"/>
              <w:noProof/>
              <w:lang w:eastAsia="es-ES"/>
            </w:rPr>
          </w:pPr>
          <w:r w:rsidRPr="000D7D0A">
            <w:rPr>
              <w:rFonts w:ascii="Times New Roman" w:hAnsi="Times New Roman" w:cs="Times New Roman"/>
              <w:sz w:val="24"/>
              <w:szCs w:val="24"/>
            </w:rPr>
            <w:fldChar w:fldCharType="begin"/>
          </w:r>
          <w:r w:rsidR="00894AB5" w:rsidRPr="000D7D0A">
            <w:rPr>
              <w:rFonts w:ascii="Times New Roman" w:hAnsi="Times New Roman" w:cs="Times New Roman"/>
              <w:sz w:val="24"/>
              <w:szCs w:val="24"/>
            </w:rPr>
            <w:instrText xml:space="preserve"> TOC \o "1-3" \h \z \u </w:instrText>
          </w:r>
          <w:r w:rsidRPr="000D7D0A">
            <w:rPr>
              <w:rFonts w:ascii="Times New Roman" w:hAnsi="Times New Roman" w:cs="Times New Roman"/>
              <w:sz w:val="24"/>
              <w:szCs w:val="24"/>
            </w:rPr>
            <w:fldChar w:fldCharType="separate"/>
          </w:r>
          <w:hyperlink w:anchor="_Toc492389017" w:history="1">
            <w:r w:rsidR="000D7D0A" w:rsidRPr="007C599A">
              <w:rPr>
                <w:rStyle w:val="Hipervnculo"/>
                <w:rFonts w:ascii="Times New Roman" w:hAnsi="Times New Roman" w:cs="Times New Roman"/>
                <w:noProof/>
              </w:rPr>
              <w:t>Las vías verdes como política multinivel. Los casos de Ojos Negros y Girona</w:t>
            </w:r>
            <w:r w:rsidR="000D7D0A">
              <w:rPr>
                <w:noProof/>
                <w:webHidden/>
              </w:rPr>
              <w:tab/>
            </w:r>
            <w:r w:rsidR="000D7D0A">
              <w:rPr>
                <w:noProof/>
                <w:webHidden/>
              </w:rPr>
              <w:fldChar w:fldCharType="begin"/>
            </w:r>
            <w:r w:rsidR="000D7D0A">
              <w:rPr>
                <w:noProof/>
                <w:webHidden/>
              </w:rPr>
              <w:instrText xml:space="preserve"> PAGEREF _Toc492389017 \h </w:instrText>
            </w:r>
            <w:r w:rsidR="000D7D0A">
              <w:rPr>
                <w:noProof/>
                <w:webHidden/>
              </w:rPr>
            </w:r>
            <w:r w:rsidR="000D7D0A">
              <w:rPr>
                <w:noProof/>
                <w:webHidden/>
              </w:rPr>
              <w:fldChar w:fldCharType="separate"/>
            </w:r>
            <w:r w:rsidR="000D7D0A">
              <w:rPr>
                <w:noProof/>
                <w:webHidden/>
              </w:rPr>
              <w:t>1</w:t>
            </w:r>
            <w:r w:rsidR="000D7D0A">
              <w:rPr>
                <w:noProof/>
                <w:webHidden/>
              </w:rPr>
              <w:fldChar w:fldCharType="end"/>
            </w:r>
          </w:hyperlink>
        </w:p>
        <w:p w:rsidR="000D7D0A" w:rsidRDefault="000D7D0A">
          <w:pPr>
            <w:pStyle w:val="TDC2"/>
            <w:tabs>
              <w:tab w:val="right" w:leader="dot" w:pos="8494"/>
            </w:tabs>
            <w:rPr>
              <w:rFonts w:eastAsiaTheme="minorEastAsia"/>
              <w:noProof/>
              <w:lang w:eastAsia="es-ES"/>
            </w:rPr>
          </w:pPr>
          <w:hyperlink w:anchor="_Toc492389018" w:history="1">
            <w:r w:rsidRPr="007C599A">
              <w:rPr>
                <w:rStyle w:val="Hipervnculo"/>
                <w:noProof/>
              </w:rPr>
              <w:t>Introducción</w:t>
            </w:r>
            <w:r>
              <w:rPr>
                <w:noProof/>
                <w:webHidden/>
              </w:rPr>
              <w:tab/>
            </w:r>
            <w:r>
              <w:rPr>
                <w:noProof/>
                <w:webHidden/>
              </w:rPr>
              <w:fldChar w:fldCharType="begin"/>
            </w:r>
            <w:r>
              <w:rPr>
                <w:noProof/>
                <w:webHidden/>
              </w:rPr>
              <w:instrText xml:space="preserve"> PAGEREF _Toc492389018 \h </w:instrText>
            </w:r>
            <w:r>
              <w:rPr>
                <w:noProof/>
                <w:webHidden/>
              </w:rPr>
            </w:r>
            <w:r>
              <w:rPr>
                <w:noProof/>
                <w:webHidden/>
              </w:rPr>
              <w:fldChar w:fldCharType="separate"/>
            </w:r>
            <w:r>
              <w:rPr>
                <w:noProof/>
                <w:webHidden/>
              </w:rPr>
              <w:t>2</w:t>
            </w:r>
            <w:r>
              <w:rPr>
                <w:noProof/>
                <w:webHidden/>
              </w:rPr>
              <w:fldChar w:fldCharType="end"/>
            </w:r>
          </w:hyperlink>
        </w:p>
        <w:p w:rsidR="000D7D0A" w:rsidRDefault="000D7D0A">
          <w:pPr>
            <w:pStyle w:val="TDC2"/>
            <w:tabs>
              <w:tab w:val="right" w:leader="dot" w:pos="8494"/>
            </w:tabs>
            <w:rPr>
              <w:rFonts w:eastAsiaTheme="minorEastAsia"/>
              <w:noProof/>
              <w:lang w:eastAsia="es-ES"/>
            </w:rPr>
          </w:pPr>
          <w:hyperlink w:anchor="_Toc492389019" w:history="1">
            <w:r w:rsidRPr="007C599A">
              <w:rPr>
                <w:rStyle w:val="Hipervnculo"/>
                <w:noProof/>
              </w:rPr>
              <w:t>Marco teórico</w:t>
            </w:r>
            <w:r>
              <w:rPr>
                <w:noProof/>
                <w:webHidden/>
              </w:rPr>
              <w:tab/>
            </w:r>
            <w:r>
              <w:rPr>
                <w:noProof/>
                <w:webHidden/>
              </w:rPr>
              <w:fldChar w:fldCharType="begin"/>
            </w:r>
            <w:r>
              <w:rPr>
                <w:noProof/>
                <w:webHidden/>
              </w:rPr>
              <w:instrText xml:space="preserve"> PAGEREF _Toc492389019 \h </w:instrText>
            </w:r>
            <w:r>
              <w:rPr>
                <w:noProof/>
                <w:webHidden/>
              </w:rPr>
            </w:r>
            <w:r>
              <w:rPr>
                <w:noProof/>
                <w:webHidden/>
              </w:rPr>
              <w:fldChar w:fldCharType="separate"/>
            </w:r>
            <w:r>
              <w:rPr>
                <w:noProof/>
                <w:webHidden/>
              </w:rPr>
              <w:t>2</w:t>
            </w:r>
            <w:r>
              <w:rPr>
                <w:noProof/>
                <w:webHidden/>
              </w:rPr>
              <w:fldChar w:fldCharType="end"/>
            </w:r>
          </w:hyperlink>
        </w:p>
        <w:p w:rsidR="000D7D0A" w:rsidRDefault="000D7D0A">
          <w:pPr>
            <w:pStyle w:val="TDC3"/>
            <w:tabs>
              <w:tab w:val="right" w:leader="dot" w:pos="8494"/>
            </w:tabs>
            <w:rPr>
              <w:rFonts w:eastAsiaTheme="minorEastAsia"/>
              <w:noProof/>
              <w:lang w:eastAsia="es-ES"/>
            </w:rPr>
          </w:pPr>
          <w:hyperlink w:anchor="_Toc492389020" w:history="1">
            <w:r w:rsidRPr="007C599A">
              <w:rPr>
                <w:rStyle w:val="Hipervnculo"/>
                <w:noProof/>
              </w:rPr>
              <w:t>Introducción: la gobernanza y las políticas públicas</w:t>
            </w:r>
            <w:r>
              <w:rPr>
                <w:noProof/>
                <w:webHidden/>
              </w:rPr>
              <w:tab/>
            </w:r>
            <w:r>
              <w:rPr>
                <w:noProof/>
                <w:webHidden/>
              </w:rPr>
              <w:fldChar w:fldCharType="begin"/>
            </w:r>
            <w:r>
              <w:rPr>
                <w:noProof/>
                <w:webHidden/>
              </w:rPr>
              <w:instrText xml:space="preserve"> PAGEREF _Toc492389020 \h </w:instrText>
            </w:r>
            <w:r>
              <w:rPr>
                <w:noProof/>
                <w:webHidden/>
              </w:rPr>
            </w:r>
            <w:r>
              <w:rPr>
                <w:noProof/>
                <w:webHidden/>
              </w:rPr>
              <w:fldChar w:fldCharType="separate"/>
            </w:r>
            <w:r>
              <w:rPr>
                <w:noProof/>
                <w:webHidden/>
              </w:rPr>
              <w:t>2</w:t>
            </w:r>
            <w:r>
              <w:rPr>
                <w:noProof/>
                <w:webHidden/>
              </w:rPr>
              <w:fldChar w:fldCharType="end"/>
            </w:r>
          </w:hyperlink>
        </w:p>
        <w:p w:rsidR="000D7D0A" w:rsidRDefault="000D7D0A">
          <w:pPr>
            <w:pStyle w:val="TDC3"/>
            <w:tabs>
              <w:tab w:val="right" w:leader="dot" w:pos="8494"/>
            </w:tabs>
            <w:rPr>
              <w:rFonts w:eastAsiaTheme="minorEastAsia"/>
              <w:noProof/>
              <w:lang w:eastAsia="es-ES"/>
            </w:rPr>
          </w:pPr>
          <w:hyperlink w:anchor="_Toc492389021" w:history="1">
            <w:r w:rsidRPr="007C599A">
              <w:rPr>
                <w:rStyle w:val="Hipervnculo"/>
                <w:noProof/>
              </w:rPr>
              <w:t>Vías verdes</w:t>
            </w:r>
            <w:r>
              <w:rPr>
                <w:noProof/>
                <w:webHidden/>
              </w:rPr>
              <w:tab/>
            </w:r>
            <w:r>
              <w:rPr>
                <w:noProof/>
                <w:webHidden/>
              </w:rPr>
              <w:fldChar w:fldCharType="begin"/>
            </w:r>
            <w:r>
              <w:rPr>
                <w:noProof/>
                <w:webHidden/>
              </w:rPr>
              <w:instrText xml:space="preserve"> PAGEREF _Toc492389021 \h </w:instrText>
            </w:r>
            <w:r>
              <w:rPr>
                <w:noProof/>
                <w:webHidden/>
              </w:rPr>
            </w:r>
            <w:r>
              <w:rPr>
                <w:noProof/>
                <w:webHidden/>
              </w:rPr>
              <w:fldChar w:fldCharType="separate"/>
            </w:r>
            <w:r>
              <w:rPr>
                <w:noProof/>
                <w:webHidden/>
              </w:rPr>
              <w:t>4</w:t>
            </w:r>
            <w:r>
              <w:rPr>
                <w:noProof/>
                <w:webHidden/>
              </w:rPr>
              <w:fldChar w:fldCharType="end"/>
            </w:r>
          </w:hyperlink>
        </w:p>
        <w:p w:rsidR="000D7D0A" w:rsidRDefault="000D7D0A">
          <w:pPr>
            <w:pStyle w:val="TDC3"/>
            <w:tabs>
              <w:tab w:val="right" w:leader="dot" w:pos="8494"/>
            </w:tabs>
            <w:rPr>
              <w:rFonts w:eastAsiaTheme="minorEastAsia"/>
              <w:noProof/>
              <w:lang w:eastAsia="es-ES"/>
            </w:rPr>
          </w:pPr>
          <w:hyperlink w:anchor="_Toc492389022" w:history="1">
            <w:r w:rsidRPr="007C599A">
              <w:rPr>
                <w:rStyle w:val="Hipervnculo"/>
                <w:noProof/>
              </w:rPr>
              <w:t>Transversalidad</w:t>
            </w:r>
            <w:r>
              <w:rPr>
                <w:noProof/>
                <w:webHidden/>
              </w:rPr>
              <w:tab/>
            </w:r>
            <w:r>
              <w:rPr>
                <w:noProof/>
                <w:webHidden/>
              </w:rPr>
              <w:fldChar w:fldCharType="begin"/>
            </w:r>
            <w:r>
              <w:rPr>
                <w:noProof/>
                <w:webHidden/>
              </w:rPr>
              <w:instrText xml:space="preserve"> PAGEREF _Toc492389022 \h </w:instrText>
            </w:r>
            <w:r>
              <w:rPr>
                <w:noProof/>
                <w:webHidden/>
              </w:rPr>
            </w:r>
            <w:r>
              <w:rPr>
                <w:noProof/>
                <w:webHidden/>
              </w:rPr>
              <w:fldChar w:fldCharType="separate"/>
            </w:r>
            <w:r>
              <w:rPr>
                <w:noProof/>
                <w:webHidden/>
              </w:rPr>
              <w:t>7</w:t>
            </w:r>
            <w:r>
              <w:rPr>
                <w:noProof/>
                <w:webHidden/>
              </w:rPr>
              <w:fldChar w:fldCharType="end"/>
            </w:r>
          </w:hyperlink>
        </w:p>
        <w:p w:rsidR="000D7D0A" w:rsidRDefault="000D7D0A">
          <w:pPr>
            <w:pStyle w:val="TDC2"/>
            <w:tabs>
              <w:tab w:val="right" w:leader="dot" w:pos="8494"/>
            </w:tabs>
            <w:rPr>
              <w:rFonts w:eastAsiaTheme="minorEastAsia"/>
              <w:noProof/>
              <w:lang w:eastAsia="es-ES"/>
            </w:rPr>
          </w:pPr>
          <w:hyperlink w:anchor="_Toc492389023" w:history="1">
            <w:r w:rsidRPr="007C599A">
              <w:rPr>
                <w:rStyle w:val="Hipervnculo"/>
                <w:noProof/>
              </w:rPr>
              <w:t>Casos</w:t>
            </w:r>
            <w:r>
              <w:rPr>
                <w:noProof/>
                <w:webHidden/>
              </w:rPr>
              <w:tab/>
            </w:r>
            <w:r>
              <w:rPr>
                <w:noProof/>
                <w:webHidden/>
              </w:rPr>
              <w:fldChar w:fldCharType="begin"/>
            </w:r>
            <w:r>
              <w:rPr>
                <w:noProof/>
                <w:webHidden/>
              </w:rPr>
              <w:instrText xml:space="preserve"> PAGEREF _Toc492389023 \h </w:instrText>
            </w:r>
            <w:r>
              <w:rPr>
                <w:noProof/>
                <w:webHidden/>
              </w:rPr>
            </w:r>
            <w:r>
              <w:rPr>
                <w:noProof/>
                <w:webHidden/>
              </w:rPr>
              <w:fldChar w:fldCharType="separate"/>
            </w:r>
            <w:r>
              <w:rPr>
                <w:noProof/>
                <w:webHidden/>
              </w:rPr>
              <w:t>8</w:t>
            </w:r>
            <w:r>
              <w:rPr>
                <w:noProof/>
                <w:webHidden/>
              </w:rPr>
              <w:fldChar w:fldCharType="end"/>
            </w:r>
          </w:hyperlink>
        </w:p>
        <w:p w:rsidR="000D7D0A" w:rsidRDefault="000D7D0A">
          <w:pPr>
            <w:pStyle w:val="TDC3"/>
            <w:tabs>
              <w:tab w:val="right" w:leader="dot" w:pos="8494"/>
            </w:tabs>
            <w:rPr>
              <w:rFonts w:eastAsiaTheme="minorEastAsia"/>
              <w:noProof/>
              <w:lang w:eastAsia="es-ES"/>
            </w:rPr>
          </w:pPr>
          <w:hyperlink w:anchor="_Toc492389024" w:history="1">
            <w:r w:rsidRPr="007C599A">
              <w:rPr>
                <w:rStyle w:val="Hipervnculo"/>
                <w:noProof/>
              </w:rPr>
              <w:t>Vías verdes de Girona</w:t>
            </w:r>
            <w:r>
              <w:rPr>
                <w:noProof/>
                <w:webHidden/>
              </w:rPr>
              <w:tab/>
            </w:r>
            <w:r>
              <w:rPr>
                <w:noProof/>
                <w:webHidden/>
              </w:rPr>
              <w:fldChar w:fldCharType="begin"/>
            </w:r>
            <w:r>
              <w:rPr>
                <w:noProof/>
                <w:webHidden/>
              </w:rPr>
              <w:instrText xml:space="preserve"> PAGEREF _Toc492389024 \h </w:instrText>
            </w:r>
            <w:r>
              <w:rPr>
                <w:noProof/>
                <w:webHidden/>
              </w:rPr>
            </w:r>
            <w:r>
              <w:rPr>
                <w:noProof/>
                <w:webHidden/>
              </w:rPr>
              <w:fldChar w:fldCharType="separate"/>
            </w:r>
            <w:r>
              <w:rPr>
                <w:noProof/>
                <w:webHidden/>
              </w:rPr>
              <w:t>8</w:t>
            </w:r>
            <w:r>
              <w:rPr>
                <w:noProof/>
                <w:webHidden/>
              </w:rPr>
              <w:fldChar w:fldCharType="end"/>
            </w:r>
          </w:hyperlink>
        </w:p>
        <w:p w:rsidR="000D7D0A" w:rsidRDefault="000D7D0A">
          <w:pPr>
            <w:pStyle w:val="TDC3"/>
            <w:tabs>
              <w:tab w:val="right" w:leader="dot" w:pos="8494"/>
            </w:tabs>
            <w:rPr>
              <w:rFonts w:eastAsiaTheme="minorEastAsia"/>
              <w:noProof/>
              <w:lang w:eastAsia="es-ES"/>
            </w:rPr>
          </w:pPr>
          <w:hyperlink w:anchor="_Toc492389025" w:history="1">
            <w:r w:rsidRPr="007C599A">
              <w:rPr>
                <w:rStyle w:val="Hipervnculo"/>
                <w:noProof/>
              </w:rPr>
              <w:t>Ojos Negros</w:t>
            </w:r>
            <w:r>
              <w:rPr>
                <w:noProof/>
                <w:webHidden/>
              </w:rPr>
              <w:tab/>
            </w:r>
            <w:r>
              <w:rPr>
                <w:noProof/>
                <w:webHidden/>
              </w:rPr>
              <w:fldChar w:fldCharType="begin"/>
            </w:r>
            <w:r>
              <w:rPr>
                <w:noProof/>
                <w:webHidden/>
              </w:rPr>
              <w:instrText xml:space="preserve"> PAGEREF _Toc492389025 \h </w:instrText>
            </w:r>
            <w:r>
              <w:rPr>
                <w:noProof/>
                <w:webHidden/>
              </w:rPr>
            </w:r>
            <w:r>
              <w:rPr>
                <w:noProof/>
                <w:webHidden/>
              </w:rPr>
              <w:fldChar w:fldCharType="separate"/>
            </w:r>
            <w:r>
              <w:rPr>
                <w:noProof/>
                <w:webHidden/>
              </w:rPr>
              <w:t>12</w:t>
            </w:r>
            <w:r>
              <w:rPr>
                <w:noProof/>
                <w:webHidden/>
              </w:rPr>
              <w:fldChar w:fldCharType="end"/>
            </w:r>
          </w:hyperlink>
        </w:p>
        <w:p w:rsidR="000D7D0A" w:rsidRDefault="000D7D0A">
          <w:pPr>
            <w:pStyle w:val="TDC2"/>
            <w:tabs>
              <w:tab w:val="right" w:leader="dot" w:pos="8494"/>
            </w:tabs>
            <w:rPr>
              <w:rFonts w:eastAsiaTheme="minorEastAsia"/>
              <w:noProof/>
              <w:lang w:eastAsia="es-ES"/>
            </w:rPr>
          </w:pPr>
          <w:hyperlink w:anchor="_Toc492389026" w:history="1">
            <w:r w:rsidRPr="007C599A">
              <w:rPr>
                <w:rStyle w:val="Hipervnculo"/>
                <w:noProof/>
              </w:rPr>
              <w:t>Comparación del estilo de políticas</w:t>
            </w:r>
            <w:r>
              <w:rPr>
                <w:noProof/>
                <w:webHidden/>
              </w:rPr>
              <w:tab/>
            </w:r>
            <w:r>
              <w:rPr>
                <w:noProof/>
                <w:webHidden/>
              </w:rPr>
              <w:fldChar w:fldCharType="begin"/>
            </w:r>
            <w:r>
              <w:rPr>
                <w:noProof/>
                <w:webHidden/>
              </w:rPr>
              <w:instrText xml:space="preserve"> PAGEREF _Toc492389026 \h </w:instrText>
            </w:r>
            <w:r>
              <w:rPr>
                <w:noProof/>
                <w:webHidden/>
              </w:rPr>
            </w:r>
            <w:r>
              <w:rPr>
                <w:noProof/>
                <w:webHidden/>
              </w:rPr>
              <w:fldChar w:fldCharType="separate"/>
            </w:r>
            <w:r>
              <w:rPr>
                <w:noProof/>
                <w:webHidden/>
              </w:rPr>
              <w:t>14</w:t>
            </w:r>
            <w:r>
              <w:rPr>
                <w:noProof/>
                <w:webHidden/>
              </w:rPr>
              <w:fldChar w:fldCharType="end"/>
            </w:r>
          </w:hyperlink>
        </w:p>
        <w:p w:rsidR="000D7D0A" w:rsidRDefault="000D7D0A">
          <w:pPr>
            <w:pStyle w:val="TDC2"/>
            <w:tabs>
              <w:tab w:val="right" w:leader="dot" w:pos="8494"/>
            </w:tabs>
            <w:rPr>
              <w:rFonts w:eastAsiaTheme="minorEastAsia"/>
              <w:noProof/>
              <w:lang w:eastAsia="es-ES"/>
            </w:rPr>
          </w:pPr>
          <w:hyperlink w:anchor="_Toc492389027" w:history="1">
            <w:r w:rsidRPr="007C599A">
              <w:rPr>
                <w:rStyle w:val="Hipervnculo"/>
                <w:noProof/>
              </w:rPr>
              <w:t>Bibliografía</w:t>
            </w:r>
            <w:r>
              <w:rPr>
                <w:noProof/>
                <w:webHidden/>
              </w:rPr>
              <w:tab/>
            </w:r>
            <w:r>
              <w:rPr>
                <w:noProof/>
                <w:webHidden/>
              </w:rPr>
              <w:fldChar w:fldCharType="begin"/>
            </w:r>
            <w:r>
              <w:rPr>
                <w:noProof/>
                <w:webHidden/>
              </w:rPr>
              <w:instrText xml:space="preserve"> PAGEREF _Toc492389027 \h </w:instrText>
            </w:r>
            <w:r>
              <w:rPr>
                <w:noProof/>
                <w:webHidden/>
              </w:rPr>
            </w:r>
            <w:r>
              <w:rPr>
                <w:noProof/>
                <w:webHidden/>
              </w:rPr>
              <w:fldChar w:fldCharType="separate"/>
            </w:r>
            <w:r>
              <w:rPr>
                <w:noProof/>
                <w:webHidden/>
              </w:rPr>
              <w:t>17</w:t>
            </w:r>
            <w:r>
              <w:rPr>
                <w:noProof/>
                <w:webHidden/>
              </w:rPr>
              <w:fldChar w:fldCharType="end"/>
            </w:r>
          </w:hyperlink>
        </w:p>
        <w:p w:rsidR="00894AB5" w:rsidRPr="000D7D0A" w:rsidRDefault="00361692">
          <w:pPr>
            <w:rPr>
              <w:rFonts w:ascii="Times New Roman" w:hAnsi="Times New Roman" w:cs="Times New Roman"/>
              <w:sz w:val="24"/>
              <w:szCs w:val="24"/>
            </w:rPr>
          </w:pPr>
          <w:r w:rsidRPr="000D7D0A">
            <w:rPr>
              <w:rFonts w:ascii="Times New Roman" w:hAnsi="Times New Roman" w:cs="Times New Roman"/>
              <w:sz w:val="24"/>
              <w:szCs w:val="24"/>
            </w:rPr>
            <w:fldChar w:fldCharType="end"/>
          </w:r>
        </w:p>
      </w:sdtContent>
    </w:sdt>
    <w:p w:rsidR="00844BFC" w:rsidRPr="000D7D0A" w:rsidRDefault="00844BFC" w:rsidP="00B41934">
      <w:pPr>
        <w:pStyle w:val="Ttulo2"/>
        <w:spacing w:line="276" w:lineRule="auto"/>
        <w:jc w:val="both"/>
        <w:rPr>
          <w:sz w:val="24"/>
          <w:szCs w:val="24"/>
        </w:rPr>
      </w:pPr>
    </w:p>
    <w:p w:rsidR="009D6A7A" w:rsidRPr="000D7D0A" w:rsidRDefault="00CA02B1" w:rsidP="00B41934">
      <w:pPr>
        <w:pStyle w:val="Ttulo2"/>
        <w:spacing w:line="276" w:lineRule="auto"/>
        <w:jc w:val="both"/>
        <w:rPr>
          <w:sz w:val="24"/>
          <w:szCs w:val="24"/>
        </w:rPr>
      </w:pPr>
      <w:bookmarkStart w:id="3" w:name="_Toc492389018"/>
      <w:r w:rsidRPr="000D7D0A">
        <w:rPr>
          <w:sz w:val="24"/>
          <w:szCs w:val="24"/>
        </w:rPr>
        <w:t>Introducción</w:t>
      </w:r>
      <w:bookmarkEnd w:id="0"/>
      <w:bookmarkEnd w:id="3"/>
    </w:p>
    <w:p w:rsidR="003A3785" w:rsidRPr="000D7D0A" w:rsidRDefault="003A3785" w:rsidP="003A3785">
      <w:pPr>
        <w:rPr>
          <w:rFonts w:ascii="Times New Roman" w:hAnsi="Times New Roman" w:cs="Times New Roman"/>
          <w:sz w:val="24"/>
          <w:szCs w:val="24"/>
        </w:rPr>
      </w:pPr>
      <w:r w:rsidRPr="000D7D0A">
        <w:rPr>
          <w:rFonts w:ascii="Times New Roman" w:hAnsi="Times New Roman" w:cs="Times New Roman"/>
          <w:sz w:val="24"/>
          <w:szCs w:val="24"/>
        </w:rPr>
        <w:t>En la actualidad hay numerosas políticas públicas que requieren de un estilo de gestión colaborativo entre diferentes actores, alejado de la lógica burocrática clásica con competencias y jerarquías claramente definidas. Las vías verdes son un ejemplo de ello.</w:t>
      </w:r>
    </w:p>
    <w:p w:rsidR="003A3785" w:rsidRPr="000D7D0A" w:rsidRDefault="003A3785" w:rsidP="003A3785">
      <w:pPr>
        <w:rPr>
          <w:rFonts w:ascii="Times New Roman" w:hAnsi="Times New Roman" w:cs="Times New Roman"/>
          <w:sz w:val="24"/>
          <w:szCs w:val="24"/>
        </w:rPr>
      </w:pPr>
      <w:r w:rsidRPr="000D7D0A">
        <w:rPr>
          <w:rFonts w:ascii="Times New Roman" w:hAnsi="Times New Roman" w:cs="Times New Roman"/>
          <w:sz w:val="24"/>
          <w:szCs w:val="24"/>
        </w:rPr>
        <w:t>Las vías verdes son caminos para un uso no motorizado, creados y gestionados por el sector público persiguiendo distintos objetivos</w:t>
      </w:r>
      <w:r w:rsidR="00FD4527" w:rsidRPr="000D7D0A">
        <w:rPr>
          <w:rFonts w:ascii="Times New Roman" w:hAnsi="Times New Roman" w:cs="Times New Roman"/>
          <w:sz w:val="24"/>
          <w:szCs w:val="24"/>
        </w:rPr>
        <w:t xml:space="preserve"> de desarrollo sostenible, medio amiente, turismo o salud</w:t>
      </w:r>
      <w:r w:rsidR="00A87670" w:rsidRPr="000D7D0A">
        <w:rPr>
          <w:rFonts w:ascii="Times New Roman" w:hAnsi="Times New Roman" w:cs="Times New Roman"/>
          <w:sz w:val="24"/>
          <w:szCs w:val="24"/>
        </w:rPr>
        <w:t>.</w:t>
      </w:r>
      <w:r w:rsidRPr="000D7D0A">
        <w:rPr>
          <w:rFonts w:ascii="Times New Roman" w:hAnsi="Times New Roman" w:cs="Times New Roman"/>
          <w:sz w:val="24"/>
          <w:szCs w:val="24"/>
        </w:rPr>
        <w:t xml:space="preserve"> </w:t>
      </w:r>
      <w:r w:rsidR="00265BEF" w:rsidRPr="000D7D0A">
        <w:rPr>
          <w:rFonts w:ascii="Times New Roman" w:hAnsi="Times New Roman" w:cs="Times New Roman"/>
          <w:sz w:val="24"/>
          <w:szCs w:val="24"/>
        </w:rPr>
        <w:t xml:space="preserve">En la presente ponencia </w:t>
      </w:r>
      <w:r w:rsidR="00FD4527" w:rsidRPr="000D7D0A">
        <w:rPr>
          <w:rFonts w:ascii="Times New Roman" w:hAnsi="Times New Roman" w:cs="Times New Roman"/>
          <w:sz w:val="24"/>
          <w:szCs w:val="24"/>
        </w:rPr>
        <w:t xml:space="preserve">en primer lugar </w:t>
      </w:r>
      <w:r w:rsidR="00265BEF" w:rsidRPr="000D7D0A">
        <w:rPr>
          <w:rFonts w:ascii="Times New Roman" w:hAnsi="Times New Roman" w:cs="Times New Roman"/>
          <w:sz w:val="24"/>
          <w:szCs w:val="24"/>
        </w:rPr>
        <w:t xml:space="preserve">se mostrará un marco teórico  para analizar un sector de las políticas públicas peculiar y sin demasiada literatura académica que lo aborde. Después se describirán dos casos de vías verdes muy diferentes, que permitirán advertir de las diferencias en la creación y posterior gestión de la vía. </w:t>
      </w:r>
      <w:r w:rsidR="00FD4527" w:rsidRPr="000D7D0A">
        <w:rPr>
          <w:rFonts w:ascii="Times New Roman" w:hAnsi="Times New Roman" w:cs="Times New Roman"/>
          <w:sz w:val="24"/>
          <w:szCs w:val="24"/>
        </w:rPr>
        <w:t xml:space="preserve">Y finalmente se compararan los estilos de políticas públicas en ambos casos. </w:t>
      </w:r>
      <w:r w:rsidR="00265BEF" w:rsidRPr="000D7D0A">
        <w:rPr>
          <w:rFonts w:ascii="Times New Roman" w:hAnsi="Times New Roman" w:cs="Times New Roman"/>
          <w:sz w:val="24"/>
          <w:szCs w:val="24"/>
        </w:rPr>
        <w:t xml:space="preserve"> </w:t>
      </w:r>
    </w:p>
    <w:p w:rsidR="00B41934" w:rsidRPr="000D7D0A" w:rsidRDefault="003A3785" w:rsidP="00B41934">
      <w:pPr>
        <w:pStyle w:val="Ttulo2"/>
        <w:spacing w:line="276" w:lineRule="auto"/>
        <w:jc w:val="both"/>
        <w:rPr>
          <w:sz w:val="24"/>
          <w:szCs w:val="24"/>
        </w:rPr>
      </w:pPr>
      <w:bookmarkStart w:id="4" w:name="_Toc487465096"/>
      <w:bookmarkStart w:id="5" w:name="_Toc492389019"/>
      <w:r w:rsidRPr="000D7D0A">
        <w:rPr>
          <w:sz w:val="24"/>
          <w:szCs w:val="24"/>
        </w:rPr>
        <w:t xml:space="preserve">Marco </w:t>
      </w:r>
      <w:r w:rsidR="00B41934" w:rsidRPr="000D7D0A">
        <w:rPr>
          <w:sz w:val="24"/>
          <w:szCs w:val="24"/>
        </w:rPr>
        <w:t>teórico</w:t>
      </w:r>
      <w:bookmarkEnd w:id="1"/>
      <w:bookmarkEnd w:id="4"/>
      <w:bookmarkEnd w:id="5"/>
    </w:p>
    <w:p w:rsidR="00B41934" w:rsidRPr="000D7D0A" w:rsidRDefault="00B41934" w:rsidP="00B41934">
      <w:pPr>
        <w:pStyle w:val="Ttulo3"/>
        <w:spacing w:line="276" w:lineRule="auto"/>
        <w:jc w:val="both"/>
        <w:rPr>
          <w:sz w:val="24"/>
          <w:szCs w:val="24"/>
        </w:rPr>
      </w:pPr>
      <w:bookmarkStart w:id="6" w:name="_Toc486704494"/>
      <w:bookmarkStart w:id="7" w:name="_Toc487465097"/>
      <w:bookmarkStart w:id="8" w:name="_Toc492389020"/>
      <w:r w:rsidRPr="000D7D0A">
        <w:rPr>
          <w:sz w:val="24"/>
          <w:szCs w:val="24"/>
        </w:rPr>
        <w:t>Introducción: la gobernanza y las políticas públicas</w:t>
      </w:r>
      <w:bookmarkEnd w:id="6"/>
      <w:bookmarkEnd w:id="7"/>
      <w:bookmarkEnd w:id="8"/>
    </w:p>
    <w:p w:rsidR="00B41934" w:rsidRPr="000D7D0A" w:rsidRDefault="00B41934" w:rsidP="00B41934">
      <w:pPr>
        <w:pStyle w:val="NormalWeb"/>
        <w:spacing w:before="0" w:beforeAutospacing="0" w:after="0" w:afterAutospacing="0" w:line="276" w:lineRule="auto"/>
        <w:jc w:val="both"/>
      </w:pPr>
      <w:r w:rsidRPr="000D7D0A">
        <w:t xml:space="preserve">Hoy aparecen muchos problemas para los cuales no hay una receta clara, conocida y con éxito asegurado que pueda ofrecer la administración. El ejemplo más paradigmático son los </w:t>
      </w:r>
      <w:proofErr w:type="spellStart"/>
      <w:r w:rsidRPr="000D7D0A">
        <w:rPr>
          <w:i/>
        </w:rPr>
        <w:t>wicked</w:t>
      </w:r>
      <w:proofErr w:type="spellEnd"/>
      <w:r w:rsidRPr="000D7D0A">
        <w:rPr>
          <w:i/>
        </w:rPr>
        <w:t xml:space="preserve"> </w:t>
      </w:r>
      <w:proofErr w:type="spellStart"/>
      <w:r w:rsidRPr="000D7D0A">
        <w:rPr>
          <w:i/>
        </w:rPr>
        <w:t>problems</w:t>
      </w:r>
      <w:proofErr w:type="spellEnd"/>
      <w:r w:rsidRPr="000D7D0A">
        <w:t xml:space="preserve">, o problemas malditos </w:t>
      </w:r>
      <w:r w:rsidR="00361692" w:rsidRPr="000D7D0A">
        <w:fldChar w:fldCharType="begin" w:fldLock="1"/>
      </w:r>
      <w:r w:rsidR="004F1B4E" w:rsidRPr="000D7D0A">
        <w:instrText>ADDIN CSL_CITATION { "citationItems" : [ { "id" : "ITEM-1", "itemData" : { "author" : [ { "dropping-particle" : "", "family" : "Brugu\u00e9", "given" : "Quim", "non-dropping-particle" : "", "parse-names" : false, "suffix" : "" }, { "dropping-particle" : "", "family" : "Canal", "given" : "Ram\u00f3n", "non-dropping-particle" : "", "parse-names" : false, "suffix" : "" }, { "dropping-particle" : "", "family" : "Paya", "given" : "Palmira", "non-dropping-particle" : "", "parse-names" : false, "suffix" : "" } ], "container-title" : "Gesti\u00f3n y pol\u00edtica p\u00fablica", "id" : "ITEM-1", "issue" : "1", "issued" : { "date-parts" : [ [ "2015" ] ] }, "page" : "85-130", "publisher" : "Centro de Investigaci\u00f3n y Docencia Econ\u00f3micas, Divisi\u00f3n de Administraci\u00f3n P\u00fablica", "title" : "\u00bfInteligencia administrativa para abordar \"problemas malditos\"? El caso de las comisiones interdepartamentales", "type" : "article-journal", "volume" : "24" }, "uris" : [ "http://www.mendeley.com/documents/?uuid=360aeb6e-97e9-32cd-83f3-22a447ca547a" ] } ], "mendeley" : { "formattedCitation" : "(Brugu\u00e9 et al. 2015)", "plainTextFormattedCitation" : "(Brugu\u00e9 et al. 2015)", "previouslyFormattedCitation" : "(Brugu\u00e9 et al. 2015)" }, "properties" : { "noteIndex" : 0 }, "schema" : "https://github.com/citation-style-language/schema/raw/master/csl-citation.json" }</w:instrText>
      </w:r>
      <w:r w:rsidR="00361692" w:rsidRPr="000D7D0A">
        <w:fldChar w:fldCharType="separate"/>
      </w:r>
      <w:r w:rsidR="004F1B4E" w:rsidRPr="000D7D0A">
        <w:rPr>
          <w:noProof/>
        </w:rPr>
        <w:t>(Brugué et al. 2015)</w:t>
      </w:r>
      <w:r w:rsidR="00361692" w:rsidRPr="000D7D0A">
        <w:fldChar w:fldCharType="end"/>
      </w:r>
      <w:r w:rsidRPr="000D7D0A">
        <w:t xml:space="preserve">. Éste tipo de problemas son difíciles o imposibles de “solucionar” porque son contradictorios, cambiantes y no se ajustan a las respuestas </w:t>
      </w:r>
      <w:r w:rsidR="00FD4527" w:rsidRPr="000D7D0A">
        <w:t xml:space="preserve">que la </w:t>
      </w:r>
      <w:r w:rsidRPr="000D7D0A">
        <w:t>administración</w:t>
      </w:r>
      <w:r w:rsidR="00FD4527" w:rsidRPr="000D7D0A">
        <w:t xml:space="preserve"> pública tiene “prefabricadas”</w:t>
      </w:r>
      <w:r w:rsidRPr="000D7D0A">
        <w:t xml:space="preserve">. Otros autores </w:t>
      </w:r>
      <w:r w:rsidR="00361692" w:rsidRPr="000D7D0A">
        <w:fldChar w:fldCharType="begin" w:fldLock="1"/>
      </w:r>
      <w:r w:rsidR="004F1B4E" w:rsidRPr="000D7D0A">
        <w:instrText>ADDIN CSL_CITATION { "citationItems" : [ { "id" : "ITEM-1", "itemData" : { "ISBN" : "041536941X", "abstract" : "As public and private sector organizations work more frequently in partnership, managing uncertainties, problems and controversies becomes increasingly difficult. Despite sophisticated technology and knowledge, the strategic networks and games required to solve uncertainties become more complex and more important than ever before. Managing Uncertainties in Networks is a new text that examines developments in the area of network strategy. Differentiating itself from other policy network approaches which have a mainly research focus, this text has a managerial orientation presenting strategies and management recommendations for public and private sector organisations as well as the analytical tools required by practitioners seeking to support their own internal decision making and strategy formulation. Topics covered include: * knowledge conflicts * uncertainties and governments * technological controversies * collaborative problem solving * managing networks Tapping into the important and ever-growing area of risk and uncertainty management, this is a vital and long awaited staple for the arena written by two leading authors in the field. Key reading for students, scholars and policy makers seeking to understand the complexities of the network society. Uncertainties in dealing with complex problems in the network society -- Uncertainty about content : knowledge conflicts and asymmetrical debates -- Uncertainty and process : problem solving as a strategic game -- Uncertainty and institutions : patterns, rules and trust -- Uncertainties and governments : old and new responses -- Summing up : dealing with uncertainties in networks -- Mapping uncertainties in games and networks -- Managing content : furthering cross-frame reflection and the creation of negotiated knowledge -- Managing the game : selective couplings, rules of the game and process management -- Managing the network : strategies for institutional design -- Managing uncertainties in networks.", "author" : [ { "dropping-particle" : "", "family" : "Koppenjan", "given" : "Johannes Franciscus Maria", "non-dropping-particle" : "", "parse-names" : false, "suffix" : "" }, { "dropping-particle" : "", "family" : "Klijn", "given" : "Erik-Hans.", "non-dropping-particle" : "", "parse-names" : false, "suffix" : "" } ], "id" : "ITEM-1", "issued" : { "date-parts" : [ [ "2004" ] ] }, "number-of-pages" : "289", "publisher" : "Routledge", "publisher-place" : "London and New York :", "title" : "Managing uncertainties in networks : a network approach to problem solving and decision making", "type" : "book" }, "uris" : [ "http://www.mendeley.com/documents/?uuid=7fe1b598-bc56-3798-b588-b922d0efd870" ] } ], "mendeley" : { "formattedCitation" : "(Koppenjan &amp; Klijn 2004)", "plainTextFormattedCitation" : "(Koppenjan &amp; Klijn 2004)", "previouslyFormattedCitation" : "(Koppenjan &amp; Klijn 2004)" }, "properties" : { "noteIndex" : 0 }, "schema" : "https://github.com/citation-style-language/schema/raw/master/csl-citation.json" }</w:instrText>
      </w:r>
      <w:r w:rsidR="00361692" w:rsidRPr="000D7D0A">
        <w:fldChar w:fldCharType="separate"/>
      </w:r>
      <w:r w:rsidR="004F1B4E" w:rsidRPr="000D7D0A">
        <w:rPr>
          <w:noProof/>
        </w:rPr>
        <w:t>(Koppenjan &amp; Klijn 2004)</w:t>
      </w:r>
      <w:r w:rsidR="00361692" w:rsidRPr="000D7D0A">
        <w:fldChar w:fldCharType="end"/>
      </w:r>
      <w:r w:rsidRPr="000D7D0A">
        <w:t xml:space="preserve"> también afirman que los problemas malditos son caracterizados por la complejidad y la indeterminación. Esta </w:t>
      </w:r>
      <w:r w:rsidRPr="000D7D0A">
        <w:lastRenderedPageBreak/>
        <w:t xml:space="preserve">incerteza estratégica no es fácil de reducir e imposible de eliminar en una sociedad compleja. </w:t>
      </w:r>
    </w:p>
    <w:p w:rsidR="00B41934" w:rsidRPr="000D7D0A" w:rsidRDefault="00B41934" w:rsidP="00B41934">
      <w:pPr>
        <w:spacing w:after="0"/>
        <w:jc w:val="both"/>
        <w:rPr>
          <w:rFonts w:ascii="Times New Roman" w:eastAsia="Times New Roman" w:hAnsi="Times New Roman" w:cs="Times New Roman"/>
          <w:sz w:val="24"/>
          <w:szCs w:val="24"/>
          <w:lang w:eastAsia="es-ES"/>
        </w:rPr>
      </w:pPr>
    </w:p>
    <w:p w:rsidR="00B41934" w:rsidRPr="000D7D0A" w:rsidRDefault="00B41934" w:rsidP="00B41934">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En otras palabras, la idea de</w:t>
      </w:r>
      <w:r w:rsidRPr="000D7D0A">
        <w:rPr>
          <w:rFonts w:ascii="Times New Roman" w:eastAsia="Times New Roman" w:hAnsi="Times New Roman" w:cs="Times New Roman"/>
          <w:bCs/>
          <w:sz w:val="24"/>
          <w:szCs w:val="24"/>
          <w:lang w:eastAsia="es-ES"/>
        </w:rPr>
        <w:t xml:space="preserve"> estado soberano gobernando desde una posición jerárquica superior con una planificación completa, una acción programada y una regulación detallada en muchos ámbitos pierde peso </w:t>
      </w:r>
      <w:r w:rsidRPr="000D7D0A">
        <w:rPr>
          <w:rFonts w:ascii="Times New Roman" w:eastAsia="Times New Roman" w:hAnsi="Times New Roman" w:cs="Times New Roman"/>
          <w:sz w:val="24"/>
          <w:szCs w:val="24"/>
          <w:lang w:eastAsia="es-ES"/>
        </w:rPr>
        <w:t xml:space="preserve">para abrir paso a nuevas ideas sobre gobernanza </w:t>
      </w:r>
      <w:proofErr w:type="spellStart"/>
      <w:r w:rsidRPr="000D7D0A">
        <w:rPr>
          <w:rFonts w:ascii="Times New Roman" w:eastAsia="Times New Roman" w:hAnsi="Times New Roman" w:cs="Times New Roman"/>
          <w:sz w:val="24"/>
          <w:szCs w:val="24"/>
          <w:lang w:eastAsia="es-ES"/>
        </w:rPr>
        <w:t>pluricéntrica</w:t>
      </w:r>
      <w:proofErr w:type="spellEnd"/>
      <w:r w:rsidRPr="000D7D0A">
        <w:rPr>
          <w:rFonts w:ascii="Times New Roman" w:eastAsia="Times New Roman" w:hAnsi="Times New Roman" w:cs="Times New Roman"/>
          <w:sz w:val="24"/>
          <w:szCs w:val="24"/>
          <w:lang w:eastAsia="es-ES"/>
        </w:rPr>
        <w:t xml:space="preserve">, basada en la interdependencia, la negociación y la confianza </w:t>
      </w:r>
      <w:r w:rsidR="00361692" w:rsidRPr="000D7D0A">
        <w:rPr>
          <w:rFonts w:ascii="Times New Roman" w:eastAsia="Times New Roman" w:hAnsi="Times New Roman" w:cs="Times New Roman"/>
          <w:sz w:val="24"/>
          <w:szCs w:val="24"/>
          <w:lang w:eastAsia="es-ES"/>
        </w:rPr>
        <w:fldChar w:fldCharType="begin" w:fldLock="1"/>
      </w:r>
      <w:r w:rsidR="004F1B4E" w:rsidRPr="000D7D0A">
        <w:rPr>
          <w:rFonts w:ascii="Times New Roman" w:eastAsia="Times New Roman" w:hAnsi="Times New Roman" w:cs="Times New Roman"/>
          <w:sz w:val="24"/>
          <w:szCs w:val="24"/>
          <w:lang w:eastAsia="es-ES"/>
        </w:rPr>
        <w:instrText>ADDIN CSL_CITATION { "citationItems" : [ { "id" : "ITEM-1", "itemData" : { "ISBN" : "1403995281", "abstract" : "The contributors aim to renew and refocus the political and scholarly debate on the use of governance networks in public policy making by raising and answering a series of questions about the dynamics of governance networks, and the conditions for governance network success and failure. Introduction : Governance network research : towards a second generation / Eva S\u00f8rensen and Jacob Torfing -- Theoretical approaches to governance network dynamics / Eva S\u00f8rensen and Jacob Torfing -- Mechanisms of governance network formation : a contextual rational choice perspective / Nils Hertting -- Virtuous and viscous circles in democratic network governance / B. Guy Peters -- Decentred theory, change and network governance / Mark Bevir and R.A.W. Rhodes -- Theoretical approaches to governance network failure / Eva S\u00f8rensen and Jacob Torfing -- Closure and governance / Linze Schaap -- Consensus and conflict in policy networks : too much or too little? / Joop F.M. Koppenjan -- Network governance : effective and legitimate? / Tanja A. Bo\u0308rzel and Diana Panke -- Theoretical approaches to metagovernance / Eva S\u00f8rensen and Jacob Torfing -- Governing the formation and mobilization of governance networks / Peter Triantafillou -- Meta-governance as network management / Erik-Hans Klijn and Jurian Edelenbos -- Governing outputs and outcomes of governance networks / Laurence J. O'Toole, Jr. -- Theoretical approaches to democratic network governance / Eva S\u00f8rensen and Jacob Torfing -- Governance networks and participation / Allan Dreyer Hansen -- Networks and democratic ideals : equality, freedom and communication / John S. Dryzek -- Democratic accountability and network governance : problems and potentials / Anders Esmark -- The second generation of governance network theory and beyond / Eva S\u00f8rensen and Jacob Torfing.", "author" : [ { "dropping-particle" : "", "family" : "S\u00f8rensen", "given" : "Eva", "non-dropping-particle" : "", "parse-names" : false, "suffix" : "" }, { "dropping-particle" : "", "family" : "Torfing", "given" : "Jacob.", "non-dropping-particle" : "", "parse-names" : false, "suffix" : "" } ], "id" : "ITEM-1", "issued" : { "date-parts" : [ [ "2007" ] ] }, "number-of-pages" : "356", "publisher" : "Palgrave Macmillian", "publisher-place" : "Basingstoke :", "title" : "Theories of democratic network governance", "type" : "book" }, "uris" : [ "http://www.mendeley.com/documents/?uuid=0882cb27-f4ba-3b72-94b5-595a06fcad42" ] }, { "id" : "ITEM-2", "itemData" : { "ISBN" : "9780199677061", "author" : [ { "dropping-particle" : "", "family" : "Levi-Faur", "given" : "David (Ed)", "non-dropping-particle" : "", "parse-names" : false, "suffix" : "" } ], "id" : "ITEM-2", "issued" : { "date-parts" : [ [ "2012" ] ] }, "publisher" : "Oxford University Press", "publisher-place" : "Oxford :", "title" : "The Oxford handbook of governance", "type" : "book" }, "uris" : [ "http://www.mendeley.com/documents/?uuid=71c2de60-23dd-31ad-afe0-e1d763cfd619" ] }, { "id" : "ITEM-3", "itemData" : { "ISBN" : "0745629792", "abstract" : "Introduction: The meanings of governance -- Governance in public administration and public policy: steering inter-organizational networks -- Governance in international relations: governing in a global era -- European governance: between international relations and public policy -- Governance in comparative politics I: the state and economic development -- Governance in comparative politics II: theories of democratization -- Governance and the world bank.", "author" : [ { "dropping-particle" : "", "family" : "Kj\u00e6r", "given" : "Anne Mette.", "non-dropping-particle" : "", "parse-names" : false, "suffix" : "" } ], "id" : "ITEM-3", "issued" : { "date-parts" : [ [ "2004" ] ] }, "number-of-pages" : "240", "publisher" : "Polity Press", "publisher-place" : "Cambridge [Regne Unit] :", "title" : "Governance", "type" : "book" }, "uris" : [ "http://www.mendeley.com/documents/?uuid=90aeaeff-58ce-3ca0-8005-211f5aa22d8a" ] } ], "mendeley" : { "formattedCitation" : "(S\u00f8rensen &amp; Torfing 2007; Levi-Faur 2012; Kj\u00e6r 2004)", "plainTextFormattedCitation" : "(S\u00f8rensen &amp; Torfing 2007; Levi-Faur 2012; Kj\u00e6r 2004)", "previouslyFormattedCitation" : "(S\u00f8rensen &amp; Torfing 2007; Levi-Faur 2012; Kj\u00e6r 2004)" }, "properties" : { "noteIndex" : 0 }, "schema" : "https://github.com/citation-style-language/schema/raw/master/csl-citation.json" }</w:instrText>
      </w:r>
      <w:r w:rsidR="00361692" w:rsidRPr="000D7D0A">
        <w:rPr>
          <w:rFonts w:ascii="Times New Roman" w:eastAsia="Times New Roman" w:hAnsi="Times New Roman" w:cs="Times New Roman"/>
          <w:sz w:val="24"/>
          <w:szCs w:val="24"/>
          <w:lang w:eastAsia="es-ES"/>
        </w:rPr>
        <w:fldChar w:fldCharType="separate"/>
      </w:r>
      <w:r w:rsidR="004F1B4E" w:rsidRPr="000D7D0A">
        <w:rPr>
          <w:rFonts w:ascii="Times New Roman" w:eastAsia="Times New Roman" w:hAnsi="Times New Roman" w:cs="Times New Roman"/>
          <w:noProof/>
          <w:sz w:val="24"/>
          <w:szCs w:val="24"/>
          <w:lang w:eastAsia="es-ES"/>
        </w:rPr>
        <w:t>(Sørensen &amp; Torfing 2007; Levi-Faur 2012; Kjær 2004)</w:t>
      </w:r>
      <w:r w:rsidR="00361692" w:rsidRPr="000D7D0A">
        <w:rPr>
          <w:rFonts w:ascii="Times New Roman" w:eastAsia="Times New Roman" w:hAnsi="Times New Roman" w:cs="Times New Roman"/>
          <w:sz w:val="24"/>
          <w:szCs w:val="24"/>
          <w:lang w:eastAsia="es-ES"/>
        </w:rPr>
        <w:fldChar w:fldCharType="end"/>
      </w:r>
      <w:r w:rsidRPr="000D7D0A">
        <w:rPr>
          <w:rFonts w:ascii="Times New Roman" w:eastAsia="Times New Roman" w:hAnsi="Times New Roman" w:cs="Times New Roman"/>
          <w:sz w:val="24"/>
          <w:szCs w:val="24"/>
          <w:lang w:eastAsia="es-ES"/>
        </w:rPr>
        <w:t>.</w:t>
      </w:r>
    </w:p>
    <w:p w:rsidR="00B41934" w:rsidRPr="000D7D0A" w:rsidRDefault="00B41934" w:rsidP="00B41934">
      <w:pPr>
        <w:spacing w:after="0"/>
        <w:jc w:val="both"/>
        <w:rPr>
          <w:rFonts w:ascii="Times New Roman" w:eastAsia="Times New Roman" w:hAnsi="Times New Roman" w:cs="Times New Roman"/>
          <w:sz w:val="24"/>
          <w:szCs w:val="24"/>
          <w:lang w:eastAsia="es-ES"/>
        </w:rPr>
      </w:pPr>
    </w:p>
    <w:p w:rsidR="00B41934" w:rsidRPr="000D7D0A" w:rsidRDefault="00B41934" w:rsidP="00B41934">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El concepto de gobernanza </w:t>
      </w:r>
      <w:r w:rsidR="00DA7629" w:rsidRPr="000D7D0A">
        <w:rPr>
          <w:rFonts w:ascii="Times New Roman" w:eastAsia="Times New Roman" w:hAnsi="Times New Roman" w:cs="Times New Roman"/>
          <w:sz w:val="24"/>
          <w:szCs w:val="24"/>
          <w:lang w:eastAsia="es-ES"/>
        </w:rPr>
        <w:t>emerge pues como</w:t>
      </w:r>
      <w:r w:rsidRPr="000D7D0A">
        <w:rPr>
          <w:rFonts w:ascii="Times New Roman" w:eastAsia="Times New Roman" w:hAnsi="Times New Roman" w:cs="Times New Roman"/>
          <w:sz w:val="24"/>
          <w:szCs w:val="24"/>
          <w:lang w:eastAsia="es-ES"/>
        </w:rPr>
        <w:t xml:space="preserve"> uno de los elementos clave. El concepto sugiere que las decisiones públicas tienen menos que ver con las jerarquías de las burocracias organizadas y más con las relaciones a largo plazo entre distintas organizaciones de distintos niveles institucionales, de distintos ámbitos de la administración y de la participación de actores privados </w:t>
      </w:r>
      <w:r w:rsidR="00361692" w:rsidRPr="000D7D0A">
        <w:rPr>
          <w:rFonts w:ascii="Times New Roman" w:eastAsia="Times New Roman" w:hAnsi="Times New Roman" w:cs="Times New Roman"/>
          <w:sz w:val="24"/>
          <w:szCs w:val="24"/>
          <w:lang w:eastAsia="es-ES"/>
        </w:rPr>
        <w:fldChar w:fldCharType="begin" w:fldLock="1"/>
      </w:r>
      <w:r w:rsidR="004F1B4E" w:rsidRPr="000D7D0A">
        <w:rPr>
          <w:rFonts w:ascii="Times New Roman" w:eastAsia="Times New Roman" w:hAnsi="Times New Roman" w:cs="Times New Roman"/>
          <w:sz w:val="24"/>
          <w:szCs w:val="24"/>
          <w:lang w:eastAsia="es-ES"/>
        </w:rPr>
        <w:instrText>ADDIN CSL_CITATION { "citationItems" : [ { "id" : "ITEM-1", "itemData" : { "ISBN" : "0761956360", "abstract" : "This work provides a comprehensive introduction to local government and urban politics in contemporary Western Europe. The author shows how local government institutions have been subject to change as a response to Europeanisation. Cover; Contents; 1: From Local Government to Local Governance; 2: Local Government Systems in Western Europe; 3: Local Regimes in Western Europe; 4: The Europeanization of Sub-national Governance; 5: Privatization and the New Public Management; 6: Institutional Formation and Regionalism; 7: Leadership and the Local Executive; 8: Renewing Local Democracy; 9: Conclusions; References; Index.", "author" : [ { "dropping-particle" : "", "family" : "John", "given" : "Peter", "non-dropping-particle" : "", "parse-names" : false, "suffix" : "" } ], "id" : "ITEM-1", "issued" : { "date-parts" : [ [ "2001" ] ] }, "number-of-pages" : "202", "publisher" : "SAGE", "publisher-place" : "Thousand Oaks, Calif. :", "title" : "Local governance in Western Europe", "type" : "book" }, "uris" : [ "http://www.mendeley.com/documents/?uuid=50ffb2b8-1f9e-36d2-840a-40da3a53d3b7" ] } ], "mendeley" : { "formattedCitation" : "(John 2001)", "plainTextFormattedCitation" : "(John 2001)", "previouslyFormattedCitation" : "(John 2001)" }, "properties" : { "noteIndex" : 0 }, "schema" : "https://github.com/citation-style-language/schema/raw/master/csl-citation.json" }</w:instrText>
      </w:r>
      <w:r w:rsidR="00361692" w:rsidRPr="000D7D0A">
        <w:rPr>
          <w:rFonts w:ascii="Times New Roman" w:eastAsia="Times New Roman" w:hAnsi="Times New Roman" w:cs="Times New Roman"/>
          <w:sz w:val="24"/>
          <w:szCs w:val="24"/>
          <w:lang w:eastAsia="es-ES"/>
        </w:rPr>
        <w:fldChar w:fldCharType="separate"/>
      </w:r>
      <w:r w:rsidR="004F1B4E" w:rsidRPr="000D7D0A">
        <w:rPr>
          <w:rFonts w:ascii="Times New Roman" w:eastAsia="Times New Roman" w:hAnsi="Times New Roman" w:cs="Times New Roman"/>
          <w:noProof/>
          <w:sz w:val="24"/>
          <w:szCs w:val="24"/>
          <w:lang w:eastAsia="es-ES"/>
        </w:rPr>
        <w:t>(John 2001)</w:t>
      </w:r>
      <w:r w:rsidR="00361692" w:rsidRPr="000D7D0A">
        <w:rPr>
          <w:rFonts w:ascii="Times New Roman" w:eastAsia="Times New Roman" w:hAnsi="Times New Roman" w:cs="Times New Roman"/>
          <w:sz w:val="24"/>
          <w:szCs w:val="24"/>
          <w:lang w:eastAsia="es-ES"/>
        </w:rPr>
        <w:fldChar w:fldCharType="end"/>
      </w:r>
      <w:r w:rsidRPr="000D7D0A">
        <w:rPr>
          <w:rFonts w:ascii="Times New Roman" w:eastAsia="Times New Roman" w:hAnsi="Times New Roman" w:cs="Times New Roman"/>
          <w:sz w:val="24"/>
          <w:szCs w:val="24"/>
          <w:lang w:eastAsia="es-ES"/>
        </w:rPr>
        <w:t xml:space="preserve">. Por lo tanto, uno de los elementos más destacables de la gobernanza es la necesidad del trabajo conjunto entre distintos actores sin una relación jerárquica o de sumisión entre ellas. </w:t>
      </w:r>
    </w:p>
    <w:p w:rsidR="00B41934" w:rsidRPr="000D7D0A" w:rsidRDefault="00B41934" w:rsidP="00B41934">
      <w:pPr>
        <w:spacing w:after="0"/>
        <w:jc w:val="both"/>
        <w:rPr>
          <w:rFonts w:ascii="Times New Roman" w:eastAsia="Times New Roman" w:hAnsi="Times New Roman" w:cs="Times New Roman"/>
          <w:sz w:val="24"/>
          <w:szCs w:val="24"/>
          <w:lang w:eastAsia="es-ES"/>
        </w:rPr>
      </w:pPr>
    </w:p>
    <w:p w:rsidR="00B41934" w:rsidRPr="000D7D0A" w:rsidRDefault="00B41934" w:rsidP="00B41934">
      <w:pPr>
        <w:pStyle w:val="NormalWeb"/>
        <w:spacing w:before="0" w:beforeAutospacing="0" w:after="0" w:afterAutospacing="0" w:line="276" w:lineRule="auto"/>
        <w:jc w:val="both"/>
      </w:pPr>
      <w:proofErr w:type="spellStart"/>
      <w:r w:rsidRPr="000D7D0A">
        <w:t>Forester</w:t>
      </w:r>
      <w:proofErr w:type="spellEnd"/>
      <w:r w:rsidRPr="000D7D0A">
        <w:t xml:space="preserve"> </w:t>
      </w:r>
      <w:r w:rsidR="00361692" w:rsidRPr="000D7D0A">
        <w:fldChar w:fldCharType="begin" w:fldLock="1"/>
      </w:r>
      <w:r w:rsidR="004F1B4E" w:rsidRPr="000D7D0A">
        <w:instrText>ADDIN CSL_CITATION { "citationItems" : [ { "id" : "ITEM-1", "itemData" : { "ISBN" : "0585146888", "author" : [ { "dropping-particle" : "", "family" : "Forester", "given" : "John", "non-dropping-particle" : "", "parse-names" : false, "suffix" : "" } ], "id" : "ITEM-1", "issued" : { "date-parts" : [ [ "1999" ] ] }, "publisher" : "MIT Press", "publisher-place" : "Cambridge, Mass. :", "title" : "The Deliberative practitioner encouraging participatory planning processes", "type" : "book" }, "uris" : [ "http://www.mendeley.com/documents/?uuid=89aa5dba-df33-4d7a-8e62-4b8a48391c6e" ] } ], "mendeley" : { "formattedCitation" : "(Forester 1999)", "manualFormatting" : "(1999)", "plainTextFormattedCitation" : "(Forester 1999)", "previouslyFormattedCitation" : "(Forester 1999)" }, "properties" : { "noteIndex" : 0 }, "schema" : "https://github.com/citation-style-language/schema/raw/master/csl-citation.json" }</w:instrText>
      </w:r>
      <w:r w:rsidR="00361692" w:rsidRPr="000D7D0A">
        <w:fldChar w:fldCharType="separate"/>
      </w:r>
      <w:r w:rsidRPr="000D7D0A">
        <w:rPr>
          <w:noProof/>
        </w:rPr>
        <w:t>(1999)</w:t>
      </w:r>
      <w:r w:rsidR="00361692" w:rsidRPr="000D7D0A">
        <w:fldChar w:fldCharType="end"/>
      </w:r>
      <w:r w:rsidRPr="000D7D0A">
        <w:t xml:space="preserve">, en un libro de planificación territorial, entiende que la deliberación, esto es la discusión y debate des de diferentes lógicas para llegar a una visión compartida, es una buena manera (sino la única en muchos casos) de crear valor público. En el mismo libro diferencia conceptualmente tres niveles de políticas relacionales. Así, </w:t>
      </w:r>
    </w:p>
    <w:p w:rsidR="00B41934" w:rsidRPr="000D7D0A" w:rsidRDefault="00B41934" w:rsidP="00B41934">
      <w:pPr>
        <w:pStyle w:val="NormalWeb"/>
        <w:spacing w:before="0" w:beforeAutospacing="0" w:after="0" w:afterAutospacing="0" w:line="276" w:lineRule="auto"/>
        <w:jc w:val="both"/>
      </w:pPr>
    </w:p>
    <w:p w:rsidR="00B41934" w:rsidRPr="000D7D0A" w:rsidRDefault="00B41934" w:rsidP="00B41934">
      <w:pPr>
        <w:pStyle w:val="NormalWeb"/>
        <w:numPr>
          <w:ilvl w:val="0"/>
          <w:numId w:val="1"/>
        </w:numPr>
        <w:spacing w:before="0" w:beforeAutospacing="0" w:after="0" w:afterAutospacing="0" w:line="276" w:lineRule="auto"/>
        <w:jc w:val="both"/>
      </w:pPr>
      <w:r w:rsidRPr="000D7D0A">
        <w:t xml:space="preserve">cuando intervienen actores privados se define como participación. </w:t>
      </w:r>
    </w:p>
    <w:p w:rsidR="00B41934" w:rsidRPr="000D7D0A" w:rsidRDefault="00B41934" w:rsidP="00B41934">
      <w:pPr>
        <w:pStyle w:val="NormalWeb"/>
        <w:numPr>
          <w:ilvl w:val="0"/>
          <w:numId w:val="1"/>
        </w:numPr>
        <w:spacing w:before="0" w:beforeAutospacing="0" w:after="0" w:afterAutospacing="0" w:line="276" w:lineRule="auto"/>
        <w:jc w:val="both"/>
      </w:pPr>
      <w:r w:rsidRPr="000D7D0A">
        <w:t xml:space="preserve">cuando intervienen distintos departamentos o perspectivas sectoriales el concepto que se  usará es el de </w:t>
      </w:r>
      <w:proofErr w:type="spellStart"/>
      <w:r w:rsidRPr="000D7D0A">
        <w:t>transversalidad</w:t>
      </w:r>
      <w:proofErr w:type="spellEnd"/>
      <w:r w:rsidRPr="000D7D0A">
        <w:t xml:space="preserve"> y finalmente</w:t>
      </w:r>
    </w:p>
    <w:p w:rsidR="00B41934" w:rsidRPr="000D7D0A" w:rsidRDefault="00B41934" w:rsidP="00B41934">
      <w:pPr>
        <w:pStyle w:val="NormalWeb"/>
        <w:numPr>
          <w:ilvl w:val="0"/>
          <w:numId w:val="1"/>
        </w:numPr>
        <w:spacing w:before="0" w:beforeAutospacing="0" w:after="0" w:afterAutospacing="0" w:line="276" w:lineRule="auto"/>
        <w:jc w:val="both"/>
      </w:pPr>
      <w:r w:rsidRPr="000D7D0A">
        <w:t xml:space="preserve">cuando intervienen diferentes niveles institucionales, diferentes instituciones, se usa el concepto de gobierno multinivel. </w:t>
      </w:r>
    </w:p>
    <w:p w:rsidR="00B41934" w:rsidRPr="000D7D0A" w:rsidRDefault="00B41934" w:rsidP="00B41934">
      <w:pPr>
        <w:jc w:val="both"/>
        <w:rPr>
          <w:rFonts w:ascii="Times New Roman" w:eastAsia="Times New Roman" w:hAnsi="Times New Roman" w:cs="Times New Roman"/>
          <w:b/>
          <w:bCs/>
          <w:kern w:val="36"/>
          <w:sz w:val="24"/>
          <w:szCs w:val="24"/>
          <w:lang w:eastAsia="es-ES"/>
        </w:rPr>
      </w:pPr>
    </w:p>
    <w:p w:rsidR="00B41934" w:rsidRPr="000D7D0A" w:rsidRDefault="00265BEF" w:rsidP="00B41934">
      <w:pPr>
        <w:jc w:val="both"/>
        <w:rPr>
          <w:rFonts w:ascii="Times New Roman" w:hAnsi="Times New Roman" w:cs="Times New Roman"/>
          <w:sz w:val="24"/>
          <w:szCs w:val="24"/>
        </w:rPr>
      </w:pPr>
      <w:r w:rsidRPr="000D7D0A">
        <w:rPr>
          <w:rFonts w:ascii="Times New Roman" w:hAnsi="Times New Roman" w:cs="Times New Roman"/>
          <w:sz w:val="24"/>
          <w:szCs w:val="24"/>
        </w:rPr>
        <w:t xml:space="preserve">El objetivo de esta ponencia se centrará sobretodo en los aspectos b) y, en menor medida, c). </w:t>
      </w:r>
      <w:r w:rsidR="00B41934" w:rsidRPr="000D7D0A">
        <w:rPr>
          <w:rFonts w:ascii="Times New Roman" w:hAnsi="Times New Roman" w:cs="Times New Roman"/>
          <w:sz w:val="24"/>
          <w:szCs w:val="24"/>
        </w:rPr>
        <w:t xml:space="preserve">Una de las herramientas conceptuales del análisis de políticas públicas es la perspectiva del ciclo </w:t>
      </w:r>
      <w:r w:rsidR="00361692" w:rsidRPr="000D7D0A">
        <w:rPr>
          <w:rFonts w:ascii="Times New Roman" w:hAnsi="Times New Roman" w:cs="Times New Roman"/>
          <w:sz w:val="24"/>
          <w:szCs w:val="24"/>
        </w:rPr>
        <w:fldChar w:fldCharType="begin" w:fldLock="1"/>
      </w:r>
      <w:r w:rsidR="004F1B4E" w:rsidRPr="000D7D0A">
        <w:rPr>
          <w:rFonts w:ascii="Times New Roman" w:hAnsi="Times New Roman" w:cs="Times New Roman"/>
          <w:sz w:val="24"/>
          <w:szCs w:val="24"/>
        </w:rPr>
        <w:instrText>ADDIN CSL_CITATION { "citationItems" : [ { "id" : "ITEM-1", "itemData" : { "ISBN" : "9781405873529 (pbk.)", "author" : [ { "dropping-particle" : "", "family" : "Hill", "given" : "Michael J.", "non-dropping-particle" : "", "parse-names" : false, "suffix" : "" } ], "id" : "ITEM-1", "issued" : { "date-parts" : [ [ "2009" ] ] }, "publisher" : "Longman", "publisher-place" : "New York :", "title" : "The public policy process", "type" : "book" }, "uris" : [ "http://www.mendeley.com/documents/?uuid=ce2de01a-7127-4b99-8c20-2462a55203a4" ] }, { "id" : "ITEM-2", "itemData" : { "ISBN" : "9788430958313", "author" : [ { "dropping-particle" : "", "family" : "Harguind\u00e9guy", "given" : "Jean-Baptiste", "non-dropping-particle" : "", "parse-names" : false, "suffix" : "" } ], "id" : "ITEM-2", "issued" : { "date-parts" : [ [ "2013" ] ] }, "note" : "refer\u00e8ncies de pol\u00edtica p\u00fablica", "publisher" : "Tecnos", "publisher-place" : "Madrid :", "title" : "An\u00e1lisis de pol\u00edticas p\u00fablicas", "type" : "book" }, "uris" : [ "http://www.mendeley.com/documents/?uuid=165725a9-8eec-4eaa-9292-748f7d1f5607" ] }, { "id" : "ITEM-3", "itemData" : { "ISBN" : "9788434418288", "author" : [ { "dropping-particle" : "", "family" : "Subirats", "given" : "Joan; Peter", "non-dropping-particle" : "", "parse-names" : false, "suffix" : "" } ], "id" : "ITEM-3", "issued" : { "date-parts" : [ [ "2008" ] ] }, "publisher" : "Ariel", "publisher-place" : "Barcelona :", "title" : "An\u00e1lisis y gesti\u00f3n de pol\u00edticas p\u00fablicas", "type" : "book" }, "uris" : [ "http://www.mendeley.com/documents/?uuid=534a3444-97be-433e-9db4-1fc17f35f544" ] } ], "mendeley" : { "formattedCitation" : "(Hill 2009; Harguind\u00e9guy 2013; Subirats 2008)", "manualFormatting" : "(Hill, 2009; Subirats, 2008)", "plainTextFormattedCitation" : "(Hill 2009; Harguind\u00e9guy 2013; Subirats 2008)", "previouslyFormattedCitation" : "(Hill 2009; Harguind\u00e9guy 2013; Subirats 2008)" }, "properties" : { "noteIndex" : 0 }, "schema" : "https://github.com/citation-style-language/schema/raw/master/csl-citation.json" }</w:instrText>
      </w:r>
      <w:r w:rsidR="00361692" w:rsidRPr="000D7D0A">
        <w:rPr>
          <w:rFonts w:ascii="Times New Roman" w:hAnsi="Times New Roman" w:cs="Times New Roman"/>
          <w:sz w:val="24"/>
          <w:szCs w:val="24"/>
        </w:rPr>
        <w:fldChar w:fldCharType="separate"/>
      </w:r>
      <w:r w:rsidR="00B41934" w:rsidRPr="000D7D0A">
        <w:rPr>
          <w:rFonts w:ascii="Times New Roman" w:hAnsi="Times New Roman" w:cs="Times New Roman"/>
          <w:noProof/>
          <w:sz w:val="24"/>
          <w:szCs w:val="24"/>
        </w:rPr>
        <w:t>(Hill, 2009; Subirats, 2008)</w:t>
      </w:r>
      <w:r w:rsidR="00361692" w:rsidRPr="000D7D0A">
        <w:rPr>
          <w:rFonts w:ascii="Times New Roman" w:hAnsi="Times New Roman" w:cs="Times New Roman"/>
          <w:sz w:val="24"/>
          <w:szCs w:val="24"/>
        </w:rPr>
        <w:fldChar w:fldCharType="end"/>
      </w:r>
      <w:r w:rsidR="00B41934" w:rsidRPr="000D7D0A">
        <w:rPr>
          <w:rFonts w:ascii="Times New Roman" w:hAnsi="Times New Roman" w:cs="Times New Roman"/>
          <w:sz w:val="24"/>
          <w:szCs w:val="24"/>
        </w:rPr>
        <w:t xml:space="preserve">. Ésta perspectiva temporal enfatiza distintos aspectos en cada una de las fases de la política pública. Normalmente se diferencian: la aparición y definición del problema, la entrada en la agenda política, la formulación de alternativas, el diseño, la decisión, la implementación y la evaluación. Es una tipología secuencial útil a efectos teóricos. Clarifica y separa diferentes acciones que se llevan a cabo en las políticas públicas. Pero muchas veces en la realidad las fases se mezclan y se yuxtaponen.  </w:t>
      </w:r>
    </w:p>
    <w:p w:rsidR="00B41934" w:rsidRPr="000D7D0A" w:rsidRDefault="00B41934" w:rsidP="00A87670">
      <w:pPr>
        <w:jc w:val="both"/>
        <w:rPr>
          <w:rFonts w:ascii="Times New Roman" w:hAnsi="Times New Roman" w:cs="Times New Roman"/>
          <w:sz w:val="24"/>
          <w:szCs w:val="24"/>
        </w:rPr>
      </w:pPr>
      <w:r w:rsidRPr="000D7D0A">
        <w:rPr>
          <w:rFonts w:ascii="Times New Roman" w:hAnsi="Times New Roman" w:cs="Times New Roman"/>
          <w:sz w:val="24"/>
          <w:szCs w:val="24"/>
        </w:rPr>
        <w:t xml:space="preserve">No obstante la visión del ciclo es útil en muchos casos porque permite separar elementos diferentes. De hecho, en la mayoría de manuales de ciencia política que tratan las políticas públicas o los libros introductorios sobre las políticas públicas utilizan la visión del ciclo de las políticas públicas por su claridad conceptual. </w:t>
      </w:r>
      <w:r w:rsidR="00361692" w:rsidRPr="000D7D0A">
        <w:rPr>
          <w:rFonts w:ascii="Times New Roman" w:hAnsi="Times New Roman" w:cs="Times New Roman"/>
          <w:sz w:val="24"/>
          <w:szCs w:val="24"/>
        </w:rPr>
        <w:fldChar w:fldCharType="begin" w:fldLock="1"/>
      </w:r>
      <w:r w:rsidR="004F1B4E" w:rsidRPr="000D7D0A">
        <w:rPr>
          <w:rFonts w:ascii="Times New Roman" w:hAnsi="Times New Roman" w:cs="Times New Roman"/>
          <w:sz w:val="24"/>
          <w:szCs w:val="24"/>
        </w:rPr>
        <w:instrText>ADDIN CSL_CITATION { "citationItems" : [ { "id" : "ITEM-1", "itemData" : { "ISBN" : "9788497884280", "author" : [ { "dropping-particle" : "", "family" : "Bosch", "given" : "Agust\u00ed", "non-dropping-particle" : "", "parse-names" : false, "suffix" : "" }, { "dropping-particle" : "", "family" : "Orriols Galve", "given" : "Llu\u00eds", "non-dropping-particle" : "", "parse-names" : false, "suffix" : "" } ], "id" : "ITEM-1", "issued" : { "date-parts" : [ [ "2011" ] ] }, "publisher" : "UOC", "publisher-place" : "Barcelona :", "title" : "Ci\u00e8ncia pol\u00edtica per a principiants", "type" : "book" }, "uris" : [ "http://www.mendeley.com/documents/?uuid=d096eab8-7b05-455c-a54b-76ca5b895d3f" ] }, { "id" : "ITEM-2", "itemData" : { "ISBN" : "9788430958313", "author" : [ { "dropping-particle" : "", "family" : "Harguind\u00e9guy", "given" : "Jean-Baptiste", "non-dropping-particle" : "", "parse-names" : false, "suffix" : "" } ], "id" : "ITEM-2", "issued" : { "date-parts" : [ [ "2013" ] ] }, "note" : "refer\u00e8ncies de pol\u00edtica p\u00fablica", "publisher" : "Tecnos", "publisher-place" : "Madrid :", "title" : "An\u00e1lisis de pol\u00edticas p\u00fablicas", "type" : "book" }, "uris" : [ "http://www.mendeley.com/documents/?uuid=165725a9-8eec-4eaa-9292-748f7d1f5607" ] }, { "id" : "ITEM-3", "itemData" : { "ISBN" : "9788434418288", "author" : [ { "dropping-particle" : "", "family" : "Subirats", "given" : "Joan; Peter", "non-dropping-particle" : "", "parse-names" : false, "suffix" : "" } ], "id" : "ITEM-3", "issued" : { "date-parts" : [ [ "2008" ] ] }, "publisher" : "Ariel", "publisher-place" : "Barcelona :", "title" : "An\u00e1lisis y gesti\u00f3n de pol\u00edticas p\u00fablicas", "type" : "book" }, "uris" : [ "http://www.mendeley.com/documents/?uuid=534a3444-97be-433e-9db4-1fc17f35f544" ] }, { "id" : "ITEM-4", "itemData" : { "ISBN" : "9788434422674", "author" : [ { "dropping-particle" : "", "family" : "Vall\u00e8s", "given" : "Josep M.", "non-dropping-particle" : "", "parse-names" : false, "suffix" : "" }, { "dropping-particle" : "", "family" : "Mart\u00ed i Puig", "given" : "Salvador", "non-dropping-particle" : "", "parse-names" : false, "suffix" : "" } ], "id" : "ITEM-4", "issued" : { "date-parts" : [ [ "2015" ] ] }, "publisher" : "Ariel", "publisher-place" : "Barcelona :", "title" : "Ciencia pol\u00edtica : un manual", "type" : "book" }, "uris" : [ "http://www.mendeley.com/documents/?uuid=6aab9dad-f2cf-460a-b334-0e4826f292e8" ] } ], "mendeley" : { "formattedCitation" : "(Bosch &amp; Orriols Galve 2011; Harguind\u00e9guy 2013; Subirats 2008; Vall\u00e8s &amp; Mart\u00ed i Puig 2015)", "plainTextFormattedCitation" : "(Bosch &amp; Orriols Galve 2011; Harguind\u00e9guy 2013; Subirats 2008; Vall\u00e8s &amp; Mart\u00ed i Puig 2015)", "previouslyFormattedCitation" : "(Bosch &amp; Orriols Galve 2011; Harguind\u00e9guy 2013; Subirats 2008; Vall\u00e8s &amp; Mart\u00ed i Puig 2015)" }, "properties" : { "noteIndex" : 0 }, "schema" : "https://github.com/citation-style-language/schema/raw/master/csl-citation.json" }</w:instrText>
      </w:r>
      <w:r w:rsidR="00361692" w:rsidRPr="000D7D0A">
        <w:rPr>
          <w:rFonts w:ascii="Times New Roman" w:hAnsi="Times New Roman" w:cs="Times New Roman"/>
          <w:sz w:val="24"/>
          <w:szCs w:val="24"/>
        </w:rPr>
        <w:fldChar w:fldCharType="separate"/>
      </w:r>
      <w:r w:rsidR="004F1B4E" w:rsidRPr="000D7D0A">
        <w:rPr>
          <w:rFonts w:ascii="Times New Roman" w:hAnsi="Times New Roman" w:cs="Times New Roman"/>
          <w:noProof/>
          <w:sz w:val="24"/>
          <w:szCs w:val="24"/>
        </w:rPr>
        <w:t xml:space="preserve">(Bosch &amp; </w:t>
      </w:r>
      <w:r w:rsidR="004F1B4E" w:rsidRPr="000D7D0A">
        <w:rPr>
          <w:rFonts w:ascii="Times New Roman" w:hAnsi="Times New Roman" w:cs="Times New Roman"/>
          <w:noProof/>
          <w:sz w:val="24"/>
          <w:szCs w:val="24"/>
        </w:rPr>
        <w:lastRenderedPageBreak/>
        <w:t>Orriols Galve 2011; Harguindéguy 2013; Subirats 2008; Vallès &amp; Martí i Puig 2015)</w:t>
      </w:r>
      <w:r w:rsidR="00361692" w:rsidRPr="000D7D0A">
        <w:rPr>
          <w:rFonts w:ascii="Times New Roman" w:hAnsi="Times New Roman" w:cs="Times New Roman"/>
          <w:sz w:val="24"/>
          <w:szCs w:val="24"/>
        </w:rPr>
        <w:fldChar w:fldCharType="end"/>
      </w:r>
      <w:r w:rsidRPr="000D7D0A">
        <w:rPr>
          <w:rFonts w:ascii="Times New Roman" w:hAnsi="Times New Roman" w:cs="Times New Roman"/>
          <w:sz w:val="24"/>
          <w:szCs w:val="24"/>
        </w:rPr>
        <w:t xml:space="preserve">. En la mayoría de ellos, cuando se aborda la fase de implementación de las políticas públicas, se citan dos grandes perspectivas: el enfoque </w:t>
      </w:r>
      <w:r w:rsidRPr="000D7D0A">
        <w:rPr>
          <w:rFonts w:ascii="Times New Roman" w:hAnsi="Times New Roman" w:cs="Times New Roman"/>
          <w:i/>
          <w:sz w:val="24"/>
          <w:szCs w:val="24"/>
        </w:rPr>
        <w:t>top-</w:t>
      </w:r>
      <w:proofErr w:type="spellStart"/>
      <w:r w:rsidRPr="000D7D0A">
        <w:rPr>
          <w:rFonts w:ascii="Times New Roman" w:hAnsi="Times New Roman" w:cs="Times New Roman"/>
          <w:i/>
          <w:sz w:val="24"/>
          <w:szCs w:val="24"/>
        </w:rPr>
        <w:t>down</w:t>
      </w:r>
      <w:proofErr w:type="spellEnd"/>
      <w:r w:rsidRPr="000D7D0A">
        <w:rPr>
          <w:rFonts w:ascii="Times New Roman" w:hAnsi="Times New Roman" w:cs="Times New Roman"/>
          <w:sz w:val="24"/>
          <w:szCs w:val="24"/>
        </w:rPr>
        <w:t xml:space="preserve"> o de arriba a abajo, y el enfoque </w:t>
      </w:r>
      <w:proofErr w:type="spellStart"/>
      <w:r w:rsidRPr="000D7D0A">
        <w:rPr>
          <w:rFonts w:ascii="Times New Roman" w:hAnsi="Times New Roman" w:cs="Times New Roman"/>
          <w:i/>
          <w:sz w:val="24"/>
          <w:szCs w:val="24"/>
        </w:rPr>
        <w:t>bottom</w:t>
      </w:r>
      <w:proofErr w:type="spellEnd"/>
      <w:r w:rsidRPr="000D7D0A">
        <w:rPr>
          <w:rFonts w:ascii="Times New Roman" w:hAnsi="Times New Roman" w:cs="Times New Roman"/>
          <w:i/>
          <w:sz w:val="24"/>
          <w:szCs w:val="24"/>
        </w:rPr>
        <w:t>-up</w:t>
      </w:r>
      <w:r w:rsidRPr="000D7D0A">
        <w:rPr>
          <w:rFonts w:ascii="Times New Roman" w:hAnsi="Times New Roman" w:cs="Times New Roman"/>
          <w:sz w:val="24"/>
          <w:szCs w:val="24"/>
        </w:rPr>
        <w:t xml:space="preserve"> o de abajo a arriba. </w:t>
      </w:r>
    </w:p>
    <w:p w:rsidR="00B41934" w:rsidRPr="000D7D0A" w:rsidRDefault="00B41934" w:rsidP="00B41934">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Como confrontación a la visión </w:t>
      </w:r>
      <w:r w:rsidRPr="000D7D0A">
        <w:rPr>
          <w:rFonts w:ascii="Times New Roman" w:eastAsia="Times New Roman" w:hAnsi="Times New Roman" w:cs="Times New Roman"/>
          <w:i/>
          <w:sz w:val="24"/>
          <w:szCs w:val="24"/>
          <w:lang w:eastAsia="es-ES"/>
        </w:rPr>
        <w:t>top-</w:t>
      </w:r>
      <w:proofErr w:type="spellStart"/>
      <w:r w:rsidRPr="000D7D0A">
        <w:rPr>
          <w:rFonts w:ascii="Times New Roman" w:eastAsia="Times New Roman" w:hAnsi="Times New Roman" w:cs="Times New Roman"/>
          <w:i/>
          <w:sz w:val="24"/>
          <w:szCs w:val="24"/>
          <w:lang w:eastAsia="es-ES"/>
        </w:rPr>
        <w:t>down</w:t>
      </w:r>
      <w:proofErr w:type="spellEnd"/>
      <w:r w:rsidRPr="000D7D0A">
        <w:rPr>
          <w:rFonts w:ascii="Times New Roman" w:eastAsia="Times New Roman" w:hAnsi="Times New Roman" w:cs="Times New Roman"/>
          <w:sz w:val="24"/>
          <w:szCs w:val="24"/>
          <w:lang w:eastAsia="es-ES"/>
        </w:rPr>
        <w:t xml:space="preserve"> </w:t>
      </w:r>
      <w:r w:rsidR="007C5277" w:rsidRPr="000D7D0A">
        <w:rPr>
          <w:rFonts w:ascii="Times New Roman" w:eastAsia="Times New Roman" w:hAnsi="Times New Roman" w:cs="Times New Roman"/>
          <w:sz w:val="24"/>
          <w:szCs w:val="24"/>
          <w:lang w:eastAsia="es-ES"/>
        </w:rPr>
        <w:t xml:space="preserve">clásica, burocrática i </w:t>
      </w:r>
      <w:proofErr w:type="spellStart"/>
      <w:r w:rsidR="007C5277" w:rsidRPr="000D7D0A">
        <w:rPr>
          <w:rFonts w:ascii="Times New Roman" w:eastAsia="Times New Roman" w:hAnsi="Times New Roman" w:cs="Times New Roman"/>
          <w:sz w:val="24"/>
          <w:szCs w:val="24"/>
          <w:lang w:eastAsia="es-ES"/>
        </w:rPr>
        <w:t>weberiana</w:t>
      </w:r>
      <w:proofErr w:type="spellEnd"/>
      <w:r w:rsidR="007C5277" w:rsidRPr="000D7D0A">
        <w:rPr>
          <w:rFonts w:ascii="Times New Roman" w:eastAsia="Times New Roman" w:hAnsi="Times New Roman" w:cs="Times New Roman"/>
          <w:sz w:val="24"/>
          <w:szCs w:val="24"/>
          <w:lang w:eastAsia="es-ES"/>
        </w:rPr>
        <w:t xml:space="preserve">, </w:t>
      </w:r>
      <w:r w:rsidRPr="000D7D0A">
        <w:rPr>
          <w:rFonts w:ascii="Times New Roman" w:eastAsia="Times New Roman" w:hAnsi="Times New Roman" w:cs="Times New Roman"/>
          <w:sz w:val="24"/>
          <w:szCs w:val="24"/>
          <w:lang w:eastAsia="es-ES"/>
        </w:rPr>
        <w:t xml:space="preserve">se han construido otros análisis habitualmente conocidos como </w:t>
      </w:r>
      <w:proofErr w:type="spellStart"/>
      <w:r w:rsidRPr="000D7D0A">
        <w:rPr>
          <w:rFonts w:ascii="Times New Roman" w:eastAsia="Times New Roman" w:hAnsi="Times New Roman" w:cs="Times New Roman"/>
          <w:i/>
          <w:sz w:val="24"/>
          <w:szCs w:val="24"/>
          <w:lang w:eastAsia="es-ES"/>
        </w:rPr>
        <w:t>bottom</w:t>
      </w:r>
      <w:proofErr w:type="spellEnd"/>
      <w:r w:rsidRPr="000D7D0A">
        <w:rPr>
          <w:rFonts w:ascii="Times New Roman" w:eastAsia="Times New Roman" w:hAnsi="Times New Roman" w:cs="Times New Roman"/>
          <w:i/>
          <w:sz w:val="24"/>
          <w:szCs w:val="24"/>
          <w:lang w:eastAsia="es-ES"/>
        </w:rPr>
        <w:t>-up</w:t>
      </w:r>
      <w:r w:rsidRPr="000D7D0A">
        <w:rPr>
          <w:rFonts w:ascii="Times New Roman" w:eastAsia="Times New Roman" w:hAnsi="Times New Roman" w:cs="Times New Roman"/>
          <w:sz w:val="24"/>
          <w:szCs w:val="24"/>
          <w:lang w:eastAsia="es-ES"/>
        </w:rPr>
        <w:t xml:space="preserve"> o de abajo a arriba.  En esta visión, no sólo son relevantes las decisiones que</w:t>
      </w:r>
      <w:r w:rsidR="00A87670" w:rsidRPr="000D7D0A">
        <w:rPr>
          <w:rFonts w:ascii="Times New Roman" w:eastAsia="Times New Roman" w:hAnsi="Times New Roman" w:cs="Times New Roman"/>
          <w:sz w:val="24"/>
          <w:szCs w:val="24"/>
          <w:lang w:eastAsia="es-ES"/>
        </w:rPr>
        <w:t xml:space="preserve"> se toman al inicio</w:t>
      </w:r>
      <w:r w:rsidRPr="000D7D0A">
        <w:rPr>
          <w:rFonts w:ascii="Times New Roman" w:eastAsia="Times New Roman" w:hAnsi="Times New Roman" w:cs="Times New Roman"/>
          <w:sz w:val="24"/>
          <w:szCs w:val="24"/>
          <w:lang w:eastAsia="es-ES"/>
        </w:rPr>
        <w:t xml:space="preserve"> sino </w:t>
      </w:r>
      <w:r w:rsidR="007C5277" w:rsidRPr="000D7D0A">
        <w:rPr>
          <w:rFonts w:ascii="Times New Roman" w:eastAsia="Times New Roman" w:hAnsi="Times New Roman" w:cs="Times New Roman"/>
          <w:sz w:val="24"/>
          <w:szCs w:val="24"/>
          <w:lang w:eastAsia="es-ES"/>
        </w:rPr>
        <w:t xml:space="preserve">todo </w:t>
      </w:r>
      <w:r w:rsidRPr="000D7D0A">
        <w:rPr>
          <w:rFonts w:ascii="Times New Roman" w:eastAsia="Times New Roman" w:hAnsi="Times New Roman" w:cs="Times New Roman"/>
          <w:sz w:val="24"/>
          <w:szCs w:val="24"/>
          <w:lang w:eastAsia="es-ES"/>
        </w:rPr>
        <w:t xml:space="preserve">el proceso que se desarrolla a través de la red de actores implicados o necesarios en la implementación. </w:t>
      </w:r>
    </w:p>
    <w:p w:rsidR="00B41934" w:rsidRPr="000D7D0A" w:rsidRDefault="00B41934" w:rsidP="00B41934">
      <w:pPr>
        <w:spacing w:after="0"/>
        <w:jc w:val="both"/>
        <w:rPr>
          <w:rFonts w:ascii="Times New Roman" w:eastAsia="Times New Roman" w:hAnsi="Times New Roman" w:cs="Times New Roman"/>
          <w:sz w:val="24"/>
          <w:szCs w:val="24"/>
          <w:lang w:eastAsia="es-ES"/>
        </w:rPr>
      </w:pPr>
    </w:p>
    <w:p w:rsidR="00B41934" w:rsidRPr="000D7D0A" w:rsidRDefault="00B41934" w:rsidP="00B41934">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Como apunta </w:t>
      </w:r>
      <w:proofErr w:type="spellStart"/>
      <w:r w:rsidRPr="000D7D0A">
        <w:rPr>
          <w:rFonts w:ascii="Times New Roman" w:eastAsia="Times New Roman" w:hAnsi="Times New Roman" w:cs="Times New Roman"/>
          <w:sz w:val="24"/>
          <w:szCs w:val="24"/>
          <w:lang w:eastAsia="es-ES"/>
        </w:rPr>
        <w:t>Téles</w:t>
      </w:r>
      <w:proofErr w:type="spellEnd"/>
      <w:r w:rsidRPr="000D7D0A">
        <w:rPr>
          <w:rFonts w:ascii="Times New Roman" w:eastAsia="Times New Roman" w:hAnsi="Times New Roman" w:cs="Times New Roman"/>
          <w:sz w:val="24"/>
          <w:szCs w:val="24"/>
          <w:lang w:eastAsia="es-ES"/>
        </w:rPr>
        <w:t xml:space="preserve"> </w:t>
      </w:r>
      <w:r w:rsidR="00361692" w:rsidRPr="000D7D0A">
        <w:rPr>
          <w:rFonts w:ascii="Times New Roman" w:eastAsia="Times New Roman" w:hAnsi="Times New Roman" w:cs="Times New Roman"/>
          <w:sz w:val="24"/>
          <w:szCs w:val="24"/>
          <w:lang w:eastAsia="es-ES"/>
        </w:rPr>
        <w:fldChar w:fldCharType="begin" w:fldLock="1"/>
      </w:r>
      <w:r w:rsidR="004F1B4E" w:rsidRPr="000D7D0A">
        <w:rPr>
          <w:rFonts w:ascii="Times New Roman" w:eastAsia="Times New Roman" w:hAnsi="Times New Roman" w:cs="Times New Roman"/>
          <w:sz w:val="24"/>
          <w:szCs w:val="24"/>
          <w:lang w:eastAsia="es-ES"/>
        </w:rPr>
        <w:instrText>ADDIN CSL_CITATION { "citationItems" : [ { "id" : "ITEM-1", "itemData" : { "ISBN" : "9781137445735", "abstract" : "Territory and scale have been some of the most relevant topics in recent political science, but do we know enough about cooperation between local governments? How we think about local government has changed significantly and requires us to be equipped with new epistemological gear, considering more variables and social functions of local government than before. For instance, is inter-municipal cooperation a special arrangement? The answer is certainly positive, not as a consequence of its nature when compared to other alternatives of policy coordination and service delivery, but because it captures almost every facet of the complexity of contemporary territorial governance. Bringing relevant case-studies, previous research, and available literature together, this book will help researchers, students and practitioners with these ideas. The author provides comprehensive information about inter-municipal cooperation and identifies the main gaps in contemporary research. Local governments working together : relevance and motivations -- Diversity in inter-municipal arrangements : nature, theory and citizens -- In search of efficiency in local governance : size and alternatives -- Rescaling governance in European reforms -- An illustration : the Portuguese case -- Inter-municipal cooperation : present limitations and future developments.", "author" : [ { "dropping-particle" : "", "family" : "Teles", "given" : "Filipe", "non-dropping-particle" : "", "parse-names" : false, "suffix" : "" } ], "id" : "ITEM-1", "issued" : { "date-parts" : [ [ "2016" ] ] }, "title" : "Local governance and inter-municipal cooperation", "type" : "book" }, "uris" : [ "http://www.mendeley.com/documents/?uuid=5b509dd1-5e9c-3077-8f60-42245af63f76" ] } ], "mendeley" : { "formattedCitation" : "(Teles 2016)", "manualFormatting" : "(2016)", "plainTextFormattedCitation" : "(Teles 2016)", "previouslyFormattedCitation" : "(Teles 2016)" }, "properties" : { "noteIndex" : 0 }, "schema" : "https://github.com/citation-style-language/schema/raw/master/csl-citation.json" }</w:instrText>
      </w:r>
      <w:r w:rsidR="00361692" w:rsidRPr="000D7D0A">
        <w:rPr>
          <w:rFonts w:ascii="Times New Roman" w:eastAsia="Times New Roman" w:hAnsi="Times New Roman" w:cs="Times New Roman"/>
          <w:sz w:val="24"/>
          <w:szCs w:val="24"/>
          <w:lang w:eastAsia="es-ES"/>
        </w:rPr>
        <w:fldChar w:fldCharType="separate"/>
      </w:r>
      <w:r w:rsidRPr="000D7D0A">
        <w:rPr>
          <w:rFonts w:ascii="Times New Roman" w:eastAsia="Times New Roman" w:hAnsi="Times New Roman" w:cs="Times New Roman"/>
          <w:noProof/>
          <w:sz w:val="24"/>
          <w:szCs w:val="24"/>
          <w:lang w:eastAsia="es-ES"/>
        </w:rPr>
        <w:t>(2016)</w:t>
      </w:r>
      <w:r w:rsidR="00361692" w:rsidRPr="000D7D0A">
        <w:rPr>
          <w:rFonts w:ascii="Times New Roman" w:eastAsia="Times New Roman" w:hAnsi="Times New Roman" w:cs="Times New Roman"/>
          <w:sz w:val="24"/>
          <w:szCs w:val="24"/>
          <w:lang w:eastAsia="es-ES"/>
        </w:rPr>
        <w:fldChar w:fldCharType="end"/>
      </w:r>
      <w:r w:rsidRPr="000D7D0A">
        <w:rPr>
          <w:rFonts w:ascii="Times New Roman" w:eastAsia="Times New Roman" w:hAnsi="Times New Roman" w:cs="Times New Roman"/>
          <w:sz w:val="24"/>
          <w:szCs w:val="24"/>
          <w:lang w:eastAsia="es-ES"/>
        </w:rPr>
        <w:t xml:space="preserve">, es oportuno mirar las políticas públicas no como un escenario donde algunas entidades controlan el proceso desde una perspectiva </w:t>
      </w:r>
      <w:r w:rsidRPr="000D7D0A">
        <w:rPr>
          <w:rFonts w:ascii="Times New Roman" w:eastAsia="Times New Roman" w:hAnsi="Times New Roman" w:cs="Times New Roman"/>
          <w:i/>
          <w:sz w:val="24"/>
          <w:szCs w:val="24"/>
          <w:lang w:eastAsia="es-ES"/>
        </w:rPr>
        <w:t>top-</w:t>
      </w:r>
      <w:proofErr w:type="spellStart"/>
      <w:r w:rsidRPr="000D7D0A">
        <w:rPr>
          <w:rFonts w:ascii="Times New Roman" w:eastAsia="Times New Roman" w:hAnsi="Times New Roman" w:cs="Times New Roman"/>
          <w:i/>
          <w:sz w:val="24"/>
          <w:szCs w:val="24"/>
          <w:lang w:eastAsia="es-ES"/>
        </w:rPr>
        <w:t>down</w:t>
      </w:r>
      <w:proofErr w:type="spellEnd"/>
      <w:r w:rsidRPr="000D7D0A">
        <w:rPr>
          <w:rFonts w:ascii="Times New Roman" w:eastAsia="Times New Roman" w:hAnsi="Times New Roman" w:cs="Times New Roman"/>
          <w:sz w:val="24"/>
          <w:szCs w:val="24"/>
          <w:lang w:eastAsia="es-ES"/>
        </w:rPr>
        <w:t xml:space="preserve"> </w:t>
      </w:r>
      <w:proofErr w:type="spellStart"/>
      <w:r w:rsidRPr="000D7D0A">
        <w:rPr>
          <w:rFonts w:ascii="Times New Roman" w:eastAsia="Times New Roman" w:hAnsi="Times New Roman" w:cs="Times New Roman"/>
          <w:sz w:val="24"/>
          <w:szCs w:val="24"/>
          <w:lang w:eastAsia="es-ES"/>
        </w:rPr>
        <w:t>sinó</w:t>
      </w:r>
      <w:proofErr w:type="spellEnd"/>
      <w:r w:rsidRPr="000D7D0A">
        <w:rPr>
          <w:rFonts w:ascii="Times New Roman" w:eastAsia="Times New Roman" w:hAnsi="Times New Roman" w:cs="Times New Roman"/>
          <w:sz w:val="24"/>
          <w:szCs w:val="24"/>
          <w:lang w:eastAsia="es-ES"/>
        </w:rPr>
        <w:t xml:space="preserve"> como una estructura de poder compartido que construye la colaboración entre diferentes entidades. </w:t>
      </w:r>
    </w:p>
    <w:p w:rsidR="00B41934" w:rsidRPr="000D7D0A" w:rsidRDefault="00B41934" w:rsidP="00B41934">
      <w:pPr>
        <w:spacing w:after="0"/>
        <w:jc w:val="both"/>
        <w:rPr>
          <w:rFonts w:ascii="Times New Roman" w:eastAsia="Times New Roman" w:hAnsi="Times New Roman" w:cs="Times New Roman"/>
          <w:sz w:val="24"/>
          <w:szCs w:val="24"/>
          <w:lang w:eastAsia="es-ES"/>
        </w:rPr>
      </w:pPr>
    </w:p>
    <w:p w:rsidR="00B41934" w:rsidRPr="000D7D0A" w:rsidRDefault="00B41934" w:rsidP="00B41934">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En la literatura cada vez es más evidente el rol importante y destacado del diseño y la formulación de actores que en una  perspectiva top-</w:t>
      </w:r>
      <w:proofErr w:type="spellStart"/>
      <w:r w:rsidRPr="000D7D0A">
        <w:rPr>
          <w:rFonts w:ascii="Times New Roman" w:eastAsia="Times New Roman" w:hAnsi="Times New Roman" w:cs="Times New Roman"/>
          <w:sz w:val="24"/>
          <w:szCs w:val="24"/>
          <w:lang w:eastAsia="es-ES"/>
        </w:rPr>
        <w:t>down</w:t>
      </w:r>
      <w:proofErr w:type="spellEnd"/>
      <w:r w:rsidRPr="000D7D0A">
        <w:rPr>
          <w:rFonts w:ascii="Times New Roman" w:eastAsia="Times New Roman" w:hAnsi="Times New Roman" w:cs="Times New Roman"/>
          <w:sz w:val="24"/>
          <w:szCs w:val="24"/>
          <w:lang w:eastAsia="es-ES"/>
        </w:rPr>
        <w:t xml:space="preserve"> serian mero</w:t>
      </w:r>
      <w:r w:rsidR="007C16AC" w:rsidRPr="000D7D0A">
        <w:rPr>
          <w:rFonts w:ascii="Times New Roman" w:eastAsia="Times New Roman" w:hAnsi="Times New Roman" w:cs="Times New Roman"/>
          <w:sz w:val="24"/>
          <w:szCs w:val="24"/>
          <w:lang w:eastAsia="es-ES"/>
        </w:rPr>
        <w:t>s implementadores abajo. P</w:t>
      </w:r>
      <w:r w:rsidRPr="000D7D0A">
        <w:rPr>
          <w:rFonts w:ascii="Times New Roman" w:eastAsia="Times New Roman" w:hAnsi="Times New Roman" w:cs="Times New Roman"/>
          <w:sz w:val="24"/>
          <w:szCs w:val="24"/>
          <w:lang w:eastAsia="es-ES"/>
        </w:rPr>
        <w:t>or lo tanto esta perspectiva de arriba abajo, aún siendo útil en algunos casos, no alcanza a advertir la totalidad del escenario.</w:t>
      </w:r>
    </w:p>
    <w:p w:rsidR="00B41934" w:rsidRPr="000D7D0A" w:rsidRDefault="00B41934" w:rsidP="00B41934">
      <w:pPr>
        <w:spacing w:after="0"/>
        <w:jc w:val="both"/>
        <w:rPr>
          <w:rFonts w:ascii="Times New Roman" w:eastAsia="Times New Roman" w:hAnsi="Times New Roman" w:cs="Times New Roman"/>
          <w:sz w:val="24"/>
          <w:szCs w:val="24"/>
          <w:lang w:eastAsia="es-ES"/>
        </w:rPr>
      </w:pPr>
    </w:p>
    <w:p w:rsidR="00B41934" w:rsidRPr="000D7D0A" w:rsidRDefault="00B41934" w:rsidP="00B41934">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Esta reflexión se relaciona con la </w:t>
      </w:r>
      <w:r w:rsidRPr="000D7D0A">
        <w:rPr>
          <w:rFonts w:ascii="Times New Roman" w:hAnsi="Times New Roman" w:cs="Times New Roman"/>
          <w:sz w:val="24"/>
          <w:szCs w:val="24"/>
        </w:rPr>
        <w:t xml:space="preserve">aproximación teórica de las redes de gobernanza, ya que no separa categóricamente las fases del diseño y la implementación, </w:t>
      </w:r>
      <w:r w:rsidR="007C16AC" w:rsidRPr="000D7D0A">
        <w:rPr>
          <w:rFonts w:ascii="Times New Roman" w:hAnsi="Times New Roman" w:cs="Times New Roman"/>
          <w:sz w:val="24"/>
          <w:szCs w:val="24"/>
        </w:rPr>
        <w:t>dado</w:t>
      </w:r>
      <w:r w:rsidRPr="000D7D0A">
        <w:rPr>
          <w:rFonts w:ascii="Times New Roman" w:hAnsi="Times New Roman" w:cs="Times New Roman"/>
          <w:sz w:val="24"/>
          <w:szCs w:val="24"/>
        </w:rPr>
        <w:t xml:space="preserve"> que enfatiza la negociación conjunta y permanente entre distintos actores. </w:t>
      </w:r>
    </w:p>
    <w:p w:rsidR="00B41934" w:rsidRPr="000D7D0A" w:rsidRDefault="00B41934" w:rsidP="00B41934">
      <w:pPr>
        <w:pStyle w:val="NormalWeb"/>
        <w:spacing w:before="0" w:beforeAutospacing="0" w:after="0" w:afterAutospacing="0" w:line="276" w:lineRule="auto"/>
        <w:jc w:val="both"/>
      </w:pPr>
    </w:p>
    <w:p w:rsidR="00B41934" w:rsidRPr="000D7D0A" w:rsidRDefault="00B41934" w:rsidP="00B41934">
      <w:pPr>
        <w:pStyle w:val="NormalWeb"/>
        <w:spacing w:before="0" w:beforeAutospacing="0" w:after="0" w:afterAutospacing="0" w:line="276" w:lineRule="auto"/>
        <w:jc w:val="both"/>
      </w:pPr>
      <w:r w:rsidRPr="000D7D0A">
        <w:t xml:space="preserve">En definitiva, y como apuntan algunos autores </w:t>
      </w:r>
      <w:r w:rsidR="00361692" w:rsidRPr="000D7D0A">
        <w:fldChar w:fldCharType="begin" w:fldLock="1"/>
      </w:r>
      <w:r w:rsidR="004F1B4E" w:rsidRPr="000D7D0A">
        <w:instrText>ADDIN CSL_CITATION { "citationItems" : [ { "id" : "ITEM-1", "itemData" : { "ISBN" : "9788434409965", "author" : [ { "dropping-particle" : "", "family" : "Dente", "given" : "Bruno", "non-dropping-particle" : "", "parse-names" : false, "suffix" : "" }, { "dropping-particle" : "", "family" : "Subirats", "given" : "Joan", "non-dropping-particle" : "", "parse-names" : false, "suffix" : "" } ], "id" : "ITEM-1", "issued" : { "date-parts" : [ [ "2014" ] ] }, "publisher" : "Ariel", "publisher-place" : "Barcelona :", "title" : "Decisiones p\u00fablicas : an\u00e1lisis y estudio de los procesos de decisi\u00f3n en pol\u00edticas p\u00fablicas", "type" : "book" }, "uris" : [ "http://www.mendeley.com/documents/?uuid=b2798450-8ce9-4646-ab5c-7b5b332978a2" ] }, { "id" : "ITEM-2", "itemData" : { "ISBN" : "9781405873529 (pbk.)", "author" : [ { "dropping-particle" : "", "family" : "Hill", "given" : "Michael J.", "non-dropping-particle" : "", "parse-names" : false, "suffix" : "" } ], "id" : "ITEM-2", "issued" : { "date-parts" : [ [ "2009" ] ] }, "publisher" : "Longman", "publisher-place" : "New York :", "title" : "The public policy process", "type" : "book" }, "uris" : [ "http://www.mendeley.com/documents/?uuid=ce2de01a-7127-4b99-8c20-2462a55203a4" ] } ], "mendeley" : { "formattedCitation" : "(Dente &amp; Subirats 2014; Hill 2009)", "plainTextFormattedCitation" : "(Dente &amp; Subirats 2014; Hill 2009)", "previouslyFormattedCitation" : "(Dente &amp; Subirats 2014; Hill 2009)" }, "properties" : { "noteIndex" : 0 }, "schema" : "https://github.com/citation-style-language/schema/raw/master/csl-citation.json" }</w:instrText>
      </w:r>
      <w:r w:rsidR="00361692" w:rsidRPr="000D7D0A">
        <w:fldChar w:fldCharType="separate"/>
      </w:r>
      <w:r w:rsidR="004F1B4E" w:rsidRPr="000D7D0A">
        <w:rPr>
          <w:noProof/>
        </w:rPr>
        <w:t>(Dente &amp; Subirats 2014; Hill 2009)</w:t>
      </w:r>
      <w:r w:rsidR="00361692" w:rsidRPr="000D7D0A">
        <w:fldChar w:fldCharType="end"/>
      </w:r>
      <w:r w:rsidRPr="000D7D0A">
        <w:t xml:space="preserve">, aunque la dicotomía entre los enfoques </w:t>
      </w:r>
      <w:r w:rsidRPr="000D7D0A">
        <w:rPr>
          <w:i/>
        </w:rPr>
        <w:t>top-</w:t>
      </w:r>
      <w:proofErr w:type="spellStart"/>
      <w:r w:rsidRPr="000D7D0A">
        <w:rPr>
          <w:i/>
        </w:rPr>
        <w:t>down</w:t>
      </w:r>
      <w:proofErr w:type="spellEnd"/>
      <w:r w:rsidRPr="000D7D0A">
        <w:t xml:space="preserve"> y </w:t>
      </w:r>
      <w:proofErr w:type="spellStart"/>
      <w:r w:rsidRPr="000D7D0A">
        <w:rPr>
          <w:i/>
        </w:rPr>
        <w:t>bottom</w:t>
      </w:r>
      <w:proofErr w:type="spellEnd"/>
      <w:r w:rsidRPr="000D7D0A">
        <w:rPr>
          <w:i/>
        </w:rPr>
        <w:t>-up</w:t>
      </w:r>
      <w:r w:rsidRPr="000D7D0A">
        <w:t xml:space="preserve"> es útil porque muestra las diferencias y ayuda a clarificar, para realizar un análisis rico y completo se pueden y deben integrar las dos perspectivas.  Esto es lo que pretende desarrollar la presente tesis doctoral, usando distintos elementos de cada enfoque para exprimir analíticamente los casos estudiados. </w:t>
      </w:r>
    </w:p>
    <w:p w:rsidR="00B41934" w:rsidRPr="000D7D0A" w:rsidRDefault="00B41934" w:rsidP="00B41934">
      <w:pPr>
        <w:pStyle w:val="NormalWeb"/>
        <w:spacing w:before="0" w:beforeAutospacing="0" w:after="0" w:afterAutospacing="0" w:line="276" w:lineRule="auto"/>
        <w:jc w:val="both"/>
      </w:pPr>
    </w:p>
    <w:p w:rsidR="00B41934" w:rsidRPr="000D7D0A" w:rsidRDefault="00B41934" w:rsidP="00B41934">
      <w:pPr>
        <w:pStyle w:val="NormalWeb"/>
        <w:spacing w:before="0" w:beforeAutospacing="0" w:after="0" w:afterAutospacing="0" w:line="276" w:lineRule="auto"/>
        <w:jc w:val="both"/>
      </w:pPr>
      <w:r w:rsidRPr="000D7D0A">
        <w:t xml:space="preserve">Una vez introducidos algunos elementos teóricos, es pertinente definir el objeto de estudio de la presente tesis doctoral: las vías verdes. </w:t>
      </w:r>
    </w:p>
    <w:p w:rsidR="00B41934" w:rsidRPr="000D7D0A" w:rsidRDefault="00B41934" w:rsidP="00B41934">
      <w:pPr>
        <w:pStyle w:val="NormalWeb"/>
        <w:spacing w:before="0" w:beforeAutospacing="0" w:after="0" w:afterAutospacing="0" w:line="276" w:lineRule="auto"/>
        <w:jc w:val="both"/>
      </w:pPr>
    </w:p>
    <w:p w:rsidR="00B41934" w:rsidRPr="000D7D0A" w:rsidRDefault="00B41934" w:rsidP="00B41934">
      <w:pPr>
        <w:pStyle w:val="Ttulo3"/>
        <w:spacing w:line="276" w:lineRule="auto"/>
        <w:jc w:val="both"/>
        <w:rPr>
          <w:sz w:val="24"/>
          <w:szCs w:val="24"/>
        </w:rPr>
      </w:pPr>
      <w:bookmarkStart w:id="9" w:name="_Toc486704495"/>
      <w:bookmarkStart w:id="10" w:name="_Toc487465098"/>
      <w:bookmarkStart w:id="11" w:name="_Toc492389021"/>
      <w:r w:rsidRPr="000D7D0A">
        <w:rPr>
          <w:sz w:val="24"/>
          <w:szCs w:val="24"/>
        </w:rPr>
        <w:t>Vías verde</w:t>
      </w:r>
      <w:bookmarkEnd w:id="9"/>
      <w:bookmarkEnd w:id="10"/>
      <w:r w:rsidR="00265BEF" w:rsidRPr="000D7D0A">
        <w:rPr>
          <w:sz w:val="24"/>
          <w:szCs w:val="24"/>
        </w:rPr>
        <w:t>s</w:t>
      </w:r>
      <w:bookmarkEnd w:id="11"/>
    </w:p>
    <w:p w:rsidR="00B41934" w:rsidRPr="000D7D0A" w:rsidRDefault="00B41934" w:rsidP="00B41934">
      <w:pPr>
        <w:jc w:val="both"/>
        <w:rPr>
          <w:rFonts w:ascii="Times New Roman" w:hAnsi="Times New Roman" w:cs="Times New Roman"/>
          <w:noProof/>
          <w:sz w:val="24"/>
          <w:szCs w:val="24"/>
        </w:rPr>
      </w:pPr>
      <w:r w:rsidRPr="000D7D0A">
        <w:rPr>
          <w:rFonts w:ascii="Times New Roman" w:hAnsi="Times New Roman" w:cs="Times New Roman"/>
          <w:noProof/>
          <w:sz w:val="24"/>
          <w:szCs w:val="24"/>
        </w:rPr>
        <w:t xml:space="preserve">Hay múltiples aproximaciones al concepto de vía verde. Una definición entiende las vias verdes como líneas en el territorio, diseñadas para usos naturales, recreacionales o de otro tipo </w:t>
      </w:r>
      <w:r w:rsidR="00361692" w:rsidRPr="000D7D0A">
        <w:rPr>
          <w:rFonts w:ascii="Times New Roman" w:hAnsi="Times New Roman" w:cs="Times New Roman"/>
          <w:noProof/>
          <w:sz w:val="24"/>
          <w:szCs w:val="24"/>
        </w:rPr>
        <w:fldChar w:fldCharType="begin" w:fldLock="1"/>
      </w:r>
      <w:r w:rsidR="004F1B4E" w:rsidRPr="000D7D0A">
        <w:rPr>
          <w:rFonts w:ascii="Times New Roman" w:hAnsi="Times New Roman" w:cs="Times New Roman"/>
          <w:noProof/>
          <w:sz w:val="24"/>
          <w:szCs w:val="24"/>
        </w:rPr>
        <w:instrText>ADDIN CSL_CITATION { "citationItems" : [ { "id" : "ITEM-1", "itemData" : { "ISBN" : "1559633255", "author" : [ { "dropping-particle" : "", "family" : "Hellmund", "given" : "Paul Cawood", "non-dropping-particle" : "", "parse-names" : false, "suffix" : "" }, { "dropping-particle" : "", "family" : "Smith", "given" : "Daniel Somers", "non-dropping-particle" : "", "parse-names" : false, "suffix" : "" } ], "id" : "ITEM-1", "issued" : { "date-parts" : [ [ "2006" ] ] }, "publisher" : "IslandPress", "publisher-place" : "Washington [etc.] :", "title" : "Designing greenways : sustainable landscapes for nature and people", "type" : "book" }, "uris" : [ "http://www.mendeley.com/documents/?uuid=fdc652a1-9f4e-4db8-9c96-9c8920356ac1" ] } ], "mendeley" : { "formattedCitation" : "(Hellmund &amp; Smith 2006)", "plainTextFormattedCitation" : "(Hellmund &amp; Smith 2006)", "previouslyFormattedCitation" : "(Hellmund &amp; Smith 2006)" }, "properties" : { "noteIndex" : 0 }, "schema" : "https://github.com/citation-style-language/schema/raw/master/csl-citation.json" }</w:instrText>
      </w:r>
      <w:r w:rsidR="00361692" w:rsidRPr="000D7D0A">
        <w:rPr>
          <w:rFonts w:ascii="Times New Roman" w:hAnsi="Times New Roman" w:cs="Times New Roman"/>
          <w:noProof/>
          <w:sz w:val="24"/>
          <w:szCs w:val="24"/>
        </w:rPr>
        <w:fldChar w:fldCharType="separate"/>
      </w:r>
      <w:r w:rsidR="004F1B4E" w:rsidRPr="000D7D0A">
        <w:rPr>
          <w:rFonts w:ascii="Times New Roman" w:hAnsi="Times New Roman" w:cs="Times New Roman"/>
          <w:noProof/>
          <w:sz w:val="24"/>
          <w:szCs w:val="24"/>
        </w:rPr>
        <w:t>(Hellmund &amp; Smith 2006)</w:t>
      </w:r>
      <w:r w:rsidR="00361692" w:rsidRPr="000D7D0A">
        <w:rPr>
          <w:rFonts w:ascii="Times New Roman" w:hAnsi="Times New Roman" w:cs="Times New Roman"/>
          <w:noProof/>
          <w:sz w:val="24"/>
          <w:szCs w:val="24"/>
        </w:rPr>
        <w:fldChar w:fldCharType="end"/>
      </w:r>
      <w:r w:rsidRPr="000D7D0A">
        <w:rPr>
          <w:rFonts w:ascii="Times New Roman" w:hAnsi="Times New Roman" w:cs="Times New Roman"/>
          <w:noProof/>
          <w:sz w:val="24"/>
          <w:szCs w:val="24"/>
        </w:rPr>
        <w:t xml:space="preserve">. En el libro recoge hasta 31 conceptos diferentes de vías verdes según los objetivos perseguidos y contextos donde se encuentran. Así, muestra desde corredores biológicos, espacios abiertos, corredores perimetrales en los parques o vías puramente recreacionales. Algunos de ellos circulan por dentro de las </w:t>
      </w:r>
      <w:r w:rsidRPr="000D7D0A">
        <w:rPr>
          <w:rFonts w:ascii="Times New Roman" w:hAnsi="Times New Roman" w:cs="Times New Roman"/>
          <w:noProof/>
          <w:sz w:val="24"/>
          <w:szCs w:val="24"/>
        </w:rPr>
        <w:lastRenderedPageBreak/>
        <w:t>ciudades, otras conectan las urbes con su entorno natural, y también las hay que discurren completamente alejadas de los entornos urbanos, en espacios rurales o naturales.</w:t>
      </w:r>
    </w:p>
    <w:p w:rsidR="00B41934" w:rsidRPr="000D7D0A" w:rsidRDefault="00B41934" w:rsidP="00B41934">
      <w:pPr>
        <w:jc w:val="both"/>
        <w:rPr>
          <w:rFonts w:ascii="Times New Roman" w:hAnsi="Times New Roman" w:cs="Times New Roman"/>
          <w:noProof/>
          <w:sz w:val="24"/>
          <w:szCs w:val="24"/>
        </w:rPr>
      </w:pPr>
      <w:r w:rsidRPr="000D7D0A">
        <w:rPr>
          <w:rFonts w:ascii="Times New Roman" w:hAnsi="Times New Roman" w:cs="Times New Roman"/>
          <w:noProof/>
          <w:sz w:val="24"/>
          <w:szCs w:val="24"/>
        </w:rPr>
        <w:t xml:space="preserve">Ericksson </w:t>
      </w:r>
      <w:r w:rsidR="00361692" w:rsidRPr="000D7D0A">
        <w:rPr>
          <w:rFonts w:ascii="Times New Roman" w:hAnsi="Times New Roman" w:cs="Times New Roman"/>
          <w:noProof/>
          <w:sz w:val="24"/>
          <w:szCs w:val="24"/>
        </w:rPr>
        <w:fldChar w:fldCharType="begin" w:fldLock="1"/>
      </w:r>
      <w:r w:rsidR="004F1B4E" w:rsidRPr="000D7D0A">
        <w:rPr>
          <w:rFonts w:ascii="Times New Roman" w:hAnsi="Times New Roman" w:cs="Times New Roman"/>
          <w:noProof/>
          <w:sz w:val="24"/>
          <w:szCs w:val="24"/>
        </w:rPr>
        <w:instrText>ADDIN CSL_CITATION { "citationItems" : [ { "id" : "ITEM-1", "itemData" : { "DOI" : "10.1007/s10980-007-9157-8", "ISBN" : "1559638435", "ISSN" : "0921-2973", "abstract" : "In metropolitan areas across the country, you can hear the laments over the loss of green space to new subdivisions and strip malls. But some city residents have taken unprecedented measures to protect their open land, and a growing movement seeks not only to preserve these lands but to link them in green corridors. \u00a0 Many land-use and urban planning professionals, along with landscape architects and environmental advocates, have joined in efforts to preserve natural areas. MetroGreen answers their call for a deeper exploration of the latest thinking and newest practices in this growing conservation field. In ten case studies of U.S. and Canadian cities paired for comparative analysis-Toronto and Chicago, Calgary and Denver, and Vancouver and Portland among them-Erickson looks closely at the motivations and objectives for connecting open spaces across metropolitan areas. She documents how open-space networks have been successfully created and protected, while also highlighting the critical human and ecological benefits of connectivity. \u00a0 MetroGreen's unique focus on several cities rather than a single urban area offers a perspective on the political, economic, cultural, and environmental conditions that affect open-space planning and the outcomes of its implementation.", "author" : [ { "dropping-particle" : "", "family" : "Erickson", "given" : "Donna", "non-dropping-particle" : "", "parse-names" : false, "suffix" : "" } ], "container-title" : "Landscape Ecology", "id" : "ITEM-1", "issue" : "1", "issued" : { "date-parts" : [ [ "2008" ] ] }, "page" : "121-122", "title" : "MetroGreen: Connecting Open Space in North American Cities", "type" : "article-journal", "volume" : "23" }, "uris" : [ "http://www.mendeley.com/documents/?uuid=9388a57a-6632-46e7-b12d-8d3eab2e1237" ] } ], "mendeley" : { "formattedCitation" : "(Erickson 2008)", "manualFormatting" : "(2008)", "plainTextFormattedCitation" : "(Erickson 2008)", "previouslyFormattedCitation" : "(Erickson 2008)" }, "properties" : { "noteIndex" : 0 }, "schema" : "https://github.com/citation-style-language/schema/raw/master/csl-citation.json" }</w:instrText>
      </w:r>
      <w:r w:rsidR="00361692" w:rsidRPr="000D7D0A">
        <w:rPr>
          <w:rFonts w:ascii="Times New Roman" w:hAnsi="Times New Roman" w:cs="Times New Roman"/>
          <w:noProof/>
          <w:sz w:val="24"/>
          <w:szCs w:val="24"/>
        </w:rPr>
        <w:fldChar w:fldCharType="separate"/>
      </w:r>
      <w:r w:rsidRPr="000D7D0A">
        <w:rPr>
          <w:rFonts w:ascii="Times New Roman" w:hAnsi="Times New Roman" w:cs="Times New Roman"/>
          <w:noProof/>
          <w:sz w:val="24"/>
          <w:szCs w:val="24"/>
        </w:rPr>
        <w:t>(2008)</w:t>
      </w:r>
      <w:r w:rsidR="00361692" w:rsidRPr="000D7D0A">
        <w:rPr>
          <w:rFonts w:ascii="Times New Roman" w:hAnsi="Times New Roman" w:cs="Times New Roman"/>
          <w:noProof/>
          <w:sz w:val="24"/>
          <w:szCs w:val="24"/>
        </w:rPr>
        <w:fldChar w:fldCharType="end"/>
      </w:r>
      <w:r w:rsidRPr="000D7D0A">
        <w:rPr>
          <w:rFonts w:ascii="Times New Roman" w:hAnsi="Times New Roman" w:cs="Times New Roman"/>
          <w:noProof/>
          <w:sz w:val="24"/>
          <w:szCs w:val="24"/>
        </w:rPr>
        <w:t xml:space="preserve">, entiende las </w:t>
      </w:r>
      <w:r w:rsidRPr="000D7D0A">
        <w:rPr>
          <w:rFonts w:ascii="Times New Roman" w:hAnsi="Times New Roman" w:cs="Times New Roman"/>
          <w:i/>
          <w:noProof/>
          <w:sz w:val="24"/>
          <w:szCs w:val="24"/>
        </w:rPr>
        <w:t>greenways</w:t>
      </w:r>
      <w:r w:rsidRPr="000D7D0A">
        <w:rPr>
          <w:rFonts w:ascii="Times New Roman" w:hAnsi="Times New Roman" w:cs="Times New Roman"/>
          <w:noProof/>
          <w:sz w:val="24"/>
          <w:szCs w:val="24"/>
        </w:rPr>
        <w:t xml:space="preserve"> como </w:t>
      </w:r>
      <w:r w:rsidRPr="000D7D0A">
        <w:rPr>
          <w:rFonts w:ascii="Times New Roman" w:hAnsi="Times New Roman" w:cs="Times New Roman"/>
          <w:sz w:val="24"/>
          <w:szCs w:val="24"/>
        </w:rPr>
        <w:t xml:space="preserve">líneas en el paisaje </w:t>
      </w:r>
      <w:r w:rsidR="00A87670" w:rsidRPr="000D7D0A">
        <w:rPr>
          <w:rFonts w:ascii="Times New Roman" w:hAnsi="Times New Roman" w:cs="Times New Roman"/>
          <w:sz w:val="24"/>
          <w:szCs w:val="24"/>
        </w:rPr>
        <w:t xml:space="preserve">creadas </w:t>
      </w:r>
      <w:r w:rsidRPr="000D7D0A">
        <w:rPr>
          <w:rFonts w:ascii="Times New Roman" w:hAnsi="Times New Roman" w:cs="Times New Roman"/>
          <w:sz w:val="24"/>
          <w:szCs w:val="24"/>
        </w:rPr>
        <w:t>expresamente persiguiendo distintos objetivos. Abarcan desde caminos en las ciudades hasta los entornos rurales o boscosos, aunque la mayoría se encuentran en áreas suburbanas. Están diseñadas expresamente, tienen un nombre oficial y los habitantes las reconocen.</w:t>
      </w:r>
      <w:r w:rsidRPr="000D7D0A">
        <w:rPr>
          <w:rFonts w:ascii="Times New Roman" w:hAnsi="Times New Roman" w:cs="Times New Roman"/>
          <w:noProof/>
          <w:sz w:val="24"/>
          <w:szCs w:val="24"/>
        </w:rPr>
        <w:t xml:space="preserve"> </w:t>
      </w:r>
    </w:p>
    <w:p w:rsidR="00B41934" w:rsidRPr="000D7D0A" w:rsidRDefault="00B41934" w:rsidP="00B41934">
      <w:pPr>
        <w:jc w:val="both"/>
        <w:rPr>
          <w:rFonts w:ascii="Times New Roman" w:hAnsi="Times New Roman" w:cs="Times New Roman"/>
          <w:noProof/>
          <w:sz w:val="24"/>
          <w:szCs w:val="24"/>
        </w:rPr>
      </w:pPr>
      <w:r w:rsidRPr="000D7D0A">
        <w:rPr>
          <w:rFonts w:ascii="Times New Roman" w:hAnsi="Times New Roman" w:cs="Times New Roman"/>
          <w:noProof/>
          <w:sz w:val="24"/>
          <w:szCs w:val="24"/>
        </w:rPr>
        <w:t>Fuera del ámbito académico también se encuentran definiciones de las vías verdes. La Asociación Europea de Vías Verdes (AEVV) es la organización que agrupa  instituciones que planifican, mantienen o promocionan vías verdes en su territorio. En el año 2000 su asamblea  aprobó una definición que sigue vigente. Así, las vías verdes “</w:t>
      </w:r>
      <w:r w:rsidRPr="000D7D0A">
        <w:rPr>
          <w:rFonts w:ascii="Times New Roman" w:hAnsi="Times New Roman" w:cs="Times New Roman"/>
          <w:i/>
          <w:iCs/>
          <w:sz w:val="24"/>
          <w:szCs w:val="24"/>
          <w:shd w:val="clear" w:color="auto" w:fill="FFFFFF"/>
        </w:rPr>
        <w:t>Son</w:t>
      </w:r>
      <w:r w:rsidRPr="000D7D0A">
        <w:rPr>
          <w:rStyle w:val="apple-converted-space"/>
          <w:rFonts w:ascii="Times New Roman" w:hAnsi="Times New Roman" w:cs="Times New Roman"/>
          <w:b/>
          <w:i/>
          <w:iCs/>
          <w:sz w:val="24"/>
          <w:szCs w:val="24"/>
          <w:shd w:val="clear" w:color="auto" w:fill="FFFFFF"/>
        </w:rPr>
        <w:t> </w:t>
      </w:r>
      <w:r w:rsidRPr="000D7D0A">
        <w:rPr>
          <w:rStyle w:val="Textoennegrita"/>
          <w:rFonts w:ascii="Times New Roman" w:hAnsi="Times New Roman" w:cs="Times New Roman"/>
          <w:b w:val="0"/>
          <w:i/>
          <w:iCs/>
          <w:sz w:val="24"/>
          <w:szCs w:val="24"/>
          <w:bdr w:val="none" w:sz="0" w:space="0" w:color="auto" w:frame="1"/>
          <w:shd w:val="clear" w:color="auto" w:fill="FFFFFF"/>
        </w:rPr>
        <w:t>vías de comunicación autónomas</w:t>
      </w:r>
      <w:r w:rsidRPr="000D7D0A">
        <w:rPr>
          <w:rStyle w:val="apple-converted-space"/>
          <w:rFonts w:ascii="Times New Roman" w:hAnsi="Times New Roman" w:cs="Times New Roman"/>
          <w:i/>
          <w:iCs/>
          <w:sz w:val="24"/>
          <w:szCs w:val="24"/>
          <w:shd w:val="clear" w:color="auto" w:fill="FFFFFF"/>
        </w:rPr>
        <w:t> </w:t>
      </w:r>
      <w:r w:rsidRPr="000D7D0A">
        <w:rPr>
          <w:rFonts w:ascii="Times New Roman" w:hAnsi="Times New Roman" w:cs="Times New Roman"/>
          <w:i/>
          <w:iCs/>
          <w:sz w:val="24"/>
          <w:szCs w:val="24"/>
          <w:shd w:val="clear" w:color="auto" w:fill="FFFFFF"/>
        </w:rPr>
        <w:t>reservadas a los</w:t>
      </w:r>
      <w:r w:rsidRPr="000D7D0A">
        <w:rPr>
          <w:rStyle w:val="apple-converted-space"/>
          <w:rFonts w:ascii="Times New Roman" w:hAnsi="Times New Roman" w:cs="Times New Roman"/>
          <w:i/>
          <w:iCs/>
          <w:sz w:val="24"/>
          <w:szCs w:val="24"/>
          <w:shd w:val="clear" w:color="auto" w:fill="FFFFFF"/>
        </w:rPr>
        <w:t> </w:t>
      </w:r>
      <w:r w:rsidRPr="000D7D0A">
        <w:rPr>
          <w:rStyle w:val="Textoennegrita"/>
          <w:rFonts w:ascii="Times New Roman" w:hAnsi="Times New Roman" w:cs="Times New Roman"/>
          <w:b w:val="0"/>
          <w:i/>
          <w:iCs/>
          <w:sz w:val="24"/>
          <w:szCs w:val="24"/>
          <w:bdr w:val="none" w:sz="0" w:space="0" w:color="auto" w:frame="1"/>
          <w:shd w:val="clear" w:color="auto" w:fill="FFFFFF"/>
        </w:rPr>
        <w:t>desplazamientos no motorizados</w:t>
      </w:r>
      <w:r w:rsidRPr="000D7D0A">
        <w:rPr>
          <w:rStyle w:val="Textoennegrita"/>
          <w:rFonts w:ascii="Times New Roman" w:hAnsi="Times New Roman" w:cs="Times New Roman"/>
          <w:i/>
          <w:iCs/>
          <w:sz w:val="24"/>
          <w:szCs w:val="24"/>
          <w:bdr w:val="none" w:sz="0" w:space="0" w:color="auto" w:frame="1"/>
          <w:shd w:val="clear" w:color="auto" w:fill="FFFFFF"/>
        </w:rPr>
        <w:t>,</w:t>
      </w:r>
      <w:r w:rsidRPr="000D7D0A">
        <w:rPr>
          <w:rStyle w:val="apple-converted-space"/>
          <w:rFonts w:ascii="Times New Roman" w:hAnsi="Times New Roman" w:cs="Times New Roman"/>
          <w:i/>
          <w:iCs/>
          <w:sz w:val="24"/>
          <w:szCs w:val="24"/>
          <w:shd w:val="clear" w:color="auto" w:fill="FFFFFF"/>
        </w:rPr>
        <w:t> </w:t>
      </w:r>
      <w:r w:rsidRPr="000D7D0A">
        <w:rPr>
          <w:rFonts w:ascii="Times New Roman" w:hAnsi="Times New Roman" w:cs="Times New Roman"/>
          <w:i/>
          <w:iCs/>
          <w:sz w:val="24"/>
          <w:szCs w:val="24"/>
          <w:shd w:val="clear" w:color="auto" w:fill="FFFFFF"/>
        </w:rPr>
        <w:t>desarrolladas en un marco de desarrollo integrado que valore el medio ambiente y la calidad de vida, cumpliendo las condiciones suficientes de anchura, pendiente y calidad superficial para garantizar una utilización en convivencia y seguridad a todos los usuarios de cualquier capacidad física. En este sentido, la utilización de los</w:t>
      </w:r>
      <w:r w:rsidRPr="000D7D0A">
        <w:rPr>
          <w:rStyle w:val="apple-converted-space"/>
          <w:rFonts w:ascii="Times New Roman" w:hAnsi="Times New Roman" w:cs="Times New Roman"/>
          <w:i/>
          <w:iCs/>
          <w:sz w:val="24"/>
          <w:szCs w:val="24"/>
          <w:shd w:val="clear" w:color="auto" w:fill="FFFFFF"/>
        </w:rPr>
        <w:t> </w:t>
      </w:r>
      <w:r w:rsidRPr="000D7D0A">
        <w:rPr>
          <w:rStyle w:val="Textoennegrita"/>
          <w:rFonts w:ascii="Times New Roman" w:hAnsi="Times New Roman" w:cs="Times New Roman"/>
          <w:b w:val="0"/>
          <w:i/>
          <w:iCs/>
          <w:sz w:val="24"/>
          <w:szCs w:val="24"/>
          <w:bdr w:val="none" w:sz="0" w:space="0" w:color="auto" w:frame="1"/>
          <w:shd w:val="clear" w:color="auto" w:fill="FFFFFF"/>
        </w:rPr>
        <w:t>caminos de servicio de canales y de las vías ferroviarias abandonadas</w:t>
      </w:r>
      <w:r w:rsidRPr="000D7D0A">
        <w:rPr>
          <w:rStyle w:val="apple-converted-space"/>
          <w:rFonts w:ascii="Times New Roman" w:hAnsi="Times New Roman" w:cs="Times New Roman"/>
          <w:i/>
          <w:iCs/>
          <w:sz w:val="24"/>
          <w:szCs w:val="24"/>
          <w:shd w:val="clear" w:color="auto" w:fill="FFFFFF"/>
        </w:rPr>
        <w:t> </w:t>
      </w:r>
      <w:r w:rsidRPr="000D7D0A">
        <w:rPr>
          <w:rFonts w:ascii="Times New Roman" w:hAnsi="Times New Roman" w:cs="Times New Roman"/>
          <w:i/>
          <w:iCs/>
          <w:sz w:val="24"/>
          <w:szCs w:val="24"/>
          <w:shd w:val="clear" w:color="auto" w:fill="FFFFFF"/>
        </w:rPr>
        <w:t xml:space="preserve">constituyen un soporte privilegiado para el desarrollo de Vías Verdes” </w:t>
      </w:r>
      <w:r w:rsidR="00361692" w:rsidRPr="000D7D0A">
        <w:rPr>
          <w:rFonts w:ascii="Times New Roman" w:hAnsi="Times New Roman" w:cs="Times New Roman"/>
          <w:noProof/>
          <w:sz w:val="24"/>
          <w:szCs w:val="24"/>
        </w:rPr>
        <w:fldChar w:fldCharType="begin" w:fldLock="1"/>
      </w:r>
      <w:r w:rsidR="004F1B4E" w:rsidRPr="000D7D0A">
        <w:rPr>
          <w:rFonts w:ascii="Times New Roman" w:hAnsi="Times New Roman" w:cs="Times New Roman"/>
          <w:noProof/>
          <w:sz w:val="24"/>
          <w:szCs w:val="24"/>
        </w:rPr>
        <w:instrText>ADDIN CSL_CITATION { "citationItems" : [ { "id" : "ITEM-1", "itemData" : { "author" : [ { "dropping-particle" : "", "family" : "AEVV", "given" : "", "non-dropping-particle" : "", "parse-names" : false, "suffix" : "" } ], "id" : "ITEM-1", "issued" : { "date-parts" : [ [ "2000" ] ] }, "page" : "1", "publisher-place" : "Lille", "title" : "Declaraci\u00f3n de Lille", "type" : "article" }, "uris" : [ "http://www.mendeley.com/documents/?uuid=4aa4a62a-2c0a-4a67-8459-c06204a278ef" ] } ], "mendeley" : { "formattedCitation" : "(AEVV 2000)", "plainTextFormattedCitation" : "(AEVV 2000)", "previouslyFormattedCitation" : "(AEVV 2000)" }, "properties" : { "noteIndex" : 0 }, "schema" : "https://github.com/citation-style-language/schema/raw/master/csl-citation.json" }</w:instrText>
      </w:r>
      <w:r w:rsidR="00361692" w:rsidRPr="000D7D0A">
        <w:rPr>
          <w:rFonts w:ascii="Times New Roman" w:hAnsi="Times New Roman" w:cs="Times New Roman"/>
          <w:noProof/>
          <w:sz w:val="24"/>
          <w:szCs w:val="24"/>
        </w:rPr>
        <w:fldChar w:fldCharType="separate"/>
      </w:r>
      <w:r w:rsidR="004F1B4E" w:rsidRPr="000D7D0A">
        <w:rPr>
          <w:rFonts w:ascii="Times New Roman" w:hAnsi="Times New Roman" w:cs="Times New Roman"/>
          <w:noProof/>
          <w:sz w:val="24"/>
          <w:szCs w:val="24"/>
        </w:rPr>
        <w:t>(AEVV 2000)</w:t>
      </w:r>
      <w:r w:rsidR="00361692" w:rsidRPr="000D7D0A">
        <w:rPr>
          <w:rFonts w:ascii="Times New Roman" w:hAnsi="Times New Roman" w:cs="Times New Roman"/>
          <w:noProof/>
          <w:sz w:val="24"/>
          <w:szCs w:val="24"/>
        </w:rPr>
        <w:fldChar w:fldCharType="end"/>
      </w:r>
      <w:r w:rsidRPr="000D7D0A">
        <w:rPr>
          <w:rFonts w:ascii="Times New Roman" w:hAnsi="Times New Roman" w:cs="Times New Roman"/>
          <w:noProof/>
          <w:sz w:val="24"/>
          <w:szCs w:val="24"/>
        </w:rPr>
        <w:t>.</w:t>
      </w:r>
    </w:p>
    <w:p w:rsidR="00B41934" w:rsidRPr="000D7D0A" w:rsidRDefault="00B41934" w:rsidP="00B41934">
      <w:pPr>
        <w:jc w:val="both"/>
        <w:rPr>
          <w:rFonts w:ascii="Times New Roman" w:hAnsi="Times New Roman" w:cs="Times New Roman"/>
          <w:noProof/>
          <w:sz w:val="24"/>
          <w:szCs w:val="24"/>
        </w:rPr>
      </w:pPr>
      <w:r w:rsidRPr="000D7D0A">
        <w:rPr>
          <w:rFonts w:ascii="Times New Roman" w:hAnsi="Times New Roman" w:cs="Times New Roman"/>
          <w:noProof/>
          <w:sz w:val="24"/>
          <w:szCs w:val="24"/>
        </w:rPr>
        <w:t xml:space="preserve">Esta definición es relevante porque es la aceptada por casi todos los actores  en el diseño, impulso y gestión de las verdes en Europa. Por lo tanto es oportuno detenerse a analizar la definición de una manera más detallada. </w:t>
      </w:r>
    </w:p>
    <w:p w:rsidR="00B41934" w:rsidRPr="000D7D0A" w:rsidRDefault="00B41934" w:rsidP="00B41934">
      <w:pPr>
        <w:jc w:val="both"/>
        <w:rPr>
          <w:rFonts w:ascii="Times New Roman" w:hAnsi="Times New Roman" w:cs="Times New Roman"/>
          <w:noProof/>
          <w:sz w:val="24"/>
          <w:szCs w:val="24"/>
        </w:rPr>
      </w:pPr>
      <w:r w:rsidRPr="000D7D0A">
        <w:rPr>
          <w:rFonts w:ascii="Times New Roman" w:hAnsi="Times New Roman" w:cs="Times New Roman"/>
          <w:noProof/>
          <w:sz w:val="24"/>
          <w:szCs w:val="24"/>
        </w:rPr>
        <w:t xml:space="preserve">Se diferencia de las otras definiciones </w:t>
      </w:r>
      <w:r w:rsidR="007C16AC" w:rsidRPr="000D7D0A">
        <w:rPr>
          <w:rFonts w:ascii="Times New Roman" w:hAnsi="Times New Roman" w:cs="Times New Roman"/>
          <w:noProof/>
          <w:sz w:val="24"/>
          <w:szCs w:val="24"/>
        </w:rPr>
        <w:t xml:space="preserve">de  vías verdes </w:t>
      </w:r>
      <w:r w:rsidRPr="000D7D0A">
        <w:rPr>
          <w:rFonts w:ascii="Times New Roman" w:hAnsi="Times New Roman" w:cs="Times New Roman"/>
          <w:noProof/>
          <w:sz w:val="24"/>
          <w:szCs w:val="24"/>
        </w:rPr>
        <w:t xml:space="preserve">en el énfasis en los desplazamientos no motorizados. Por lo tanto prohibe el acceso con vehículos a motor, lo que garantiza una mayor seguridad a los usuarios. También señala las condiciones técnicas que debe tener el camino a nivel de anchura y firme para permitir la accesibilidad de un gran número de personas independientemente de su mobilidad. </w:t>
      </w:r>
      <w:r w:rsidR="007C16AC" w:rsidRPr="000D7D0A">
        <w:rPr>
          <w:rFonts w:ascii="Times New Roman" w:hAnsi="Times New Roman" w:cs="Times New Roman"/>
          <w:noProof/>
          <w:sz w:val="24"/>
          <w:szCs w:val="24"/>
        </w:rPr>
        <w:t>Cabe señalar que la principal  diferencia  entre los carriles bici y las vías verdes es la diversidad de usuarios de las últimas: peatones, sillas de ruedas, caballos, y por supuesto también bicicletas.</w:t>
      </w:r>
    </w:p>
    <w:p w:rsidR="00B41934" w:rsidRPr="000D7D0A" w:rsidRDefault="00B41934" w:rsidP="00B41934">
      <w:pPr>
        <w:jc w:val="both"/>
        <w:rPr>
          <w:rFonts w:ascii="Times New Roman" w:hAnsi="Times New Roman" w:cs="Times New Roman"/>
          <w:noProof/>
          <w:sz w:val="24"/>
          <w:szCs w:val="24"/>
        </w:rPr>
      </w:pPr>
      <w:r w:rsidRPr="000D7D0A">
        <w:rPr>
          <w:rFonts w:ascii="Times New Roman" w:hAnsi="Times New Roman" w:cs="Times New Roman"/>
          <w:noProof/>
          <w:sz w:val="24"/>
          <w:szCs w:val="24"/>
        </w:rPr>
        <w:t xml:space="preserve">También la posibilidad de construirlas utilizando antiguas infraestructuras abandonadas, citando las vías de tren y los canales. Es importante destacar que la definición deja abierta la puerta a multitud de caminos que no discurren sobre antiguas infraestructuras, y este es un elemento clave para acercarnos al fenómeno con una visión amplia y apegada a la realidad. </w:t>
      </w:r>
    </w:p>
    <w:p w:rsidR="00B41934" w:rsidRPr="000D7D0A" w:rsidRDefault="00B41934" w:rsidP="00B41934">
      <w:pPr>
        <w:jc w:val="both"/>
        <w:rPr>
          <w:rFonts w:ascii="Times New Roman" w:hAnsi="Times New Roman" w:cs="Times New Roman"/>
          <w:noProof/>
          <w:sz w:val="24"/>
          <w:szCs w:val="24"/>
        </w:rPr>
      </w:pPr>
      <w:r w:rsidRPr="000D7D0A">
        <w:rPr>
          <w:rFonts w:ascii="Times New Roman" w:hAnsi="Times New Roman" w:cs="Times New Roman"/>
          <w:noProof/>
          <w:sz w:val="24"/>
          <w:szCs w:val="24"/>
        </w:rPr>
        <w:t xml:space="preserve">En el ámbito español el concepto </w:t>
      </w:r>
      <w:r w:rsidRPr="000D7D0A">
        <w:rPr>
          <w:rFonts w:ascii="Times New Roman" w:hAnsi="Times New Roman" w:cs="Times New Roman"/>
          <w:i/>
          <w:noProof/>
          <w:sz w:val="24"/>
          <w:szCs w:val="24"/>
        </w:rPr>
        <w:t>vía verde</w:t>
      </w:r>
      <w:r w:rsidRPr="000D7D0A">
        <w:rPr>
          <w:rFonts w:ascii="Times New Roman" w:hAnsi="Times New Roman" w:cs="Times New Roman"/>
          <w:noProof/>
          <w:sz w:val="24"/>
          <w:szCs w:val="24"/>
        </w:rPr>
        <w:t xml:space="preserve"> fue patentado por la </w:t>
      </w:r>
      <w:r w:rsidRPr="000D7D0A">
        <w:rPr>
          <w:rFonts w:ascii="Times New Roman" w:hAnsi="Times New Roman" w:cs="Times New Roman"/>
          <w:i/>
          <w:noProof/>
          <w:sz w:val="24"/>
          <w:szCs w:val="24"/>
        </w:rPr>
        <w:t>Fundación de Ferrocarriles Españoles</w:t>
      </w:r>
      <w:r w:rsidRPr="000D7D0A">
        <w:rPr>
          <w:rFonts w:ascii="Times New Roman" w:hAnsi="Times New Roman" w:cs="Times New Roman"/>
          <w:noProof/>
          <w:sz w:val="24"/>
          <w:szCs w:val="24"/>
        </w:rPr>
        <w:t xml:space="preserve"> el año 1994. En este caso el concepto se restringe a los caminos no motorizados recuperados donde anteriormente había una línea –o el proyecto- de ferrocarril ahora en desuso. Esta perspectiva por un lado clarifica el </w:t>
      </w:r>
      <w:r w:rsidRPr="000D7D0A">
        <w:rPr>
          <w:rFonts w:ascii="Times New Roman" w:hAnsi="Times New Roman" w:cs="Times New Roman"/>
          <w:noProof/>
          <w:sz w:val="24"/>
          <w:szCs w:val="24"/>
        </w:rPr>
        <w:lastRenderedPageBreak/>
        <w:t>concepto, dado que es necesario que el actual camino se construya sobre un antiguo trazado ferroviario. Pero también limita su alcance puesto que deja fuera la immensa mayoría de caminos existentes en el territorio, que no se asientan sobre antiguas líneas de tren.</w:t>
      </w:r>
    </w:p>
    <w:p w:rsidR="00B41934" w:rsidRPr="000D7D0A" w:rsidRDefault="00B41934" w:rsidP="00B41934">
      <w:pPr>
        <w:jc w:val="both"/>
        <w:rPr>
          <w:rFonts w:ascii="Times New Roman" w:hAnsi="Times New Roman" w:cs="Times New Roman"/>
          <w:noProof/>
          <w:sz w:val="24"/>
          <w:szCs w:val="24"/>
        </w:rPr>
      </w:pPr>
      <w:r w:rsidRPr="000D7D0A">
        <w:rPr>
          <w:rFonts w:ascii="Times New Roman" w:hAnsi="Times New Roman" w:cs="Times New Roman"/>
          <w:noProof/>
          <w:sz w:val="24"/>
          <w:szCs w:val="24"/>
        </w:rPr>
        <w:t xml:space="preserve">La definición </w:t>
      </w:r>
      <w:r w:rsidR="00CA3C08" w:rsidRPr="000D7D0A">
        <w:rPr>
          <w:rFonts w:ascii="Times New Roman" w:hAnsi="Times New Roman" w:cs="Times New Roman"/>
          <w:noProof/>
          <w:sz w:val="24"/>
          <w:szCs w:val="24"/>
        </w:rPr>
        <w:t>de vía verde operativa para esta ponencia</w:t>
      </w:r>
      <w:r w:rsidRPr="000D7D0A">
        <w:rPr>
          <w:rFonts w:ascii="Times New Roman" w:hAnsi="Times New Roman" w:cs="Times New Roman"/>
          <w:noProof/>
          <w:sz w:val="24"/>
          <w:szCs w:val="24"/>
        </w:rPr>
        <w:t xml:space="preserve"> es la de un </w:t>
      </w:r>
      <w:r w:rsidRPr="000D7D0A">
        <w:rPr>
          <w:rFonts w:ascii="Times New Roman" w:hAnsi="Times New Roman" w:cs="Times New Roman"/>
          <w:i/>
          <w:noProof/>
          <w:sz w:val="24"/>
          <w:szCs w:val="24"/>
        </w:rPr>
        <w:t>camino de uso no motorizado, construido mayoritariamente sobre antiguas infraestructuras en desuso, con pendiente suave y anchura suficiente para permitir el acceso a todo tipo de usuarios</w:t>
      </w:r>
      <w:r w:rsidRPr="000D7D0A">
        <w:rPr>
          <w:rFonts w:ascii="Times New Roman" w:hAnsi="Times New Roman" w:cs="Times New Roman"/>
          <w:noProof/>
          <w:sz w:val="24"/>
          <w:szCs w:val="24"/>
        </w:rPr>
        <w:t>.</w:t>
      </w:r>
    </w:p>
    <w:p w:rsidR="00B41934" w:rsidRPr="000D7D0A" w:rsidRDefault="00B41934" w:rsidP="00B41934">
      <w:pPr>
        <w:jc w:val="both"/>
        <w:rPr>
          <w:rFonts w:ascii="Times New Roman" w:hAnsi="Times New Roman" w:cs="Times New Roman"/>
          <w:noProof/>
          <w:sz w:val="24"/>
          <w:szCs w:val="24"/>
        </w:rPr>
      </w:pPr>
      <w:r w:rsidRPr="000D7D0A">
        <w:rPr>
          <w:rFonts w:ascii="Times New Roman" w:hAnsi="Times New Roman" w:cs="Times New Roman"/>
          <w:noProof/>
          <w:sz w:val="24"/>
          <w:szCs w:val="24"/>
        </w:rPr>
        <w:t xml:space="preserve">La definición enfatiza su uso exclusivo para caminar, ir en bicicleta, silla de ruedas, o a caballo y prohibe el uso de vehículos a motor. Las características lo deben convertir en accesible para todos los públicos, y por lo tanto alejarlo de las dificultades que algunos senderos montañosos entrañan. Finalmente, el concepto se restringe a las vías que reutilizan infraestructuras, y por ende inversiones, ahora en desuso, aunque no obliga a que todo el recorrido transcurra exactamente por donde lo hacía la antigua infraestructura. </w:t>
      </w:r>
    </w:p>
    <w:p w:rsidR="00B41934" w:rsidRPr="000D7D0A" w:rsidRDefault="00B41934" w:rsidP="00B41934">
      <w:pPr>
        <w:pStyle w:val="Ttulo4"/>
        <w:jc w:val="both"/>
        <w:rPr>
          <w:rFonts w:ascii="Times New Roman" w:eastAsia="Times New Roman" w:hAnsi="Times New Roman" w:cs="Times New Roman"/>
          <w:color w:val="auto"/>
          <w:sz w:val="24"/>
          <w:szCs w:val="24"/>
          <w:lang w:eastAsia="es-ES"/>
        </w:rPr>
      </w:pPr>
      <w:r w:rsidRPr="000D7D0A">
        <w:rPr>
          <w:rFonts w:ascii="Times New Roman" w:eastAsia="Times New Roman" w:hAnsi="Times New Roman" w:cs="Times New Roman"/>
          <w:color w:val="auto"/>
          <w:sz w:val="24"/>
          <w:szCs w:val="24"/>
          <w:lang w:eastAsia="es-ES"/>
        </w:rPr>
        <w:t>Las vías verdes como política multinivel</w:t>
      </w:r>
    </w:p>
    <w:p w:rsidR="00B41934" w:rsidRPr="000D7D0A" w:rsidRDefault="00B41934" w:rsidP="00B41934">
      <w:pPr>
        <w:pStyle w:val="NormalWeb"/>
        <w:spacing w:before="0" w:beforeAutospacing="0" w:after="0" w:afterAutospacing="0" w:line="276" w:lineRule="auto"/>
        <w:jc w:val="both"/>
      </w:pPr>
    </w:p>
    <w:p w:rsidR="00B41934" w:rsidRPr="000D7D0A" w:rsidRDefault="00B41934" w:rsidP="00B41934">
      <w:pPr>
        <w:pStyle w:val="NormalWeb"/>
        <w:spacing w:before="0" w:beforeAutospacing="0" w:after="0" w:afterAutospacing="0" w:line="276" w:lineRule="auto"/>
        <w:jc w:val="both"/>
      </w:pPr>
      <w:r w:rsidRPr="000D7D0A">
        <w:t xml:space="preserve">Las vías verdes son una política pública con algunas características a destacar:  </w:t>
      </w:r>
    </w:p>
    <w:p w:rsidR="00B41934" w:rsidRPr="000D7D0A" w:rsidRDefault="00B41934" w:rsidP="00B41934">
      <w:pPr>
        <w:pStyle w:val="NormalWeb"/>
        <w:spacing w:before="0" w:beforeAutospacing="0" w:after="0" w:afterAutospacing="0" w:line="276" w:lineRule="auto"/>
        <w:jc w:val="both"/>
      </w:pPr>
    </w:p>
    <w:p w:rsidR="00B41934" w:rsidRPr="000D7D0A" w:rsidRDefault="00B41934" w:rsidP="00B41934">
      <w:pPr>
        <w:pStyle w:val="NormalWeb"/>
        <w:numPr>
          <w:ilvl w:val="0"/>
          <w:numId w:val="2"/>
        </w:numPr>
        <w:spacing w:before="0" w:beforeAutospacing="0" w:after="0" w:afterAutospacing="0" w:line="276" w:lineRule="auto"/>
        <w:jc w:val="both"/>
      </w:pPr>
      <w:r w:rsidRPr="000D7D0A">
        <w:t>suelen transcurrir por distintos términos municipales, lo que implica que si se quiere abordar la totalidad del recorrido es necesaria la cooperación entre distintos ayuntamientos y/o la intervención de una institución de escala superior.</w:t>
      </w:r>
    </w:p>
    <w:p w:rsidR="00B41934" w:rsidRPr="000D7D0A" w:rsidRDefault="00B41934" w:rsidP="00B41934">
      <w:pPr>
        <w:pStyle w:val="NormalWeb"/>
        <w:numPr>
          <w:ilvl w:val="0"/>
          <w:numId w:val="2"/>
        </w:numPr>
        <w:spacing w:before="0" w:beforeAutospacing="0" w:after="0" w:afterAutospacing="0" w:line="276" w:lineRule="auto"/>
        <w:jc w:val="both"/>
      </w:pPr>
      <w:r w:rsidRPr="000D7D0A">
        <w:t>El marco legal es poco restrictivo, y numerosos actores pueden impulsar y gestionar las vías verdes</w:t>
      </w:r>
    </w:p>
    <w:p w:rsidR="00B41934" w:rsidRPr="000D7D0A" w:rsidRDefault="00B41934" w:rsidP="00B41934">
      <w:pPr>
        <w:pStyle w:val="NormalWeb"/>
        <w:numPr>
          <w:ilvl w:val="0"/>
          <w:numId w:val="2"/>
        </w:numPr>
        <w:spacing w:before="0" w:beforeAutospacing="0" w:after="0" w:afterAutospacing="0" w:line="276" w:lineRule="auto"/>
        <w:jc w:val="both"/>
      </w:pPr>
      <w:r w:rsidRPr="000D7D0A">
        <w:t>Está conectada con distintos tipos de política pública. Medio ambiente, transportes, deporte, salud o turismo son ámbitos que normalmente se gestionan desde unidades distintas de la administración.</w:t>
      </w:r>
    </w:p>
    <w:p w:rsidR="00B41934" w:rsidRPr="000D7D0A" w:rsidRDefault="00B41934" w:rsidP="00B41934">
      <w:pPr>
        <w:pStyle w:val="NormalWeb"/>
        <w:spacing w:before="0" w:beforeAutospacing="0" w:after="0" w:afterAutospacing="0" w:line="276" w:lineRule="auto"/>
        <w:jc w:val="both"/>
      </w:pPr>
    </w:p>
    <w:p w:rsidR="00B41934" w:rsidRPr="000D7D0A" w:rsidRDefault="00B41934" w:rsidP="00B41934">
      <w:pPr>
        <w:pStyle w:val="NormalWeb"/>
        <w:spacing w:before="0" w:beforeAutospacing="0" w:after="0" w:afterAutospacing="0" w:line="276" w:lineRule="auto"/>
        <w:jc w:val="both"/>
      </w:pPr>
      <w:r w:rsidRPr="000D7D0A">
        <w:t>Estas características muestran que las políticas públicas de vías verdes encajan bien en la perspectiva de la gobernanza. Esta perspectiva focaliza el análisis en los escenarios de poder compartido que se construyen a partir de la colaboración entre diferentes actores. Además, las vías verdes persiguen multitud de objetivos sectoriales al mismo tiempo, y se deben diseñar y gestionar a distintas escalas, como mínimo la regional  y la local.</w:t>
      </w:r>
    </w:p>
    <w:p w:rsidR="00B41934" w:rsidRPr="000D7D0A" w:rsidRDefault="00B41934" w:rsidP="00B41934">
      <w:pPr>
        <w:pStyle w:val="NormalWeb"/>
        <w:spacing w:before="0" w:beforeAutospacing="0" w:after="0" w:afterAutospacing="0" w:line="276" w:lineRule="auto"/>
        <w:jc w:val="both"/>
      </w:pPr>
    </w:p>
    <w:p w:rsidR="00B41934" w:rsidRPr="000D7D0A" w:rsidRDefault="00B41934" w:rsidP="00B41934">
      <w:pPr>
        <w:pStyle w:val="NormalWeb"/>
        <w:spacing w:before="0" w:beforeAutospacing="0" w:after="0" w:afterAutospacing="0" w:line="276" w:lineRule="auto"/>
        <w:jc w:val="both"/>
      </w:pPr>
      <w:r w:rsidRPr="000D7D0A">
        <w:t xml:space="preserve">En algunos trabajos sobre las políticas públicas sectoriales en España </w:t>
      </w:r>
      <w:r w:rsidR="00361692" w:rsidRPr="000D7D0A">
        <w:fldChar w:fldCharType="begin" w:fldLock="1"/>
      </w:r>
      <w:r w:rsidR="004F1B4E" w:rsidRPr="000D7D0A">
        <w:instrText>ADDIN CSL_CITATION { "citationItems" : [ { "id" : "ITEM-1", "itemData" : { "ISBN" : "843441810X", "author" : [ { "dropping-particle" : "", "family" : "Gom\u00e0", "given" : "Ricard", "non-dropping-particle" : "", "parse-names" : false, "suffix" : "" }, { "dropping-particle" : "", "family" : "Subirats", "given" : "Joan", "non-dropping-particle" : "", "parse-names" : false, "suffix" : "" } ], "id" : "ITEM-1", "issued" : { "date-parts" : [ [ "1998" ] ] }, "publisher" : "Ariel", "publisher-place" : "Barcelona :", "title" : "Pol\u00edticas p\u00fablicas en Espa\u00f1a : contenidos, redes de actores y niveles de gobierno", "type" : "book" }, "uris" : [ "http://www.mendeley.com/documents/?uuid=4e6e494c-97e2-4d33-b8ca-55a12565bfe9" ] }, { "id" : "ITEM-2", "itemData" : { "ISBN" : "8484426629", "author" : [ { "dropping-particle" : "", "family" : "Grau Creus", "given" : "Mireia", "non-dropping-particle" : "", "parse-names" : false, "suffix" : "" }, { "dropping-particle" : "", "family" : "Mateos", "given" : "Araceli", "non-dropping-particle" : "", "parse-names" : false, "suffix" : "" } ], "id" : "ITEM-2", "issued" : { "date-parts" : [ [ "2002" ] ] }, "publisher" : "Tirant lo Blanch", "publisher-place" : "Valencia :", "title" : "An\u00e1lisis de pol\u00edticas p\u00fablicas en Espa\u00f1a: enfoques y casos", "type" : "book" }, "uris" : [ "http://www.mendeley.com/documents/?uuid=a5840d98-ac63-4016-b82c-6b231771281b" ] } ], "mendeley" : { "formattedCitation" : "(Gom\u00e0 &amp; Subirats 1998; Grau Creus &amp; Mateos 2002)", "plainTextFormattedCitation" : "(Gom\u00e0 &amp; Subirats 1998; Grau Creus &amp; Mateos 2002)", "previouslyFormattedCitation" : "(Gom\u00e0 &amp; Subirats 1998; Grau Creus &amp; Mateos 2002)" }, "properties" : { "noteIndex" : 0 }, "schema" : "https://github.com/citation-style-language/schema/raw/master/csl-citation.json" }</w:instrText>
      </w:r>
      <w:r w:rsidR="00361692" w:rsidRPr="000D7D0A">
        <w:fldChar w:fldCharType="separate"/>
      </w:r>
      <w:r w:rsidR="004F1B4E" w:rsidRPr="000D7D0A">
        <w:rPr>
          <w:noProof/>
        </w:rPr>
        <w:t>(Gomà &amp; Subirats 1998; Grau Creus &amp; Mateos 2002)</w:t>
      </w:r>
      <w:r w:rsidR="00361692" w:rsidRPr="000D7D0A">
        <w:fldChar w:fldCharType="end"/>
      </w:r>
      <w:r w:rsidRPr="000D7D0A">
        <w:t>, se señala que los</w:t>
      </w:r>
      <w:r w:rsidR="007C16AC" w:rsidRPr="000D7D0A">
        <w:t xml:space="preserve"> nuevos tipos de política </w:t>
      </w:r>
      <w:r w:rsidRPr="000D7D0A">
        <w:t>conllevan un grado muy elevado de confluencia intergubernamental, convirtiéndose en la “</w:t>
      </w:r>
      <w:r w:rsidRPr="000D7D0A">
        <w:rPr>
          <w:i/>
        </w:rPr>
        <w:t>máxima expresión de la política multinivel</w:t>
      </w:r>
      <w:r w:rsidRPr="000D7D0A">
        <w:t>”.</w:t>
      </w:r>
      <w:r w:rsidR="007C16AC" w:rsidRPr="000D7D0A">
        <w:t xml:space="preserve"> </w:t>
      </w:r>
      <w:r w:rsidRPr="000D7D0A">
        <w:t xml:space="preserve"> Un elemento recurrente en todos los nuevos sectores es la presencia de entramados de actores. Todos ellos con distintos grados de institucionalización, continuidad, e incluso de asunción de responsabilidades en la gestión de políticas específicas.</w:t>
      </w:r>
      <w:r w:rsidR="007C16AC" w:rsidRPr="000D7D0A">
        <w:t xml:space="preserve"> Las vías  verdes encajan perfectamente en este tipo de políticas públicas.</w:t>
      </w:r>
    </w:p>
    <w:p w:rsidR="00B41934" w:rsidRPr="000D7D0A" w:rsidRDefault="00B41934" w:rsidP="00B41934">
      <w:pPr>
        <w:pStyle w:val="NormalWeb"/>
        <w:spacing w:before="0" w:beforeAutospacing="0" w:after="0" w:afterAutospacing="0" w:line="276" w:lineRule="auto"/>
        <w:jc w:val="both"/>
      </w:pPr>
    </w:p>
    <w:p w:rsidR="00B41934" w:rsidRPr="000D7D0A" w:rsidRDefault="00B41934" w:rsidP="00B41934">
      <w:pPr>
        <w:jc w:val="both"/>
        <w:rPr>
          <w:rFonts w:ascii="Times New Roman" w:hAnsi="Times New Roman" w:cs="Times New Roman"/>
          <w:sz w:val="24"/>
          <w:szCs w:val="24"/>
        </w:rPr>
      </w:pPr>
      <w:r w:rsidRPr="000D7D0A">
        <w:rPr>
          <w:rFonts w:ascii="Times New Roman" w:hAnsi="Times New Roman" w:cs="Times New Roman"/>
          <w:noProof/>
          <w:sz w:val="24"/>
          <w:szCs w:val="24"/>
        </w:rPr>
        <w:t xml:space="preserve">En las últimas décadas han entrado en la agenda de gobierno y en la estructura de la administración nuevos campos que hasta entonces eran ajenos a la acción gubernamental. Entre ellos se pueden citar las políticas de </w:t>
      </w:r>
      <w:r w:rsidRPr="000D7D0A">
        <w:rPr>
          <w:rFonts w:ascii="Times New Roman" w:hAnsi="Times New Roman" w:cs="Times New Roman"/>
          <w:sz w:val="24"/>
          <w:szCs w:val="24"/>
        </w:rPr>
        <w:t xml:space="preserve">medio ambiente, de turismo, participación, etc. En el caso de las políticas públicas de medio ambiente </w:t>
      </w:r>
      <w:r w:rsidRPr="000D7D0A">
        <w:rPr>
          <w:rFonts w:ascii="Times New Roman" w:hAnsi="Times New Roman" w:cs="Times New Roman"/>
          <w:noProof/>
          <w:sz w:val="24"/>
          <w:szCs w:val="24"/>
        </w:rPr>
        <w:t xml:space="preserve"> “</w:t>
      </w:r>
      <w:r w:rsidRPr="000D7D0A">
        <w:rPr>
          <w:rFonts w:ascii="Times New Roman" w:hAnsi="Times New Roman" w:cs="Times New Roman"/>
          <w:i/>
          <w:sz w:val="24"/>
          <w:szCs w:val="24"/>
        </w:rPr>
        <w:t xml:space="preserve">se han diseñado a) en un marco de débil relevancia política y social (...) y b) en un marco de gobierno multinivel y complejidad </w:t>
      </w:r>
      <w:proofErr w:type="spellStart"/>
      <w:r w:rsidRPr="000D7D0A">
        <w:rPr>
          <w:rFonts w:ascii="Times New Roman" w:hAnsi="Times New Roman" w:cs="Times New Roman"/>
          <w:i/>
          <w:sz w:val="24"/>
          <w:szCs w:val="24"/>
        </w:rPr>
        <w:t>decisional</w:t>
      </w:r>
      <w:proofErr w:type="spellEnd"/>
      <w:r w:rsidRPr="000D7D0A">
        <w:rPr>
          <w:rFonts w:ascii="Times New Roman" w:hAnsi="Times New Roman" w:cs="Times New Roman"/>
          <w:i/>
          <w:sz w:val="24"/>
          <w:szCs w:val="24"/>
        </w:rPr>
        <w:t>(...)</w:t>
      </w:r>
      <w:r w:rsidRPr="000D7D0A">
        <w:rPr>
          <w:rFonts w:ascii="Times New Roman" w:hAnsi="Times New Roman" w:cs="Times New Roman"/>
          <w:sz w:val="24"/>
          <w:szCs w:val="24"/>
        </w:rPr>
        <w:t>”.</w:t>
      </w:r>
      <w:r w:rsidR="00361692" w:rsidRPr="000D7D0A">
        <w:rPr>
          <w:rFonts w:ascii="Times New Roman" w:hAnsi="Times New Roman" w:cs="Times New Roman"/>
          <w:sz w:val="24"/>
          <w:szCs w:val="24"/>
        </w:rPr>
        <w:fldChar w:fldCharType="begin" w:fldLock="1"/>
      </w:r>
      <w:r w:rsidR="004F1B4E" w:rsidRPr="000D7D0A">
        <w:rPr>
          <w:rFonts w:ascii="Times New Roman" w:hAnsi="Times New Roman" w:cs="Times New Roman"/>
          <w:sz w:val="24"/>
          <w:szCs w:val="24"/>
        </w:rPr>
        <w:instrText>ADDIN CSL_CITATION { "citationItems" : [ { "id" : "ITEM-1", "itemData" : { "ISBN" : "843441810X", "author" : [ { "dropping-particle" : "", "family" : "Gom\u00e0", "given" : "Ricard", "non-dropping-particle" : "", "parse-names" : false, "suffix" : "" }, { "dropping-particle" : "", "family" : "Subirats", "given" : "Joan", "non-dropping-particle" : "", "parse-names" : false, "suffix" : "" } ], "id" : "ITEM-1", "issued" : { "date-parts" : [ [ "1998" ] ] }, "publisher" : "Ariel", "publisher-place" : "Barcelona :", "title" : "Pol\u00edticas p\u00fablicas en Espa\u00f1a : contenidos, redes de actores y niveles de gobierno", "type" : "book" }, "uris" : [ "http://www.mendeley.com/documents/?uuid=4e6e494c-97e2-4d33-b8ca-55a12565bfe9" ] } ], "mendeley" : { "formattedCitation" : "(Gom\u00e0 &amp; Subirats 1998)", "manualFormatting" : "(Gom\u00e0 &amp; Subirats, 1998: 392)", "plainTextFormattedCitation" : "(Gom\u00e0 &amp; Subirats 1998)", "previouslyFormattedCitation" : "(Gom\u00e0 &amp; Subirats 1998)" }, "properties" : { "noteIndex" : 0 }, "schema" : "https://github.com/citation-style-language/schema/raw/master/csl-citation.json" }</w:instrText>
      </w:r>
      <w:r w:rsidR="00361692" w:rsidRPr="000D7D0A">
        <w:rPr>
          <w:rFonts w:ascii="Times New Roman" w:hAnsi="Times New Roman" w:cs="Times New Roman"/>
          <w:sz w:val="24"/>
          <w:szCs w:val="24"/>
        </w:rPr>
        <w:fldChar w:fldCharType="separate"/>
      </w:r>
      <w:r w:rsidRPr="000D7D0A">
        <w:rPr>
          <w:rFonts w:ascii="Times New Roman" w:hAnsi="Times New Roman" w:cs="Times New Roman"/>
          <w:noProof/>
          <w:sz w:val="24"/>
          <w:szCs w:val="24"/>
        </w:rPr>
        <w:t>(</w:t>
      </w:r>
      <w:proofErr w:type="spellStart"/>
      <w:r w:rsidRPr="000D7D0A">
        <w:rPr>
          <w:rFonts w:ascii="Times New Roman" w:hAnsi="Times New Roman" w:cs="Times New Roman"/>
          <w:noProof/>
          <w:sz w:val="24"/>
          <w:szCs w:val="24"/>
        </w:rPr>
        <w:t>Gomà</w:t>
      </w:r>
      <w:proofErr w:type="spellEnd"/>
      <w:r w:rsidRPr="000D7D0A">
        <w:rPr>
          <w:rFonts w:ascii="Times New Roman" w:hAnsi="Times New Roman" w:cs="Times New Roman"/>
          <w:noProof/>
          <w:sz w:val="24"/>
          <w:szCs w:val="24"/>
        </w:rPr>
        <w:t xml:space="preserve"> &amp; Subirats, 1998</w:t>
      </w:r>
      <w:r w:rsidR="00DD07B4" w:rsidRPr="000D7D0A">
        <w:rPr>
          <w:rFonts w:ascii="Times New Roman" w:hAnsi="Times New Roman" w:cs="Times New Roman"/>
          <w:noProof/>
          <w:sz w:val="24"/>
          <w:szCs w:val="24"/>
        </w:rPr>
        <w:t>:</w:t>
      </w:r>
      <w:r w:rsidR="00C45EBC" w:rsidRPr="000D7D0A">
        <w:rPr>
          <w:rFonts w:ascii="Times New Roman" w:hAnsi="Times New Roman" w:cs="Times New Roman"/>
          <w:noProof/>
          <w:sz w:val="24"/>
          <w:szCs w:val="24"/>
        </w:rPr>
        <w:t xml:space="preserve"> </w:t>
      </w:r>
      <w:r w:rsidR="00DD07B4" w:rsidRPr="000D7D0A">
        <w:rPr>
          <w:rFonts w:ascii="Times New Roman" w:hAnsi="Times New Roman" w:cs="Times New Roman"/>
          <w:noProof/>
          <w:sz w:val="24"/>
          <w:szCs w:val="24"/>
        </w:rPr>
        <w:t>392</w:t>
      </w:r>
      <w:r w:rsidRPr="000D7D0A">
        <w:rPr>
          <w:rFonts w:ascii="Times New Roman" w:hAnsi="Times New Roman" w:cs="Times New Roman"/>
          <w:noProof/>
          <w:sz w:val="24"/>
          <w:szCs w:val="24"/>
        </w:rPr>
        <w:t>)</w:t>
      </w:r>
      <w:r w:rsidR="00361692" w:rsidRPr="000D7D0A">
        <w:rPr>
          <w:rFonts w:ascii="Times New Roman" w:hAnsi="Times New Roman" w:cs="Times New Roman"/>
          <w:sz w:val="24"/>
          <w:szCs w:val="24"/>
        </w:rPr>
        <w:fldChar w:fldCharType="end"/>
      </w:r>
    </w:p>
    <w:p w:rsidR="007C16AC" w:rsidRPr="000D7D0A" w:rsidRDefault="00B41934" w:rsidP="00B41934">
      <w:pPr>
        <w:jc w:val="both"/>
        <w:rPr>
          <w:rFonts w:ascii="Times New Roman" w:hAnsi="Times New Roman" w:cs="Times New Roman"/>
          <w:sz w:val="24"/>
          <w:szCs w:val="24"/>
        </w:rPr>
      </w:pPr>
      <w:r w:rsidRPr="000D7D0A">
        <w:rPr>
          <w:rFonts w:ascii="Times New Roman" w:hAnsi="Times New Roman" w:cs="Times New Roman"/>
          <w:sz w:val="24"/>
          <w:szCs w:val="24"/>
        </w:rPr>
        <w:t>Esta afirmación encaja a la perfección también a las vías verdes. Nunca han gozado de notoriedad política, y persiguen muchos objetivos diferentes</w:t>
      </w:r>
      <w:r w:rsidR="007C16AC" w:rsidRPr="000D7D0A">
        <w:rPr>
          <w:rFonts w:ascii="Times New Roman" w:hAnsi="Times New Roman" w:cs="Times New Roman"/>
          <w:sz w:val="24"/>
          <w:szCs w:val="24"/>
        </w:rPr>
        <w:t>.</w:t>
      </w:r>
    </w:p>
    <w:p w:rsidR="00B41934" w:rsidRPr="000D7D0A" w:rsidRDefault="00A87670" w:rsidP="00B41934">
      <w:pPr>
        <w:jc w:val="both"/>
        <w:rPr>
          <w:rFonts w:ascii="Times New Roman" w:hAnsi="Times New Roman" w:cs="Times New Roman"/>
          <w:sz w:val="24"/>
          <w:szCs w:val="24"/>
        </w:rPr>
      </w:pPr>
      <w:r w:rsidRPr="000D7D0A">
        <w:rPr>
          <w:rFonts w:ascii="Times New Roman" w:hAnsi="Times New Roman" w:cs="Times New Roman"/>
          <w:sz w:val="24"/>
          <w:szCs w:val="24"/>
        </w:rPr>
        <w:t>Por todo ello, se</w:t>
      </w:r>
      <w:r w:rsidR="00B41934" w:rsidRPr="000D7D0A">
        <w:rPr>
          <w:rFonts w:ascii="Times New Roman" w:hAnsi="Times New Roman" w:cs="Times New Roman"/>
          <w:sz w:val="24"/>
          <w:szCs w:val="24"/>
        </w:rPr>
        <w:t xml:space="preserve"> pretende mostrar que las políticas públicas de vías verdes necesitan de un enfoque basado en la gobernanza y las redes entre actores para explotar a fondo su potencial.</w:t>
      </w:r>
    </w:p>
    <w:p w:rsidR="00CA3C08" w:rsidRPr="000D7D0A" w:rsidRDefault="00CA3C08" w:rsidP="00CA3C08">
      <w:pPr>
        <w:pStyle w:val="Ttulo3"/>
        <w:rPr>
          <w:sz w:val="24"/>
          <w:szCs w:val="24"/>
        </w:rPr>
      </w:pPr>
      <w:bookmarkStart w:id="12" w:name="_Toc492389022"/>
      <w:proofErr w:type="spellStart"/>
      <w:r w:rsidRPr="000D7D0A">
        <w:rPr>
          <w:sz w:val="24"/>
          <w:szCs w:val="24"/>
        </w:rPr>
        <w:t>Transversalidad</w:t>
      </w:r>
      <w:bookmarkEnd w:id="12"/>
      <w:proofErr w:type="spellEnd"/>
    </w:p>
    <w:p w:rsidR="00CA02B1" w:rsidRPr="000D7D0A" w:rsidRDefault="00B41934" w:rsidP="00CA3C08">
      <w:pPr>
        <w:jc w:val="both"/>
        <w:rPr>
          <w:rFonts w:ascii="Times New Roman" w:hAnsi="Times New Roman" w:cs="Times New Roman"/>
          <w:sz w:val="24"/>
          <w:szCs w:val="24"/>
        </w:rPr>
      </w:pPr>
      <w:r w:rsidRPr="000D7D0A">
        <w:rPr>
          <w:rFonts w:ascii="Times New Roman" w:hAnsi="Times New Roman" w:cs="Times New Roman"/>
          <w:sz w:val="24"/>
          <w:szCs w:val="24"/>
        </w:rPr>
        <w:t xml:space="preserve">Las vías verdes han centrado la atención de la academia desde perspectivas diversas como la planificación </w:t>
      </w:r>
      <w:r w:rsidR="00361692" w:rsidRPr="000D7D0A">
        <w:rPr>
          <w:rFonts w:ascii="Times New Roman" w:hAnsi="Times New Roman" w:cs="Times New Roman"/>
          <w:sz w:val="24"/>
          <w:szCs w:val="24"/>
        </w:rPr>
        <w:fldChar w:fldCharType="begin" w:fldLock="1"/>
      </w:r>
      <w:r w:rsidR="004F1B4E" w:rsidRPr="000D7D0A">
        <w:rPr>
          <w:rFonts w:ascii="Times New Roman" w:hAnsi="Times New Roman" w:cs="Times New Roman"/>
          <w:sz w:val="24"/>
          <w:szCs w:val="24"/>
        </w:rPr>
        <w:instrText>ADDIN CSL_CITATION { "citationItems" : [ { "id" : "ITEM-1", "itemData" : { "DOI" : "10.1016/0169-2046(95)02039-V", "ISBN" : "0169-2046", "ISSN" : "01692046", "abstract" : "Greenways is a generic term that has been applied to a wide range of landscape planning strategies, concepts, and plans. While there is some consensus emerging on the benefits of protecting networks of land, there is little agreement on terminology. As a result, communication and knowledge exchange are limited. This paper offers an inclusive definition of greenways, discusses greenway characteristics, benefits and liabilities, and presents a typology for greenway classification based on scale, goals, landscape context, and planning strategy. This typology is applied to three case studies from the Netherlands and the USA which have been selected to represent a range of greenway types, to articulate similarities, differences, and to explore the transferability of knowledge and concepts. Through this discussion, greenways are considered as a useful strategy for planning, design and management of sustainable landscapes. ?? 1995.", "author" : [ { "dropping-particle" : "", "family" : "Ahern", "given" : "Jack", "non-dropping-particle" : "", "parse-names" : false, "suffix" : "" } ], "container-title" : "Landscape and Urban Planning", "id" : "ITEM-1", "issued" : { "date-parts" : [ [ "1995" ] ] }, "title" : "Greenways as a planning strategy", "type" : "article-journal" }, "uris" : [ "http://www.mendeley.com/documents/?uuid=e9988d00-c2cb-374a-96fc-49649d470136" ] }, { "id" : "ITEM-2", "itemData" : { "DOI" : "10.1016/0169-2046(94)02014-7", "ISBN" : "3036238107", "ISSN" : "01692046", "abstract" : "Over the past two decades, urban greenways, as a landscape endeavor, have expanded explosively. More than 500 communities, in North America alone, have greenway projects under way. Today's greenways reflect more than a current landscape phenomenon or fad. They are a response to classic human needs and part of an evolving, centuries-old landscape form. More than just parks and amenities, greenways are an adaptation that helps mitigate and provide counterpoint to the loss of natural landscape as a result of growing urbanization. As times have changed, the notion of greenways has changed to address new needs and challenges. Three distinct stages or 'generations' can be identified in the emergence and evolution of greenways as an urban landscape form:. Generation 1: axes, boulevards and parkways that were the ancestral greenways. Generation 2: trail-oriented recreational greenways that provide access to rivers, streams, ridgelines, railbeds and other corridors within the urban fabric. Often, these greenways are automobile free. Generation 3: multi-objective greenways that go beyond recreation and beautification to address such areas as habitat needs of wildlife, promoting urban flood damage reduction, enhancing water quality, providing a resource for outdoor education, and other urban infrastructure objectives.The emerging third generation of greenways brings together a range of formerly divergent disciplines such as civil engineering, landscape architecture and wetland ecology to address complex problems posed by expanding human development. Using examples, this paper looks at the evolutionary process and some of the opportunities and challenges associated with multi-objective Generation 3 greenways. ?? 1995.", "author" : [ { "dropping-particle" : "", "family" : "Searns", "given" : "Robert M.", "non-dropping-particle" : "", "parse-names" : false, "suffix" : "" } ], "container-title" : "Landscape and Urban Planning", "id" : "ITEM-2", "issued" : { "date-parts" : [ [ "1995" ] ] }, "title" : "The evolution of greenways as an adaptive urban landscape form", "type" : "article-journal" }, "uris" : [ "http://www.mendeley.com/documents/?uuid=0c7df8ae-0e5a-32b7-841c-aef29019f1de" ] } ], "mendeley" : { "formattedCitation" : "(Ahern 1995; Searns 1995)", "plainTextFormattedCitation" : "(Ahern 1995; Searns 1995)", "previouslyFormattedCitation" : "(Ahern 1995; Searns 1995)" }, "properties" : { "noteIndex" : 0 }, "schema" : "https://github.com/citation-style-language/schema/raw/master/csl-citation.json" }</w:instrText>
      </w:r>
      <w:r w:rsidR="00361692" w:rsidRPr="000D7D0A">
        <w:rPr>
          <w:rFonts w:ascii="Times New Roman" w:hAnsi="Times New Roman" w:cs="Times New Roman"/>
          <w:sz w:val="24"/>
          <w:szCs w:val="24"/>
        </w:rPr>
        <w:fldChar w:fldCharType="separate"/>
      </w:r>
      <w:r w:rsidR="004F1B4E" w:rsidRPr="000D7D0A">
        <w:rPr>
          <w:rFonts w:ascii="Times New Roman" w:hAnsi="Times New Roman" w:cs="Times New Roman"/>
          <w:noProof/>
          <w:sz w:val="24"/>
          <w:szCs w:val="24"/>
        </w:rPr>
        <w:t>(Ahern 1995; Searns 1995)</w:t>
      </w:r>
      <w:r w:rsidR="00361692" w:rsidRPr="000D7D0A">
        <w:rPr>
          <w:rFonts w:ascii="Times New Roman" w:hAnsi="Times New Roman" w:cs="Times New Roman"/>
          <w:sz w:val="24"/>
          <w:szCs w:val="24"/>
        </w:rPr>
        <w:fldChar w:fldCharType="end"/>
      </w:r>
      <w:r w:rsidRPr="000D7D0A">
        <w:rPr>
          <w:rFonts w:ascii="Times New Roman" w:hAnsi="Times New Roman" w:cs="Times New Roman"/>
          <w:sz w:val="24"/>
          <w:szCs w:val="24"/>
        </w:rPr>
        <w:t xml:space="preserve">, el turismo </w:t>
      </w:r>
      <w:r w:rsidR="00361692" w:rsidRPr="000D7D0A">
        <w:rPr>
          <w:rFonts w:ascii="Times New Roman" w:hAnsi="Times New Roman" w:cs="Times New Roman"/>
          <w:sz w:val="24"/>
          <w:szCs w:val="24"/>
        </w:rPr>
        <w:fldChar w:fldCharType="begin" w:fldLock="1"/>
      </w:r>
      <w:r w:rsidR="004F1B4E" w:rsidRPr="000D7D0A">
        <w:rPr>
          <w:rFonts w:ascii="Times New Roman" w:hAnsi="Times New Roman" w:cs="Times New Roman"/>
          <w:sz w:val="24"/>
          <w:szCs w:val="24"/>
        </w:rPr>
        <w:instrText>ADDIN CSL_CITATION { "citationItems" : [ { "id" : "ITEM-1", "itemData" : { "DOI" : "10.1080/09669581003668524", "author" : [ { "dropping-particle" : "", "family" : "Mundet", "given" : "Llu\u00eds", "non-dropping-particle" : "", "parse-names" : false, "suffix" : "" }, { "dropping-particle" : "", "family" : "Coenders", "given" : "Germ\u00e0", "non-dropping-particle" : "", "parse-names" : false, "suffix" : "" } ], "id" : "ITEM-1", "issued" : { "date-parts" : [ [ "2010" ] ] }, "title" : "Greenways: a sustainable leisure experience concept for both communities and tourists", "type" : "article-journal" }, "uris" : [ "http://www.mendeley.com/documents/?uuid=126b7381-9be7-30a3-8373-77ac89aeaad3" ] }, { "id" : "ITEM-2", "itemData" : { "author" : [ { "dropping-particle" : "", "family" : "Mercat", "given" : "Nicolas", "non-dropping-particle" : "", "parse-names" : false, "suffix" : "" } ], "id" : "ITEM-2", "issued" : { "date-parts" : [ [ "2009" ] ] }, "page" : "526", "publisher-place" : "Paris", "title" : "Sp\u00e9cial \u00e9conomie du v\u00e9lo", "type" : "article" }, "uris" : [ "http://www.mendeley.com/documents/?uuid=23aee3d3-abb0-4af4-8dfd-5d6a914ebb34" ] } ], "mendeley" : { "formattedCitation" : "(Mundet &amp; Coenders 2010; Mercat 2009)", "plainTextFormattedCitation" : "(Mundet &amp; Coenders 2010; Mercat 2009)", "previouslyFormattedCitation" : "(Mundet &amp; Coenders 2010; Mercat 2009)" }, "properties" : { "noteIndex" : 0 }, "schema" : "https://github.com/citation-style-language/schema/raw/master/csl-citation.json" }</w:instrText>
      </w:r>
      <w:r w:rsidR="00361692" w:rsidRPr="000D7D0A">
        <w:rPr>
          <w:rFonts w:ascii="Times New Roman" w:hAnsi="Times New Roman" w:cs="Times New Roman"/>
          <w:sz w:val="24"/>
          <w:szCs w:val="24"/>
        </w:rPr>
        <w:fldChar w:fldCharType="separate"/>
      </w:r>
      <w:r w:rsidR="004F1B4E" w:rsidRPr="000D7D0A">
        <w:rPr>
          <w:rFonts w:ascii="Times New Roman" w:hAnsi="Times New Roman" w:cs="Times New Roman"/>
          <w:noProof/>
          <w:sz w:val="24"/>
          <w:szCs w:val="24"/>
        </w:rPr>
        <w:t>(Mundet &amp; Coenders 2010; Mercat 2009)</w:t>
      </w:r>
      <w:r w:rsidR="00361692" w:rsidRPr="000D7D0A">
        <w:rPr>
          <w:rFonts w:ascii="Times New Roman" w:hAnsi="Times New Roman" w:cs="Times New Roman"/>
          <w:sz w:val="24"/>
          <w:szCs w:val="24"/>
        </w:rPr>
        <w:fldChar w:fldCharType="end"/>
      </w:r>
      <w:r w:rsidRPr="000D7D0A">
        <w:rPr>
          <w:rFonts w:ascii="Times New Roman" w:hAnsi="Times New Roman" w:cs="Times New Roman"/>
          <w:sz w:val="24"/>
          <w:szCs w:val="24"/>
        </w:rPr>
        <w:t xml:space="preserve">, la economía </w:t>
      </w:r>
      <w:r w:rsidR="00361692" w:rsidRPr="000D7D0A">
        <w:rPr>
          <w:rFonts w:ascii="Times New Roman" w:hAnsi="Times New Roman" w:cs="Times New Roman"/>
          <w:sz w:val="24"/>
          <w:szCs w:val="24"/>
        </w:rPr>
        <w:fldChar w:fldCharType="begin" w:fldLock="1"/>
      </w:r>
      <w:r w:rsidR="004F1B4E" w:rsidRPr="000D7D0A">
        <w:rPr>
          <w:rFonts w:ascii="Times New Roman" w:hAnsi="Times New Roman" w:cs="Times New Roman"/>
          <w:sz w:val="24"/>
          <w:szCs w:val="24"/>
        </w:rPr>
        <w:instrText>ADDIN CSL_CITATION { "citationItems" : [ { "id" : "ITEM-1", "itemData" : { "DOI" : "10.1080/21568316.2012.653477", "ISBN" : "2156-8316", "ISSN" : "2156-8316", "abstract" : "This paper presents a comparative study of the maintenance costs of the Girona greenways (the ?vies verdes?) and the sports facilities of the boroughs through which they run, viewing greenways from the perspective of sports pursuits (cycling and walking) and tourism. The paper defines the concept of greenways, contextualises the Girona greenways and the methodological procedure employed to obtain the data, in line with the contributions of Carrasco for cost accounting at Spanish municipal public authorities. The results indicate that the Girona greenways have a far lower cost per use than the sports facilities in the boroughs through which they run, thus making them a highly cost-effective investment. Within this context, structures such as the greenways are of great importance for the sustainable development of tourism on the Costa Brava (Catalonia, Spain).", "author" : [ { "dropping-particle" : "", "family" : "Palau", "given" : "Ramon", "non-dropping-particle" : "", "parse-names" : false, "suffix" : "" }, { "dropping-particle" : "", "family" : "Forgas", "given" : "Santiago", "non-dropping-particle" : "", "parse-names" : false, "suffix" : "" }, { "dropping-particle" : "", "family" : "Blasco", "given" : "Daniel", "non-dropping-particle" : "", "parse-names" : false, "suffix" : "" }, { "dropping-particle" : "", "family" : "Ferrer", "given" : "Berta", "non-dropping-particle" : "", "parse-names" : false, "suffix" : "" } ], "container-title" : "Tourism Planning &amp; Development", "id" : "ITEM-1", "issue" : "1", "issued" : { "date-parts" : [ [ "2012" ] ] }, "page" : "15-24", "title" : "An Analysis of Greenways from an Economic Perspective", "type" : "article-journal", "volume" : "9" }, "uris" : [ "http://www.mendeley.com/documents/?uuid=5dc744f5-aa90-411d-bf01-a60c66ae20f8" ] } ], "mendeley" : { "formattedCitation" : "(Palau et al. 2012)", "plainTextFormattedCitation" : "(Palau et al. 2012)", "previouslyFormattedCitation" : "(Palau et al. 2012)" }, "properties" : { "noteIndex" : 0 }, "schema" : "https://github.com/citation-style-language/schema/raw/master/csl-citation.json" }</w:instrText>
      </w:r>
      <w:r w:rsidR="00361692" w:rsidRPr="000D7D0A">
        <w:rPr>
          <w:rFonts w:ascii="Times New Roman" w:hAnsi="Times New Roman" w:cs="Times New Roman"/>
          <w:sz w:val="24"/>
          <w:szCs w:val="24"/>
        </w:rPr>
        <w:fldChar w:fldCharType="separate"/>
      </w:r>
      <w:r w:rsidR="004F1B4E" w:rsidRPr="000D7D0A">
        <w:rPr>
          <w:rFonts w:ascii="Times New Roman" w:hAnsi="Times New Roman" w:cs="Times New Roman"/>
          <w:noProof/>
          <w:sz w:val="24"/>
          <w:szCs w:val="24"/>
        </w:rPr>
        <w:t>(Palau et al. 2012)</w:t>
      </w:r>
      <w:r w:rsidR="00361692" w:rsidRPr="000D7D0A">
        <w:rPr>
          <w:rFonts w:ascii="Times New Roman" w:hAnsi="Times New Roman" w:cs="Times New Roman"/>
          <w:sz w:val="24"/>
          <w:szCs w:val="24"/>
        </w:rPr>
        <w:fldChar w:fldCharType="end"/>
      </w:r>
      <w:r w:rsidRPr="000D7D0A">
        <w:rPr>
          <w:rFonts w:ascii="Times New Roman" w:hAnsi="Times New Roman" w:cs="Times New Roman"/>
          <w:sz w:val="24"/>
          <w:szCs w:val="24"/>
        </w:rPr>
        <w:t xml:space="preserve"> o el desarrollo rural </w:t>
      </w:r>
      <w:r w:rsidR="00361692" w:rsidRPr="000D7D0A">
        <w:rPr>
          <w:rFonts w:ascii="Times New Roman" w:hAnsi="Times New Roman" w:cs="Times New Roman"/>
          <w:sz w:val="24"/>
          <w:szCs w:val="24"/>
        </w:rPr>
        <w:fldChar w:fldCharType="begin" w:fldLock="1"/>
      </w:r>
      <w:r w:rsidR="004F1B4E" w:rsidRPr="000D7D0A">
        <w:rPr>
          <w:rFonts w:ascii="Times New Roman" w:hAnsi="Times New Roman" w:cs="Times New Roman"/>
          <w:sz w:val="24"/>
          <w:szCs w:val="24"/>
        </w:rPr>
        <w:instrText>ADDIN CSL_CITATION { "citationItems" : [ { "id" : "ITEM-1", "itemData" : { "author" : [ { "dropping-particle" : "", "family" : "Aycart", "given" : "Carmen", "non-dropping-particle" : "", "parse-names" : false, "suffix" : "" }, { "dropping-particle" : "", "family" : "Hern\u00e1ndez", "given" : "Arantxa", "non-dropping-particle" : "", "parse-names" : false, "suffix" : "" } ], "edition" : "Fundaci\u00f3n ", "id" : "ITEM-1", "issued" : { "date-parts" : [ [ "2007" ] ] }, "number-of-pages" : "117", "publisher-place" : "Madrid", "title" : "Caminos Naturales - V\u00edas verdes Su adecuaci\u00f3n al desarrollo rural sostenible", "type" : "book" }, "uris" : [ "http://www.mendeley.com/documents/?uuid=e9605a8f-a195-4ec9-b94b-8bd80eddbde8" ] }, { "id" : "ITEM-2", "itemData" : { "abstract" : "We present an economic impacts model based on direct expenditures for European cycle routes, originally designed in 2009 as part of a study commissioned by the European Parliament. At its request, the study was updated in 2012, including a refined version of our model which takes some limitations of the former model into account. Our main findings are that cycle tourists\u2019 daily spending is comparable to that of other tourists, and that cycle tourism can contribute significantly in particular to rural economies that have not previously enjoyed mainstream tourism development. (European) cycle tourism thus proves to be useful as an (additional) tool for regional rural development. We arrived at a total estimated direct expenditures in Europe of almost \u20ac44 billion (\u20ac35 billion from day trips and \u20ac8.94 billion from overnight trips). We applied the model to the routes of EuroVelo, the European cycle route network which is currently being developed, showing their considerable economic potential of over \u20ac7 billion in direct expenditures. Furthermore, cycle tourism has a far lower negative impact on the environment (in terms of carbon dioxide emissions) than other forms of tourism. Cycle tourism is therefore a good example of a low carbon tourism product which could be developed as a major slow travel opportunity across (rural) Europe.", "author" : [ { "dropping-particle" : "", "family" : "Piket", "given" : "Pieter", "non-dropping-particle" : "", "parse-names" : false, "suffix" : "" }, { "dropping-particle" : "", "family" : "Eijgelaar", "given" : "Eke", "non-dropping-particle" : "", "parse-names" : false, "suffix" : "" }, { "dropping-particle" : "", "family" : "Peeters", "given" : "P M", "non-dropping-particle" : "", "parse-names" : false, "suffix" : "" } ], "container-title" : "Applied Studies in Agribusiness and Commerce \u2013 APSTRACT", "id" : "ITEM-2", "issue" : "2-3", "issued" : { "date-parts" : [ [ "2013" ] ] }, "page" : "1-6", "title" : "European cycle tourism: a tool for sustainable regional rural development", "type" : "article-journal", "volume" : "7" }, "uris" : [ "http://www.mendeley.com/documents/?uuid=cfe8ca54-ad32-418f-8276-49b0efd7e4d3" ] } ], "mendeley" : { "formattedCitation" : "(Aycart &amp; Hern\u00e1ndez 2007; Piket et al. 2013)", "plainTextFormattedCitation" : "(Aycart &amp; Hern\u00e1ndez 2007; Piket et al. 2013)", "previouslyFormattedCitation" : "(Aycart &amp; Hern\u00e1ndez 2007; Piket et al. 2013)" }, "properties" : { "noteIndex" : 0 }, "schema" : "https://github.com/citation-style-language/schema/raw/master/csl-citation.json" }</w:instrText>
      </w:r>
      <w:r w:rsidR="00361692" w:rsidRPr="000D7D0A">
        <w:rPr>
          <w:rFonts w:ascii="Times New Roman" w:hAnsi="Times New Roman" w:cs="Times New Roman"/>
          <w:sz w:val="24"/>
          <w:szCs w:val="24"/>
        </w:rPr>
        <w:fldChar w:fldCharType="separate"/>
      </w:r>
      <w:r w:rsidR="004F1B4E" w:rsidRPr="000D7D0A">
        <w:rPr>
          <w:rFonts w:ascii="Times New Roman" w:hAnsi="Times New Roman" w:cs="Times New Roman"/>
          <w:noProof/>
          <w:sz w:val="24"/>
          <w:szCs w:val="24"/>
        </w:rPr>
        <w:t>(Aycart &amp; Hernández 2007; Piket et al. 2013)</w:t>
      </w:r>
      <w:r w:rsidR="00361692" w:rsidRPr="000D7D0A">
        <w:rPr>
          <w:rFonts w:ascii="Times New Roman" w:hAnsi="Times New Roman" w:cs="Times New Roman"/>
          <w:sz w:val="24"/>
          <w:szCs w:val="24"/>
        </w:rPr>
        <w:fldChar w:fldCharType="end"/>
      </w:r>
      <w:r w:rsidRPr="000D7D0A">
        <w:rPr>
          <w:rFonts w:ascii="Times New Roman" w:hAnsi="Times New Roman" w:cs="Times New Roman"/>
          <w:sz w:val="24"/>
          <w:szCs w:val="24"/>
        </w:rPr>
        <w:t xml:space="preserve">. Y así, aunque muchos de ellos tratan tangencialmente la cuestión de las políticas públicas, no hay ninguno que lo aborde como objeto central de la investigación. En el otro lado de la moneda, en la literatura de políticas públicas, si bien se pueden establecer conexiones con ámbitos cercanos como el medio ambiente </w:t>
      </w:r>
      <w:r w:rsidR="00361692" w:rsidRPr="000D7D0A">
        <w:rPr>
          <w:rFonts w:ascii="Times New Roman" w:hAnsi="Times New Roman" w:cs="Times New Roman"/>
          <w:sz w:val="24"/>
          <w:szCs w:val="24"/>
        </w:rPr>
        <w:fldChar w:fldCharType="begin" w:fldLock="1"/>
      </w:r>
      <w:r w:rsidR="004F1B4E" w:rsidRPr="000D7D0A">
        <w:rPr>
          <w:rFonts w:ascii="Times New Roman" w:hAnsi="Times New Roman" w:cs="Times New Roman"/>
          <w:sz w:val="24"/>
          <w:szCs w:val="24"/>
        </w:rPr>
        <w:instrText>ADDIN CSL_CITATION { "citationItems" : [ { "id" : "ITEM-1", "itemData" : { "ISBN" : "843441810X", "author" : [ { "dropping-particle" : "", "family" : "Gom\u00e0", "given" : "Ricard", "non-dropping-particle" : "", "parse-names" : false, "suffix" : "" }, { "dropping-particle" : "", "family" : "Subirats", "given" : "Joan", "non-dropping-particle" : "", "parse-names" : false, "suffix" : "" } ], "id" : "ITEM-1", "issued" : { "date-parts" : [ [ "1998" ] ] }, "publisher" : "Ariel", "publisher-place" : "Barcelona :", "title" : "Pol\u00edticas p\u00fablicas en Espa\u00f1a : contenidos, redes de actores y niveles de gobierno", "type" : "book" }, "uris" : [ "http://www.mendeley.com/documents/?uuid=4e6e494c-97e2-4d33-b8ca-55a12565bfe9" ] } ], "mendeley" : { "formattedCitation" : "(Gom\u00e0 &amp; Subirats 1998)", "plainTextFormattedCitation" : "(Gom\u00e0 &amp; Subirats 1998)", "previouslyFormattedCitation" : "(Gom\u00e0 &amp; Subirats 1998)" }, "properties" : { "noteIndex" : 0 }, "schema" : "https://github.com/citation-style-language/schema/raw/master/csl-citation.json" }</w:instrText>
      </w:r>
      <w:r w:rsidR="00361692" w:rsidRPr="000D7D0A">
        <w:rPr>
          <w:rFonts w:ascii="Times New Roman" w:hAnsi="Times New Roman" w:cs="Times New Roman"/>
          <w:sz w:val="24"/>
          <w:szCs w:val="24"/>
        </w:rPr>
        <w:fldChar w:fldCharType="separate"/>
      </w:r>
      <w:r w:rsidR="004F1B4E" w:rsidRPr="000D7D0A">
        <w:rPr>
          <w:rFonts w:ascii="Times New Roman" w:hAnsi="Times New Roman" w:cs="Times New Roman"/>
          <w:noProof/>
          <w:sz w:val="24"/>
          <w:szCs w:val="24"/>
        </w:rPr>
        <w:t>(Gomà &amp; Subirats 1998)</w:t>
      </w:r>
      <w:r w:rsidR="00361692" w:rsidRPr="000D7D0A">
        <w:rPr>
          <w:rFonts w:ascii="Times New Roman" w:hAnsi="Times New Roman" w:cs="Times New Roman"/>
          <w:sz w:val="24"/>
          <w:szCs w:val="24"/>
        </w:rPr>
        <w:fldChar w:fldCharType="end"/>
      </w:r>
      <w:r w:rsidRPr="000D7D0A">
        <w:rPr>
          <w:rFonts w:ascii="Times New Roman" w:hAnsi="Times New Roman" w:cs="Times New Roman"/>
          <w:sz w:val="24"/>
          <w:szCs w:val="24"/>
        </w:rPr>
        <w:t>, o la implementación de políticas complejas sobre el territorio (</w:t>
      </w:r>
      <w:proofErr w:type="spellStart"/>
      <w:r w:rsidRPr="000D7D0A">
        <w:rPr>
          <w:rFonts w:ascii="Times New Roman" w:hAnsi="Times New Roman" w:cs="Times New Roman"/>
          <w:sz w:val="24"/>
          <w:szCs w:val="24"/>
        </w:rPr>
        <w:t>Brugué</w:t>
      </w:r>
      <w:proofErr w:type="spellEnd"/>
      <w:r w:rsidRPr="000D7D0A">
        <w:rPr>
          <w:rFonts w:ascii="Times New Roman" w:hAnsi="Times New Roman" w:cs="Times New Roman"/>
          <w:sz w:val="24"/>
          <w:szCs w:val="24"/>
        </w:rPr>
        <w:t>, 2010), tampoco hay una aproximación teórica específica sobre la cuestión, al menos en un contexto institucional semejante.</w:t>
      </w: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La </w:t>
      </w:r>
      <w:proofErr w:type="spellStart"/>
      <w:r w:rsidRPr="000D7D0A">
        <w:rPr>
          <w:rFonts w:ascii="Times New Roman" w:eastAsia="Times New Roman" w:hAnsi="Times New Roman" w:cs="Times New Roman"/>
          <w:sz w:val="24"/>
          <w:szCs w:val="24"/>
          <w:lang w:eastAsia="es-ES"/>
        </w:rPr>
        <w:t>transversalidad</w:t>
      </w:r>
      <w:proofErr w:type="spellEnd"/>
      <w:r w:rsidRPr="000D7D0A">
        <w:rPr>
          <w:rFonts w:ascii="Times New Roman" w:eastAsia="Times New Roman" w:hAnsi="Times New Roman" w:cs="Times New Roman"/>
          <w:sz w:val="24"/>
          <w:szCs w:val="24"/>
          <w:lang w:eastAsia="es-ES"/>
        </w:rPr>
        <w:t xml:space="preserve"> es otro de los aspectos relevantes en las vías verdes. </w:t>
      </w:r>
      <w:r w:rsidRPr="000D7D0A">
        <w:rPr>
          <w:rFonts w:ascii="Times New Roman" w:hAnsi="Times New Roman" w:cs="Times New Roman"/>
          <w:sz w:val="24"/>
          <w:szCs w:val="24"/>
        </w:rPr>
        <w:t>Una de las acepciones de transversal en el diccionario de la RAE hace referencia al adjetivo “</w:t>
      </w:r>
      <w:r w:rsidRPr="000D7D0A">
        <w:rPr>
          <w:rFonts w:ascii="Times New Roman" w:hAnsi="Times New Roman" w:cs="Times New Roman"/>
          <w:i/>
          <w:sz w:val="24"/>
          <w:szCs w:val="24"/>
        </w:rPr>
        <w:t>que atañe a distintos ámbitos o disciplinas en lugar de un problema concreto”.</w:t>
      </w:r>
      <w:r w:rsidRPr="000D7D0A">
        <w:rPr>
          <w:rFonts w:ascii="Times New Roman" w:eastAsia="Times New Roman" w:hAnsi="Times New Roman" w:cs="Times New Roman"/>
          <w:sz w:val="24"/>
          <w:szCs w:val="24"/>
          <w:lang w:eastAsia="es-ES"/>
        </w:rPr>
        <w:t xml:space="preserve"> Así, las políticas públicas se </w:t>
      </w:r>
      <w:proofErr w:type="gramStart"/>
      <w:r w:rsidRPr="000D7D0A">
        <w:rPr>
          <w:rFonts w:ascii="Times New Roman" w:eastAsia="Times New Roman" w:hAnsi="Times New Roman" w:cs="Times New Roman"/>
          <w:sz w:val="24"/>
          <w:szCs w:val="24"/>
          <w:lang w:eastAsia="es-ES"/>
        </w:rPr>
        <w:t>refiere</w:t>
      </w:r>
      <w:proofErr w:type="gramEnd"/>
      <w:r w:rsidRPr="000D7D0A">
        <w:rPr>
          <w:rFonts w:ascii="Times New Roman" w:eastAsia="Times New Roman" w:hAnsi="Times New Roman" w:cs="Times New Roman"/>
          <w:sz w:val="24"/>
          <w:szCs w:val="24"/>
          <w:lang w:eastAsia="es-ES"/>
        </w:rPr>
        <w:t xml:space="preserve"> a la articulación de las distintas aproximaciones sectoriales de un problema. O dicho de otro modo, del trabajo conjunto de distintos departamentos de una misma institución en relación a una política pública. Normalmente se concreta en una relación horizontal donde se deben relacionar lógicas diferentes y tradiciones dispares para abordar un problema común.  </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pStyle w:val="NormalWeb"/>
        <w:spacing w:before="0" w:beforeAutospacing="0" w:after="0" w:afterAutospacing="0" w:line="276" w:lineRule="auto"/>
        <w:jc w:val="both"/>
      </w:pPr>
      <w:r w:rsidRPr="000D7D0A">
        <w:t xml:space="preserve">En este sentido es útil y clarificadora la diferenciación entre coordinación y </w:t>
      </w:r>
      <w:proofErr w:type="spellStart"/>
      <w:r w:rsidRPr="000D7D0A">
        <w:t>transversalidad</w:t>
      </w:r>
      <w:proofErr w:type="spellEnd"/>
      <w:r w:rsidRPr="000D7D0A">
        <w:t xml:space="preserve"> propuesta por </w:t>
      </w:r>
      <w:proofErr w:type="spellStart"/>
      <w:r w:rsidRPr="000D7D0A">
        <w:t>Brugué</w:t>
      </w:r>
      <w:proofErr w:type="spellEnd"/>
      <w:r w:rsidRPr="000D7D0A">
        <w:t xml:space="preserve"> </w:t>
      </w:r>
      <w:r w:rsidR="00361692" w:rsidRPr="000D7D0A">
        <w:fldChar w:fldCharType="begin" w:fldLock="1"/>
      </w:r>
      <w:r w:rsidR="004F1B4E" w:rsidRPr="000D7D0A">
        <w:instrText>ADDIN CSL_CITATION { "citationItems" : [ { "id" : "ITEM-1", "itemData" : { "author" : [ { "dropping-particle" : "", "family" : "Brugu\u00e9", "given" : "Quim", "non-dropping-particle" : "", "parse-names" : false, "suffix" : "" }, { "dropping-particle" : "", "family" : "Canal", "given" : "Ramon", "non-dropping-particle" : "", "parse-names" : false, "suffix" : "" }, { "dropping-particle" : "", "family" : "Pay\u00e1", "given" : "Palmira", "non-dropping-particle" : "", "parse-names" : false, "suffix" : "" } ], "id" : "ITEM-1", "issued" : { "date-parts" : [ [ "2010" ] ] }, "page" : "135", "publisher" : "EAPC-IGOP", "publisher-place" : "Barcelona", "title" : "De l'efici\u00e8ncia a la intel\u00b7lig\u00e8ncia. El cas de les comissions interdepartamentals al Govern de Catalunya", "type" : "article" }, "uris" : [ "http://www.mendeley.com/documents/?uuid=09ca1ddb-ab07-36bc-aa16-f15c2fabc45c" ] } ], "mendeley" : { "formattedCitation" : "(Brugu\u00e9 et al. 2010)", "manualFormatting" : "(2010)", "plainTextFormattedCitation" : "(Brugu\u00e9 et al. 2010)", "previouslyFormattedCitation" : "(Brugu\u00e9 et al. 2010)" }, "properties" : { "noteIndex" : 0 }, "schema" : "https://github.com/citation-style-language/schema/raw/master/csl-citation.json" }</w:instrText>
      </w:r>
      <w:r w:rsidR="00361692" w:rsidRPr="000D7D0A">
        <w:fldChar w:fldCharType="separate"/>
      </w:r>
      <w:r w:rsidRPr="000D7D0A">
        <w:rPr>
          <w:noProof/>
        </w:rPr>
        <w:t>(2010)</w:t>
      </w:r>
      <w:r w:rsidR="00361692" w:rsidRPr="000D7D0A">
        <w:fldChar w:fldCharType="end"/>
      </w:r>
      <w:r w:rsidRPr="000D7D0A">
        <w:t xml:space="preserve">. Así, la coordinación es la puesta en común, el debate y el conocimiento de lo que cada departamento hace por separado, para conocerlo y mejorar. La </w:t>
      </w:r>
      <w:proofErr w:type="spellStart"/>
      <w:r w:rsidRPr="000D7D0A">
        <w:t>transversalidad</w:t>
      </w:r>
      <w:proofErr w:type="spellEnd"/>
      <w:r w:rsidRPr="000D7D0A">
        <w:t xml:space="preserve">, en cambio, va más allá, ya que es la creación conjunta. En este sentido la </w:t>
      </w:r>
      <w:proofErr w:type="spellStart"/>
      <w:r w:rsidRPr="000D7D0A">
        <w:t>transversalidad</w:t>
      </w:r>
      <w:proofErr w:type="spellEnd"/>
      <w:r w:rsidRPr="000D7D0A">
        <w:t xml:space="preserve"> implica un nivel de integración superior a la coordinación entre los distintos departamentos para enfocar el problema desde todas las perspectivas y de un modo integral. </w:t>
      </w:r>
    </w:p>
    <w:p w:rsidR="00CA02B1" w:rsidRPr="000D7D0A" w:rsidRDefault="00CA02B1" w:rsidP="00CA02B1">
      <w:pPr>
        <w:pStyle w:val="NormalWeb"/>
        <w:spacing w:before="0" w:beforeAutospacing="0" w:after="0" w:afterAutospacing="0" w:line="276" w:lineRule="auto"/>
        <w:jc w:val="both"/>
      </w:pPr>
    </w:p>
    <w:p w:rsidR="00240857" w:rsidRPr="000D7D0A" w:rsidRDefault="00240857" w:rsidP="00240857">
      <w:pPr>
        <w:pStyle w:val="NormalWeb"/>
        <w:spacing w:before="0" w:beforeAutospacing="0" w:after="0" w:afterAutospacing="0" w:line="276" w:lineRule="auto"/>
        <w:jc w:val="both"/>
      </w:pPr>
      <w:r w:rsidRPr="000D7D0A">
        <w:lastRenderedPageBreak/>
        <w:t xml:space="preserve">La </w:t>
      </w:r>
      <w:proofErr w:type="spellStart"/>
      <w:r w:rsidRPr="000D7D0A">
        <w:t>transversalidad</w:t>
      </w:r>
      <w:proofErr w:type="spellEnd"/>
      <w:r w:rsidRPr="000D7D0A">
        <w:t xml:space="preserve"> o </w:t>
      </w:r>
      <w:proofErr w:type="spellStart"/>
      <w:r w:rsidRPr="000D7D0A">
        <w:t>interdepartamentalidad</w:t>
      </w:r>
      <w:proofErr w:type="spellEnd"/>
      <w:r w:rsidRPr="000D7D0A">
        <w:t xml:space="preserve"> es algo complejo y para el cual la administración burocrática </w:t>
      </w:r>
      <w:proofErr w:type="spellStart"/>
      <w:r w:rsidRPr="000D7D0A">
        <w:t>weberiana</w:t>
      </w:r>
      <w:proofErr w:type="spellEnd"/>
      <w:r w:rsidRPr="000D7D0A">
        <w:t xml:space="preserve"> no está diseñada. Cualquiera que haya estado cerca de las administraciones públicas puede certificar que la lógica de la  colaboración y la </w:t>
      </w:r>
      <w:proofErr w:type="spellStart"/>
      <w:r w:rsidRPr="000D7D0A">
        <w:t>transversalidad</w:t>
      </w:r>
      <w:proofErr w:type="spellEnd"/>
      <w:r w:rsidRPr="000D7D0A">
        <w:t xml:space="preserve"> es difícil de llevar a la práctica.</w:t>
      </w:r>
    </w:p>
    <w:p w:rsidR="00240857" w:rsidRPr="000D7D0A" w:rsidRDefault="00240857" w:rsidP="00CA02B1">
      <w:pPr>
        <w:pStyle w:val="NormalWeb"/>
        <w:spacing w:before="0" w:beforeAutospacing="0" w:after="0" w:afterAutospacing="0" w:line="276" w:lineRule="auto"/>
        <w:jc w:val="both"/>
      </w:pPr>
    </w:p>
    <w:p w:rsidR="00C45EBC" w:rsidRPr="000D7D0A" w:rsidRDefault="00CA02B1" w:rsidP="00CA02B1">
      <w:pPr>
        <w:pStyle w:val="NormalWeb"/>
        <w:spacing w:before="0" w:beforeAutospacing="0" w:after="0" w:afterAutospacing="0" w:line="276" w:lineRule="auto"/>
        <w:jc w:val="both"/>
      </w:pPr>
      <w:proofErr w:type="spellStart"/>
      <w:r w:rsidRPr="000D7D0A">
        <w:t>Subirats</w:t>
      </w:r>
      <w:proofErr w:type="spellEnd"/>
      <w:r w:rsidRPr="000D7D0A">
        <w:t xml:space="preserve"> ya plantea una hipótesis en relación a la ausencia de </w:t>
      </w:r>
      <w:proofErr w:type="spellStart"/>
      <w:r w:rsidRPr="000D7D0A">
        <w:t>transversalidad</w:t>
      </w:r>
      <w:proofErr w:type="spellEnd"/>
      <w:r w:rsidRPr="000D7D0A">
        <w:t xml:space="preserve"> “hipótesis 3.1 S</w:t>
      </w:r>
      <w:r w:rsidRPr="000D7D0A">
        <w:rPr>
          <w:i/>
        </w:rPr>
        <w:t xml:space="preserve">i un servicio administrativo se apropia de manera prácticamente exclusiva de la </w:t>
      </w:r>
      <w:proofErr w:type="spellStart"/>
      <w:r w:rsidRPr="000D7D0A">
        <w:rPr>
          <w:i/>
        </w:rPr>
        <w:t>definicion</w:t>
      </w:r>
      <w:proofErr w:type="spellEnd"/>
      <w:r w:rsidRPr="000D7D0A">
        <w:rPr>
          <w:i/>
        </w:rPr>
        <w:t xml:space="preserve"> de un problema público, los objetivos del </w:t>
      </w:r>
      <w:proofErr w:type="spellStart"/>
      <w:r w:rsidRPr="000D7D0A">
        <w:rPr>
          <w:i/>
        </w:rPr>
        <w:t>ppa</w:t>
      </w:r>
      <w:proofErr w:type="spellEnd"/>
      <w:r w:rsidRPr="000D7D0A">
        <w:rPr>
          <w:i/>
        </w:rPr>
        <w:t xml:space="preserve"> se </w:t>
      </w:r>
      <w:proofErr w:type="spellStart"/>
      <w:r w:rsidRPr="000D7D0A">
        <w:rPr>
          <w:i/>
        </w:rPr>
        <w:t>definiran</w:t>
      </w:r>
      <w:proofErr w:type="spellEnd"/>
      <w:r w:rsidRPr="000D7D0A">
        <w:rPr>
          <w:i/>
        </w:rPr>
        <w:t xml:space="preserve"> </w:t>
      </w:r>
      <w:proofErr w:type="spellStart"/>
      <w:r w:rsidRPr="000D7D0A">
        <w:rPr>
          <w:i/>
        </w:rPr>
        <w:t>segun</w:t>
      </w:r>
      <w:proofErr w:type="spellEnd"/>
      <w:r w:rsidRPr="000D7D0A">
        <w:rPr>
          <w:i/>
        </w:rPr>
        <w:t xml:space="preserve"> los  </w:t>
      </w:r>
      <w:proofErr w:type="spellStart"/>
      <w:r w:rsidRPr="000D7D0A">
        <w:rPr>
          <w:i/>
        </w:rPr>
        <w:t>terminos</w:t>
      </w:r>
      <w:proofErr w:type="spellEnd"/>
      <w:r w:rsidRPr="000D7D0A">
        <w:rPr>
          <w:i/>
        </w:rPr>
        <w:t xml:space="preserve"> tradicionales de la política pública de este servicio que ya tiene a su cargo</w:t>
      </w:r>
      <w:r w:rsidRPr="000D7D0A">
        <w:t>”</w:t>
      </w:r>
      <w:r w:rsidR="00361692" w:rsidRPr="000D7D0A">
        <w:fldChar w:fldCharType="begin" w:fldLock="1"/>
      </w:r>
      <w:r w:rsidR="004F1B4E" w:rsidRPr="000D7D0A">
        <w:instrText>ADDIN CSL_CITATION { "citationItems" : [ { "id" : "ITEM-1", "itemData" : { "ISBN" : "9788434418288", "author" : [ { "dropping-particle" : "", "family" : "Subirats", "given" : "Joan; Peter", "non-dropping-particle" : "", "parse-names" : false, "suffix" : "" } ], "id" : "ITEM-1", "issued" : { "date-parts" : [ [ "2008" ] ] }, "publisher" : "Ariel", "publisher-place" : "Barcelona :", "title" : "An\u00e1lisis y gesti\u00f3n de pol\u00edticas p\u00fablicas", "type" : "book" }, "uris" : [ "http://www.mendeley.com/documents/?uuid=534a3444-97be-433e-9db4-1fc17f35f544" ] } ], "mendeley" : { "formattedCitation" : "(Subirats 2008)", "manualFormatting" : "(Subirats, 2008: 256)", "plainTextFormattedCitation" : "(Subirats 2008)", "previouslyFormattedCitation" : "(Subirats 2008)" }, "properties" : { "noteIndex" : 0 }, "schema" : "https://github.com/citation-style-language/schema/raw/master/csl-citation.json" }</w:instrText>
      </w:r>
      <w:r w:rsidR="00361692" w:rsidRPr="000D7D0A">
        <w:fldChar w:fldCharType="separate"/>
      </w:r>
      <w:r w:rsidRPr="000D7D0A">
        <w:rPr>
          <w:noProof/>
        </w:rPr>
        <w:t>(Subirats, 2008</w:t>
      </w:r>
      <w:r w:rsidR="00C45EBC" w:rsidRPr="000D7D0A">
        <w:rPr>
          <w:noProof/>
        </w:rPr>
        <w:t>: 256</w:t>
      </w:r>
      <w:r w:rsidRPr="000D7D0A">
        <w:rPr>
          <w:noProof/>
        </w:rPr>
        <w:t>)</w:t>
      </w:r>
      <w:r w:rsidR="00361692" w:rsidRPr="000D7D0A">
        <w:fldChar w:fldCharType="end"/>
      </w:r>
      <w:r w:rsidR="00C45EBC" w:rsidRPr="000D7D0A">
        <w:t>.</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jc w:val="both"/>
        <w:rPr>
          <w:rFonts w:ascii="Times New Roman" w:hAnsi="Times New Roman" w:cs="Times New Roman"/>
          <w:noProof/>
          <w:sz w:val="24"/>
          <w:szCs w:val="24"/>
        </w:rPr>
      </w:pPr>
      <w:r w:rsidRPr="000D7D0A">
        <w:rPr>
          <w:rFonts w:ascii="Times New Roman" w:hAnsi="Times New Roman" w:cs="Times New Roman"/>
          <w:sz w:val="24"/>
          <w:szCs w:val="24"/>
        </w:rPr>
        <w:t xml:space="preserve">En contraposición al enfoque reduccionista que señala la hipótesis, si se quiere adoptar una perspectiva transversal es clave </w:t>
      </w:r>
      <w:r w:rsidRPr="000D7D0A">
        <w:rPr>
          <w:rFonts w:ascii="Times New Roman" w:hAnsi="Times New Roman" w:cs="Times New Roman"/>
          <w:noProof/>
          <w:sz w:val="24"/>
          <w:szCs w:val="24"/>
        </w:rPr>
        <w:t xml:space="preserve">tener en cuenta e integrar la pluralidad de objetivos al inicio del proyecto y durante su posterior gestión. Hay autores </w:t>
      </w:r>
      <w:r w:rsidR="00361692" w:rsidRPr="000D7D0A">
        <w:rPr>
          <w:rFonts w:ascii="Times New Roman" w:hAnsi="Times New Roman" w:cs="Times New Roman"/>
          <w:noProof/>
          <w:sz w:val="24"/>
          <w:szCs w:val="24"/>
        </w:rPr>
        <w:fldChar w:fldCharType="begin" w:fldLock="1"/>
      </w:r>
      <w:r w:rsidR="004F1B4E" w:rsidRPr="000D7D0A">
        <w:rPr>
          <w:rFonts w:ascii="Times New Roman" w:hAnsi="Times New Roman" w:cs="Times New Roman"/>
          <w:noProof/>
          <w:sz w:val="24"/>
          <w:szCs w:val="24"/>
        </w:rPr>
        <w:instrText>ADDIN CSL_CITATION { "citationItems" : [ { "id" : "ITEM-1", "itemData" : { "ISBN" : "1559633255", "author" : [ { "dropping-particle" : "", "family" : "Hellmund", "given" : "Paul Cawood", "non-dropping-particle" : "", "parse-names" : false, "suffix" : "" }, { "dropping-particle" : "", "family" : "Smith", "given" : "Daniel Somers", "non-dropping-particle" : "", "parse-names" : false, "suffix" : "" } ], "id" : "ITEM-1", "issued" : { "date-parts" : [ [ "2006" ] ] }, "publisher" : "IslandPress", "publisher-place" : "Washington [etc.] :", "title" : "Designing greenways : sustainable landscapes for nature and people", "type" : "book" }, "uris" : [ "http://www.mendeley.com/documents/?uuid=fdc652a1-9f4e-4db8-9c96-9c8920356ac1" ] } ], "mendeley" : { "formattedCitation" : "(Hellmund &amp; Smith 2006)", "plainTextFormattedCitation" : "(Hellmund &amp; Smith 2006)", "previouslyFormattedCitation" : "(Hellmund &amp; Smith 2006)" }, "properties" : { "noteIndex" : 0 }, "schema" : "https://github.com/citation-style-language/schema/raw/master/csl-citation.json" }</w:instrText>
      </w:r>
      <w:r w:rsidR="00361692" w:rsidRPr="000D7D0A">
        <w:rPr>
          <w:rFonts w:ascii="Times New Roman" w:hAnsi="Times New Roman" w:cs="Times New Roman"/>
          <w:noProof/>
          <w:sz w:val="24"/>
          <w:szCs w:val="24"/>
        </w:rPr>
        <w:fldChar w:fldCharType="separate"/>
      </w:r>
      <w:r w:rsidR="004F1B4E" w:rsidRPr="000D7D0A">
        <w:rPr>
          <w:rFonts w:ascii="Times New Roman" w:hAnsi="Times New Roman" w:cs="Times New Roman"/>
          <w:noProof/>
          <w:sz w:val="24"/>
          <w:szCs w:val="24"/>
        </w:rPr>
        <w:t>(Hellmund &amp; Smith 2006)</w:t>
      </w:r>
      <w:r w:rsidR="00361692" w:rsidRPr="000D7D0A">
        <w:rPr>
          <w:rFonts w:ascii="Times New Roman" w:hAnsi="Times New Roman" w:cs="Times New Roman"/>
          <w:noProof/>
          <w:sz w:val="24"/>
          <w:szCs w:val="24"/>
        </w:rPr>
        <w:fldChar w:fldCharType="end"/>
      </w:r>
      <w:r w:rsidRPr="000D7D0A">
        <w:rPr>
          <w:rFonts w:ascii="Times New Roman" w:hAnsi="Times New Roman" w:cs="Times New Roman"/>
          <w:noProof/>
          <w:sz w:val="24"/>
          <w:szCs w:val="24"/>
        </w:rPr>
        <w:t xml:space="preserve"> que ponen de relieve que para construir una vía verde que recoja todo el potencial que permite su contexto </w:t>
      </w:r>
      <w:r w:rsidR="00240857" w:rsidRPr="000D7D0A">
        <w:rPr>
          <w:rFonts w:ascii="Times New Roman" w:hAnsi="Times New Roman" w:cs="Times New Roman"/>
          <w:noProof/>
          <w:sz w:val="24"/>
          <w:szCs w:val="24"/>
        </w:rPr>
        <w:t xml:space="preserve">en la fase de diseño </w:t>
      </w:r>
      <w:r w:rsidRPr="000D7D0A">
        <w:rPr>
          <w:rFonts w:ascii="Times New Roman" w:hAnsi="Times New Roman" w:cs="Times New Roman"/>
          <w:noProof/>
          <w:sz w:val="24"/>
          <w:szCs w:val="24"/>
        </w:rPr>
        <w:t>se debe abordar desde una reflexión acerca de la ecología, el urbanismo, la población que lo utilizará, en qué contexto social se implementa, etc.</w:t>
      </w:r>
    </w:p>
    <w:p w:rsidR="00CA02B1" w:rsidRPr="000D7D0A" w:rsidRDefault="00CA02B1" w:rsidP="00CA02B1">
      <w:pPr>
        <w:jc w:val="both"/>
        <w:rPr>
          <w:rFonts w:ascii="Times New Roman" w:hAnsi="Times New Roman" w:cs="Times New Roman"/>
          <w:noProof/>
          <w:sz w:val="24"/>
          <w:szCs w:val="24"/>
        </w:rPr>
      </w:pPr>
      <w:r w:rsidRPr="000D7D0A">
        <w:rPr>
          <w:rFonts w:ascii="Times New Roman" w:hAnsi="Times New Roman" w:cs="Times New Roman"/>
          <w:noProof/>
          <w:sz w:val="24"/>
          <w:szCs w:val="24"/>
        </w:rPr>
        <w:t xml:space="preserve">Y esta multiplicidad de perspectivas es más fácil de conseguir con una perspectiva de abajo arriba, que conecte con el territorio y relacione los distintos actores que aporten su perspectiva. En definitiva, se trata de tener en cuenta todo el valor público que se puede crear a partir de una infraestructura </w:t>
      </w:r>
      <w:r w:rsidR="00361692" w:rsidRPr="000D7D0A">
        <w:rPr>
          <w:rFonts w:ascii="Times New Roman" w:hAnsi="Times New Roman" w:cs="Times New Roman"/>
          <w:noProof/>
          <w:sz w:val="24"/>
          <w:szCs w:val="24"/>
        </w:rPr>
        <w:fldChar w:fldCharType="begin" w:fldLock="1"/>
      </w:r>
      <w:r w:rsidR="004F1B4E" w:rsidRPr="000D7D0A">
        <w:rPr>
          <w:rFonts w:ascii="Times New Roman" w:hAnsi="Times New Roman" w:cs="Times New Roman"/>
          <w:noProof/>
          <w:sz w:val="24"/>
          <w:szCs w:val="24"/>
        </w:rPr>
        <w:instrText>ADDIN CSL_CITATION { "citationItems" : [ { "id" : "ITEM-1", "itemData" : { "ISBN" : "0674175581 (rust.)", "author" : [ { "dropping-particle" : "", "family" : "Moore", "given" : "Mark H.", "non-dropping-particle" : "", "parse-names" : false, "suffix" : "" } ], "id" : "ITEM-1", "issued" : { "date-parts" : [ [ "1995" ] ] }, "publisher-place" : "Cambridge, Mass. [etc.] Harvard University Press,", "title" : "Creating public value : strategic management in government", "type" : "book" }, "uris" : [ "http://www.mendeley.com/documents/?uuid=a8a80c7f-ebf3-47ea-ba99-c6a08d6e9930" ] } ], "mendeley" : { "formattedCitation" : "(Moore 1995)", "plainTextFormattedCitation" : "(Moore 1995)", "previouslyFormattedCitation" : "(Moore 1995)" }, "properties" : { "noteIndex" : 0 }, "schema" : "https://github.com/citation-style-language/schema/raw/master/csl-citation.json" }</w:instrText>
      </w:r>
      <w:r w:rsidR="00361692" w:rsidRPr="000D7D0A">
        <w:rPr>
          <w:rFonts w:ascii="Times New Roman" w:hAnsi="Times New Roman" w:cs="Times New Roman"/>
          <w:noProof/>
          <w:sz w:val="24"/>
          <w:szCs w:val="24"/>
        </w:rPr>
        <w:fldChar w:fldCharType="separate"/>
      </w:r>
      <w:r w:rsidR="004F1B4E" w:rsidRPr="000D7D0A">
        <w:rPr>
          <w:rFonts w:ascii="Times New Roman" w:hAnsi="Times New Roman" w:cs="Times New Roman"/>
          <w:noProof/>
          <w:sz w:val="24"/>
          <w:szCs w:val="24"/>
        </w:rPr>
        <w:t>(Moore 1995)</w:t>
      </w:r>
      <w:r w:rsidR="00361692" w:rsidRPr="000D7D0A">
        <w:rPr>
          <w:rFonts w:ascii="Times New Roman" w:hAnsi="Times New Roman" w:cs="Times New Roman"/>
          <w:noProof/>
          <w:sz w:val="24"/>
          <w:szCs w:val="24"/>
        </w:rPr>
        <w:fldChar w:fldCharType="end"/>
      </w:r>
      <w:r w:rsidRPr="000D7D0A">
        <w:rPr>
          <w:rFonts w:ascii="Times New Roman" w:hAnsi="Times New Roman" w:cs="Times New Roman"/>
          <w:noProof/>
          <w:sz w:val="24"/>
          <w:szCs w:val="24"/>
        </w:rPr>
        <w:t>.</w:t>
      </w: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Para impulsar políticas de un modo transversal existen diferentes caminos y alternativas. En instituciones de nivel supralocal uno de los escogidos para trabajar transversalmente son las comisiones interdepar</w:t>
      </w:r>
      <w:r w:rsidR="00240857" w:rsidRPr="000D7D0A">
        <w:rPr>
          <w:rFonts w:ascii="Times New Roman" w:eastAsia="Times New Roman" w:hAnsi="Times New Roman" w:cs="Times New Roman"/>
          <w:sz w:val="24"/>
          <w:szCs w:val="24"/>
          <w:lang w:eastAsia="es-ES"/>
        </w:rPr>
        <w:t xml:space="preserve">tamentales. </w:t>
      </w:r>
      <w:proofErr w:type="spellStart"/>
      <w:r w:rsidR="00240857" w:rsidRPr="000D7D0A">
        <w:rPr>
          <w:rFonts w:ascii="Times New Roman" w:eastAsia="Times New Roman" w:hAnsi="Times New Roman" w:cs="Times New Roman"/>
          <w:sz w:val="24"/>
          <w:szCs w:val="24"/>
          <w:lang w:eastAsia="es-ES"/>
        </w:rPr>
        <w:t>Quim</w:t>
      </w:r>
      <w:proofErr w:type="spellEnd"/>
      <w:r w:rsidR="00240857" w:rsidRPr="000D7D0A">
        <w:rPr>
          <w:rFonts w:ascii="Times New Roman" w:eastAsia="Times New Roman" w:hAnsi="Times New Roman" w:cs="Times New Roman"/>
          <w:sz w:val="24"/>
          <w:szCs w:val="24"/>
          <w:lang w:eastAsia="es-ES"/>
        </w:rPr>
        <w:t xml:space="preserve"> </w:t>
      </w:r>
      <w:proofErr w:type="spellStart"/>
      <w:r w:rsidR="00240857" w:rsidRPr="000D7D0A">
        <w:rPr>
          <w:rFonts w:ascii="Times New Roman" w:eastAsia="Times New Roman" w:hAnsi="Times New Roman" w:cs="Times New Roman"/>
          <w:sz w:val="24"/>
          <w:szCs w:val="24"/>
          <w:lang w:eastAsia="es-ES"/>
        </w:rPr>
        <w:t>Brugué</w:t>
      </w:r>
      <w:proofErr w:type="spellEnd"/>
      <w:r w:rsidRPr="000D7D0A">
        <w:rPr>
          <w:rFonts w:ascii="Times New Roman" w:eastAsia="Times New Roman" w:hAnsi="Times New Roman" w:cs="Times New Roman"/>
          <w:sz w:val="24"/>
          <w:szCs w:val="24"/>
          <w:lang w:eastAsia="es-ES"/>
        </w:rPr>
        <w:t xml:space="preserve"> las estudió en la Generalitat de Catalunya </w:t>
      </w:r>
      <w:r w:rsidR="00361692" w:rsidRPr="000D7D0A">
        <w:rPr>
          <w:rFonts w:ascii="Times New Roman" w:eastAsia="Times New Roman" w:hAnsi="Times New Roman" w:cs="Times New Roman"/>
          <w:sz w:val="24"/>
          <w:szCs w:val="24"/>
          <w:lang w:eastAsia="es-ES"/>
        </w:rPr>
        <w:fldChar w:fldCharType="begin" w:fldLock="1"/>
      </w:r>
      <w:r w:rsidR="004F1B4E" w:rsidRPr="000D7D0A">
        <w:rPr>
          <w:rFonts w:ascii="Times New Roman" w:eastAsia="Times New Roman" w:hAnsi="Times New Roman" w:cs="Times New Roman"/>
          <w:sz w:val="24"/>
          <w:szCs w:val="24"/>
          <w:lang w:eastAsia="es-ES"/>
        </w:rPr>
        <w:instrText>ADDIN CSL_CITATION { "citationItems" : [ { "id" : "ITEM-1", "itemData" : { "author" : [ { "dropping-particle" : "", "family" : "Brugu\u00e9", "given" : "Quim", "non-dropping-particle" : "", "parse-names" : false, "suffix" : "" }, { "dropping-particle" : "", "family" : "Canal", "given" : "Ramon", "non-dropping-particle" : "", "parse-names" : false, "suffix" : "" }, { "dropping-particle" : "", "family" : "Pay\u00e1", "given" : "Palmira", "non-dropping-particle" : "", "parse-names" : false, "suffix" : "" } ], "id" : "ITEM-1", "issued" : { "date-parts" : [ [ "2010" ] ] }, "page" : "135", "publisher" : "EAPC-IGOP", "publisher-place" : "Barcelona", "title" : "De l'efici\u00e8ncia a la intel\u00b7lig\u00e8ncia. El cas de les comissions interdepartamentals al Govern de Catalunya", "type" : "article" }, "uris" : [ "http://www.mendeley.com/documents/?uuid=09ca1ddb-ab07-36bc-aa16-f15c2fabc45c" ] } ], "mendeley" : { "formattedCitation" : "(Brugu\u00e9 et al. 2010)", "manualFormatting" : "(Brugu\u00e9 et al., 2010: 17)", "plainTextFormattedCitation" : "(Brugu\u00e9 et al. 2010)", "previouslyFormattedCitation" : "(Brugu\u00e9 et al. 2010)" }, "properties" : { "noteIndex" : 0 }, "schema" : "https://github.com/citation-style-language/schema/raw/master/csl-citation.json" }</w:instrText>
      </w:r>
      <w:r w:rsidR="00361692" w:rsidRPr="000D7D0A">
        <w:rPr>
          <w:rFonts w:ascii="Times New Roman" w:eastAsia="Times New Roman" w:hAnsi="Times New Roman" w:cs="Times New Roman"/>
          <w:sz w:val="24"/>
          <w:szCs w:val="24"/>
          <w:lang w:eastAsia="es-ES"/>
        </w:rPr>
        <w:fldChar w:fldCharType="separate"/>
      </w:r>
      <w:r w:rsidRPr="000D7D0A">
        <w:rPr>
          <w:rFonts w:ascii="Times New Roman" w:eastAsia="Times New Roman" w:hAnsi="Times New Roman" w:cs="Times New Roman"/>
          <w:noProof/>
          <w:sz w:val="24"/>
          <w:szCs w:val="24"/>
          <w:lang w:eastAsia="es-ES"/>
        </w:rPr>
        <w:t>(Brugué et al., 2010</w:t>
      </w:r>
      <w:r w:rsidR="00C45EBC" w:rsidRPr="000D7D0A">
        <w:rPr>
          <w:rFonts w:ascii="Times New Roman" w:eastAsia="Times New Roman" w:hAnsi="Times New Roman" w:cs="Times New Roman"/>
          <w:noProof/>
          <w:sz w:val="24"/>
          <w:szCs w:val="24"/>
          <w:lang w:eastAsia="es-ES"/>
        </w:rPr>
        <w:t xml:space="preserve">: </w:t>
      </w:r>
      <w:r w:rsidR="00240857" w:rsidRPr="000D7D0A">
        <w:rPr>
          <w:rFonts w:ascii="Times New Roman" w:eastAsia="Times New Roman" w:hAnsi="Times New Roman" w:cs="Times New Roman"/>
          <w:noProof/>
          <w:sz w:val="24"/>
          <w:szCs w:val="24"/>
          <w:lang w:eastAsia="es-ES"/>
        </w:rPr>
        <w:t>17</w:t>
      </w:r>
      <w:r w:rsidRPr="000D7D0A">
        <w:rPr>
          <w:rFonts w:ascii="Times New Roman" w:eastAsia="Times New Roman" w:hAnsi="Times New Roman" w:cs="Times New Roman"/>
          <w:noProof/>
          <w:sz w:val="24"/>
          <w:szCs w:val="24"/>
          <w:lang w:eastAsia="es-ES"/>
        </w:rPr>
        <w:t>)</w:t>
      </w:r>
      <w:r w:rsidR="00361692" w:rsidRPr="000D7D0A">
        <w:rPr>
          <w:rFonts w:ascii="Times New Roman" w:eastAsia="Times New Roman" w:hAnsi="Times New Roman" w:cs="Times New Roman"/>
          <w:sz w:val="24"/>
          <w:szCs w:val="24"/>
          <w:lang w:eastAsia="es-ES"/>
        </w:rPr>
        <w:fldChar w:fldCharType="end"/>
      </w:r>
      <w:r w:rsidR="00240857" w:rsidRPr="000D7D0A">
        <w:rPr>
          <w:rFonts w:ascii="Times New Roman" w:eastAsia="Times New Roman" w:hAnsi="Times New Roman" w:cs="Times New Roman"/>
          <w:sz w:val="24"/>
          <w:szCs w:val="24"/>
          <w:lang w:eastAsia="es-ES"/>
        </w:rPr>
        <w:t xml:space="preserve"> y u</w:t>
      </w:r>
      <w:r w:rsidRPr="000D7D0A">
        <w:rPr>
          <w:rFonts w:ascii="Times New Roman" w:eastAsia="Times New Roman" w:hAnsi="Times New Roman" w:cs="Times New Roman"/>
          <w:sz w:val="24"/>
          <w:szCs w:val="24"/>
          <w:lang w:eastAsia="es-ES"/>
        </w:rPr>
        <w:t>na de las formulaciones que construye es la que apunta que “</w:t>
      </w:r>
      <w:r w:rsidRPr="000D7D0A">
        <w:rPr>
          <w:rFonts w:ascii="Times New Roman" w:eastAsia="Times New Roman" w:hAnsi="Times New Roman" w:cs="Times New Roman"/>
          <w:i/>
          <w:sz w:val="24"/>
          <w:szCs w:val="24"/>
          <w:lang w:eastAsia="es-ES"/>
        </w:rPr>
        <w:t>los mejores o peores resultados de una comisión interdepartamental dependen de la intensidad y el tipo de liderazgo que se ejerce, de la capacidad de generar unas condiciones adecuadas de confianza y de las dinámicas y relaciones que se sean capaces de propiciar.</w:t>
      </w:r>
      <w:r w:rsidR="00240857" w:rsidRPr="000D7D0A">
        <w:rPr>
          <w:rFonts w:ascii="Times New Roman" w:eastAsia="Times New Roman" w:hAnsi="Times New Roman" w:cs="Times New Roman"/>
          <w:i/>
          <w:sz w:val="24"/>
          <w:szCs w:val="24"/>
          <w:lang w:eastAsia="es-ES"/>
        </w:rPr>
        <w:t xml:space="preserve"> </w:t>
      </w:r>
      <w:r w:rsidR="00240857" w:rsidRPr="000D7D0A">
        <w:rPr>
          <w:rFonts w:ascii="Times New Roman" w:eastAsia="Times New Roman" w:hAnsi="Times New Roman" w:cs="Times New Roman"/>
          <w:sz w:val="24"/>
          <w:szCs w:val="24"/>
          <w:lang w:eastAsia="es-ES"/>
        </w:rPr>
        <w:t>El factor relativo al liderazgo, pues, será determinante</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B41934" w:rsidRPr="000D7D0A" w:rsidRDefault="00B41934" w:rsidP="00B41934">
      <w:pPr>
        <w:pStyle w:val="Ttulo2"/>
        <w:rPr>
          <w:sz w:val="24"/>
          <w:szCs w:val="24"/>
        </w:rPr>
      </w:pPr>
      <w:bookmarkStart w:id="13" w:name="_Toc486704496"/>
      <w:bookmarkStart w:id="14" w:name="_Toc487465100"/>
      <w:bookmarkStart w:id="15" w:name="_Toc492389023"/>
      <w:r w:rsidRPr="000D7D0A">
        <w:rPr>
          <w:sz w:val="24"/>
          <w:szCs w:val="24"/>
        </w:rPr>
        <w:t>Casos</w:t>
      </w:r>
      <w:bookmarkEnd w:id="13"/>
      <w:bookmarkEnd w:id="14"/>
      <w:bookmarkEnd w:id="15"/>
    </w:p>
    <w:p w:rsidR="00B41934" w:rsidRPr="000D7D0A" w:rsidRDefault="00CA3C08" w:rsidP="00B41934">
      <w:pPr>
        <w:pStyle w:val="Ttulo3"/>
        <w:rPr>
          <w:sz w:val="24"/>
          <w:szCs w:val="24"/>
        </w:rPr>
      </w:pPr>
      <w:bookmarkStart w:id="16" w:name="_Toc486704497"/>
      <w:bookmarkStart w:id="17" w:name="_Toc487465101"/>
      <w:bookmarkStart w:id="18" w:name="_Toc492389024"/>
      <w:r w:rsidRPr="000D7D0A">
        <w:rPr>
          <w:sz w:val="24"/>
          <w:szCs w:val="24"/>
        </w:rPr>
        <w:t>Vías verdes de G</w:t>
      </w:r>
      <w:r w:rsidR="00B41934" w:rsidRPr="000D7D0A">
        <w:rPr>
          <w:sz w:val="24"/>
          <w:szCs w:val="24"/>
        </w:rPr>
        <w:t>irona</w:t>
      </w:r>
      <w:bookmarkEnd w:id="16"/>
      <w:bookmarkEnd w:id="17"/>
      <w:bookmarkEnd w:id="18"/>
    </w:p>
    <w:p w:rsidR="00240857" w:rsidRPr="000D7D0A" w:rsidRDefault="00073B54" w:rsidP="003313A2">
      <w:pPr>
        <w:rPr>
          <w:rFonts w:ascii="Times New Roman" w:hAnsi="Times New Roman" w:cs="Times New Roman"/>
          <w:sz w:val="24"/>
          <w:szCs w:val="24"/>
        </w:rPr>
      </w:pPr>
      <w:r w:rsidRPr="000D7D0A">
        <w:rPr>
          <w:rFonts w:ascii="Times New Roman" w:hAnsi="Times New Roman" w:cs="Times New Roman"/>
          <w:sz w:val="24"/>
          <w:szCs w:val="24"/>
        </w:rPr>
        <w:t xml:space="preserve">Las vías verdes de Girona son más de cien quilómetros de caminos continuos que se inician en </w:t>
      </w:r>
      <w:proofErr w:type="spellStart"/>
      <w:r w:rsidRPr="000D7D0A">
        <w:rPr>
          <w:rFonts w:ascii="Times New Roman" w:hAnsi="Times New Roman" w:cs="Times New Roman"/>
          <w:sz w:val="24"/>
          <w:szCs w:val="24"/>
        </w:rPr>
        <w:t>Olot</w:t>
      </w:r>
      <w:proofErr w:type="spellEnd"/>
      <w:r w:rsidRPr="000D7D0A">
        <w:rPr>
          <w:rFonts w:ascii="Times New Roman" w:hAnsi="Times New Roman" w:cs="Times New Roman"/>
          <w:sz w:val="24"/>
          <w:szCs w:val="24"/>
        </w:rPr>
        <w:t xml:space="preserve">, atraviesan distintas comarcas y la ciudad de Girona y terminan en </w:t>
      </w:r>
      <w:proofErr w:type="spellStart"/>
      <w:r w:rsidRPr="000D7D0A">
        <w:rPr>
          <w:rFonts w:ascii="Times New Roman" w:hAnsi="Times New Roman" w:cs="Times New Roman"/>
          <w:sz w:val="24"/>
          <w:szCs w:val="24"/>
        </w:rPr>
        <w:t>Sant</w:t>
      </w:r>
      <w:proofErr w:type="spellEnd"/>
      <w:r w:rsidRPr="000D7D0A">
        <w:rPr>
          <w:rFonts w:ascii="Times New Roman" w:hAnsi="Times New Roman" w:cs="Times New Roman"/>
          <w:sz w:val="24"/>
          <w:szCs w:val="24"/>
        </w:rPr>
        <w:t xml:space="preserve"> </w:t>
      </w:r>
      <w:proofErr w:type="spellStart"/>
      <w:r w:rsidRPr="000D7D0A">
        <w:rPr>
          <w:rFonts w:ascii="Times New Roman" w:hAnsi="Times New Roman" w:cs="Times New Roman"/>
          <w:sz w:val="24"/>
          <w:szCs w:val="24"/>
        </w:rPr>
        <w:t>Feliu</w:t>
      </w:r>
      <w:proofErr w:type="spellEnd"/>
      <w:r w:rsidRPr="000D7D0A">
        <w:rPr>
          <w:rFonts w:ascii="Times New Roman" w:hAnsi="Times New Roman" w:cs="Times New Roman"/>
          <w:sz w:val="24"/>
          <w:szCs w:val="24"/>
        </w:rPr>
        <w:t xml:space="preserve"> de </w:t>
      </w:r>
      <w:proofErr w:type="spellStart"/>
      <w:r w:rsidRPr="000D7D0A">
        <w:rPr>
          <w:rFonts w:ascii="Times New Roman" w:hAnsi="Times New Roman" w:cs="Times New Roman"/>
          <w:sz w:val="24"/>
          <w:szCs w:val="24"/>
        </w:rPr>
        <w:t>Guíxols</w:t>
      </w:r>
      <w:proofErr w:type="spellEnd"/>
      <w:r w:rsidRPr="000D7D0A">
        <w:rPr>
          <w:rFonts w:ascii="Times New Roman" w:hAnsi="Times New Roman" w:cs="Times New Roman"/>
          <w:sz w:val="24"/>
          <w:szCs w:val="24"/>
        </w:rPr>
        <w:t>, en la Costa Brava. Se construyeron durante la década de los años 90 del siglo XX a partir de antiguas líneas de ferrocarril en desuso</w:t>
      </w:r>
      <w:r w:rsidR="00240857" w:rsidRPr="000D7D0A">
        <w:rPr>
          <w:rFonts w:ascii="Times New Roman" w:hAnsi="Times New Roman" w:cs="Times New Roman"/>
          <w:sz w:val="24"/>
          <w:szCs w:val="24"/>
        </w:rPr>
        <w:t>.</w:t>
      </w:r>
      <w:r w:rsidRPr="000D7D0A">
        <w:rPr>
          <w:rFonts w:ascii="Times New Roman" w:hAnsi="Times New Roman" w:cs="Times New Roman"/>
          <w:sz w:val="24"/>
          <w:szCs w:val="24"/>
        </w:rPr>
        <w:t xml:space="preserve"> </w:t>
      </w:r>
    </w:p>
    <w:p w:rsidR="00B41934" w:rsidRPr="000D7D0A" w:rsidRDefault="003313A2" w:rsidP="003313A2">
      <w:pPr>
        <w:rPr>
          <w:rFonts w:ascii="Times New Roman" w:hAnsi="Times New Roman" w:cs="Times New Roman"/>
          <w:sz w:val="24"/>
          <w:szCs w:val="24"/>
        </w:rPr>
      </w:pPr>
      <w:r w:rsidRPr="000D7D0A">
        <w:rPr>
          <w:rFonts w:ascii="Times New Roman" w:hAnsi="Times New Roman" w:cs="Times New Roman"/>
          <w:sz w:val="24"/>
          <w:szCs w:val="24"/>
        </w:rPr>
        <w:lastRenderedPageBreak/>
        <w:t>El proceso de creación fue “</w:t>
      </w:r>
      <w:r w:rsidRPr="000D7D0A">
        <w:rPr>
          <w:rFonts w:ascii="Times New Roman" w:hAnsi="Times New Roman" w:cs="Times New Roman"/>
          <w:i/>
          <w:sz w:val="24"/>
          <w:szCs w:val="24"/>
        </w:rPr>
        <w:t>de abajo a arriba</w:t>
      </w:r>
      <w:r w:rsidRPr="000D7D0A">
        <w:rPr>
          <w:rFonts w:ascii="Times New Roman" w:hAnsi="Times New Roman" w:cs="Times New Roman"/>
          <w:sz w:val="24"/>
          <w:szCs w:val="24"/>
        </w:rPr>
        <w:t>”. En</w:t>
      </w:r>
      <w:r w:rsidR="00B41934" w:rsidRPr="000D7D0A">
        <w:rPr>
          <w:rFonts w:ascii="Times New Roman" w:hAnsi="Times New Roman" w:cs="Times New Roman"/>
          <w:sz w:val="24"/>
          <w:szCs w:val="24"/>
        </w:rPr>
        <w:t xml:space="preserve"> la provincia de Girona en los años 90 hubo algunos actores del nivel municipal que promovieron el desarrollo de las vías verdes. Desde el inicio buscaron la participación y la complicidad de todos los alcaldes de todos los municipios por dónde transcurría cada ruta. Éste factor les confirió una </w:t>
      </w:r>
      <w:proofErr w:type="spellStart"/>
      <w:r w:rsidR="00B41934" w:rsidRPr="000D7D0A">
        <w:rPr>
          <w:rFonts w:ascii="Times New Roman" w:hAnsi="Times New Roman" w:cs="Times New Roman"/>
          <w:sz w:val="24"/>
          <w:szCs w:val="24"/>
        </w:rPr>
        <w:t>transversalidad</w:t>
      </w:r>
      <w:proofErr w:type="spellEnd"/>
      <w:r w:rsidR="00B41934" w:rsidRPr="000D7D0A">
        <w:rPr>
          <w:rFonts w:ascii="Times New Roman" w:hAnsi="Times New Roman" w:cs="Times New Roman"/>
          <w:sz w:val="24"/>
          <w:szCs w:val="24"/>
        </w:rPr>
        <w:t xml:space="preserve"> política que favoreció el desarrollo de las vías ver</w:t>
      </w:r>
      <w:r w:rsidR="00240857" w:rsidRPr="000D7D0A">
        <w:rPr>
          <w:rFonts w:ascii="Times New Roman" w:hAnsi="Times New Roman" w:cs="Times New Roman"/>
          <w:sz w:val="24"/>
          <w:szCs w:val="24"/>
        </w:rPr>
        <w:t>des. No fue el proyecto de ningún alcalde ni ningún partido</w:t>
      </w:r>
      <w:r w:rsidR="00B41934" w:rsidRPr="000D7D0A">
        <w:rPr>
          <w:rFonts w:ascii="Times New Roman" w:hAnsi="Times New Roman" w:cs="Times New Roman"/>
          <w:sz w:val="24"/>
          <w:szCs w:val="24"/>
        </w:rPr>
        <w:t xml:space="preserve"> en concreto sino que contó con la participación de todos los Ayuntamientos.</w:t>
      </w:r>
    </w:p>
    <w:p w:rsidR="00B41934" w:rsidRPr="000D7D0A" w:rsidRDefault="00B41934" w:rsidP="00B41934">
      <w:pPr>
        <w:jc w:val="both"/>
        <w:rPr>
          <w:rFonts w:ascii="Times New Roman" w:hAnsi="Times New Roman" w:cs="Times New Roman"/>
          <w:sz w:val="24"/>
          <w:szCs w:val="24"/>
        </w:rPr>
      </w:pPr>
      <w:r w:rsidRPr="000D7D0A">
        <w:rPr>
          <w:rFonts w:ascii="Times New Roman" w:hAnsi="Times New Roman" w:cs="Times New Roman"/>
          <w:sz w:val="24"/>
          <w:szCs w:val="24"/>
        </w:rPr>
        <w:t xml:space="preserve">En el año 2000 la mayoría de antiguas vías estrechas de la provincia de Girona se habían convertido, por iniciativa municipal y financiación estatal en vías verdes. Los municipios de las dos antiguas líneas, </w:t>
      </w:r>
      <w:proofErr w:type="spellStart"/>
      <w:r w:rsidRPr="000D7D0A">
        <w:rPr>
          <w:rFonts w:ascii="Times New Roman" w:hAnsi="Times New Roman" w:cs="Times New Roman"/>
          <w:sz w:val="24"/>
          <w:szCs w:val="24"/>
        </w:rPr>
        <w:t>Olot</w:t>
      </w:r>
      <w:proofErr w:type="spellEnd"/>
      <w:r w:rsidRPr="000D7D0A">
        <w:rPr>
          <w:rFonts w:ascii="Times New Roman" w:hAnsi="Times New Roman" w:cs="Times New Roman"/>
          <w:sz w:val="24"/>
          <w:szCs w:val="24"/>
        </w:rPr>
        <w:t xml:space="preserve">-Girona y </w:t>
      </w:r>
      <w:proofErr w:type="spellStart"/>
      <w:r w:rsidRPr="000D7D0A">
        <w:rPr>
          <w:rFonts w:ascii="Times New Roman" w:hAnsi="Times New Roman" w:cs="Times New Roman"/>
          <w:sz w:val="24"/>
          <w:szCs w:val="24"/>
        </w:rPr>
        <w:t>Sant</w:t>
      </w:r>
      <w:proofErr w:type="spellEnd"/>
      <w:r w:rsidRPr="000D7D0A">
        <w:rPr>
          <w:rFonts w:ascii="Times New Roman" w:hAnsi="Times New Roman" w:cs="Times New Roman"/>
          <w:sz w:val="24"/>
          <w:szCs w:val="24"/>
        </w:rPr>
        <w:t xml:space="preserve"> </w:t>
      </w:r>
      <w:proofErr w:type="spellStart"/>
      <w:r w:rsidRPr="000D7D0A">
        <w:rPr>
          <w:rFonts w:ascii="Times New Roman" w:hAnsi="Times New Roman" w:cs="Times New Roman"/>
          <w:sz w:val="24"/>
          <w:szCs w:val="24"/>
        </w:rPr>
        <w:t>Feliu</w:t>
      </w:r>
      <w:proofErr w:type="spellEnd"/>
      <w:r w:rsidRPr="000D7D0A">
        <w:rPr>
          <w:rFonts w:ascii="Times New Roman" w:hAnsi="Times New Roman" w:cs="Times New Roman"/>
          <w:sz w:val="24"/>
          <w:szCs w:val="24"/>
        </w:rPr>
        <w:t xml:space="preserve"> de </w:t>
      </w:r>
      <w:proofErr w:type="spellStart"/>
      <w:r w:rsidRPr="000D7D0A">
        <w:rPr>
          <w:rFonts w:ascii="Times New Roman" w:hAnsi="Times New Roman" w:cs="Times New Roman"/>
          <w:sz w:val="24"/>
          <w:szCs w:val="24"/>
        </w:rPr>
        <w:t>Guíxols</w:t>
      </w:r>
      <w:proofErr w:type="spellEnd"/>
      <w:r w:rsidRPr="000D7D0A">
        <w:rPr>
          <w:rFonts w:ascii="Times New Roman" w:hAnsi="Times New Roman" w:cs="Times New Roman"/>
          <w:sz w:val="24"/>
          <w:szCs w:val="24"/>
        </w:rPr>
        <w:t xml:space="preserve">-Girona, se habían agrupado en dos consorcios, uno para cada antigua línea. Pero los Ayuntamientos entendieron la necesidad de ir más allá si se le quería sacar todo el jugo posible a la infraestructura. </w:t>
      </w:r>
    </w:p>
    <w:p w:rsidR="00B41934" w:rsidRPr="000D7D0A" w:rsidRDefault="00B41934" w:rsidP="00B41934">
      <w:pPr>
        <w:jc w:val="both"/>
        <w:rPr>
          <w:rFonts w:ascii="Times New Roman" w:hAnsi="Times New Roman" w:cs="Times New Roman"/>
          <w:sz w:val="24"/>
          <w:szCs w:val="24"/>
        </w:rPr>
      </w:pPr>
      <w:r w:rsidRPr="000D7D0A">
        <w:rPr>
          <w:rFonts w:ascii="Times New Roman" w:hAnsi="Times New Roman" w:cs="Times New Roman"/>
          <w:sz w:val="24"/>
          <w:szCs w:val="24"/>
        </w:rPr>
        <w:t xml:space="preserve">El año 2003 se constituye el </w:t>
      </w:r>
      <w:proofErr w:type="spellStart"/>
      <w:r w:rsidRPr="000D7D0A">
        <w:rPr>
          <w:rFonts w:ascii="Times New Roman" w:hAnsi="Times New Roman" w:cs="Times New Roman"/>
          <w:i/>
          <w:sz w:val="24"/>
          <w:szCs w:val="24"/>
        </w:rPr>
        <w:t>Consorci</w:t>
      </w:r>
      <w:proofErr w:type="spellEnd"/>
      <w:r w:rsidRPr="000D7D0A">
        <w:rPr>
          <w:rFonts w:ascii="Times New Roman" w:hAnsi="Times New Roman" w:cs="Times New Roman"/>
          <w:i/>
          <w:sz w:val="24"/>
          <w:szCs w:val="24"/>
        </w:rPr>
        <w:t xml:space="preserve"> de les </w:t>
      </w:r>
      <w:proofErr w:type="spellStart"/>
      <w:r w:rsidRPr="000D7D0A">
        <w:rPr>
          <w:rFonts w:ascii="Times New Roman" w:hAnsi="Times New Roman" w:cs="Times New Roman"/>
          <w:i/>
          <w:sz w:val="24"/>
          <w:szCs w:val="24"/>
        </w:rPr>
        <w:t>Vies</w:t>
      </w:r>
      <w:proofErr w:type="spellEnd"/>
      <w:r w:rsidRPr="000D7D0A">
        <w:rPr>
          <w:rFonts w:ascii="Times New Roman" w:hAnsi="Times New Roman" w:cs="Times New Roman"/>
          <w:i/>
          <w:sz w:val="24"/>
          <w:szCs w:val="24"/>
        </w:rPr>
        <w:t xml:space="preserve"> Verdes de </w:t>
      </w:r>
      <w:proofErr w:type="gramStart"/>
      <w:r w:rsidRPr="000D7D0A">
        <w:rPr>
          <w:rFonts w:ascii="Times New Roman" w:hAnsi="Times New Roman" w:cs="Times New Roman"/>
          <w:i/>
          <w:sz w:val="24"/>
          <w:szCs w:val="24"/>
        </w:rPr>
        <w:t>Girona</w:t>
      </w:r>
      <w:r w:rsidR="00240857" w:rsidRPr="000D7D0A">
        <w:rPr>
          <w:rFonts w:ascii="Times New Roman" w:hAnsi="Times New Roman" w:cs="Times New Roman"/>
          <w:i/>
          <w:sz w:val="24"/>
          <w:szCs w:val="24"/>
        </w:rPr>
        <w:t>(</w:t>
      </w:r>
      <w:proofErr w:type="gramEnd"/>
      <w:r w:rsidR="00240857" w:rsidRPr="000D7D0A">
        <w:rPr>
          <w:rFonts w:ascii="Times New Roman" w:hAnsi="Times New Roman" w:cs="Times New Roman"/>
          <w:i/>
          <w:sz w:val="24"/>
          <w:szCs w:val="24"/>
        </w:rPr>
        <w:t>CVVG)</w:t>
      </w:r>
      <w:r w:rsidRPr="000D7D0A">
        <w:rPr>
          <w:rFonts w:ascii="Times New Roman" w:hAnsi="Times New Roman" w:cs="Times New Roman"/>
          <w:i/>
          <w:sz w:val="24"/>
          <w:szCs w:val="24"/>
        </w:rPr>
        <w:t>.</w:t>
      </w:r>
      <w:r w:rsidRPr="000D7D0A">
        <w:rPr>
          <w:rFonts w:ascii="Times New Roman" w:hAnsi="Times New Roman" w:cs="Times New Roman"/>
          <w:sz w:val="24"/>
          <w:szCs w:val="24"/>
        </w:rPr>
        <w:t xml:space="preserve"> Lo formaban la Diputación de Girona y los 23 municipios por dónde transcurrían las vías verdes en el momento. La misma creación del Consorcio conlleva una nueva visión integradora y regional del territorio. Supera la antigua visión encerrada en cada una de las antiguas vías y busca la conexión y generar sinergias entre todos los tramos. Se transita de una visión reduccionista a una global del territorio.</w:t>
      </w:r>
    </w:p>
    <w:p w:rsidR="00B41934" w:rsidRPr="000D7D0A" w:rsidRDefault="00B41934" w:rsidP="00B41934">
      <w:pPr>
        <w:jc w:val="both"/>
        <w:rPr>
          <w:rFonts w:ascii="Times New Roman" w:hAnsi="Times New Roman" w:cs="Times New Roman"/>
          <w:sz w:val="24"/>
          <w:szCs w:val="24"/>
        </w:rPr>
      </w:pPr>
      <w:r w:rsidRPr="000D7D0A">
        <w:rPr>
          <w:rFonts w:ascii="Times New Roman" w:hAnsi="Times New Roman" w:cs="Times New Roman"/>
          <w:sz w:val="24"/>
          <w:szCs w:val="24"/>
        </w:rPr>
        <w:t>A lo largo de los 13 años de existencia el CVVG no se ha alejado de sus objetivos de mantener, extender y promocionar las vías verdes. Pero su presupuesto, personal y alcance de sus actuaciones ha crecido de una manera importante. Este crecimiento se debe en gran parte a la capacidad del ente de buscar financiación más allá de la aportación de sus fundadores. La Administración General del Estado, que financió la creación de las vías verdes, ha dejado de ser un actor relevante pero en cambio ha aumentado el protagonismo de la Generalitat de Catalunya y la Unión Europea.</w:t>
      </w:r>
    </w:p>
    <w:p w:rsidR="00CA3C08" w:rsidRPr="000D7D0A" w:rsidRDefault="00CA3C08" w:rsidP="00CA3C08">
      <w:pPr>
        <w:rPr>
          <w:rFonts w:ascii="Times New Roman" w:hAnsi="Times New Roman" w:cs="Times New Roman"/>
          <w:sz w:val="24"/>
          <w:szCs w:val="24"/>
        </w:rPr>
      </w:pPr>
      <w:r w:rsidRPr="000D7D0A">
        <w:rPr>
          <w:rFonts w:ascii="Times New Roman" w:hAnsi="Times New Roman" w:cs="Times New Roman"/>
          <w:sz w:val="24"/>
          <w:szCs w:val="24"/>
        </w:rPr>
        <w:t xml:space="preserve">En lo que respecta a la  </w:t>
      </w:r>
      <w:proofErr w:type="spellStart"/>
      <w:r w:rsidRPr="000D7D0A">
        <w:rPr>
          <w:rFonts w:ascii="Times New Roman" w:hAnsi="Times New Roman" w:cs="Times New Roman"/>
          <w:sz w:val="24"/>
          <w:szCs w:val="24"/>
        </w:rPr>
        <w:t>transversalidad</w:t>
      </w:r>
      <w:proofErr w:type="spellEnd"/>
      <w:r w:rsidRPr="000D7D0A">
        <w:rPr>
          <w:rFonts w:ascii="Times New Roman" w:hAnsi="Times New Roman" w:cs="Times New Roman"/>
          <w:sz w:val="24"/>
          <w:szCs w:val="24"/>
        </w:rPr>
        <w:t xml:space="preserve">, o tipo de políticas sectoriales en relación a la vía verde se pueden apuntar: </w:t>
      </w:r>
    </w:p>
    <w:p w:rsidR="00CA02B1" w:rsidRPr="000D7D0A" w:rsidRDefault="00CA02B1" w:rsidP="00CA3C08">
      <w:pPr>
        <w:rPr>
          <w:rFonts w:ascii="Times New Roman" w:hAnsi="Times New Roman" w:cs="Times New Roman"/>
          <w:sz w:val="24"/>
          <w:szCs w:val="24"/>
        </w:rPr>
      </w:pPr>
      <w:proofErr w:type="gramStart"/>
      <w:r w:rsidRPr="000D7D0A">
        <w:rPr>
          <w:rFonts w:ascii="Times New Roman" w:hAnsi="Times New Roman" w:cs="Times New Roman"/>
          <w:sz w:val="24"/>
          <w:szCs w:val="24"/>
        </w:rPr>
        <w:t>a)Mantenimiento</w:t>
      </w:r>
      <w:proofErr w:type="gramEnd"/>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Una de las actividades centrales del cons</w:t>
      </w:r>
      <w:r w:rsidR="00CA3C08" w:rsidRPr="000D7D0A">
        <w:rPr>
          <w:rFonts w:ascii="Times New Roman" w:hAnsi="Times New Roman" w:cs="Times New Roman"/>
          <w:sz w:val="24"/>
          <w:szCs w:val="24"/>
        </w:rPr>
        <w:t>or</w:t>
      </w:r>
      <w:r w:rsidRPr="000D7D0A">
        <w:rPr>
          <w:rFonts w:ascii="Times New Roman" w:hAnsi="Times New Roman" w:cs="Times New Roman"/>
          <w:sz w:val="24"/>
          <w:szCs w:val="24"/>
        </w:rPr>
        <w:t>cio es mantener en un buen estado la vía verde. Aunque la propiedad del suelo sigue siendo de cada municipio, la conservación y el mantenimiento de la vía corren a cargo del consorcio para garantizar la calidad a lo largo de todo el recorrido. El consorcio contrata a una empresa de mantenimiento y controla su labor. Este mantenimiento no incluye los tramos urbanos (en las calles de los pueblos), que los mantiene el ayuntamiento del municipio en cuestión.</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 xml:space="preserve">También suele ser tarea municipal la adecuación y explotación de la estación que se encuentra en el municipio. Otro aspecto relevante es la señalización de la ruta y otras rutas adyacentes como los itinerarios saludables o la ruta </w:t>
      </w:r>
      <w:proofErr w:type="spellStart"/>
      <w:r w:rsidRPr="000D7D0A">
        <w:rPr>
          <w:rFonts w:ascii="Times New Roman" w:hAnsi="Times New Roman" w:cs="Times New Roman"/>
          <w:sz w:val="24"/>
          <w:szCs w:val="24"/>
        </w:rPr>
        <w:t>Pirinexus</w:t>
      </w:r>
      <w:proofErr w:type="spellEnd"/>
      <w:r w:rsidRPr="000D7D0A">
        <w:rPr>
          <w:rFonts w:ascii="Times New Roman" w:hAnsi="Times New Roman" w:cs="Times New Roman"/>
          <w:sz w:val="24"/>
          <w:szCs w:val="24"/>
        </w:rPr>
        <w:t xml:space="preserve">, ambos fruto de la colaboración entre el CVVG y otras instituciones. </w:t>
      </w:r>
    </w:p>
    <w:p w:rsidR="00CA02B1" w:rsidRPr="000D7D0A" w:rsidRDefault="00CA02B1" w:rsidP="00CA3C08">
      <w:pPr>
        <w:rPr>
          <w:rFonts w:ascii="Times New Roman" w:hAnsi="Times New Roman" w:cs="Times New Roman"/>
          <w:sz w:val="24"/>
          <w:szCs w:val="24"/>
        </w:rPr>
      </w:pPr>
      <w:proofErr w:type="gramStart"/>
      <w:r w:rsidRPr="000D7D0A">
        <w:rPr>
          <w:rFonts w:ascii="Times New Roman" w:hAnsi="Times New Roman" w:cs="Times New Roman"/>
          <w:sz w:val="24"/>
          <w:szCs w:val="24"/>
        </w:rPr>
        <w:lastRenderedPageBreak/>
        <w:t>b)Promoción</w:t>
      </w:r>
      <w:proofErr w:type="gramEnd"/>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La promoción de las vías verdes es una de las políticas donde el CVVG destina más recursos y se le concede una importancia estratégica. En primer lugar, existe una web propia de las vías verdes de Girona (</w:t>
      </w:r>
      <w:hyperlink r:id="rId9" w:history="1">
        <w:r w:rsidRPr="000D7D0A">
          <w:rPr>
            <w:rStyle w:val="Hipervnculo"/>
            <w:rFonts w:ascii="Times New Roman" w:hAnsi="Times New Roman" w:cs="Times New Roman"/>
            <w:color w:val="auto"/>
            <w:sz w:val="24"/>
            <w:szCs w:val="24"/>
          </w:rPr>
          <w:t>www.viesverdes.es</w:t>
        </w:r>
      </w:hyperlink>
      <w:r w:rsidRPr="000D7D0A">
        <w:rPr>
          <w:rFonts w:ascii="Times New Roman" w:hAnsi="Times New Roman" w:cs="Times New Roman"/>
          <w:sz w:val="24"/>
          <w:szCs w:val="24"/>
        </w:rPr>
        <w:t>) con información en forma de mapas y contenidos, así como los recursos turísticos de los miembros del club de agentes económicos del CVVG a lo largo de la vía.</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 xml:space="preserve">Se han editado multitud de folletos turísticos y mapas de las vías verdes en los idiomas más habituales de los </w:t>
      </w:r>
      <w:proofErr w:type="spellStart"/>
      <w:r w:rsidRPr="000D7D0A">
        <w:rPr>
          <w:rFonts w:ascii="Times New Roman" w:hAnsi="Times New Roman" w:cs="Times New Roman"/>
          <w:sz w:val="24"/>
          <w:szCs w:val="24"/>
        </w:rPr>
        <w:t>cicloturistas</w:t>
      </w:r>
      <w:proofErr w:type="spellEnd"/>
      <w:r w:rsidRPr="000D7D0A">
        <w:rPr>
          <w:rFonts w:ascii="Times New Roman" w:hAnsi="Times New Roman" w:cs="Times New Roman"/>
          <w:sz w:val="24"/>
          <w:szCs w:val="24"/>
        </w:rPr>
        <w:t xml:space="preserve"> que visitan las vías verdes de Girona, a parte del catalán y castellano, en inglés, francés, neerlandés, alemán e italiano.</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 xml:space="preserve">Se ha participado en numerosas ferias de turismo con presencia propia, o a través de otros agentes públicos del sector turístico, como el </w:t>
      </w:r>
      <w:proofErr w:type="spellStart"/>
      <w:r w:rsidRPr="000D7D0A">
        <w:rPr>
          <w:rFonts w:ascii="Times New Roman" w:hAnsi="Times New Roman" w:cs="Times New Roman"/>
          <w:sz w:val="24"/>
          <w:szCs w:val="24"/>
        </w:rPr>
        <w:t>Patronat</w:t>
      </w:r>
      <w:proofErr w:type="spellEnd"/>
      <w:r w:rsidRPr="000D7D0A">
        <w:rPr>
          <w:rFonts w:ascii="Times New Roman" w:hAnsi="Times New Roman" w:cs="Times New Roman"/>
          <w:sz w:val="24"/>
          <w:szCs w:val="24"/>
        </w:rPr>
        <w:t xml:space="preserve"> de </w:t>
      </w:r>
      <w:proofErr w:type="spellStart"/>
      <w:r w:rsidRPr="000D7D0A">
        <w:rPr>
          <w:rFonts w:ascii="Times New Roman" w:hAnsi="Times New Roman" w:cs="Times New Roman"/>
          <w:sz w:val="24"/>
          <w:szCs w:val="24"/>
        </w:rPr>
        <w:t>Turisme</w:t>
      </w:r>
      <w:proofErr w:type="spellEnd"/>
      <w:r w:rsidRPr="000D7D0A">
        <w:rPr>
          <w:rFonts w:ascii="Times New Roman" w:hAnsi="Times New Roman" w:cs="Times New Roman"/>
          <w:sz w:val="24"/>
          <w:szCs w:val="24"/>
        </w:rPr>
        <w:t xml:space="preserve"> Girona-Costa Brava, o la Agencia Catalana de </w:t>
      </w:r>
      <w:proofErr w:type="spellStart"/>
      <w:r w:rsidRPr="000D7D0A">
        <w:rPr>
          <w:rFonts w:ascii="Times New Roman" w:hAnsi="Times New Roman" w:cs="Times New Roman"/>
          <w:sz w:val="24"/>
          <w:szCs w:val="24"/>
        </w:rPr>
        <w:t>Turisme</w:t>
      </w:r>
      <w:proofErr w:type="spellEnd"/>
      <w:r w:rsidRPr="000D7D0A">
        <w:rPr>
          <w:rFonts w:ascii="Times New Roman" w:hAnsi="Times New Roman" w:cs="Times New Roman"/>
          <w:sz w:val="24"/>
          <w:szCs w:val="24"/>
        </w:rPr>
        <w:t>, de la Generalitat de Catalunya.</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También es relevante destacar que la promoción de las vías verdes ha tenido un papel protagonista en la promoción turística de una zona, la provincia de Girona, con mucha capacidad de atracción turística.</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El CVVG participa de las iniciativas transnacionales de coordinación y promoción turística como la AEVV-EGWA, plataforma que ha utilizado para establecer vínculos con otros gestores que les han permitido presentarse y ganar proyectos financiados por la Unión Europea. .</w:t>
      </w:r>
    </w:p>
    <w:p w:rsidR="00CA02B1" w:rsidRPr="000D7D0A" w:rsidRDefault="00CA02B1" w:rsidP="00CA3C08">
      <w:pPr>
        <w:rPr>
          <w:rFonts w:ascii="Times New Roman" w:hAnsi="Times New Roman" w:cs="Times New Roman"/>
          <w:sz w:val="24"/>
          <w:szCs w:val="24"/>
        </w:rPr>
      </w:pPr>
      <w:proofErr w:type="gramStart"/>
      <w:r w:rsidRPr="000D7D0A">
        <w:rPr>
          <w:rFonts w:ascii="Times New Roman" w:hAnsi="Times New Roman" w:cs="Times New Roman"/>
          <w:sz w:val="24"/>
          <w:szCs w:val="24"/>
        </w:rPr>
        <w:t>c)Ampliación</w:t>
      </w:r>
      <w:proofErr w:type="gramEnd"/>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 xml:space="preserve">Las vías verdes de Girona, desde el año 2000 se han extendido en dos direcciones, creando nuevos quilómetros de vía verde y creando rutas </w:t>
      </w:r>
      <w:proofErr w:type="spellStart"/>
      <w:r w:rsidRPr="000D7D0A">
        <w:rPr>
          <w:rFonts w:ascii="Times New Roman" w:hAnsi="Times New Roman" w:cs="Times New Roman"/>
          <w:sz w:val="24"/>
          <w:szCs w:val="24"/>
        </w:rPr>
        <w:t>ciclables</w:t>
      </w:r>
      <w:proofErr w:type="spellEnd"/>
      <w:r w:rsidRPr="000D7D0A">
        <w:rPr>
          <w:rFonts w:ascii="Times New Roman" w:hAnsi="Times New Roman" w:cs="Times New Roman"/>
          <w:sz w:val="24"/>
          <w:szCs w:val="24"/>
        </w:rPr>
        <w:t>.</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 xml:space="preserve">Por un lado se ha incrementado el número de quilómetros de vía verde con la entrada en funcionamiento, el año 2009, de la vía verde del Tren </w:t>
      </w:r>
      <w:proofErr w:type="spellStart"/>
      <w:r w:rsidRPr="000D7D0A">
        <w:rPr>
          <w:rFonts w:ascii="Times New Roman" w:hAnsi="Times New Roman" w:cs="Times New Roman"/>
          <w:sz w:val="24"/>
          <w:szCs w:val="24"/>
        </w:rPr>
        <w:t>Petit</w:t>
      </w:r>
      <w:proofErr w:type="spellEnd"/>
      <w:r w:rsidRPr="000D7D0A">
        <w:rPr>
          <w:rFonts w:ascii="Times New Roman" w:hAnsi="Times New Roman" w:cs="Times New Roman"/>
          <w:sz w:val="24"/>
          <w:szCs w:val="24"/>
        </w:rPr>
        <w:t xml:space="preserve">. Como “compensación” a la ampliación de la carretera C-31 la Generalitat construyó, de acuerdo con los Ayuntamientos, implicados un tramo de 6 kilómetros de vía verde entre Palamós y </w:t>
      </w:r>
      <w:proofErr w:type="spellStart"/>
      <w:r w:rsidRPr="000D7D0A">
        <w:rPr>
          <w:rFonts w:ascii="Times New Roman" w:hAnsi="Times New Roman" w:cs="Times New Roman"/>
          <w:sz w:val="24"/>
          <w:szCs w:val="24"/>
        </w:rPr>
        <w:t>Palafrugell</w:t>
      </w:r>
      <w:proofErr w:type="spellEnd"/>
      <w:r w:rsidRPr="000D7D0A">
        <w:rPr>
          <w:rFonts w:ascii="Times New Roman" w:hAnsi="Times New Roman" w:cs="Times New Roman"/>
          <w:sz w:val="24"/>
          <w:szCs w:val="24"/>
        </w:rPr>
        <w:t xml:space="preserve">, con algunos desvíos que conducen a playas muy frecuentadas durante la temporada estival. La vía verde del Tren </w:t>
      </w:r>
      <w:proofErr w:type="spellStart"/>
      <w:r w:rsidRPr="000D7D0A">
        <w:rPr>
          <w:rFonts w:ascii="Times New Roman" w:hAnsi="Times New Roman" w:cs="Times New Roman"/>
          <w:sz w:val="24"/>
          <w:szCs w:val="24"/>
        </w:rPr>
        <w:t>Petit</w:t>
      </w:r>
      <w:proofErr w:type="spellEnd"/>
      <w:r w:rsidRPr="000D7D0A">
        <w:rPr>
          <w:rFonts w:ascii="Times New Roman" w:hAnsi="Times New Roman" w:cs="Times New Roman"/>
          <w:sz w:val="24"/>
          <w:szCs w:val="24"/>
        </w:rPr>
        <w:t xml:space="preserve"> discurre principalmente por los municipios de Palamós y </w:t>
      </w:r>
      <w:proofErr w:type="spellStart"/>
      <w:r w:rsidRPr="000D7D0A">
        <w:rPr>
          <w:rFonts w:ascii="Times New Roman" w:hAnsi="Times New Roman" w:cs="Times New Roman"/>
          <w:sz w:val="24"/>
          <w:szCs w:val="24"/>
        </w:rPr>
        <w:t>Palafrugell</w:t>
      </w:r>
      <w:proofErr w:type="spellEnd"/>
      <w:r w:rsidRPr="000D7D0A">
        <w:rPr>
          <w:rFonts w:ascii="Times New Roman" w:hAnsi="Times New Roman" w:cs="Times New Roman"/>
          <w:sz w:val="24"/>
          <w:szCs w:val="24"/>
        </w:rPr>
        <w:t xml:space="preserve">, pero hay dos desvíos que conducen a los términos municipales de </w:t>
      </w:r>
      <w:proofErr w:type="spellStart"/>
      <w:r w:rsidRPr="000D7D0A">
        <w:rPr>
          <w:rFonts w:ascii="Times New Roman" w:hAnsi="Times New Roman" w:cs="Times New Roman"/>
          <w:sz w:val="24"/>
          <w:szCs w:val="24"/>
        </w:rPr>
        <w:t>Vall-llobrega</w:t>
      </w:r>
      <w:proofErr w:type="spellEnd"/>
      <w:r w:rsidRPr="000D7D0A">
        <w:rPr>
          <w:rFonts w:ascii="Times New Roman" w:hAnsi="Times New Roman" w:cs="Times New Roman"/>
          <w:sz w:val="24"/>
          <w:szCs w:val="24"/>
        </w:rPr>
        <w:t xml:space="preserve"> y </w:t>
      </w:r>
      <w:proofErr w:type="spellStart"/>
      <w:r w:rsidRPr="000D7D0A">
        <w:rPr>
          <w:rFonts w:ascii="Times New Roman" w:hAnsi="Times New Roman" w:cs="Times New Roman"/>
          <w:sz w:val="24"/>
          <w:szCs w:val="24"/>
        </w:rPr>
        <w:t>Mont</w:t>
      </w:r>
      <w:proofErr w:type="spellEnd"/>
      <w:r w:rsidRPr="000D7D0A">
        <w:rPr>
          <w:rFonts w:ascii="Times New Roman" w:hAnsi="Times New Roman" w:cs="Times New Roman"/>
          <w:sz w:val="24"/>
          <w:szCs w:val="24"/>
        </w:rPr>
        <w:t xml:space="preserve">-Ras. La realización de la obra costó 1,4 Millones de euros </w:t>
      </w:r>
      <w:r w:rsidR="00361692" w:rsidRPr="000D7D0A">
        <w:rPr>
          <w:rFonts w:ascii="Times New Roman" w:hAnsi="Times New Roman" w:cs="Times New Roman"/>
          <w:sz w:val="24"/>
          <w:szCs w:val="24"/>
        </w:rPr>
        <w:fldChar w:fldCharType="begin" w:fldLock="1"/>
      </w:r>
      <w:r w:rsidR="004F1B4E" w:rsidRPr="000D7D0A">
        <w:rPr>
          <w:rFonts w:ascii="Times New Roman" w:hAnsi="Times New Roman" w:cs="Times New Roman"/>
          <w:sz w:val="24"/>
          <w:szCs w:val="24"/>
        </w:rPr>
        <w:instrText>ADDIN CSL_CITATION { "citationItems" : [ { "id" : "ITEM-1", "itemData" : { "author" : [ { "dropping-particle" : "", "family" : "Secretaria", "given" : "La", "non-dropping-particle" : "", "parse-names" : false, "suffix" : "" } ], "id" : "ITEM-1", "issued" : { "date-parts" : [ [ "2009" ] ] }, "page" : "1-170", "publisher" : "Generalitat de Catalunya. Departament de Pol\u00edtica Territorial i Obres P\u00fabliques, Institut Catal\u00e0 per al Desenvolupament del Transport", "publisher-place" : "Barcelona", "title" : "Mem\u00f2ria 2009. Secretaria per la mobilitat. Generalitat de Catalunya", "type" : "article" }, "uris" : [ "http://www.mendeley.com/documents/?uuid=a2b6eae9-385a-4965-801f-3b031914556f" ] } ], "mendeley" : { "formattedCitation" : "(Secretaria 2009)", "manualFormatting" : "(Secretaria de la Movilidad, 2009)", "plainTextFormattedCitation" : "(Secretaria 2009)", "previouslyFormattedCitation" : "(Secretaria 2009)" }, "properties" : { "noteIndex" : 0 }, "schema" : "https://github.com/citation-style-language/schema/raw/master/csl-citation.json" }</w:instrText>
      </w:r>
      <w:r w:rsidR="00361692" w:rsidRPr="000D7D0A">
        <w:rPr>
          <w:rFonts w:ascii="Times New Roman" w:hAnsi="Times New Roman" w:cs="Times New Roman"/>
          <w:sz w:val="24"/>
          <w:szCs w:val="24"/>
        </w:rPr>
        <w:fldChar w:fldCharType="separate"/>
      </w:r>
      <w:r w:rsidR="00240857" w:rsidRPr="000D7D0A">
        <w:rPr>
          <w:rFonts w:ascii="Times New Roman" w:hAnsi="Times New Roman" w:cs="Times New Roman"/>
          <w:noProof/>
          <w:sz w:val="24"/>
          <w:szCs w:val="24"/>
        </w:rPr>
        <w:t>(Secretaria de la Mov</w:t>
      </w:r>
      <w:r w:rsidRPr="000D7D0A">
        <w:rPr>
          <w:rFonts w:ascii="Times New Roman" w:hAnsi="Times New Roman" w:cs="Times New Roman"/>
          <w:noProof/>
          <w:sz w:val="24"/>
          <w:szCs w:val="24"/>
        </w:rPr>
        <w:t>ilidad, 2009)</w:t>
      </w:r>
      <w:r w:rsidR="00361692" w:rsidRPr="000D7D0A">
        <w:rPr>
          <w:rFonts w:ascii="Times New Roman" w:hAnsi="Times New Roman" w:cs="Times New Roman"/>
          <w:sz w:val="24"/>
          <w:szCs w:val="24"/>
        </w:rPr>
        <w:fldChar w:fldCharType="end"/>
      </w:r>
      <w:r w:rsidRPr="000D7D0A">
        <w:rPr>
          <w:rFonts w:ascii="Times New Roman" w:hAnsi="Times New Roman" w:cs="Times New Roman"/>
          <w:sz w:val="24"/>
          <w:szCs w:val="24"/>
        </w:rPr>
        <w:t>.</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El trazado sigue en parte la antigua vía de tren entre Palamós y Girona y la implicación de los ayuntamientos fue clave para que se realizase la obra. La gestión, en cambio, pasó a estar integrada en las vías verdes de Girona y por lo tanto gestionada por el Consorcio de las Vías Verdes.</w:t>
      </w:r>
    </w:p>
    <w:p w:rsidR="00CA3C08" w:rsidRPr="000D7D0A" w:rsidRDefault="00240857" w:rsidP="003313A2">
      <w:pPr>
        <w:jc w:val="both"/>
        <w:rPr>
          <w:rFonts w:ascii="Times New Roman" w:hAnsi="Times New Roman" w:cs="Times New Roman"/>
          <w:i/>
          <w:sz w:val="24"/>
          <w:szCs w:val="24"/>
        </w:rPr>
      </w:pPr>
      <w:r w:rsidRPr="000D7D0A">
        <w:rPr>
          <w:rFonts w:ascii="Times New Roman" w:hAnsi="Times New Roman" w:cs="Times New Roman"/>
          <w:sz w:val="24"/>
          <w:szCs w:val="24"/>
        </w:rPr>
        <w:lastRenderedPageBreak/>
        <w:t>E</w:t>
      </w:r>
      <w:r w:rsidR="00CA02B1" w:rsidRPr="000D7D0A">
        <w:rPr>
          <w:rFonts w:ascii="Times New Roman" w:hAnsi="Times New Roman" w:cs="Times New Roman"/>
          <w:sz w:val="24"/>
          <w:szCs w:val="24"/>
        </w:rPr>
        <w:t xml:space="preserve">l proyecto de más envergadura y con mayor diversidad de actores colaborando es la ruta </w:t>
      </w:r>
      <w:proofErr w:type="spellStart"/>
      <w:r w:rsidR="00CA02B1" w:rsidRPr="000D7D0A">
        <w:rPr>
          <w:rFonts w:ascii="Times New Roman" w:hAnsi="Times New Roman" w:cs="Times New Roman"/>
          <w:sz w:val="24"/>
          <w:szCs w:val="24"/>
        </w:rPr>
        <w:t>Pirinexus</w:t>
      </w:r>
      <w:proofErr w:type="spellEnd"/>
      <w:r w:rsidR="00CA02B1" w:rsidRPr="000D7D0A">
        <w:rPr>
          <w:rStyle w:val="Refdenotaalpie"/>
          <w:rFonts w:ascii="Times New Roman" w:hAnsi="Times New Roman" w:cs="Times New Roman"/>
          <w:sz w:val="24"/>
          <w:szCs w:val="24"/>
        </w:rPr>
        <w:footnoteReference w:id="1"/>
      </w:r>
      <w:r w:rsidR="00CA02B1" w:rsidRPr="000D7D0A">
        <w:rPr>
          <w:rFonts w:ascii="Times New Roman" w:hAnsi="Times New Roman" w:cs="Times New Roman"/>
          <w:sz w:val="24"/>
          <w:szCs w:val="24"/>
        </w:rPr>
        <w:t xml:space="preserve">. La ruta </w:t>
      </w:r>
      <w:proofErr w:type="spellStart"/>
      <w:r w:rsidR="00CA02B1" w:rsidRPr="000D7D0A">
        <w:rPr>
          <w:rFonts w:ascii="Times New Roman" w:hAnsi="Times New Roman" w:cs="Times New Roman"/>
          <w:sz w:val="24"/>
          <w:szCs w:val="24"/>
        </w:rPr>
        <w:t>Pirinexus</w:t>
      </w:r>
      <w:proofErr w:type="spellEnd"/>
      <w:r w:rsidR="00CA02B1" w:rsidRPr="000D7D0A">
        <w:rPr>
          <w:rFonts w:ascii="Times New Roman" w:hAnsi="Times New Roman" w:cs="Times New Roman"/>
          <w:sz w:val="24"/>
          <w:szCs w:val="24"/>
        </w:rPr>
        <w:t xml:space="preserve"> es una ruta </w:t>
      </w:r>
      <w:proofErr w:type="spellStart"/>
      <w:r w:rsidR="00CA02B1" w:rsidRPr="000D7D0A">
        <w:rPr>
          <w:rFonts w:ascii="Times New Roman" w:hAnsi="Times New Roman" w:cs="Times New Roman"/>
          <w:sz w:val="24"/>
          <w:szCs w:val="24"/>
        </w:rPr>
        <w:t>cicloturística</w:t>
      </w:r>
      <w:proofErr w:type="spellEnd"/>
      <w:r w:rsidR="00CA02B1" w:rsidRPr="000D7D0A">
        <w:rPr>
          <w:rFonts w:ascii="Times New Roman" w:hAnsi="Times New Roman" w:cs="Times New Roman"/>
          <w:sz w:val="24"/>
          <w:szCs w:val="24"/>
        </w:rPr>
        <w:t xml:space="preserve">, eso es pensada para recorrer en bicicleta, de forma circular, que recorre más de 400 quilómetros entre la provincia de Girona y el departamento francés de </w:t>
      </w:r>
      <w:proofErr w:type="spellStart"/>
      <w:r w:rsidR="00CA02B1" w:rsidRPr="000D7D0A">
        <w:rPr>
          <w:rFonts w:ascii="Times New Roman" w:hAnsi="Times New Roman" w:cs="Times New Roman"/>
          <w:sz w:val="24"/>
          <w:szCs w:val="24"/>
        </w:rPr>
        <w:t>Pyrenees</w:t>
      </w:r>
      <w:proofErr w:type="spellEnd"/>
      <w:r w:rsidR="00CA02B1" w:rsidRPr="000D7D0A">
        <w:rPr>
          <w:rFonts w:ascii="Times New Roman" w:hAnsi="Times New Roman" w:cs="Times New Roman"/>
          <w:sz w:val="24"/>
          <w:szCs w:val="24"/>
        </w:rPr>
        <w:t xml:space="preserve"> Orientales. </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La mera participación en el proyecto es una buena muestra de la colaboración entre distintas instituciones para afrontar un objetivo común, en éste caso la creación de una ruta en las dos vertientes de los pirineos.</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 xml:space="preserve">La envergadura y calidad del proyecto fueron reconocidas en el sector, ya que la ruta obtuvo el segundo puesto en los premios de la feria </w:t>
      </w:r>
      <w:proofErr w:type="spellStart"/>
      <w:r w:rsidRPr="000D7D0A">
        <w:rPr>
          <w:rFonts w:ascii="Times New Roman" w:hAnsi="Times New Roman" w:cs="Times New Roman"/>
          <w:i/>
          <w:sz w:val="24"/>
          <w:szCs w:val="24"/>
        </w:rPr>
        <w:t>Fiets</w:t>
      </w:r>
      <w:proofErr w:type="spellEnd"/>
      <w:r w:rsidRPr="000D7D0A">
        <w:rPr>
          <w:rFonts w:ascii="Times New Roman" w:hAnsi="Times New Roman" w:cs="Times New Roman"/>
          <w:i/>
          <w:sz w:val="24"/>
          <w:szCs w:val="24"/>
        </w:rPr>
        <w:t xml:space="preserve"> and </w:t>
      </w:r>
      <w:proofErr w:type="spellStart"/>
      <w:r w:rsidRPr="000D7D0A">
        <w:rPr>
          <w:rFonts w:ascii="Times New Roman" w:hAnsi="Times New Roman" w:cs="Times New Roman"/>
          <w:i/>
          <w:sz w:val="24"/>
          <w:szCs w:val="24"/>
        </w:rPr>
        <w:t>Wandelbeurt</w:t>
      </w:r>
      <w:proofErr w:type="spellEnd"/>
      <w:r w:rsidRPr="000D7D0A">
        <w:rPr>
          <w:rFonts w:ascii="Times New Roman" w:hAnsi="Times New Roman" w:cs="Times New Roman"/>
          <w:sz w:val="24"/>
          <w:szCs w:val="24"/>
        </w:rPr>
        <w:t xml:space="preserve">, celebrada anualmente en </w:t>
      </w:r>
      <w:proofErr w:type="spellStart"/>
      <w:r w:rsidRPr="000D7D0A">
        <w:rPr>
          <w:rFonts w:ascii="Times New Roman" w:hAnsi="Times New Roman" w:cs="Times New Roman"/>
          <w:sz w:val="24"/>
          <w:szCs w:val="24"/>
        </w:rPr>
        <w:t>Amsterdam</w:t>
      </w:r>
      <w:proofErr w:type="spellEnd"/>
      <w:r w:rsidRPr="000D7D0A">
        <w:rPr>
          <w:rFonts w:ascii="Times New Roman" w:hAnsi="Times New Roman" w:cs="Times New Roman"/>
          <w:sz w:val="24"/>
          <w:szCs w:val="24"/>
        </w:rPr>
        <w:t xml:space="preserve">, referencia europea en el sector del </w:t>
      </w:r>
      <w:proofErr w:type="spellStart"/>
      <w:r w:rsidRPr="000D7D0A">
        <w:rPr>
          <w:rFonts w:ascii="Times New Roman" w:hAnsi="Times New Roman" w:cs="Times New Roman"/>
          <w:sz w:val="24"/>
          <w:szCs w:val="24"/>
        </w:rPr>
        <w:t>cicloturismo</w:t>
      </w:r>
      <w:proofErr w:type="spellEnd"/>
      <w:r w:rsidRPr="000D7D0A">
        <w:rPr>
          <w:rFonts w:ascii="Times New Roman" w:hAnsi="Times New Roman" w:cs="Times New Roman"/>
          <w:sz w:val="24"/>
          <w:szCs w:val="24"/>
        </w:rPr>
        <w:t xml:space="preserve"> y senderismo.</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 xml:space="preserve">La señalización de los quilómetros paralelos a la Costa brava también sirvieron para diseñar por dónde transitará una de las grandes rutas europeas cómo es la ruta </w:t>
      </w:r>
      <w:proofErr w:type="spellStart"/>
      <w:r w:rsidRPr="000D7D0A">
        <w:rPr>
          <w:rFonts w:ascii="Times New Roman" w:hAnsi="Times New Roman" w:cs="Times New Roman"/>
          <w:sz w:val="24"/>
          <w:szCs w:val="24"/>
        </w:rPr>
        <w:t>Eurovelo</w:t>
      </w:r>
      <w:proofErr w:type="spellEnd"/>
      <w:r w:rsidRPr="000D7D0A">
        <w:rPr>
          <w:rFonts w:ascii="Times New Roman" w:hAnsi="Times New Roman" w:cs="Times New Roman"/>
          <w:sz w:val="24"/>
          <w:szCs w:val="24"/>
        </w:rPr>
        <w:t xml:space="preserve"> 8 o ruta del </w:t>
      </w:r>
      <w:proofErr w:type="spellStart"/>
      <w:r w:rsidRPr="000D7D0A">
        <w:rPr>
          <w:rFonts w:ascii="Times New Roman" w:hAnsi="Times New Roman" w:cs="Times New Roman"/>
          <w:sz w:val="24"/>
          <w:szCs w:val="24"/>
        </w:rPr>
        <w:t>Mediterraneo</w:t>
      </w:r>
      <w:proofErr w:type="spellEnd"/>
      <w:r w:rsidRPr="000D7D0A">
        <w:rPr>
          <w:rFonts w:ascii="Times New Roman" w:hAnsi="Times New Roman" w:cs="Times New Roman"/>
          <w:sz w:val="24"/>
          <w:szCs w:val="24"/>
        </w:rPr>
        <w:t xml:space="preserve">, que unirá Cádiz con Atenas a través de más de 11 estados y 5800 quilómetros. En la mayoría de tramos aún no se ha definido el diseño a escala local, pero no es el caso en la provincia de Girona. El tramo desde </w:t>
      </w:r>
      <w:proofErr w:type="spellStart"/>
      <w:r w:rsidRPr="000D7D0A">
        <w:rPr>
          <w:rFonts w:ascii="Times New Roman" w:hAnsi="Times New Roman" w:cs="Times New Roman"/>
          <w:sz w:val="24"/>
          <w:szCs w:val="24"/>
        </w:rPr>
        <w:t>Sant</w:t>
      </w:r>
      <w:proofErr w:type="spellEnd"/>
      <w:r w:rsidRPr="000D7D0A">
        <w:rPr>
          <w:rFonts w:ascii="Times New Roman" w:hAnsi="Times New Roman" w:cs="Times New Roman"/>
          <w:sz w:val="24"/>
          <w:szCs w:val="24"/>
        </w:rPr>
        <w:t xml:space="preserve"> </w:t>
      </w:r>
      <w:proofErr w:type="spellStart"/>
      <w:r w:rsidRPr="000D7D0A">
        <w:rPr>
          <w:rFonts w:ascii="Times New Roman" w:hAnsi="Times New Roman" w:cs="Times New Roman"/>
          <w:sz w:val="24"/>
          <w:szCs w:val="24"/>
        </w:rPr>
        <w:t>Feliu</w:t>
      </w:r>
      <w:proofErr w:type="spellEnd"/>
      <w:r w:rsidRPr="000D7D0A">
        <w:rPr>
          <w:rFonts w:ascii="Times New Roman" w:hAnsi="Times New Roman" w:cs="Times New Roman"/>
          <w:sz w:val="24"/>
          <w:szCs w:val="24"/>
        </w:rPr>
        <w:t xml:space="preserve"> de </w:t>
      </w:r>
      <w:proofErr w:type="spellStart"/>
      <w:r w:rsidRPr="000D7D0A">
        <w:rPr>
          <w:rFonts w:ascii="Times New Roman" w:hAnsi="Times New Roman" w:cs="Times New Roman"/>
          <w:sz w:val="24"/>
          <w:szCs w:val="24"/>
        </w:rPr>
        <w:t>Guixols</w:t>
      </w:r>
      <w:proofErr w:type="spellEnd"/>
      <w:r w:rsidRPr="000D7D0A">
        <w:rPr>
          <w:rFonts w:ascii="Times New Roman" w:hAnsi="Times New Roman" w:cs="Times New Roman"/>
          <w:sz w:val="24"/>
          <w:szCs w:val="24"/>
        </w:rPr>
        <w:t xml:space="preserve"> a la frontera </w:t>
      </w:r>
      <w:proofErr w:type="spellStart"/>
      <w:r w:rsidRPr="000D7D0A">
        <w:rPr>
          <w:rFonts w:ascii="Times New Roman" w:hAnsi="Times New Roman" w:cs="Times New Roman"/>
          <w:sz w:val="24"/>
          <w:szCs w:val="24"/>
        </w:rPr>
        <w:t>francoespañola</w:t>
      </w:r>
      <w:proofErr w:type="spellEnd"/>
      <w:r w:rsidRPr="000D7D0A">
        <w:rPr>
          <w:rFonts w:ascii="Times New Roman" w:hAnsi="Times New Roman" w:cs="Times New Roman"/>
          <w:sz w:val="24"/>
          <w:szCs w:val="24"/>
        </w:rPr>
        <w:t xml:space="preserve"> es el único realizado entre Barcelona y </w:t>
      </w:r>
      <w:proofErr w:type="spellStart"/>
      <w:r w:rsidRPr="000D7D0A">
        <w:rPr>
          <w:rFonts w:ascii="Times New Roman" w:hAnsi="Times New Roman" w:cs="Times New Roman"/>
          <w:sz w:val="24"/>
          <w:szCs w:val="24"/>
        </w:rPr>
        <w:t>Béziers</w:t>
      </w:r>
      <w:proofErr w:type="spellEnd"/>
      <w:r w:rsidRPr="000D7D0A">
        <w:rPr>
          <w:rFonts w:ascii="Times New Roman" w:hAnsi="Times New Roman" w:cs="Times New Roman"/>
          <w:sz w:val="24"/>
          <w:szCs w:val="24"/>
        </w:rPr>
        <w:t xml:space="preserve"> y recorre el mismo trazado de la ruta </w:t>
      </w:r>
      <w:proofErr w:type="spellStart"/>
      <w:r w:rsidRPr="000D7D0A">
        <w:rPr>
          <w:rFonts w:ascii="Times New Roman" w:hAnsi="Times New Roman" w:cs="Times New Roman"/>
          <w:sz w:val="24"/>
          <w:szCs w:val="24"/>
        </w:rPr>
        <w:t>Pirinexus</w:t>
      </w:r>
      <w:proofErr w:type="spellEnd"/>
      <w:r w:rsidRPr="000D7D0A">
        <w:rPr>
          <w:rStyle w:val="Refdenotaalpie"/>
          <w:rFonts w:ascii="Times New Roman" w:hAnsi="Times New Roman" w:cs="Times New Roman"/>
          <w:sz w:val="24"/>
          <w:szCs w:val="24"/>
        </w:rPr>
        <w:footnoteReference w:id="2"/>
      </w:r>
      <w:r w:rsidRPr="000D7D0A">
        <w:rPr>
          <w:rFonts w:ascii="Times New Roman" w:hAnsi="Times New Roman" w:cs="Times New Roman"/>
          <w:sz w:val="24"/>
          <w:szCs w:val="24"/>
        </w:rPr>
        <w:t xml:space="preserve">.  </w:t>
      </w:r>
    </w:p>
    <w:p w:rsidR="00CA02B1" w:rsidRPr="000D7D0A" w:rsidRDefault="00CA02B1" w:rsidP="00CA3C08">
      <w:pPr>
        <w:rPr>
          <w:rFonts w:ascii="Times New Roman" w:hAnsi="Times New Roman" w:cs="Times New Roman"/>
          <w:sz w:val="24"/>
          <w:szCs w:val="24"/>
        </w:rPr>
      </w:pPr>
      <w:proofErr w:type="gramStart"/>
      <w:r w:rsidRPr="000D7D0A">
        <w:rPr>
          <w:rFonts w:ascii="Times New Roman" w:hAnsi="Times New Roman" w:cs="Times New Roman"/>
          <w:sz w:val="24"/>
          <w:szCs w:val="24"/>
        </w:rPr>
        <w:t>d)Planificación</w:t>
      </w:r>
      <w:proofErr w:type="gramEnd"/>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El CVVG ya ha planificado hacia dónde quiere ampliar las vías verdes. H</w:t>
      </w:r>
      <w:r w:rsidR="00240857" w:rsidRPr="000D7D0A">
        <w:rPr>
          <w:rFonts w:ascii="Times New Roman" w:hAnsi="Times New Roman" w:cs="Times New Roman"/>
          <w:sz w:val="24"/>
          <w:szCs w:val="24"/>
        </w:rPr>
        <w:t>a elaborado distintos proyectos</w:t>
      </w:r>
      <w:r w:rsidRPr="000D7D0A">
        <w:rPr>
          <w:rFonts w:ascii="Times New Roman" w:hAnsi="Times New Roman" w:cs="Times New Roman"/>
          <w:sz w:val="24"/>
          <w:szCs w:val="24"/>
        </w:rPr>
        <w:t xml:space="preserve"> para conectar las vías existentes y ampliarlas hacia una concepción de red. Éste elemento es de una importancia capital ya que muestra cómo el CVVG ha empezado a hacer lo que nadie hizo en el inicio de las vías estrechas ni en el inicio de las vías verdes: planificar con una óptica regional.</w:t>
      </w:r>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 xml:space="preserve">En el año 2016, por primera vez el CVVG, la Diputación de Girona y la Generalitat de Catalunya planifican conjuntamente y colaboran en la extensión de las vías verdes y los caminos </w:t>
      </w:r>
      <w:proofErr w:type="spellStart"/>
      <w:r w:rsidRPr="000D7D0A">
        <w:rPr>
          <w:rFonts w:ascii="Times New Roman" w:hAnsi="Times New Roman" w:cs="Times New Roman"/>
          <w:sz w:val="24"/>
          <w:szCs w:val="24"/>
        </w:rPr>
        <w:t>ciclables</w:t>
      </w:r>
      <w:proofErr w:type="spellEnd"/>
      <w:r w:rsidRPr="000D7D0A">
        <w:rPr>
          <w:rFonts w:ascii="Times New Roman" w:hAnsi="Times New Roman" w:cs="Times New Roman"/>
          <w:sz w:val="24"/>
          <w:szCs w:val="24"/>
        </w:rPr>
        <w:t xml:space="preserve"> en la provincia de Girona. Ésta coordinación tiene que permitir abordar el crecimiento y la conexión de la red de un modo más racional y efectivo. Así, </w:t>
      </w:r>
      <w:r w:rsidR="00240857" w:rsidRPr="000D7D0A">
        <w:rPr>
          <w:rFonts w:ascii="Times New Roman" w:hAnsi="Times New Roman" w:cs="Times New Roman"/>
          <w:sz w:val="24"/>
          <w:szCs w:val="24"/>
        </w:rPr>
        <w:t xml:space="preserve">aunque </w:t>
      </w:r>
      <w:r w:rsidRPr="000D7D0A">
        <w:rPr>
          <w:rFonts w:ascii="Times New Roman" w:hAnsi="Times New Roman" w:cs="Times New Roman"/>
          <w:sz w:val="24"/>
          <w:szCs w:val="24"/>
        </w:rPr>
        <w:t>ambos actores tienen su propia agenda</w:t>
      </w:r>
      <w:r w:rsidR="00240857" w:rsidRPr="000D7D0A">
        <w:rPr>
          <w:rFonts w:ascii="Times New Roman" w:hAnsi="Times New Roman" w:cs="Times New Roman"/>
          <w:sz w:val="24"/>
          <w:szCs w:val="24"/>
        </w:rPr>
        <w:t>, colaboran para impulsar</w:t>
      </w:r>
      <w:r w:rsidRPr="000D7D0A">
        <w:rPr>
          <w:rFonts w:ascii="Times New Roman" w:hAnsi="Times New Roman" w:cs="Times New Roman"/>
          <w:sz w:val="24"/>
          <w:szCs w:val="24"/>
        </w:rPr>
        <w:t xml:space="preserve"> diferentes tramos</w:t>
      </w:r>
      <w:r w:rsidR="00240857" w:rsidRPr="000D7D0A">
        <w:rPr>
          <w:rFonts w:ascii="Times New Roman" w:hAnsi="Times New Roman" w:cs="Times New Roman"/>
          <w:sz w:val="24"/>
          <w:szCs w:val="24"/>
        </w:rPr>
        <w:t>. S</w:t>
      </w:r>
      <w:r w:rsidRPr="000D7D0A">
        <w:rPr>
          <w:rFonts w:ascii="Times New Roman" w:hAnsi="Times New Roman" w:cs="Times New Roman"/>
          <w:sz w:val="24"/>
          <w:szCs w:val="24"/>
        </w:rPr>
        <w:t>on conscientes que operan en el mismo territorio y por lo tanto es necesaria y deseable la coordinación.</w:t>
      </w:r>
    </w:p>
    <w:p w:rsidR="00153DEB" w:rsidRPr="000D7D0A" w:rsidRDefault="00CA02B1" w:rsidP="00240857">
      <w:pPr>
        <w:jc w:val="both"/>
        <w:rPr>
          <w:rFonts w:ascii="Times New Roman" w:hAnsi="Times New Roman" w:cs="Times New Roman"/>
          <w:sz w:val="24"/>
          <w:szCs w:val="24"/>
        </w:rPr>
      </w:pPr>
      <w:r w:rsidRPr="000D7D0A">
        <w:rPr>
          <w:rFonts w:ascii="Times New Roman" w:hAnsi="Times New Roman" w:cs="Times New Roman"/>
          <w:sz w:val="24"/>
          <w:szCs w:val="24"/>
        </w:rPr>
        <w:t>Las actuaciones impulsadas por el CVVG se concretan en tres proyectos:</w:t>
      </w:r>
      <w:r w:rsidR="00CA3C08" w:rsidRPr="000D7D0A">
        <w:rPr>
          <w:rFonts w:ascii="Times New Roman" w:hAnsi="Times New Roman" w:cs="Times New Roman"/>
          <w:sz w:val="24"/>
          <w:szCs w:val="24"/>
        </w:rPr>
        <w:t xml:space="preserve"> </w:t>
      </w:r>
      <w:r w:rsidRPr="000D7D0A">
        <w:rPr>
          <w:rFonts w:ascii="Times New Roman" w:hAnsi="Times New Roman" w:cs="Times New Roman"/>
          <w:sz w:val="24"/>
          <w:szCs w:val="24"/>
        </w:rPr>
        <w:t>a</w:t>
      </w:r>
      <w:proofErr w:type="gramStart"/>
      <w:r w:rsidRPr="000D7D0A">
        <w:rPr>
          <w:rFonts w:ascii="Times New Roman" w:hAnsi="Times New Roman" w:cs="Times New Roman"/>
          <w:sz w:val="24"/>
          <w:szCs w:val="24"/>
        </w:rPr>
        <w:t>)la</w:t>
      </w:r>
      <w:proofErr w:type="gramEnd"/>
      <w:r w:rsidRPr="000D7D0A">
        <w:rPr>
          <w:rFonts w:ascii="Times New Roman" w:hAnsi="Times New Roman" w:cs="Times New Roman"/>
          <w:sz w:val="24"/>
          <w:szCs w:val="24"/>
        </w:rPr>
        <w:t xml:space="preserve"> conexión entre </w:t>
      </w:r>
      <w:proofErr w:type="spellStart"/>
      <w:r w:rsidRPr="000D7D0A">
        <w:rPr>
          <w:rFonts w:ascii="Times New Roman" w:hAnsi="Times New Roman" w:cs="Times New Roman"/>
          <w:sz w:val="24"/>
          <w:szCs w:val="24"/>
        </w:rPr>
        <w:t>Sant</w:t>
      </w:r>
      <w:proofErr w:type="spellEnd"/>
      <w:r w:rsidRPr="000D7D0A">
        <w:rPr>
          <w:rFonts w:ascii="Times New Roman" w:hAnsi="Times New Roman" w:cs="Times New Roman"/>
          <w:sz w:val="24"/>
          <w:szCs w:val="24"/>
        </w:rPr>
        <w:t xml:space="preserve"> Joan les </w:t>
      </w:r>
      <w:proofErr w:type="spellStart"/>
      <w:r w:rsidRPr="000D7D0A">
        <w:rPr>
          <w:rFonts w:ascii="Times New Roman" w:hAnsi="Times New Roman" w:cs="Times New Roman"/>
          <w:sz w:val="24"/>
          <w:szCs w:val="24"/>
        </w:rPr>
        <w:t>Abadesses</w:t>
      </w:r>
      <w:proofErr w:type="spellEnd"/>
      <w:r w:rsidRPr="000D7D0A">
        <w:rPr>
          <w:rFonts w:ascii="Times New Roman" w:hAnsi="Times New Roman" w:cs="Times New Roman"/>
          <w:sz w:val="24"/>
          <w:szCs w:val="24"/>
        </w:rPr>
        <w:t xml:space="preserve"> y la </w:t>
      </w:r>
      <w:proofErr w:type="spellStart"/>
      <w:r w:rsidRPr="000D7D0A">
        <w:rPr>
          <w:rFonts w:ascii="Times New Roman" w:hAnsi="Times New Roman" w:cs="Times New Roman"/>
          <w:sz w:val="24"/>
          <w:szCs w:val="24"/>
        </w:rPr>
        <w:t>Vall</w:t>
      </w:r>
      <w:proofErr w:type="spellEnd"/>
      <w:r w:rsidRPr="000D7D0A">
        <w:rPr>
          <w:rFonts w:ascii="Times New Roman" w:hAnsi="Times New Roman" w:cs="Times New Roman"/>
          <w:sz w:val="24"/>
          <w:szCs w:val="24"/>
        </w:rPr>
        <w:t xml:space="preserve"> de </w:t>
      </w:r>
      <w:proofErr w:type="spellStart"/>
      <w:r w:rsidRPr="000D7D0A">
        <w:rPr>
          <w:rFonts w:ascii="Times New Roman" w:hAnsi="Times New Roman" w:cs="Times New Roman"/>
          <w:sz w:val="24"/>
          <w:szCs w:val="24"/>
        </w:rPr>
        <w:t>bianya</w:t>
      </w:r>
      <w:proofErr w:type="spellEnd"/>
      <w:r w:rsidRPr="000D7D0A">
        <w:rPr>
          <w:rFonts w:ascii="Times New Roman" w:hAnsi="Times New Roman" w:cs="Times New Roman"/>
          <w:sz w:val="24"/>
          <w:szCs w:val="24"/>
        </w:rPr>
        <w:t xml:space="preserve">, cerca de </w:t>
      </w:r>
      <w:proofErr w:type="spellStart"/>
      <w:r w:rsidRPr="000D7D0A">
        <w:rPr>
          <w:rFonts w:ascii="Times New Roman" w:hAnsi="Times New Roman" w:cs="Times New Roman"/>
          <w:sz w:val="24"/>
          <w:szCs w:val="24"/>
        </w:rPr>
        <w:t>Olot</w:t>
      </w:r>
      <w:proofErr w:type="spellEnd"/>
      <w:r w:rsidRPr="000D7D0A">
        <w:rPr>
          <w:rFonts w:ascii="Times New Roman" w:hAnsi="Times New Roman" w:cs="Times New Roman"/>
          <w:sz w:val="24"/>
          <w:szCs w:val="24"/>
        </w:rPr>
        <w:t xml:space="preserve">. </w:t>
      </w:r>
      <w:proofErr w:type="gramStart"/>
      <w:r w:rsidRPr="000D7D0A">
        <w:rPr>
          <w:rFonts w:ascii="Times New Roman" w:hAnsi="Times New Roman" w:cs="Times New Roman"/>
          <w:sz w:val="24"/>
          <w:szCs w:val="24"/>
        </w:rPr>
        <w:t>b)Las</w:t>
      </w:r>
      <w:proofErr w:type="gramEnd"/>
      <w:r w:rsidRPr="000D7D0A">
        <w:rPr>
          <w:rFonts w:ascii="Times New Roman" w:hAnsi="Times New Roman" w:cs="Times New Roman"/>
          <w:sz w:val="24"/>
          <w:szCs w:val="24"/>
        </w:rPr>
        <w:t xml:space="preserve"> conexiones entre </w:t>
      </w:r>
      <w:proofErr w:type="spellStart"/>
      <w:r w:rsidRPr="000D7D0A">
        <w:rPr>
          <w:rFonts w:ascii="Times New Roman" w:hAnsi="Times New Roman" w:cs="Times New Roman"/>
          <w:sz w:val="24"/>
          <w:szCs w:val="24"/>
        </w:rPr>
        <w:t>Ripoll</w:t>
      </w:r>
      <w:proofErr w:type="spellEnd"/>
      <w:r w:rsidRPr="000D7D0A">
        <w:rPr>
          <w:rFonts w:ascii="Times New Roman" w:hAnsi="Times New Roman" w:cs="Times New Roman"/>
          <w:sz w:val="24"/>
          <w:szCs w:val="24"/>
        </w:rPr>
        <w:t xml:space="preserve"> y </w:t>
      </w:r>
      <w:proofErr w:type="spellStart"/>
      <w:r w:rsidRPr="000D7D0A">
        <w:rPr>
          <w:rFonts w:ascii="Times New Roman" w:hAnsi="Times New Roman" w:cs="Times New Roman"/>
          <w:sz w:val="24"/>
          <w:szCs w:val="24"/>
        </w:rPr>
        <w:t>Campdevanol</w:t>
      </w:r>
      <w:proofErr w:type="spellEnd"/>
      <w:r w:rsidRPr="000D7D0A">
        <w:rPr>
          <w:rFonts w:ascii="Times New Roman" w:hAnsi="Times New Roman" w:cs="Times New Roman"/>
          <w:sz w:val="24"/>
          <w:szCs w:val="24"/>
        </w:rPr>
        <w:t xml:space="preserve">, que significan unir las vías verdes con los antiguos caminos ganaderos. </w:t>
      </w:r>
      <w:proofErr w:type="gramStart"/>
      <w:r w:rsidRPr="000D7D0A">
        <w:rPr>
          <w:rFonts w:ascii="Times New Roman" w:hAnsi="Times New Roman" w:cs="Times New Roman"/>
          <w:sz w:val="24"/>
          <w:szCs w:val="24"/>
        </w:rPr>
        <w:t>c)El</w:t>
      </w:r>
      <w:proofErr w:type="gramEnd"/>
      <w:r w:rsidRPr="000D7D0A">
        <w:rPr>
          <w:rFonts w:ascii="Times New Roman" w:hAnsi="Times New Roman" w:cs="Times New Roman"/>
          <w:sz w:val="24"/>
          <w:szCs w:val="24"/>
        </w:rPr>
        <w:t xml:space="preserve"> último proyecto busca construir una vía verde recorriendo de cerca la antigua línea ferroviaria de vía estrecha que unía </w:t>
      </w:r>
      <w:proofErr w:type="spellStart"/>
      <w:r w:rsidRPr="000D7D0A">
        <w:rPr>
          <w:rFonts w:ascii="Times New Roman" w:hAnsi="Times New Roman" w:cs="Times New Roman"/>
          <w:sz w:val="24"/>
          <w:szCs w:val="24"/>
        </w:rPr>
        <w:t>Banyoles</w:t>
      </w:r>
      <w:proofErr w:type="spellEnd"/>
      <w:r w:rsidRPr="000D7D0A">
        <w:rPr>
          <w:rFonts w:ascii="Times New Roman" w:hAnsi="Times New Roman" w:cs="Times New Roman"/>
          <w:sz w:val="24"/>
          <w:szCs w:val="24"/>
        </w:rPr>
        <w:t xml:space="preserve"> y Girona a través de 35 km. </w:t>
      </w:r>
    </w:p>
    <w:p w:rsidR="00B41934" w:rsidRPr="000D7D0A" w:rsidRDefault="00B41934" w:rsidP="00B41934">
      <w:pPr>
        <w:pStyle w:val="Ttulo3"/>
        <w:rPr>
          <w:sz w:val="24"/>
          <w:szCs w:val="24"/>
        </w:rPr>
      </w:pPr>
      <w:bookmarkStart w:id="19" w:name="_Toc486704498"/>
      <w:bookmarkStart w:id="20" w:name="_Toc487465103"/>
      <w:bookmarkStart w:id="21" w:name="_Toc492389025"/>
      <w:r w:rsidRPr="000D7D0A">
        <w:rPr>
          <w:sz w:val="24"/>
          <w:szCs w:val="24"/>
        </w:rPr>
        <w:lastRenderedPageBreak/>
        <w:t>Ojos Negros</w:t>
      </w:r>
      <w:bookmarkEnd w:id="19"/>
      <w:bookmarkEnd w:id="20"/>
      <w:bookmarkEnd w:id="21"/>
    </w:p>
    <w:p w:rsidR="003313A2" w:rsidRPr="000D7D0A" w:rsidRDefault="007347D2" w:rsidP="003313A2">
      <w:pPr>
        <w:spacing w:after="0"/>
        <w:jc w:val="both"/>
        <w:rPr>
          <w:rFonts w:ascii="Times New Roman" w:eastAsia="Times New Roman" w:hAnsi="Times New Roman" w:cs="Times New Roman"/>
          <w:color w:val="000000" w:themeColor="text1"/>
          <w:sz w:val="24"/>
          <w:szCs w:val="24"/>
          <w:lang w:eastAsia="es-ES"/>
        </w:rPr>
      </w:pPr>
      <w:r w:rsidRPr="000D7D0A">
        <w:rPr>
          <w:rFonts w:ascii="Times New Roman" w:eastAsia="Times New Roman" w:hAnsi="Times New Roman" w:cs="Times New Roman"/>
          <w:color w:val="000000" w:themeColor="text1"/>
          <w:sz w:val="24"/>
          <w:szCs w:val="24"/>
          <w:lang w:eastAsia="es-ES"/>
        </w:rPr>
        <w:t>La Vía Verde de Ojos Negros es, con 160 quilómetros, la vía verde más larga de España. Discurre por el</w:t>
      </w:r>
      <w:r w:rsidR="003313A2" w:rsidRPr="000D7D0A">
        <w:rPr>
          <w:rFonts w:ascii="Times New Roman" w:eastAsia="Times New Roman" w:hAnsi="Times New Roman" w:cs="Times New Roman"/>
          <w:color w:val="000000" w:themeColor="text1"/>
          <w:sz w:val="24"/>
          <w:szCs w:val="24"/>
          <w:lang w:eastAsia="es-ES"/>
        </w:rPr>
        <w:t xml:space="preserve"> trazado original de la antigua línea d</w:t>
      </w:r>
      <w:r w:rsidRPr="000D7D0A">
        <w:rPr>
          <w:rFonts w:ascii="Times New Roman" w:eastAsia="Times New Roman" w:hAnsi="Times New Roman" w:cs="Times New Roman"/>
          <w:color w:val="000000" w:themeColor="text1"/>
          <w:sz w:val="24"/>
          <w:szCs w:val="24"/>
          <w:lang w:eastAsia="es-ES"/>
        </w:rPr>
        <w:t>el ferrocarril del mismo nombre. El inicio se encuentra en</w:t>
      </w:r>
      <w:r w:rsidR="003313A2" w:rsidRPr="000D7D0A">
        <w:rPr>
          <w:rFonts w:ascii="Times New Roman" w:eastAsia="Times New Roman" w:hAnsi="Times New Roman" w:cs="Times New Roman"/>
          <w:color w:val="000000" w:themeColor="text1"/>
          <w:sz w:val="24"/>
          <w:szCs w:val="24"/>
          <w:lang w:eastAsia="es-ES"/>
        </w:rPr>
        <w:t xml:space="preserve"> las minas de Ojos Negros, en la provincia de Teruel al límite con Guadalajara, hasta el Puerto de Sagunto</w:t>
      </w:r>
      <w:r w:rsidRPr="000D7D0A">
        <w:rPr>
          <w:rFonts w:ascii="Times New Roman" w:eastAsia="Times New Roman" w:hAnsi="Times New Roman" w:cs="Times New Roman"/>
          <w:color w:val="000000" w:themeColor="text1"/>
          <w:sz w:val="24"/>
          <w:szCs w:val="24"/>
          <w:lang w:eastAsia="es-ES"/>
        </w:rPr>
        <w:t>, en la provincia de Valencia. A</w:t>
      </w:r>
      <w:r w:rsidR="003313A2" w:rsidRPr="000D7D0A">
        <w:rPr>
          <w:rFonts w:ascii="Times New Roman" w:eastAsia="Times New Roman" w:hAnsi="Times New Roman" w:cs="Times New Roman"/>
          <w:color w:val="000000" w:themeColor="text1"/>
          <w:sz w:val="24"/>
          <w:szCs w:val="24"/>
          <w:lang w:eastAsia="es-ES"/>
        </w:rPr>
        <w:t>traviesa 3 provincias: Teruel, Castellón y Valencia, 2 Comunidades Autónomas: Aragón y la Comunidad Valenciana, y m</w:t>
      </w:r>
      <w:r w:rsidR="00091093" w:rsidRPr="000D7D0A">
        <w:rPr>
          <w:rFonts w:ascii="Times New Roman" w:eastAsia="Times New Roman" w:hAnsi="Times New Roman" w:cs="Times New Roman"/>
          <w:color w:val="000000" w:themeColor="text1"/>
          <w:sz w:val="24"/>
          <w:szCs w:val="24"/>
          <w:lang w:eastAsia="es-ES"/>
        </w:rPr>
        <w:t>ás de 20</w:t>
      </w:r>
      <w:r w:rsidR="003313A2" w:rsidRPr="000D7D0A">
        <w:rPr>
          <w:rFonts w:ascii="Times New Roman" w:eastAsia="Times New Roman" w:hAnsi="Times New Roman" w:cs="Times New Roman"/>
          <w:color w:val="000000" w:themeColor="text1"/>
          <w:sz w:val="24"/>
          <w:szCs w:val="24"/>
          <w:lang w:eastAsia="es-ES"/>
        </w:rPr>
        <w:t xml:space="preserve"> municipios, en su gran mayoría pequeños y rurales. El trazado casi no atraviesa núcleos urbanos, y en gran parte</w:t>
      </w:r>
      <w:r w:rsidRPr="000D7D0A">
        <w:rPr>
          <w:rFonts w:ascii="Times New Roman" w:eastAsia="Times New Roman" w:hAnsi="Times New Roman" w:cs="Times New Roman"/>
          <w:color w:val="000000" w:themeColor="text1"/>
          <w:sz w:val="24"/>
          <w:szCs w:val="24"/>
          <w:lang w:eastAsia="es-ES"/>
        </w:rPr>
        <w:t xml:space="preserve"> circula</w:t>
      </w:r>
      <w:r w:rsidR="003313A2" w:rsidRPr="000D7D0A">
        <w:rPr>
          <w:rFonts w:ascii="Times New Roman" w:eastAsia="Times New Roman" w:hAnsi="Times New Roman" w:cs="Times New Roman"/>
          <w:color w:val="000000" w:themeColor="text1"/>
          <w:sz w:val="24"/>
          <w:szCs w:val="24"/>
          <w:lang w:eastAsia="es-ES"/>
        </w:rPr>
        <w:t xml:space="preserve"> paralelo a la actual línea del ferrocarril aún en funcionamiento. </w:t>
      </w:r>
    </w:p>
    <w:p w:rsidR="007347D2" w:rsidRPr="000D7D0A" w:rsidRDefault="007347D2" w:rsidP="003313A2">
      <w:pPr>
        <w:spacing w:after="0"/>
        <w:jc w:val="both"/>
        <w:rPr>
          <w:rFonts w:ascii="Times New Roman" w:eastAsia="Times New Roman" w:hAnsi="Times New Roman" w:cs="Times New Roman"/>
          <w:color w:val="000000" w:themeColor="text1"/>
          <w:sz w:val="24"/>
          <w:szCs w:val="24"/>
          <w:lang w:eastAsia="es-ES"/>
        </w:rPr>
      </w:pPr>
    </w:p>
    <w:p w:rsidR="00B41934" w:rsidRPr="000D7D0A" w:rsidRDefault="007347D2" w:rsidP="00B41934">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color w:val="000000" w:themeColor="text1"/>
          <w:sz w:val="24"/>
          <w:szCs w:val="24"/>
          <w:lang w:eastAsia="es-ES"/>
        </w:rPr>
        <w:t>Por lo que respecta a l</w:t>
      </w:r>
      <w:r w:rsidR="00B41934" w:rsidRPr="000D7D0A">
        <w:rPr>
          <w:rFonts w:ascii="Times New Roman" w:eastAsia="Times New Roman" w:hAnsi="Times New Roman" w:cs="Times New Roman"/>
          <w:sz w:val="24"/>
          <w:szCs w:val="24"/>
          <w:lang w:eastAsia="es-ES"/>
        </w:rPr>
        <w:t>a gestión de la vía verde ha seguido el mismo patrón que en la creación de la vía. El único act</w:t>
      </w:r>
      <w:r w:rsidR="00091093" w:rsidRPr="000D7D0A">
        <w:rPr>
          <w:rFonts w:ascii="Times New Roman" w:eastAsia="Times New Roman" w:hAnsi="Times New Roman" w:cs="Times New Roman"/>
          <w:sz w:val="24"/>
          <w:szCs w:val="24"/>
          <w:lang w:eastAsia="es-ES"/>
        </w:rPr>
        <w:t>or protagonista ha sido, en amba</w:t>
      </w:r>
      <w:r w:rsidR="00B41934" w:rsidRPr="000D7D0A">
        <w:rPr>
          <w:rFonts w:ascii="Times New Roman" w:eastAsia="Times New Roman" w:hAnsi="Times New Roman" w:cs="Times New Roman"/>
          <w:sz w:val="24"/>
          <w:szCs w:val="24"/>
          <w:lang w:eastAsia="es-ES"/>
        </w:rPr>
        <w:t xml:space="preserve">s </w:t>
      </w:r>
      <w:r w:rsidR="00091093" w:rsidRPr="000D7D0A">
        <w:rPr>
          <w:rFonts w:ascii="Times New Roman" w:eastAsia="Times New Roman" w:hAnsi="Times New Roman" w:cs="Times New Roman"/>
          <w:sz w:val="24"/>
          <w:szCs w:val="24"/>
          <w:lang w:eastAsia="es-ES"/>
        </w:rPr>
        <w:t>CCAA</w:t>
      </w:r>
      <w:r w:rsidR="00B41934" w:rsidRPr="000D7D0A">
        <w:rPr>
          <w:rFonts w:ascii="Times New Roman" w:eastAsia="Times New Roman" w:hAnsi="Times New Roman" w:cs="Times New Roman"/>
          <w:sz w:val="24"/>
          <w:szCs w:val="24"/>
          <w:lang w:eastAsia="es-ES"/>
        </w:rPr>
        <w:t>, la Dirección Gener</w:t>
      </w:r>
      <w:r w:rsidRPr="000D7D0A">
        <w:rPr>
          <w:rFonts w:ascii="Times New Roman" w:eastAsia="Times New Roman" w:hAnsi="Times New Roman" w:cs="Times New Roman"/>
          <w:sz w:val="24"/>
          <w:szCs w:val="24"/>
          <w:lang w:eastAsia="es-ES"/>
        </w:rPr>
        <w:t>al de Transportes</w:t>
      </w:r>
      <w:r w:rsidR="00B41934" w:rsidRPr="000D7D0A">
        <w:rPr>
          <w:rFonts w:ascii="Times New Roman" w:eastAsia="Times New Roman" w:hAnsi="Times New Roman" w:cs="Times New Roman"/>
          <w:sz w:val="24"/>
          <w:szCs w:val="24"/>
          <w:lang w:eastAsia="es-ES"/>
        </w:rPr>
        <w:t>. Con más fortuna en el caso valenciano y con menos en el caso aragonés, se ha  insertado en el presupuesto y las estructuras de la dirección general y ha sido tratada como cualquier otra carretera en lo que a mantenimiento o expedición de permisos para r</w:t>
      </w:r>
      <w:r w:rsidR="005C7764" w:rsidRPr="000D7D0A">
        <w:rPr>
          <w:rFonts w:ascii="Times New Roman" w:eastAsia="Times New Roman" w:hAnsi="Times New Roman" w:cs="Times New Roman"/>
          <w:sz w:val="24"/>
          <w:szCs w:val="24"/>
          <w:lang w:eastAsia="es-ES"/>
        </w:rPr>
        <w:t>ealizar actividades se refiere.</w:t>
      </w:r>
      <w:r w:rsidR="00B41934" w:rsidRPr="000D7D0A">
        <w:rPr>
          <w:rFonts w:ascii="Times New Roman" w:eastAsia="Times New Roman" w:hAnsi="Times New Roman" w:cs="Times New Roman"/>
          <w:sz w:val="24"/>
          <w:szCs w:val="24"/>
          <w:lang w:eastAsia="es-ES"/>
        </w:rPr>
        <w:t xml:space="preserve"> Pero no de una manera diferente a cualquier otra carretera. La gestión se ha limitado a la conservación de la vía. </w:t>
      </w:r>
    </w:p>
    <w:p w:rsidR="00CA3C08" w:rsidRPr="000D7D0A" w:rsidRDefault="00CA3C08" w:rsidP="00CA02B1">
      <w:pPr>
        <w:spacing w:after="0"/>
        <w:jc w:val="both"/>
        <w:rPr>
          <w:rFonts w:ascii="Times New Roman" w:hAnsi="Times New Roman" w:cs="Times New Roman"/>
          <w:noProof/>
          <w:sz w:val="24"/>
          <w:szCs w:val="24"/>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La implementación de la vía verde en los dos tramos autonómicos de la vía verde de Ojos Negros, el de la Comunidad Valenciana y el de Aragón, aún siendo gestionados por dos instituciones diferentes que no se coordinan entre sí, comparten multitud de elementos. Aunque se parte de la ausencia de objetivos explícitos, para facilitar la comparación posterior, se clasificaran las acciones en las mismas tipologías que el caso de las vías verdes de Girona.</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CA3C08">
      <w:pPr>
        <w:rPr>
          <w:rFonts w:ascii="Times New Roman" w:hAnsi="Times New Roman" w:cs="Times New Roman"/>
          <w:sz w:val="24"/>
          <w:szCs w:val="24"/>
          <w:lang w:eastAsia="es-ES"/>
        </w:rPr>
      </w:pPr>
      <w:proofErr w:type="gramStart"/>
      <w:r w:rsidRPr="000D7D0A">
        <w:rPr>
          <w:rFonts w:ascii="Times New Roman" w:hAnsi="Times New Roman" w:cs="Times New Roman"/>
          <w:sz w:val="24"/>
          <w:szCs w:val="24"/>
          <w:lang w:eastAsia="es-ES"/>
        </w:rPr>
        <w:t>a)Mantenimiento</w:t>
      </w:r>
      <w:proofErr w:type="gramEnd"/>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Existen importantes diferencias entre el tramo aragonés y el valenciano. Mientras que En relación a éstas competencias, el estado de conservación en la Comunidad Valenciana es aceptable mientras que en Aragón es necesaria una inversión importante para adecuar la vía.</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En el caso valenciano, desde el inicio del proyecto se tuvo en cuenta el modelo de gestión posterior, que era el mismo que en cualquier otra carretera. Se estableció un mecanismo para garantizar la conservación de la vía, a través de un concurso para que una empresa se hiciera cargo de la vía y un funcionario se dedicase exclusivamente a supervisar el cumplimiento del contrato. </w:t>
      </w:r>
    </w:p>
    <w:p w:rsidR="00353998" w:rsidRPr="000D7D0A" w:rsidRDefault="00353998" w:rsidP="00CA02B1">
      <w:pPr>
        <w:spacing w:after="0"/>
        <w:jc w:val="both"/>
        <w:rPr>
          <w:rFonts w:ascii="Times New Roman" w:eastAsia="Times New Roman" w:hAnsi="Times New Roman" w:cs="Times New Roman"/>
          <w:sz w:val="24"/>
          <w:szCs w:val="24"/>
          <w:lang w:eastAsia="es-ES"/>
        </w:rPr>
      </w:pPr>
    </w:p>
    <w:p w:rsidR="005C7764"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La gestión de la vía verde de Ojos Negros en su tramo aragonés la realiza la misma institución que la creó: la Dirección General de Transportes, actualmente fusionada con la antigua Dirección General de Carreteras </w:t>
      </w:r>
      <w:r w:rsidR="005C7764" w:rsidRPr="000D7D0A">
        <w:rPr>
          <w:rFonts w:ascii="Times New Roman" w:eastAsia="Times New Roman" w:hAnsi="Times New Roman" w:cs="Times New Roman"/>
          <w:sz w:val="24"/>
          <w:szCs w:val="24"/>
          <w:lang w:eastAsia="es-ES"/>
        </w:rPr>
        <w:t xml:space="preserve">bajo el nombre de </w:t>
      </w:r>
      <w:r w:rsidRPr="000D7D0A">
        <w:rPr>
          <w:rFonts w:ascii="Times New Roman" w:eastAsia="Times New Roman" w:hAnsi="Times New Roman" w:cs="Times New Roman"/>
          <w:sz w:val="24"/>
          <w:szCs w:val="24"/>
          <w:lang w:eastAsia="es-ES"/>
        </w:rPr>
        <w:t xml:space="preserve">Dirección General de Movilidad e Infraestructuras. </w:t>
      </w:r>
    </w:p>
    <w:p w:rsidR="005C7764" w:rsidRPr="000D7D0A" w:rsidRDefault="005C7764"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lastRenderedPageBreak/>
        <w:t>En el primer momento se contrató una empresa para realizar labores de mantenimiento a la vía</w:t>
      </w:r>
      <w:r w:rsidR="005C7764" w:rsidRPr="000D7D0A">
        <w:rPr>
          <w:rFonts w:ascii="Times New Roman" w:eastAsia="Times New Roman" w:hAnsi="Times New Roman" w:cs="Times New Roman"/>
          <w:sz w:val="24"/>
          <w:szCs w:val="24"/>
          <w:lang w:eastAsia="es-ES"/>
        </w:rPr>
        <w:t>, p</w:t>
      </w:r>
      <w:r w:rsidRPr="000D7D0A">
        <w:rPr>
          <w:rFonts w:ascii="Times New Roman" w:eastAsia="Times New Roman" w:hAnsi="Times New Roman" w:cs="Times New Roman"/>
          <w:sz w:val="24"/>
          <w:szCs w:val="24"/>
          <w:lang w:eastAsia="es-ES"/>
        </w:rPr>
        <w:t xml:space="preserve">ero a lo largo del tiempo no se ha mantenido la </w:t>
      </w:r>
      <w:proofErr w:type="spellStart"/>
      <w:r w:rsidR="005C7764" w:rsidRPr="000D7D0A">
        <w:rPr>
          <w:rFonts w:ascii="Times New Roman" w:eastAsia="Times New Roman" w:hAnsi="Times New Roman" w:cs="Times New Roman"/>
          <w:sz w:val="24"/>
          <w:szCs w:val="24"/>
          <w:lang w:eastAsia="es-ES"/>
        </w:rPr>
        <w:t>externalización</w:t>
      </w:r>
      <w:proofErr w:type="spellEnd"/>
      <w:r w:rsidR="005C7764" w:rsidRPr="000D7D0A">
        <w:rPr>
          <w:rFonts w:ascii="Times New Roman" w:eastAsia="Times New Roman" w:hAnsi="Times New Roman" w:cs="Times New Roman"/>
          <w:sz w:val="24"/>
          <w:szCs w:val="24"/>
          <w:lang w:eastAsia="es-ES"/>
        </w:rPr>
        <w:t xml:space="preserve"> ni la </w:t>
      </w:r>
      <w:r w:rsidRPr="000D7D0A">
        <w:rPr>
          <w:rFonts w:ascii="Times New Roman" w:eastAsia="Times New Roman" w:hAnsi="Times New Roman" w:cs="Times New Roman"/>
          <w:sz w:val="24"/>
          <w:szCs w:val="24"/>
          <w:lang w:eastAsia="es-ES"/>
        </w:rPr>
        <w:t>inversión</w:t>
      </w:r>
      <w:r w:rsidR="00353998" w:rsidRPr="000D7D0A">
        <w:rPr>
          <w:rFonts w:ascii="Times New Roman" w:eastAsia="Times New Roman" w:hAnsi="Times New Roman" w:cs="Times New Roman"/>
          <w:sz w:val="24"/>
          <w:szCs w:val="24"/>
          <w:lang w:eastAsia="es-ES"/>
        </w:rPr>
        <w:t>.</w:t>
      </w:r>
      <w:r w:rsidRPr="000D7D0A">
        <w:rPr>
          <w:rFonts w:ascii="Times New Roman" w:eastAsia="Times New Roman" w:hAnsi="Times New Roman" w:cs="Times New Roman"/>
          <w:sz w:val="24"/>
          <w:szCs w:val="24"/>
          <w:lang w:eastAsia="es-ES"/>
        </w:rPr>
        <w:t xml:space="preserve"> En la actualidad las acciones son mayoritariamente reactivas (producto de desprendimientos) más que de un mantenimiento activo. Producto de ésta dejadez, fuentes internas calculan en 600.000 euros la inversión necesaria para adecuar la vía y fijar los taludes y elementos necesarios para garantizar la seguridad de la vía. Hasta entonces, cuando alguna entidad solicita el permiso para realizar alguna actividad en la vía, es advertida del peligro de desprendimientos. </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CA3C08">
      <w:pPr>
        <w:rPr>
          <w:rFonts w:ascii="Times New Roman" w:hAnsi="Times New Roman" w:cs="Times New Roman"/>
          <w:sz w:val="24"/>
          <w:szCs w:val="24"/>
          <w:lang w:eastAsia="es-ES"/>
        </w:rPr>
      </w:pPr>
      <w:proofErr w:type="gramStart"/>
      <w:r w:rsidRPr="000D7D0A">
        <w:rPr>
          <w:rFonts w:ascii="Times New Roman" w:hAnsi="Times New Roman" w:cs="Times New Roman"/>
          <w:sz w:val="24"/>
          <w:szCs w:val="24"/>
          <w:lang w:eastAsia="es-ES"/>
        </w:rPr>
        <w:t>b)Promoción</w:t>
      </w:r>
      <w:proofErr w:type="gramEnd"/>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No existe una promoción de toda la vía verde de Ojos Negros como tal, ya sea de un organismo específico o fruto de la coordinación entre las dos comunidades autónomas. Todo lo que existe de la totalidad del recorrido es alguna publicación impulsada por la Fundación de los Ferrocarriles Españoles. </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Así mismo, tampoco existe una página web de promoción de la vía. La única página web con información de la vía verde es la propia página de la FFE donde constan todas las vías verdes de España. </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Las páginas web de promoción turística de las diputaciones y de algunos municipios por donde transcurre la ruta la promocionan como un activo del territorio, como hacen con los itinerarios no motorizados, y aparece en los mapas comarcales de senderos e itinerarios naturales.</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CA3C08">
      <w:pPr>
        <w:rPr>
          <w:rFonts w:ascii="Times New Roman" w:hAnsi="Times New Roman" w:cs="Times New Roman"/>
          <w:sz w:val="24"/>
          <w:szCs w:val="24"/>
          <w:lang w:eastAsia="es-ES"/>
        </w:rPr>
      </w:pPr>
      <w:proofErr w:type="gramStart"/>
      <w:r w:rsidRPr="000D7D0A">
        <w:rPr>
          <w:rFonts w:ascii="Times New Roman" w:hAnsi="Times New Roman" w:cs="Times New Roman"/>
          <w:sz w:val="24"/>
          <w:szCs w:val="24"/>
          <w:lang w:eastAsia="es-ES"/>
        </w:rPr>
        <w:t>c)Ampliación</w:t>
      </w:r>
      <w:proofErr w:type="gramEnd"/>
    </w:p>
    <w:p w:rsidR="00CA02B1" w:rsidRPr="000D7D0A" w:rsidRDefault="00CA02B1" w:rsidP="00CA02B1">
      <w:pPr>
        <w:spacing w:after="0"/>
        <w:jc w:val="both"/>
        <w:rPr>
          <w:rFonts w:ascii="Times New Roman" w:eastAsia="Times New Roman" w:hAnsi="Times New Roman" w:cs="Times New Roman"/>
          <w:sz w:val="24"/>
          <w:szCs w:val="24"/>
          <w:lang w:eastAsia="es-ES"/>
        </w:rPr>
      </w:pPr>
      <w:proofErr w:type="gramStart"/>
      <w:r w:rsidRPr="000D7D0A">
        <w:rPr>
          <w:rFonts w:ascii="Times New Roman" w:eastAsia="Times New Roman" w:hAnsi="Times New Roman" w:cs="Times New Roman"/>
          <w:sz w:val="24"/>
          <w:szCs w:val="24"/>
          <w:lang w:eastAsia="es-ES"/>
        </w:rPr>
        <w:t>Las vías</w:t>
      </w:r>
      <w:proofErr w:type="gramEnd"/>
      <w:r w:rsidRPr="000D7D0A">
        <w:rPr>
          <w:rFonts w:ascii="Times New Roman" w:eastAsia="Times New Roman" w:hAnsi="Times New Roman" w:cs="Times New Roman"/>
          <w:sz w:val="24"/>
          <w:szCs w:val="24"/>
          <w:lang w:eastAsia="es-ES"/>
        </w:rPr>
        <w:t xml:space="preserve"> verde de Ojos Negros no ha sufrido ninguna ampliación después de la primera inversión. Tampoco se ha conectado con una red de caminos no motorizados. En parte a causa de su situación remota lejos de las grandes vías, y en parte por la inexistencia de una planificación regional.</w:t>
      </w:r>
    </w:p>
    <w:p w:rsidR="00CA3C08" w:rsidRPr="000D7D0A" w:rsidRDefault="00CA3C08" w:rsidP="00CA3C08">
      <w:pPr>
        <w:rPr>
          <w:rFonts w:ascii="Times New Roman" w:hAnsi="Times New Roman" w:cs="Times New Roman"/>
          <w:sz w:val="24"/>
          <w:szCs w:val="24"/>
        </w:rPr>
      </w:pPr>
    </w:p>
    <w:p w:rsidR="00CA02B1" w:rsidRPr="000D7D0A" w:rsidRDefault="00CA02B1" w:rsidP="00CA3C08">
      <w:pPr>
        <w:rPr>
          <w:rFonts w:ascii="Times New Roman" w:hAnsi="Times New Roman" w:cs="Times New Roman"/>
          <w:sz w:val="24"/>
          <w:szCs w:val="24"/>
        </w:rPr>
      </w:pPr>
      <w:proofErr w:type="gramStart"/>
      <w:r w:rsidRPr="000D7D0A">
        <w:rPr>
          <w:rFonts w:ascii="Times New Roman" w:hAnsi="Times New Roman" w:cs="Times New Roman"/>
          <w:sz w:val="24"/>
          <w:szCs w:val="24"/>
        </w:rPr>
        <w:t>d)Planificación</w:t>
      </w:r>
      <w:proofErr w:type="gramEnd"/>
    </w:p>
    <w:p w:rsidR="00CA02B1" w:rsidRPr="000D7D0A" w:rsidRDefault="00CA02B1" w:rsidP="00CA02B1">
      <w:pPr>
        <w:jc w:val="both"/>
        <w:rPr>
          <w:rFonts w:ascii="Times New Roman" w:hAnsi="Times New Roman" w:cs="Times New Roman"/>
          <w:sz w:val="24"/>
          <w:szCs w:val="24"/>
        </w:rPr>
      </w:pPr>
      <w:r w:rsidRPr="000D7D0A">
        <w:rPr>
          <w:rFonts w:ascii="Times New Roman" w:hAnsi="Times New Roman" w:cs="Times New Roman"/>
          <w:sz w:val="24"/>
          <w:szCs w:val="24"/>
        </w:rPr>
        <w:t>A corto plazo no hay proyectos para ampliar la vía verde hasta cubrir la totalidad del trazado de la antigua línea del ferrocarril, esto es desde Ojos Negros a Santa Eulalia del Campo y desde Torres-Torres hasta el Puerto de Sagunto.</w:t>
      </w:r>
    </w:p>
    <w:p w:rsidR="00CA02B1" w:rsidRPr="000D7D0A" w:rsidRDefault="00CA02B1" w:rsidP="00CA02B1">
      <w:pPr>
        <w:jc w:val="both"/>
        <w:rPr>
          <w:rFonts w:ascii="Times New Roman" w:eastAsia="Times New Roman" w:hAnsi="Times New Roman" w:cs="Times New Roman"/>
          <w:sz w:val="24"/>
          <w:szCs w:val="24"/>
          <w:lang w:eastAsia="es-ES"/>
        </w:rPr>
      </w:pPr>
      <w:r w:rsidRPr="000D7D0A">
        <w:rPr>
          <w:rFonts w:ascii="Times New Roman" w:hAnsi="Times New Roman" w:cs="Times New Roman"/>
          <w:sz w:val="24"/>
          <w:szCs w:val="24"/>
        </w:rPr>
        <w:t>En el caso aragonés,</w:t>
      </w:r>
      <w:r w:rsidR="005C7764" w:rsidRPr="000D7D0A">
        <w:rPr>
          <w:rFonts w:ascii="Times New Roman" w:hAnsi="Times New Roman" w:cs="Times New Roman"/>
          <w:sz w:val="24"/>
          <w:szCs w:val="24"/>
        </w:rPr>
        <w:t xml:space="preserve"> e</w:t>
      </w:r>
      <w:r w:rsidRPr="000D7D0A">
        <w:rPr>
          <w:rFonts w:ascii="Times New Roman" w:eastAsia="Times New Roman" w:hAnsi="Times New Roman" w:cs="Times New Roman"/>
          <w:sz w:val="24"/>
          <w:szCs w:val="24"/>
          <w:lang w:eastAsia="es-ES"/>
        </w:rPr>
        <w:t>n los últimos años han florecido algunas iniciativas ciudadanas, quizá la más destacable una pedalada anual que recorre todo el antiguo trazado de la vía del tren. Esta marcha reúne anualmente a cientos de personas reivindicando la finalización de la vía verde</w:t>
      </w:r>
      <w:r w:rsidR="00361692" w:rsidRPr="000D7D0A">
        <w:rPr>
          <w:rFonts w:ascii="Times New Roman" w:eastAsia="Times New Roman" w:hAnsi="Times New Roman" w:cs="Times New Roman"/>
          <w:sz w:val="24"/>
          <w:szCs w:val="24"/>
          <w:lang w:eastAsia="es-ES"/>
        </w:rPr>
        <w:fldChar w:fldCharType="begin" w:fldLock="1"/>
      </w:r>
      <w:r w:rsidR="004F1B4E" w:rsidRPr="000D7D0A">
        <w:rPr>
          <w:rFonts w:ascii="Times New Roman" w:eastAsia="Times New Roman" w:hAnsi="Times New Roman" w:cs="Times New Roman"/>
          <w:sz w:val="24"/>
          <w:szCs w:val="24"/>
          <w:lang w:eastAsia="es-ES"/>
        </w:rPr>
        <w:instrText>ADDIN CSL_CITATION { "citationItems" : [ { "id" : "ITEM-1", "itemData" : { "author" : [ { "dropping-particle" : "", "family" : "Levante", "given" : "", "non-dropping-particle" : "", "parse-names" : false, "suffix" : "" } ], "container-title" : "Levante-EMV", "id" : "ITEM-1", "issued" : { "date-parts" : [ [ "2014", "9", "22" ] ] }, "title" : "De Ojos Negros al Puerto de Sagunto", "type" : "article-newspaper" }, "uris" : [ "http://www.mendeley.com/documents/?uuid=c437e62c-eb3c-3c9d-b3c9-8e19946677ea" ] } ], "mendeley" : { "formattedCitation" : "(Levante 2014)", "plainTextFormattedCitation" : "(Levante 2014)", "previouslyFormattedCitation" : "(Levante 2014)" }, "properties" : { "noteIndex" : 0 }, "schema" : "https://github.com/citation-style-language/schema/raw/master/csl-citation.json" }</w:instrText>
      </w:r>
      <w:r w:rsidR="00361692" w:rsidRPr="000D7D0A">
        <w:rPr>
          <w:rFonts w:ascii="Times New Roman" w:eastAsia="Times New Roman" w:hAnsi="Times New Roman" w:cs="Times New Roman"/>
          <w:sz w:val="24"/>
          <w:szCs w:val="24"/>
          <w:lang w:eastAsia="es-ES"/>
        </w:rPr>
        <w:fldChar w:fldCharType="separate"/>
      </w:r>
      <w:r w:rsidR="004F1B4E" w:rsidRPr="000D7D0A">
        <w:rPr>
          <w:rFonts w:ascii="Times New Roman" w:eastAsia="Times New Roman" w:hAnsi="Times New Roman" w:cs="Times New Roman"/>
          <w:noProof/>
          <w:sz w:val="24"/>
          <w:szCs w:val="24"/>
          <w:lang w:eastAsia="es-ES"/>
        </w:rPr>
        <w:t>(Levante 2014)</w:t>
      </w:r>
      <w:r w:rsidR="00361692" w:rsidRPr="000D7D0A">
        <w:rPr>
          <w:rFonts w:ascii="Times New Roman" w:eastAsia="Times New Roman" w:hAnsi="Times New Roman" w:cs="Times New Roman"/>
          <w:sz w:val="24"/>
          <w:szCs w:val="24"/>
          <w:lang w:eastAsia="es-ES"/>
        </w:rPr>
        <w:fldChar w:fldCharType="end"/>
      </w:r>
      <w:r w:rsidRPr="000D7D0A">
        <w:rPr>
          <w:rFonts w:ascii="Times New Roman" w:eastAsia="Times New Roman" w:hAnsi="Times New Roman" w:cs="Times New Roman"/>
          <w:sz w:val="24"/>
          <w:szCs w:val="24"/>
          <w:lang w:eastAsia="es-ES"/>
        </w:rPr>
        <w:t>.</w:t>
      </w:r>
    </w:p>
    <w:p w:rsidR="00CA02B1" w:rsidRPr="000D7D0A" w:rsidRDefault="00CA02B1" w:rsidP="00CA02B1">
      <w:pPr>
        <w:jc w:val="both"/>
        <w:rPr>
          <w:rFonts w:ascii="Times New Roman" w:hAnsi="Times New Roman" w:cs="Times New Roman"/>
          <w:sz w:val="24"/>
          <w:szCs w:val="24"/>
        </w:rPr>
      </w:pPr>
      <w:r w:rsidRPr="000D7D0A">
        <w:rPr>
          <w:rFonts w:ascii="Times New Roman" w:eastAsia="Times New Roman" w:hAnsi="Times New Roman" w:cs="Times New Roman"/>
          <w:sz w:val="24"/>
          <w:szCs w:val="24"/>
          <w:lang w:eastAsia="es-ES"/>
        </w:rPr>
        <w:t xml:space="preserve">También </w:t>
      </w:r>
      <w:r w:rsidRPr="000D7D0A">
        <w:rPr>
          <w:rFonts w:ascii="Times New Roman" w:hAnsi="Times New Roman" w:cs="Times New Roman"/>
          <w:sz w:val="24"/>
          <w:szCs w:val="24"/>
        </w:rPr>
        <w:t xml:space="preserve">el Ayuntamiento de Ojos Negros y la Comarca del Jiloca lo han reivindicado en fechas recientes. Solicitó su inclusión en el Fondo de Inversiones de Teruel, </w:t>
      </w:r>
      <w:r w:rsidRPr="000D7D0A">
        <w:rPr>
          <w:rFonts w:ascii="Times New Roman" w:hAnsi="Times New Roman" w:cs="Times New Roman"/>
          <w:sz w:val="24"/>
          <w:szCs w:val="24"/>
        </w:rPr>
        <w:lastRenderedPageBreak/>
        <w:t>participado por distintas administraciones con el objetivo de financiar las necesidades de la provincia, pero no se ha acabado realizando por, entre otros aspectos, la propiedad del trazado, que aún es de ADIF, que lo registró en 1995. El futuro dirá si la perseverancia de</w:t>
      </w:r>
      <w:r w:rsidR="005C7764" w:rsidRPr="000D7D0A">
        <w:rPr>
          <w:rFonts w:ascii="Times New Roman" w:hAnsi="Times New Roman" w:cs="Times New Roman"/>
          <w:sz w:val="24"/>
          <w:szCs w:val="24"/>
        </w:rPr>
        <w:t xml:space="preserve"> las instituciones locales del te</w:t>
      </w:r>
      <w:r w:rsidRPr="000D7D0A">
        <w:rPr>
          <w:rFonts w:ascii="Times New Roman" w:hAnsi="Times New Roman" w:cs="Times New Roman"/>
          <w:sz w:val="24"/>
          <w:szCs w:val="24"/>
        </w:rPr>
        <w:t>rritorio conseguirá la inversión para acabar la vía verde hasta las minas.</w:t>
      </w:r>
    </w:p>
    <w:p w:rsidR="00CA02B1" w:rsidRPr="000D7D0A" w:rsidRDefault="00CA02B1" w:rsidP="00CA02B1">
      <w:pPr>
        <w:spacing w:after="0"/>
        <w:jc w:val="both"/>
        <w:rPr>
          <w:rFonts w:ascii="Times New Roman" w:eastAsia="Times New Roman" w:hAnsi="Times New Roman" w:cs="Times New Roman"/>
          <w:sz w:val="24"/>
          <w:szCs w:val="24"/>
          <w:shd w:val="clear" w:color="auto" w:fill="FFFFFF"/>
          <w:lang w:eastAsia="es-ES"/>
        </w:rPr>
      </w:pPr>
      <w:r w:rsidRPr="000D7D0A">
        <w:rPr>
          <w:rFonts w:ascii="Times New Roman" w:eastAsia="Times New Roman" w:hAnsi="Times New Roman" w:cs="Times New Roman"/>
          <w:sz w:val="24"/>
          <w:szCs w:val="24"/>
          <w:lang w:eastAsia="es-ES"/>
        </w:rPr>
        <w:t xml:space="preserve">En el caso valenciano,  el año 2008 la Dirección General de Transportes redactó el proyecto de vía verde hasta Sagunto y hasta lo presentó públicamente. Pero las consecuencias de la crisis en forma de recortes hicieron inviable el proyecto. Durante algunos años se mantuvo en la lista de las inversiones previstas, pero nunca se realizó. </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Si bien la Dirección General de Transportes y Carreteras no ha extendido la vía verde de Ojos Negros, sí impulsa otros proyectos </w:t>
      </w:r>
      <w:proofErr w:type="spellStart"/>
      <w:r w:rsidRPr="000D7D0A">
        <w:rPr>
          <w:rFonts w:ascii="Times New Roman" w:eastAsia="Times New Roman" w:hAnsi="Times New Roman" w:cs="Times New Roman"/>
          <w:sz w:val="24"/>
          <w:szCs w:val="24"/>
          <w:lang w:eastAsia="es-ES"/>
        </w:rPr>
        <w:t>ciclopeatonales</w:t>
      </w:r>
      <w:proofErr w:type="spellEnd"/>
      <w:r w:rsidRPr="000D7D0A">
        <w:rPr>
          <w:rFonts w:ascii="Times New Roman" w:eastAsia="Times New Roman" w:hAnsi="Times New Roman" w:cs="Times New Roman"/>
          <w:sz w:val="24"/>
          <w:szCs w:val="24"/>
          <w:lang w:eastAsia="es-ES"/>
        </w:rPr>
        <w:t xml:space="preserve">. Algunos en espacios </w:t>
      </w:r>
      <w:r w:rsidR="00353998" w:rsidRPr="000D7D0A">
        <w:rPr>
          <w:rFonts w:ascii="Times New Roman" w:eastAsia="Times New Roman" w:hAnsi="Times New Roman" w:cs="Times New Roman"/>
          <w:sz w:val="24"/>
          <w:szCs w:val="24"/>
          <w:lang w:eastAsia="es-ES"/>
        </w:rPr>
        <w:t>ya consolidados turísticamente y o</w:t>
      </w:r>
      <w:r w:rsidRPr="000D7D0A">
        <w:rPr>
          <w:rFonts w:ascii="Times New Roman" w:eastAsia="Times New Roman" w:hAnsi="Times New Roman" w:cs="Times New Roman"/>
          <w:sz w:val="24"/>
          <w:szCs w:val="24"/>
          <w:lang w:eastAsia="es-ES"/>
        </w:rPr>
        <w:t>tros en ámbitos rurales</w:t>
      </w:r>
      <w:r w:rsidR="00353998" w:rsidRPr="000D7D0A">
        <w:rPr>
          <w:rFonts w:ascii="Times New Roman" w:eastAsia="Times New Roman" w:hAnsi="Times New Roman" w:cs="Times New Roman"/>
          <w:sz w:val="24"/>
          <w:szCs w:val="24"/>
          <w:lang w:eastAsia="es-ES"/>
        </w:rPr>
        <w:t xml:space="preserve">. </w:t>
      </w:r>
    </w:p>
    <w:p w:rsidR="00353998" w:rsidRPr="000D7D0A" w:rsidRDefault="00353998"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En definitiva, en el caso aragonés hay ausencia de planificación, mientras que en</w:t>
      </w:r>
      <w:r w:rsidR="005C7764" w:rsidRPr="000D7D0A">
        <w:rPr>
          <w:rFonts w:ascii="Times New Roman" w:eastAsia="Times New Roman" w:hAnsi="Times New Roman" w:cs="Times New Roman"/>
          <w:sz w:val="24"/>
          <w:szCs w:val="24"/>
          <w:lang w:eastAsia="es-ES"/>
        </w:rPr>
        <w:t xml:space="preserve"> valencia</w:t>
      </w:r>
      <w:r w:rsidRPr="000D7D0A">
        <w:rPr>
          <w:rFonts w:ascii="Times New Roman" w:eastAsia="Times New Roman" w:hAnsi="Times New Roman" w:cs="Times New Roman"/>
          <w:sz w:val="24"/>
          <w:szCs w:val="24"/>
          <w:lang w:eastAsia="es-ES"/>
        </w:rPr>
        <w:t xml:space="preserve"> se han iniciado algunos proyectos planificadores que no conectan con la vía verde. Aún hay un largo  trecho a recorrer para la planificación de una red caminos no motorizados enlazados y que recorran gran parte del territorio.</w:t>
      </w:r>
    </w:p>
    <w:p w:rsidR="00CA02B1" w:rsidRPr="000D7D0A" w:rsidRDefault="00CA3C08" w:rsidP="00153DEB">
      <w:pPr>
        <w:pStyle w:val="Ttulo2"/>
        <w:rPr>
          <w:sz w:val="24"/>
          <w:szCs w:val="24"/>
        </w:rPr>
      </w:pPr>
      <w:bookmarkStart w:id="22" w:name="_Toc492389026"/>
      <w:r w:rsidRPr="000D7D0A">
        <w:rPr>
          <w:sz w:val="24"/>
          <w:szCs w:val="24"/>
        </w:rPr>
        <w:t>Comparación del estilo de políticas</w:t>
      </w:r>
      <w:bookmarkEnd w:id="22"/>
    </w:p>
    <w:p w:rsidR="00A0347B" w:rsidRPr="000D7D0A" w:rsidRDefault="00A0347B" w:rsidP="00A0347B">
      <w:pPr>
        <w:jc w:val="both"/>
        <w:rPr>
          <w:rFonts w:ascii="Times New Roman" w:hAnsi="Times New Roman" w:cs="Times New Roman"/>
          <w:sz w:val="24"/>
          <w:szCs w:val="24"/>
        </w:rPr>
      </w:pPr>
      <w:r w:rsidRPr="000D7D0A">
        <w:rPr>
          <w:rFonts w:ascii="Times New Roman" w:hAnsi="Times New Roman" w:cs="Times New Roman"/>
          <w:sz w:val="24"/>
          <w:szCs w:val="24"/>
        </w:rPr>
        <w:t>El estilo de p</w:t>
      </w:r>
      <w:r w:rsidR="00353998" w:rsidRPr="000D7D0A">
        <w:rPr>
          <w:rFonts w:ascii="Times New Roman" w:hAnsi="Times New Roman" w:cs="Times New Roman"/>
          <w:sz w:val="24"/>
          <w:szCs w:val="24"/>
        </w:rPr>
        <w:t>olíticas en las vías verdes de G</w:t>
      </w:r>
      <w:r w:rsidRPr="000D7D0A">
        <w:rPr>
          <w:rFonts w:ascii="Times New Roman" w:hAnsi="Times New Roman" w:cs="Times New Roman"/>
          <w:sz w:val="24"/>
          <w:szCs w:val="24"/>
        </w:rPr>
        <w:t>irona se caracteriza por una  red de gobernanza de diferentes actores, la mayoría públicos, liderados claramente por el CVVG. La misma existencia del consorcio es una muestra de la solidez de la colaboración entre distintas instituciones.</w:t>
      </w:r>
    </w:p>
    <w:p w:rsidR="00A0347B" w:rsidRPr="000D7D0A" w:rsidRDefault="00A0347B" w:rsidP="00A0347B">
      <w:pPr>
        <w:jc w:val="both"/>
        <w:rPr>
          <w:rFonts w:ascii="Times New Roman" w:hAnsi="Times New Roman" w:cs="Times New Roman"/>
          <w:sz w:val="24"/>
          <w:szCs w:val="24"/>
        </w:rPr>
      </w:pPr>
      <w:r w:rsidRPr="000D7D0A">
        <w:rPr>
          <w:rFonts w:ascii="Times New Roman" w:hAnsi="Times New Roman" w:cs="Times New Roman"/>
          <w:sz w:val="24"/>
          <w:szCs w:val="24"/>
        </w:rPr>
        <w:t xml:space="preserve">Esta colaboración tiene distintas vertientes. La razón de ser del Consorcio es una </w:t>
      </w:r>
      <w:r w:rsidR="00DD16D5" w:rsidRPr="000D7D0A">
        <w:rPr>
          <w:rFonts w:ascii="Times New Roman" w:hAnsi="Times New Roman" w:cs="Times New Roman"/>
          <w:sz w:val="24"/>
          <w:szCs w:val="24"/>
        </w:rPr>
        <w:t xml:space="preserve">gestionar, promocionar y ampliar la </w:t>
      </w:r>
      <w:r w:rsidRPr="000D7D0A">
        <w:rPr>
          <w:rFonts w:ascii="Times New Roman" w:hAnsi="Times New Roman" w:cs="Times New Roman"/>
          <w:sz w:val="24"/>
          <w:szCs w:val="24"/>
        </w:rPr>
        <w:t xml:space="preserve">vía verde en </w:t>
      </w:r>
      <w:r w:rsidR="00DD16D5" w:rsidRPr="000D7D0A">
        <w:rPr>
          <w:rFonts w:ascii="Times New Roman" w:hAnsi="Times New Roman" w:cs="Times New Roman"/>
          <w:sz w:val="24"/>
          <w:szCs w:val="24"/>
        </w:rPr>
        <w:t>la provincia de Girona</w:t>
      </w:r>
      <w:r w:rsidRPr="000D7D0A">
        <w:rPr>
          <w:rFonts w:ascii="Times New Roman" w:hAnsi="Times New Roman" w:cs="Times New Roman"/>
          <w:sz w:val="24"/>
          <w:szCs w:val="24"/>
        </w:rPr>
        <w:t xml:space="preserve">, por lo que intenta tener una visión global de la infraestructura y sus potencialidades. Es por ello que interviene  </w:t>
      </w:r>
      <w:r w:rsidR="00DD16D5" w:rsidRPr="000D7D0A">
        <w:rPr>
          <w:rFonts w:ascii="Times New Roman" w:hAnsi="Times New Roman" w:cs="Times New Roman"/>
          <w:sz w:val="24"/>
          <w:szCs w:val="24"/>
        </w:rPr>
        <w:t>en distintos ámbitos que normal</w:t>
      </w:r>
      <w:r w:rsidRPr="000D7D0A">
        <w:rPr>
          <w:rFonts w:ascii="Times New Roman" w:hAnsi="Times New Roman" w:cs="Times New Roman"/>
          <w:sz w:val="24"/>
          <w:szCs w:val="24"/>
        </w:rPr>
        <w:t>m</w:t>
      </w:r>
      <w:r w:rsidR="00DD16D5" w:rsidRPr="000D7D0A">
        <w:rPr>
          <w:rFonts w:ascii="Times New Roman" w:hAnsi="Times New Roman" w:cs="Times New Roman"/>
          <w:sz w:val="24"/>
          <w:szCs w:val="24"/>
        </w:rPr>
        <w:t>en</w:t>
      </w:r>
      <w:r w:rsidRPr="000D7D0A">
        <w:rPr>
          <w:rFonts w:ascii="Times New Roman" w:hAnsi="Times New Roman" w:cs="Times New Roman"/>
          <w:sz w:val="24"/>
          <w:szCs w:val="24"/>
        </w:rPr>
        <w:t>te en la administración están en compartimentos distintos como son la promoción turística, el medio ambiente, la salud o el deporte. Todo le incumbe dado que su perspectiva es general.</w:t>
      </w:r>
    </w:p>
    <w:p w:rsidR="00A0347B" w:rsidRPr="000D7D0A" w:rsidRDefault="00A0347B" w:rsidP="00CA02B1">
      <w:pPr>
        <w:jc w:val="both"/>
        <w:rPr>
          <w:rFonts w:ascii="Times New Roman" w:hAnsi="Times New Roman" w:cs="Times New Roman"/>
          <w:sz w:val="24"/>
          <w:szCs w:val="24"/>
        </w:rPr>
      </w:pPr>
      <w:r w:rsidRPr="000D7D0A">
        <w:rPr>
          <w:rFonts w:ascii="Times New Roman" w:hAnsi="Times New Roman" w:cs="Times New Roman"/>
          <w:sz w:val="24"/>
          <w:szCs w:val="24"/>
        </w:rPr>
        <w:t xml:space="preserve">En éste sentido también es necesario destacar que quién impulsa el consorcio cuando se crea son los alcaldes de los municipios por donde pasa. Esto le confiere una visión global y apegada al territorio diferente a la que pueda existir en una dirección General de una Comunidad Autónoma. </w:t>
      </w:r>
    </w:p>
    <w:p w:rsidR="00CA02B1" w:rsidRPr="000D7D0A" w:rsidRDefault="00DD16D5" w:rsidP="00CA02B1">
      <w:pPr>
        <w:jc w:val="both"/>
        <w:rPr>
          <w:rFonts w:ascii="Times New Roman" w:eastAsia="Times New Roman" w:hAnsi="Times New Roman" w:cs="Times New Roman"/>
          <w:sz w:val="24"/>
          <w:szCs w:val="24"/>
          <w:lang w:eastAsia="es-ES"/>
        </w:rPr>
      </w:pPr>
      <w:r w:rsidRPr="000D7D0A">
        <w:rPr>
          <w:rFonts w:ascii="Times New Roman" w:hAnsi="Times New Roman" w:cs="Times New Roman"/>
          <w:sz w:val="24"/>
          <w:szCs w:val="24"/>
        </w:rPr>
        <w:t>La Vía V</w:t>
      </w:r>
      <w:r w:rsidR="00CA02B1" w:rsidRPr="000D7D0A">
        <w:rPr>
          <w:rFonts w:ascii="Times New Roman" w:hAnsi="Times New Roman" w:cs="Times New Roman"/>
          <w:sz w:val="24"/>
          <w:szCs w:val="24"/>
        </w:rPr>
        <w:t>erde de Ojos Negros</w:t>
      </w:r>
      <w:r w:rsidR="00A0347B" w:rsidRPr="000D7D0A">
        <w:rPr>
          <w:rFonts w:ascii="Times New Roman" w:hAnsi="Times New Roman" w:cs="Times New Roman"/>
          <w:sz w:val="24"/>
          <w:szCs w:val="24"/>
        </w:rPr>
        <w:t>, en cambio,</w:t>
      </w:r>
      <w:r w:rsidR="00CA02B1" w:rsidRPr="000D7D0A">
        <w:rPr>
          <w:rFonts w:ascii="Times New Roman" w:hAnsi="Times New Roman" w:cs="Times New Roman"/>
          <w:sz w:val="24"/>
          <w:szCs w:val="24"/>
        </w:rPr>
        <w:t xml:space="preserve"> se caracteriza por la ausencia de coordinación entre actores, donde las respectivas Direcciones Generales de Movilidad </w:t>
      </w:r>
      <w:r w:rsidR="00A0347B" w:rsidRPr="000D7D0A">
        <w:rPr>
          <w:rFonts w:ascii="Times New Roman" w:hAnsi="Times New Roman" w:cs="Times New Roman"/>
          <w:sz w:val="24"/>
          <w:szCs w:val="24"/>
        </w:rPr>
        <w:t xml:space="preserve">de Aragón y la comunidad Valenciana </w:t>
      </w:r>
      <w:r w:rsidR="00CA02B1" w:rsidRPr="000D7D0A">
        <w:rPr>
          <w:rFonts w:ascii="Times New Roman" w:hAnsi="Times New Roman" w:cs="Times New Roman"/>
          <w:sz w:val="24"/>
          <w:szCs w:val="24"/>
        </w:rPr>
        <w:t xml:space="preserve">actúan en solitario. </w:t>
      </w:r>
      <w:r w:rsidR="00CA02B1" w:rsidRPr="000D7D0A">
        <w:rPr>
          <w:rFonts w:ascii="Times New Roman" w:eastAsia="Times New Roman" w:hAnsi="Times New Roman" w:cs="Times New Roman"/>
          <w:sz w:val="24"/>
          <w:szCs w:val="24"/>
          <w:lang w:eastAsia="es-ES"/>
        </w:rPr>
        <w:t xml:space="preserve">Dentro de los gobiernos regionales no existe ninguna </w:t>
      </w:r>
      <w:proofErr w:type="spellStart"/>
      <w:r w:rsidR="00CA02B1" w:rsidRPr="000D7D0A">
        <w:rPr>
          <w:rFonts w:ascii="Times New Roman" w:eastAsia="Times New Roman" w:hAnsi="Times New Roman" w:cs="Times New Roman"/>
          <w:sz w:val="24"/>
          <w:szCs w:val="24"/>
          <w:lang w:eastAsia="es-ES"/>
        </w:rPr>
        <w:t>interdepartamentalidad</w:t>
      </w:r>
      <w:proofErr w:type="spellEnd"/>
      <w:r w:rsidR="00CA02B1" w:rsidRPr="000D7D0A">
        <w:rPr>
          <w:rFonts w:ascii="Times New Roman" w:eastAsia="Times New Roman" w:hAnsi="Times New Roman" w:cs="Times New Roman"/>
          <w:sz w:val="24"/>
          <w:szCs w:val="24"/>
          <w:lang w:eastAsia="es-ES"/>
        </w:rPr>
        <w:t xml:space="preserve"> o coordinación entre las direcciones generales de transportes que se ocupan de la vía y las de turismo, desarrollo rural o medio ambiente que podrían explotar su potencialidad. Uno de los responsables entrevistados reconoce que tendría “</w:t>
      </w:r>
      <w:r w:rsidR="00CA02B1" w:rsidRPr="000D7D0A">
        <w:rPr>
          <w:rFonts w:ascii="Times New Roman" w:eastAsia="Times New Roman" w:hAnsi="Times New Roman" w:cs="Times New Roman"/>
          <w:i/>
          <w:sz w:val="24"/>
          <w:szCs w:val="24"/>
          <w:lang w:eastAsia="es-ES"/>
        </w:rPr>
        <w:t xml:space="preserve">mucho más sentido que la infraestructura se gestionase desde turismo y </w:t>
      </w:r>
      <w:r w:rsidR="00CA02B1" w:rsidRPr="000D7D0A">
        <w:rPr>
          <w:rFonts w:ascii="Times New Roman" w:eastAsia="Times New Roman" w:hAnsi="Times New Roman" w:cs="Times New Roman"/>
          <w:i/>
          <w:sz w:val="24"/>
          <w:szCs w:val="24"/>
          <w:lang w:eastAsia="es-ES"/>
        </w:rPr>
        <w:lastRenderedPageBreak/>
        <w:t>que nosotros nos limitáramos al mantenimiento. De hecho, ni sabemos ni podemos hacer más</w:t>
      </w:r>
      <w:r w:rsidR="00CA02B1" w:rsidRPr="000D7D0A">
        <w:rPr>
          <w:rFonts w:ascii="Times New Roman" w:eastAsia="Times New Roman" w:hAnsi="Times New Roman" w:cs="Times New Roman"/>
          <w:sz w:val="24"/>
          <w:szCs w:val="24"/>
          <w:lang w:eastAsia="es-ES"/>
        </w:rPr>
        <w:t>”.</w:t>
      </w: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Y seguramente tiene razón, desde las Direcciones Generales de Movilidad no pueden</w:t>
      </w:r>
      <w:r w:rsidR="00DD16D5" w:rsidRPr="000D7D0A">
        <w:rPr>
          <w:rFonts w:ascii="Times New Roman" w:eastAsia="Times New Roman" w:hAnsi="Times New Roman" w:cs="Times New Roman"/>
          <w:sz w:val="24"/>
          <w:szCs w:val="24"/>
          <w:lang w:eastAsia="es-ES"/>
        </w:rPr>
        <w:t>,</w:t>
      </w:r>
      <w:r w:rsidRPr="000D7D0A">
        <w:rPr>
          <w:rFonts w:ascii="Times New Roman" w:eastAsia="Times New Roman" w:hAnsi="Times New Roman" w:cs="Times New Roman"/>
          <w:sz w:val="24"/>
          <w:szCs w:val="24"/>
          <w:lang w:eastAsia="es-ES"/>
        </w:rPr>
        <w:t xml:space="preserve"> ni deben</w:t>
      </w:r>
      <w:r w:rsidR="00DD16D5" w:rsidRPr="000D7D0A">
        <w:rPr>
          <w:rFonts w:ascii="Times New Roman" w:eastAsia="Times New Roman" w:hAnsi="Times New Roman" w:cs="Times New Roman"/>
          <w:sz w:val="24"/>
          <w:szCs w:val="24"/>
          <w:lang w:eastAsia="es-ES"/>
        </w:rPr>
        <w:t>,</w:t>
      </w:r>
      <w:r w:rsidRPr="000D7D0A">
        <w:rPr>
          <w:rFonts w:ascii="Times New Roman" w:eastAsia="Times New Roman" w:hAnsi="Times New Roman" w:cs="Times New Roman"/>
          <w:sz w:val="24"/>
          <w:szCs w:val="24"/>
          <w:lang w:eastAsia="es-ES"/>
        </w:rPr>
        <w:t xml:space="preserve"> ni saben hacer más que mantener en un buen estado la vía. Pero no han sabido tejer redes de complicidad con ningún otro ámbito sectorial. Responsabilidad que recae en </w:t>
      </w:r>
      <w:r w:rsidR="00DD16D5" w:rsidRPr="000D7D0A">
        <w:rPr>
          <w:rFonts w:ascii="Times New Roman" w:eastAsia="Times New Roman" w:hAnsi="Times New Roman" w:cs="Times New Roman"/>
          <w:sz w:val="24"/>
          <w:szCs w:val="24"/>
          <w:lang w:eastAsia="es-ES"/>
        </w:rPr>
        <w:t xml:space="preserve">ellas en </w:t>
      </w:r>
      <w:r w:rsidRPr="000D7D0A">
        <w:rPr>
          <w:rFonts w:ascii="Times New Roman" w:eastAsia="Times New Roman" w:hAnsi="Times New Roman" w:cs="Times New Roman"/>
          <w:sz w:val="24"/>
          <w:szCs w:val="24"/>
          <w:lang w:eastAsia="es-ES"/>
        </w:rPr>
        <w:t>igual grado en las direcciones generales que podrían explotar</w:t>
      </w:r>
      <w:r w:rsidR="00DD16D5" w:rsidRPr="000D7D0A">
        <w:rPr>
          <w:rFonts w:ascii="Times New Roman" w:eastAsia="Times New Roman" w:hAnsi="Times New Roman" w:cs="Times New Roman"/>
          <w:sz w:val="24"/>
          <w:szCs w:val="24"/>
          <w:lang w:eastAsia="es-ES"/>
        </w:rPr>
        <w:t xml:space="preserve"> el </w:t>
      </w:r>
      <w:proofErr w:type="spellStart"/>
      <w:r w:rsidR="00DD16D5" w:rsidRPr="000D7D0A">
        <w:rPr>
          <w:rFonts w:ascii="Times New Roman" w:eastAsia="Times New Roman" w:hAnsi="Times New Roman" w:cs="Times New Roman"/>
          <w:sz w:val="24"/>
          <w:szCs w:val="24"/>
          <w:lang w:eastAsia="es-ES"/>
        </w:rPr>
        <w:t>potenvial</w:t>
      </w:r>
      <w:proofErr w:type="spellEnd"/>
      <w:r w:rsidR="00DD16D5" w:rsidRPr="000D7D0A">
        <w:rPr>
          <w:rFonts w:ascii="Times New Roman" w:eastAsia="Times New Roman" w:hAnsi="Times New Roman" w:cs="Times New Roman"/>
          <w:sz w:val="24"/>
          <w:szCs w:val="24"/>
          <w:lang w:eastAsia="es-ES"/>
        </w:rPr>
        <w:t xml:space="preserve"> de la vía como la de turismo, medio ambiente o desarrollo rural. </w:t>
      </w:r>
    </w:p>
    <w:p w:rsidR="00DD16D5" w:rsidRPr="000D7D0A" w:rsidRDefault="00DD16D5"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Esta ausencia de coordinación tiene raíces profundas y no se soluciona fácilmente con una reorganización administrativa. Por ejemplo, en el caso aragonés, el último cambio de gobierno de 2015, unió en la misma Consejería de Vertebración del Territorio, Movilidad y Vivienda a dos unidades que podrían coordinarse o hasta compartir la visión</w:t>
      </w:r>
      <w:r w:rsidR="00DD16D5" w:rsidRPr="000D7D0A">
        <w:rPr>
          <w:rFonts w:ascii="Times New Roman" w:eastAsia="Times New Roman" w:hAnsi="Times New Roman" w:cs="Times New Roman"/>
          <w:sz w:val="24"/>
          <w:szCs w:val="24"/>
          <w:lang w:eastAsia="es-ES"/>
        </w:rPr>
        <w:t xml:space="preserve"> de la vía verde: la Dirección G</w:t>
      </w:r>
      <w:r w:rsidRPr="000D7D0A">
        <w:rPr>
          <w:rFonts w:ascii="Times New Roman" w:eastAsia="Times New Roman" w:hAnsi="Times New Roman" w:cs="Times New Roman"/>
          <w:sz w:val="24"/>
          <w:szCs w:val="24"/>
          <w:lang w:eastAsia="es-ES"/>
        </w:rPr>
        <w:t>eneral  de Movilidad e Infraestructuras y la Dirección General de Turismo. Pero aún estando adscritas al mismo departamento, esto no ha conllevado una coordinación en los casos concretos como la vía verde de Ojos Negros. En otras palabras: la coordinación es inexistente independientemente de la organización administrativa</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A0347B" w:rsidRPr="000D7D0A" w:rsidRDefault="00A0347B"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El caso de Girona se encuentra en el otro extr</w:t>
      </w:r>
      <w:r w:rsidR="00DD16D5" w:rsidRPr="000D7D0A">
        <w:rPr>
          <w:rFonts w:ascii="Times New Roman" w:eastAsia="Times New Roman" w:hAnsi="Times New Roman" w:cs="Times New Roman"/>
          <w:sz w:val="24"/>
          <w:szCs w:val="24"/>
          <w:lang w:eastAsia="es-ES"/>
        </w:rPr>
        <w:t>emo del continuo colaboración/</w:t>
      </w:r>
      <w:r w:rsidRPr="000D7D0A">
        <w:rPr>
          <w:rFonts w:ascii="Times New Roman" w:eastAsia="Times New Roman" w:hAnsi="Times New Roman" w:cs="Times New Roman"/>
          <w:sz w:val="24"/>
          <w:szCs w:val="24"/>
          <w:lang w:eastAsia="es-ES"/>
        </w:rPr>
        <w:t xml:space="preserve">no colaboración. El CVVG ha actuado de catalizador de la colaboración entre todos los niveles administrativos existentes, que en algún momento han participado de las políticas públicas en relación a las vías verdes. Todos los municipios por donde transcurre la vía verde forman parte del consorcio, que a lo largo de los años ha ido creciendo en miembros. Pero la Generalitat de Catalunya así cómo la Unión Europea  financiando proyectos. </w:t>
      </w:r>
    </w:p>
    <w:p w:rsidR="00A0347B" w:rsidRPr="000D7D0A" w:rsidRDefault="00A0347B" w:rsidP="00CA02B1">
      <w:pPr>
        <w:spacing w:after="0"/>
        <w:jc w:val="both"/>
        <w:rPr>
          <w:rFonts w:ascii="Times New Roman" w:eastAsia="Times New Roman" w:hAnsi="Times New Roman" w:cs="Times New Roman"/>
          <w:sz w:val="24"/>
          <w:szCs w:val="24"/>
          <w:lang w:eastAsia="es-ES"/>
        </w:rPr>
      </w:pPr>
    </w:p>
    <w:p w:rsidR="005D0AA4" w:rsidRPr="000D7D0A" w:rsidRDefault="00A0347B" w:rsidP="00A0347B">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En el caso de ojos Negros destaca la ausencia no ya de coordinación entre diferentes instituciones, sino de la misma participación de las mismas.  </w:t>
      </w:r>
    </w:p>
    <w:p w:rsidR="00A0347B" w:rsidRPr="000D7D0A" w:rsidRDefault="00A0347B"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En primer lugar los municipios. </w:t>
      </w:r>
      <w:r w:rsidRPr="000D7D0A">
        <w:rPr>
          <w:rFonts w:ascii="Times New Roman" w:eastAsia="Times New Roman" w:hAnsi="Times New Roman" w:cs="Times New Roman"/>
          <w:sz w:val="24"/>
          <w:szCs w:val="24"/>
          <w:shd w:val="clear" w:color="auto" w:fill="FFFFFF"/>
          <w:lang w:eastAsia="es-ES"/>
        </w:rPr>
        <w:t>En ningún momento participaron de la decisión del recorrido de la vía ni de las acciones posteriores. En la inauguración de la vía, una alcaldesa apuntó la necesidad de un convenio de colaboración entre el gobierno de Aragón con los ayuntamientos para rehabilitar las estaciones. Nunca se materializó.</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En este sentido es ilustrativo el estado de abandono de las estaciones contiguas a la vía. En cada municipio hay una estación, en el tramo aragonés alejadas del pueblo, muchas de ellas abandonadas o en ruinas. En su entorno, zonas de recreo asimismo dejadas y llenas de maleza. Si bien es verdad que las estaciones y su entorno pertenecen a la administración autonómica, que ha hecho dejadez de funciones en el mantenimiento de la propia vía y las estaciones, también lo es que si la administración local tuviera algún interés o viera alguna potencialidad para su municipio las podrían arreglar los propios ayuntamientos llegando a algún tipo de colaboración con quien no las usa, sea ADIF en </w:t>
      </w:r>
      <w:r w:rsidRPr="000D7D0A">
        <w:rPr>
          <w:rFonts w:ascii="Times New Roman" w:eastAsia="Times New Roman" w:hAnsi="Times New Roman" w:cs="Times New Roman"/>
          <w:sz w:val="24"/>
          <w:szCs w:val="24"/>
          <w:lang w:eastAsia="es-ES"/>
        </w:rPr>
        <w:lastRenderedPageBreak/>
        <w:t>el caso valenciano o el gobierno de Aragón en el tramo turolense. Pero en la mayoría de ocasiones no lo han hecho.</w:t>
      </w:r>
    </w:p>
    <w:p w:rsidR="00CA02B1" w:rsidRPr="000D7D0A" w:rsidRDefault="00CA02B1" w:rsidP="00CA02B1">
      <w:pPr>
        <w:spacing w:after="0"/>
        <w:jc w:val="both"/>
        <w:rPr>
          <w:rFonts w:ascii="Times New Roman" w:eastAsia="Times New Roman" w:hAnsi="Times New Roman" w:cs="Times New Roman"/>
          <w:sz w:val="24"/>
          <w:szCs w:val="24"/>
          <w:shd w:val="clear" w:color="auto" w:fill="FFFFFF"/>
          <w:lang w:eastAsia="es-ES"/>
        </w:rPr>
      </w:pPr>
    </w:p>
    <w:p w:rsidR="005D0AA4" w:rsidRPr="000D7D0A" w:rsidRDefault="005D0AA4" w:rsidP="005D0AA4">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Otro aspecto destacable es la coordinación entre las dos comunidades autónomas por donde transcurre la ruta. Prácticamente no se han coordinado en ningún ámbito más que en el momento inicial la numeración de los quilómetros de la vía. Ha habido una total ausencia no ya de acciones conjuntas, sino de diálog</w:t>
      </w:r>
      <w:r w:rsidR="00DD16D5" w:rsidRPr="000D7D0A">
        <w:rPr>
          <w:rFonts w:ascii="Times New Roman" w:eastAsia="Times New Roman" w:hAnsi="Times New Roman" w:cs="Times New Roman"/>
          <w:sz w:val="24"/>
          <w:szCs w:val="24"/>
          <w:lang w:eastAsia="es-ES"/>
        </w:rPr>
        <w:t>o entre las dos CCAA</w:t>
      </w:r>
      <w:r w:rsidRPr="000D7D0A">
        <w:rPr>
          <w:rFonts w:ascii="Times New Roman" w:eastAsia="Times New Roman" w:hAnsi="Times New Roman" w:cs="Times New Roman"/>
          <w:sz w:val="24"/>
          <w:szCs w:val="24"/>
          <w:lang w:eastAsia="es-ES"/>
        </w:rPr>
        <w:t>. La vía verde de Ojos Negros no ha sido pensada ni promocionada como una totalidad, sino que cada tramo ha actuado en solitario. Y no solo no se han coordinado  entre sí sino que tampoco lo han hecho con otros actores de diferentes niveles institucionales.</w:t>
      </w:r>
    </w:p>
    <w:p w:rsidR="005D0AA4" w:rsidRPr="000D7D0A" w:rsidRDefault="005D0AA4" w:rsidP="00CA02B1">
      <w:pPr>
        <w:spacing w:after="0"/>
        <w:jc w:val="both"/>
        <w:rPr>
          <w:rFonts w:ascii="Times New Roman" w:eastAsia="Times New Roman" w:hAnsi="Times New Roman" w:cs="Times New Roman"/>
          <w:sz w:val="24"/>
          <w:szCs w:val="24"/>
          <w:lang w:eastAsia="es-ES"/>
        </w:rPr>
      </w:pPr>
    </w:p>
    <w:p w:rsidR="00CA02B1" w:rsidRPr="000D7D0A" w:rsidRDefault="00CA02B1" w:rsidP="00CA02B1">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 xml:space="preserve">Si bien Ojos Negros forma parte del único catálogo de vías verdes que existe, el de la FFE,  sus gestores actualmente no participan de ninguna dinámica colaborativa. En el caso europeo es igualmente la ausencia de relación el único elemento a destacar. Por lo tanto no pueden participar de la dinámica de los proyectos europeos, ya que en la mayoría de ellos </w:t>
      </w:r>
      <w:r w:rsidR="00361692" w:rsidRPr="000D7D0A">
        <w:rPr>
          <w:rFonts w:ascii="Times New Roman" w:eastAsia="Times New Roman" w:hAnsi="Times New Roman" w:cs="Times New Roman"/>
          <w:sz w:val="24"/>
          <w:szCs w:val="24"/>
          <w:lang w:eastAsia="es-ES"/>
        </w:rPr>
        <w:fldChar w:fldCharType="begin" w:fldLock="1"/>
      </w:r>
      <w:r w:rsidR="004F1B4E" w:rsidRPr="000D7D0A">
        <w:rPr>
          <w:rFonts w:ascii="Times New Roman" w:eastAsia="Times New Roman" w:hAnsi="Times New Roman" w:cs="Times New Roman"/>
          <w:sz w:val="24"/>
          <w:szCs w:val="24"/>
          <w:lang w:eastAsia="es-ES"/>
        </w:rPr>
        <w:instrText>ADDIN CSL_CITATION { "citationItems" : [ { "id" : "ITEM-1", "itemData" : { "ISBN" : "9789279584015", "author" : [ { "dropping-particle" : "", "family" : "UE", "given" : "", "non-dropping-particle" : "", "parse-names" : false, "suffix" : "" } ], "id" : "ITEM-1", "issued" : { "date-parts" : [ [ "2015" ] ] }, "title" : "Guide in EU funding. 2014-2020. For the tourism sector", "type" : "article" }, "uris" : [ "http://www.mendeley.com/documents/?uuid=bfb4a110-6c25-40c8-9ec6-a002c5b16b37" ] } ], "mendeley" : { "formattedCitation" : "(UE 2015)", "plainTextFormattedCitation" : "(UE 2015)", "previouslyFormattedCitation" : "(UE 2015)" }, "properties" : { "noteIndex" : 0 }, "schema" : "https://github.com/citation-style-language/schema/raw/master/csl-citation.json" }</w:instrText>
      </w:r>
      <w:r w:rsidR="00361692" w:rsidRPr="000D7D0A">
        <w:rPr>
          <w:rFonts w:ascii="Times New Roman" w:eastAsia="Times New Roman" w:hAnsi="Times New Roman" w:cs="Times New Roman"/>
          <w:sz w:val="24"/>
          <w:szCs w:val="24"/>
          <w:lang w:eastAsia="es-ES"/>
        </w:rPr>
        <w:fldChar w:fldCharType="separate"/>
      </w:r>
      <w:r w:rsidR="004F1B4E" w:rsidRPr="000D7D0A">
        <w:rPr>
          <w:rFonts w:ascii="Times New Roman" w:eastAsia="Times New Roman" w:hAnsi="Times New Roman" w:cs="Times New Roman"/>
          <w:noProof/>
          <w:sz w:val="24"/>
          <w:szCs w:val="24"/>
          <w:lang w:eastAsia="es-ES"/>
        </w:rPr>
        <w:t>(UE 2015)</w:t>
      </w:r>
      <w:r w:rsidR="00361692" w:rsidRPr="000D7D0A">
        <w:rPr>
          <w:rFonts w:ascii="Times New Roman" w:eastAsia="Times New Roman" w:hAnsi="Times New Roman" w:cs="Times New Roman"/>
          <w:sz w:val="24"/>
          <w:szCs w:val="24"/>
          <w:lang w:eastAsia="es-ES"/>
        </w:rPr>
        <w:fldChar w:fldCharType="end"/>
      </w:r>
      <w:r w:rsidRPr="000D7D0A">
        <w:rPr>
          <w:rFonts w:ascii="Times New Roman" w:eastAsia="Times New Roman" w:hAnsi="Times New Roman" w:cs="Times New Roman"/>
          <w:sz w:val="24"/>
          <w:szCs w:val="24"/>
          <w:lang w:eastAsia="es-ES"/>
        </w:rPr>
        <w:t xml:space="preserve"> se requiere un enfoque integral en la gestión de la vía y un número de socios privados y públicos del que Ojos Negros carece. </w:t>
      </w:r>
      <w:r w:rsidR="005D0AA4" w:rsidRPr="000D7D0A">
        <w:rPr>
          <w:rFonts w:ascii="Times New Roman" w:eastAsia="Times New Roman" w:hAnsi="Times New Roman" w:cs="Times New Roman"/>
          <w:sz w:val="24"/>
          <w:szCs w:val="24"/>
          <w:lang w:eastAsia="es-ES"/>
        </w:rPr>
        <w:t xml:space="preserve">En éste sentido la diferencia es clara con el CVVG que su estructura (9 personas), su </w:t>
      </w:r>
      <w:proofErr w:type="spellStart"/>
      <w:r w:rsidR="005D0AA4" w:rsidRPr="000D7D0A">
        <w:rPr>
          <w:rFonts w:ascii="Times New Roman" w:eastAsia="Times New Roman" w:hAnsi="Times New Roman" w:cs="Times New Roman"/>
          <w:sz w:val="24"/>
          <w:szCs w:val="24"/>
          <w:lang w:eastAsia="es-ES"/>
        </w:rPr>
        <w:t>transversalidad</w:t>
      </w:r>
      <w:proofErr w:type="spellEnd"/>
      <w:r w:rsidR="005D0AA4" w:rsidRPr="000D7D0A">
        <w:rPr>
          <w:rFonts w:ascii="Times New Roman" w:eastAsia="Times New Roman" w:hAnsi="Times New Roman" w:cs="Times New Roman"/>
          <w:sz w:val="24"/>
          <w:szCs w:val="24"/>
          <w:lang w:eastAsia="es-ES"/>
        </w:rPr>
        <w:t xml:space="preserve"> y su red de contactos le permiten presentarse a convocatorias europeas con éxito en numerosas ocasiones, siendo una de </w:t>
      </w:r>
      <w:r w:rsidR="00DD16D5" w:rsidRPr="000D7D0A">
        <w:rPr>
          <w:rFonts w:ascii="Times New Roman" w:eastAsia="Times New Roman" w:hAnsi="Times New Roman" w:cs="Times New Roman"/>
          <w:sz w:val="24"/>
          <w:szCs w:val="24"/>
          <w:lang w:eastAsia="es-ES"/>
        </w:rPr>
        <w:t>sus</w:t>
      </w:r>
      <w:r w:rsidR="005D0AA4" w:rsidRPr="000D7D0A">
        <w:rPr>
          <w:rFonts w:ascii="Times New Roman" w:eastAsia="Times New Roman" w:hAnsi="Times New Roman" w:cs="Times New Roman"/>
          <w:sz w:val="24"/>
          <w:szCs w:val="24"/>
          <w:lang w:eastAsia="es-ES"/>
        </w:rPr>
        <w:t xml:space="preserve"> fuentes de financiación principales.</w:t>
      </w:r>
    </w:p>
    <w:p w:rsidR="00CA02B1" w:rsidRPr="000D7D0A" w:rsidRDefault="00CA02B1" w:rsidP="00CA02B1">
      <w:pPr>
        <w:spacing w:after="0"/>
        <w:jc w:val="both"/>
        <w:rPr>
          <w:rFonts w:ascii="Times New Roman" w:eastAsia="Times New Roman" w:hAnsi="Times New Roman" w:cs="Times New Roman"/>
          <w:sz w:val="24"/>
          <w:szCs w:val="24"/>
          <w:lang w:eastAsia="es-ES"/>
        </w:rPr>
      </w:pPr>
    </w:p>
    <w:p w:rsidR="00CA02B1" w:rsidRPr="000D7D0A" w:rsidRDefault="00CA02B1" w:rsidP="005D0AA4">
      <w:pPr>
        <w:spacing w:after="0"/>
        <w:jc w:val="both"/>
        <w:rPr>
          <w:rFonts w:ascii="Times New Roman" w:eastAsia="Times New Roman" w:hAnsi="Times New Roman" w:cs="Times New Roman"/>
          <w:sz w:val="24"/>
          <w:szCs w:val="24"/>
          <w:lang w:eastAsia="es-ES"/>
        </w:rPr>
      </w:pPr>
      <w:r w:rsidRPr="000D7D0A">
        <w:rPr>
          <w:rFonts w:ascii="Times New Roman" w:eastAsia="Times New Roman" w:hAnsi="Times New Roman" w:cs="Times New Roman"/>
          <w:sz w:val="24"/>
          <w:szCs w:val="24"/>
          <w:lang w:eastAsia="es-ES"/>
        </w:rPr>
        <w:t>Así, se constata que el enfoque de gestión de la vía verde es heredero de su creación,</w:t>
      </w:r>
      <w:r w:rsidR="005D0AA4" w:rsidRPr="000D7D0A">
        <w:rPr>
          <w:rFonts w:ascii="Times New Roman" w:eastAsia="Times New Roman" w:hAnsi="Times New Roman" w:cs="Times New Roman"/>
          <w:sz w:val="24"/>
          <w:szCs w:val="24"/>
          <w:lang w:eastAsia="es-ES"/>
        </w:rPr>
        <w:t xml:space="preserve"> en el caso de Girona de la colaboración entre distintos ayuntamientos y en el caso de Ojos Negros de la mano de las Direcciones Generales de T</w:t>
      </w:r>
      <w:r w:rsidRPr="000D7D0A">
        <w:rPr>
          <w:rFonts w:ascii="Times New Roman" w:eastAsia="Times New Roman" w:hAnsi="Times New Roman" w:cs="Times New Roman"/>
          <w:sz w:val="24"/>
          <w:szCs w:val="24"/>
          <w:lang w:eastAsia="es-ES"/>
        </w:rPr>
        <w:t>ransportes</w:t>
      </w:r>
      <w:r w:rsidR="005D0AA4" w:rsidRPr="000D7D0A">
        <w:rPr>
          <w:rFonts w:ascii="Times New Roman" w:eastAsia="Times New Roman" w:hAnsi="Times New Roman" w:cs="Times New Roman"/>
          <w:sz w:val="24"/>
          <w:szCs w:val="24"/>
          <w:lang w:eastAsia="es-ES"/>
        </w:rPr>
        <w:t xml:space="preserve"> de Aragón y de la </w:t>
      </w:r>
      <w:proofErr w:type="spellStart"/>
      <w:r w:rsidR="005D0AA4" w:rsidRPr="000D7D0A">
        <w:rPr>
          <w:rFonts w:ascii="Times New Roman" w:eastAsia="Times New Roman" w:hAnsi="Times New Roman" w:cs="Times New Roman"/>
          <w:sz w:val="24"/>
          <w:szCs w:val="24"/>
          <w:lang w:eastAsia="es-ES"/>
        </w:rPr>
        <w:t>Comunitat</w:t>
      </w:r>
      <w:proofErr w:type="spellEnd"/>
      <w:r w:rsidR="005D0AA4" w:rsidRPr="000D7D0A">
        <w:rPr>
          <w:rFonts w:ascii="Times New Roman" w:eastAsia="Times New Roman" w:hAnsi="Times New Roman" w:cs="Times New Roman"/>
          <w:sz w:val="24"/>
          <w:szCs w:val="24"/>
          <w:lang w:eastAsia="es-ES"/>
        </w:rPr>
        <w:t xml:space="preserve"> Valenciana</w:t>
      </w:r>
      <w:r w:rsidRPr="000D7D0A">
        <w:rPr>
          <w:rFonts w:ascii="Times New Roman" w:eastAsia="Times New Roman" w:hAnsi="Times New Roman" w:cs="Times New Roman"/>
          <w:sz w:val="24"/>
          <w:szCs w:val="24"/>
          <w:lang w:eastAsia="es-ES"/>
        </w:rPr>
        <w:t xml:space="preserve">. Si de lo que se trata es de </w:t>
      </w:r>
      <w:r w:rsidR="005D0AA4" w:rsidRPr="000D7D0A">
        <w:rPr>
          <w:rFonts w:ascii="Times New Roman" w:eastAsia="Times New Roman" w:hAnsi="Times New Roman" w:cs="Times New Roman"/>
          <w:sz w:val="24"/>
          <w:szCs w:val="24"/>
          <w:lang w:eastAsia="es-ES"/>
        </w:rPr>
        <w:t xml:space="preserve">únicamente </w:t>
      </w:r>
      <w:r w:rsidRPr="000D7D0A">
        <w:rPr>
          <w:rFonts w:ascii="Times New Roman" w:eastAsia="Times New Roman" w:hAnsi="Times New Roman" w:cs="Times New Roman"/>
          <w:sz w:val="24"/>
          <w:szCs w:val="24"/>
          <w:lang w:eastAsia="es-ES"/>
        </w:rPr>
        <w:t>construir una vía</w:t>
      </w:r>
      <w:r w:rsidR="005D0AA4" w:rsidRPr="000D7D0A">
        <w:rPr>
          <w:rFonts w:ascii="Times New Roman" w:eastAsia="Times New Roman" w:hAnsi="Times New Roman" w:cs="Times New Roman"/>
          <w:sz w:val="24"/>
          <w:szCs w:val="24"/>
          <w:lang w:eastAsia="es-ES"/>
        </w:rPr>
        <w:t xml:space="preserve"> verde y mantenerla, </w:t>
      </w:r>
      <w:r w:rsidRPr="000D7D0A">
        <w:rPr>
          <w:rFonts w:ascii="Times New Roman" w:eastAsia="Times New Roman" w:hAnsi="Times New Roman" w:cs="Times New Roman"/>
          <w:sz w:val="24"/>
          <w:szCs w:val="24"/>
          <w:lang w:eastAsia="es-ES"/>
        </w:rPr>
        <w:t>seguramente no hay una institución mejor situada</w:t>
      </w:r>
      <w:r w:rsidR="005D0AA4" w:rsidRPr="000D7D0A">
        <w:rPr>
          <w:rFonts w:ascii="Times New Roman" w:eastAsia="Times New Roman" w:hAnsi="Times New Roman" w:cs="Times New Roman"/>
          <w:sz w:val="24"/>
          <w:szCs w:val="24"/>
          <w:lang w:eastAsia="es-ES"/>
        </w:rPr>
        <w:t xml:space="preserve"> que una DG de Transportes</w:t>
      </w:r>
      <w:r w:rsidR="00DD16D5" w:rsidRPr="000D7D0A">
        <w:rPr>
          <w:rFonts w:ascii="Times New Roman" w:eastAsia="Times New Roman" w:hAnsi="Times New Roman" w:cs="Times New Roman"/>
          <w:sz w:val="24"/>
          <w:szCs w:val="24"/>
          <w:lang w:eastAsia="es-ES"/>
        </w:rPr>
        <w:t xml:space="preserve"> de la CCAA</w:t>
      </w:r>
      <w:r w:rsidR="005D0AA4" w:rsidRPr="000D7D0A">
        <w:rPr>
          <w:rFonts w:ascii="Times New Roman" w:eastAsia="Times New Roman" w:hAnsi="Times New Roman" w:cs="Times New Roman"/>
          <w:sz w:val="24"/>
          <w:szCs w:val="24"/>
          <w:lang w:eastAsia="es-ES"/>
        </w:rPr>
        <w:t xml:space="preserve">. Tiene los recursos económicos, técnicos y competenciales necesarios para construirla. Pero si se busca exprimir el potencial de la vía verde en los distintos ámbitos posibles (desarrollo rural, medio ambiente, deporte, educación, salud, turismo), se necesitan dinámicas colaborativas entre distintos niveles institucionales y un enfoque que abarque </w:t>
      </w:r>
      <w:r w:rsidR="00894AB5" w:rsidRPr="000D7D0A">
        <w:rPr>
          <w:rFonts w:ascii="Times New Roman" w:eastAsia="Times New Roman" w:hAnsi="Times New Roman" w:cs="Times New Roman"/>
          <w:sz w:val="24"/>
          <w:szCs w:val="24"/>
          <w:lang w:eastAsia="es-ES"/>
        </w:rPr>
        <w:t xml:space="preserve">la vía verde en su totalidad. </w:t>
      </w:r>
    </w:p>
    <w:p w:rsidR="003B7FDF" w:rsidRPr="000D7D0A" w:rsidRDefault="003B7FDF">
      <w:pPr>
        <w:rPr>
          <w:rFonts w:ascii="Times New Roman" w:hAnsi="Times New Roman" w:cs="Times New Roman"/>
          <w:sz w:val="24"/>
          <w:szCs w:val="24"/>
        </w:rPr>
      </w:pPr>
      <w:r w:rsidRPr="000D7D0A">
        <w:rPr>
          <w:rFonts w:ascii="Times New Roman" w:hAnsi="Times New Roman" w:cs="Times New Roman"/>
          <w:sz w:val="24"/>
          <w:szCs w:val="24"/>
        </w:rPr>
        <w:br w:type="page"/>
      </w:r>
    </w:p>
    <w:p w:rsidR="00CA02B1" w:rsidRPr="000D7D0A" w:rsidRDefault="003B7FDF" w:rsidP="003B7FDF">
      <w:pPr>
        <w:pStyle w:val="Ttulo2"/>
        <w:rPr>
          <w:sz w:val="24"/>
          <w:szCs w:val="24"/>
        </w:rPr>
      </w:pPr>
      <w:bookmarkStart w:id="23" w:name="_Toc492389027"/>
      <w:r w:rsidRPr="000D7D0A">
        <w:rPr>
          <w:sz w:val="24"/>
          <w:szCs w:val="24"/>
        </w:rPr>
        <w:lastRenderedPageBreak/>
        <w:t>Bibliografía</w:t>
      </w:r>
      <w:bookmarkEnd w:id="23"/>
    </w:p>
    <w:p w:rsidR="004F1B4E" w:rsidRPr="000D7D0A" w:rsidRDefault="00361692"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sz w:val="24"/>
          <w:szCs w:val="24"/>
        </w:rPr>
        <w:fldChar w:fldCharType="begin" w:fldLock="1"/>
      </w:r>
      <w:r w:rsidR="004F1B4E" w:rsidRPr="000D7D0A">
        <w:rPr>
          <w:rFonts w:ascii="Times New Roman" w:hAnsi="Times New Roman" w:cs="Times New Roman"/>
          <w:sz w:val="24"/>
          <w:szCs w:val="24"/>
        </w:rPr>
        <w:instrText xml:space="preserve">ADDIN Mendeley Bibliography CSL_BIBLIOGRAPHY </w:instrText>
      </w:r>
      <w:r w:rsidRPr="000D7D0A">
        <w:rPr>
          <w:rFonts w:ascii="Times New Roman" w:hAnsi="Times New Roman" w:cs="Times New Roman"/>
          <w:sz w:val="24"/>
          <w:szCs w:val="24"/>
        </w:rPr>
        <w:fldChar w:fldCharType="separate"/>
      </w:r>
      <w:r w:rsidR="00513755" w:rsidRPr="000D7D0A">
        <w:rPr>
          <w:rFonts w:ascii="Times New Roman" w:hAnsi="Times New Roman" w:cs="Times New Roman"/>
          <w:noProof/>
          <w:sz w:val="24"/>
          <w:szCs w:val="24"/>
        </w:rPr>
        <w:t>AEVV.</w:t>
      </w:r>
      <w:r w:rsidR="004F1B4E" w:rsidRPr="000D7D0A">
        <w:rPr>
          <w:rFonts w:ascii="Times New Roman" w:hAnsi="Times New Roman" w:cs="Times New Roman"/>
          <w:noProof/>
          <w:sz w:val="24"/>
          <w:szCs w:val="24"/>
        </w:rPr>
        <w:t xml:space="preserve"> 2000. Declaració</w:t>
      </w:r>
      <w:r w:rsidR="00513755" w:rsidRPr="000D7D0A">
        <w:rPr>
          <w:rFonts w:ascii="Times New Roman" w:hAnsi="Times New Roman" w:cs="Times New Roman"/>
          <w:noProof/>
          <w:sz w:val="24"/>
          <w:szCs w:val="24"/>
        </w:rPr>
        <w:t xml:space="preserve">n de Lille. </w:t>
      </w:r>
    </w:p>
    <w:p w:rsidR="004F1B4E" w:rsidRPr="000D7D0A" w:rsidRDefault="00513755"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Ahern, J.</w:t>
      </w:r>
      <w:r w:rsidR="004F1B4E" w:rsidRPr="000D7D0A">
        <w:rPr>
          <w:rFonts w:ascii="Times New Roman" w:hAnsi="Times New Roman" w:cs="Times New Roman"/>
          <w:noProof/>
          <w:sz w:val="24"/>
          <w:szCs w:val="24"/>
        </w:rPr>
        <w:t xml:space="preserve"> 1995. Greenways as a planning strategy. </w:t>
      </w:r>
      <w:r w:rsidR="004F1B4E" w:rsidRPr="000D7D0A">
        <w:rPr>
          <w:rFonts w:ascii="Times New Roman" w:hAnsi="Times New Roman" w:cs="Times New Roman"/>
          <w:i/>
          <w:iCs/>
          <w:noProof/>
          <w:sz w:val="24"/>
          <w:szCs w:val="24"/>
        </w:rPr>
        <w:t>Landscape and Urban Planning</w:t>
      </w:r>
      <w:r w:rsidR="00985AF1" w:rsidRPr="000D7D0A">
        <w:rPr>
          <w:rFonts w:ascii="Times New Roman" w:hAnsi="Times New Roman" w:cs="Times New Roman"/>
          <w:noProof/>
          <w:sz w:val="24"/>
          <w:szCs w:val="24"/>
        </w:rPr>
        <w:t>, (33), pp.131–155.</w:t>
      </w:r>
    </w:p>
    <w:p w:rsidR="004F1B4E" w:rsidRPr="000D7D0A" w:rsidRDefault="00985AF1"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Aycart, C. &amp; Hernández, A.</w:t>
      </w:r>
      <w:r w:rsidR="004F1B4E" w:rsidRPr="000D7D0A">
        <w:rPr>
          <w:rFonts w:ascii="Times New Roman" w:hAnsi="Times New Roman" w:cs="Times New Roman"/>
          <w:noProof/>
          <w:sz w:val="24"/>
          <w:szCs w:val="24"/>
        </w:rPr>
        <w:t xml:space="preserve"> 2007. </w:t>
      </w:r>
      <w:r w:rsidR="004F1B4E" w:rsidRPr="000D7D0A">
        <w:rPr>
          <w:rFonts w:ascii="Times New Roman" w:hAnsi="Times New Roman" w:cs="Times New Roman"/>
          <w:i/>
          <w:iCs/>
          <w:noProof/>
          <w:sz w:val="24"/>
          <w:szCs w:val="24"/>
        </w:rPr>
        <w:t>Caminos Naturales - Vías verdes Su adecuación al desarrollo rural sostenible</w:t>
      </w:r>
      <w:r w:rsidR="00513755" w:rsidRPr="000D7D0A">
        <w:rPr>
          <w:rFonts w:ascii="Times New Roman" w:hAnsi="Times New Roman" w:cs="Times New Roman"/>
          <w:i/>
          <w:iCs/>
          <w:noProof/>
          <w:sz w:val="24"/>
          <w:szCs w:val="24"/>
        </w:rPr>
        <w:t>:</w:t>
      </w:r>
      <w:r w:rsidR="004F1B4E" w:rsidRPr="000D7D0A">
        <w:rPr>
          <w:rFonts w:ascii="Times New Roman" w:hAnsi="Times New Roman" w:cs="Times New Roman"/>
          <w:noProof/>
          <w:sz w:val="24"/>
          <w:szCs w:val="24"/>
        </w:rPr>
        <w:t xml:space="preserve"> Madrid</w:t>
      </w:r>
      <w:r w:rsidR="00513755" w:rsidRPr="000D7D0A">
        <w:rPr>
          <w:rFonts w:ascii="Times New Roman" w:hAnsi="Times New Roman" w:cs="Times New Roman"/>
          <w:noProof/>
          <w:sz w:val="24"/>
          <w:szCs w:val="24"/>
        </w:rPr>
        <w:t>: FFE</w:t>
      </w:r>
      <w:r w:rsidR="004F1B4E" w:rsidRPr="000D7D0A">
        <w:rPr>
          <w:rFonts w:ascii="Times New Roman" w:hAnsi="Times New Roman" w:cs="Times New Roman"/>
          <w:noProof/>
          <w:sz w:val="24"/>
          <w:szCs w:val="24"/>
        </w:rPr>
        <w:t>.</w:t>
      </w:r>
    </w:p>
    <w:p w:rsidR="004F1B4E" w:rsidRPr="000D7D0A" w:rsidRDefault="00985AF1"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Bosch, A. &amp; Orriols Galve, L.</w:t>
      </w:r>
      <w:r w:rsidR="004F1B4E" w:rsidRPr="000D7D0A">
        <w:rPr>
          <w:rFonts w:ascii="Times New Roman" w:hAnsi="Times New Roman" w:cs="Times New Roman"/>
          <w:noProof/>
          <w:sz w:val="24"/>
          <w:szCs w:val="24"/>
        </w:rPr>
        <w:t xml:space="preserve"> 2011. </w:t>
      </w:r>
      <w:r w:rsidR="004F1B4E" w:rsidRPr="000D7D0A">
        <w:rPr>
          <w:rFonts w:ascii="Times New Roman" w:hAnsi="Times New Roman" w:cs="Times New Roman"/>
          <w:i/>
          <w:iCs/>
          <w:noProof/>
          <w:sz w:val="24"/>
          <w:szCs w:val="24"/>
        </w:rPr>
        <w:t>Ciència política per a principiants</w:t>
      </w:r>
      <w:r w:rsidR="004F1B4E" w:rsidRPr="000D7D0A">
        <w:rPr>
          <w:rFonts w:ascii="Times New Roman" w:hAnsi="Times New Roman" w:cs="Times New Roman"/>
          <w:noProof/>
          <w:sz w:val="24"/>
          <w:szCs w:val="24"/>
        </w:rPr>
        <w:t xml:space="preserve">, Barcelona : UOC.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B</w:t>
      </w:r>
      <w:r w:rsidR="00985AF1" w:rsidRPr="000D7D0A">
        <w:rPr>
          <w:rFonts w:ascii="Times New Roman" w:hAnsi="Times New Roman" w:cs="Times New Roman"/>
          <w:noProof/>
          <w:sz w:val="24"/>
          <w:szCs w:val="24"/>
        </w:rPr>
        <w:t>rugué, Q., Canal, R. &amp; Paya, P.</w:t>
      </w:r>
      <w:r w:rsidRPr="000D7D0A">
        <w:rPr>
          <w:rFonts w:ascii="Times New Roman" w:hAnsi="Times New Roman" w:cs="Times New Roman"/>
          <w:noProof/>
          <w:sz w:val="24"/>
          <w:szCs w:val="24"/>
        </w:rPr>
        <w:t xml:space="preserve"> 2015. ¿Inteligencia administrativa para abordar “problemas malditos”? El caso de las comisiones interdepartamentales. </w:t>
      </w:r>
      <w:r w:rsidRPr="000D7D0A">
        <w:rPr>
          <w:rFonts w:ascii="Times New Roman" w:hAnsi="Times New Roman" w:cs="Times New Roman"/>
          <w:i/>
          <w:iCs/>
          <w:noProof/>
          <w:sz w:val="24"/>
          <w:szCs w:val="24"/>
        </w:rPr>
        <w:t>Gestión y política pública</w:t>
      </w:r>
      <w:r w:rsidRPr="000D7D0A">
        <w:rPr>
          <w:rFonts w:ascii="Times New Roman" w:hAnsi="Times New Roman" w:cs="Times New Roman"/>
          <w:noProof/>
          <w:sz w:val="24"/>
          <w:szCs w:val="24"/>
        </w:rPr>
        <w:t>, 24(1), pp.85–130.</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B</w:t>
      </w:r>
      <w:r w:rsidR="00985AF1" w:rsidRPr="000D7D0A">
        <w:rPr>
          <w:rFonts w:ascii="Times New Roman" w:hAnsi="Times New Roman" w:cs="Times New Roman"/>
          <w:noProof/>
          <w:sz w:val="24"/>
          <w:szCs w:val="24"/>
        </w:rPr>
        <w:t>rugué, Q., Canal, R. &amp; Payá, P.</w:t>
      </w:r>
      <w:r w:rsidRPr="000D7D0A">
        <w:rPr>
          <w:rFonts w:ascii="Times New Roman" w:hAnsi="Times New Roman" w:cs="Times New Roman"/>
          <w:noProof/>
          <w:sz w:val="24"/>
          <w:szCs w:val="24"/>
        </w:rPr>
        <w:t xml:space="preserve"> 2010. De l’eficiència a la intel·ligència. El cas de les comissions interdepartamentals </w:t>
      </w:r>
      <w:r w:rsidR="00985AF1" w:rsidRPr="000D7D0A">
        <w:rPr>
          <w:rFonts w:ascii="Times New Roman" w:hAnsi="Times New Roman" w:cs="Times New Roman"/>
          <w:noProof/>
          <w:sz w:val="24"/>
          <w:szCs w:val="24"/>
        </w:rPr>
        <w:t>al Govern de Catalunya.</w:t>
      </w:r>
    </w:p>
    <w:p w:rsidR="004F1B4E" w:rsidRPr="000D7D0A" w:rsidRDefault="00985AF1"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Dente, B. &amp; Subirats, J.</w:t>
      </w:r>
      <w:r w:rsidR="004F1B4E" w:rsidRPr="000D7D0A">
        <w:rPr>
          <w:rFonts w:ascii="Times New Roman" w:hAnsi="Times New Roman" w:cs="Times New Roman"/>
          <w:noProof/>
          <w:sz w:val="24"/>
          <w:szCs w:val="24"/>
        </w:rPr>
        <w:t xml:space="preserve"> 2014. </w:t>
      </w:r>
      <w:r w:rsidR="004F1B4E" w:rsidRPr="000D7D0A">
        <w:rPr>
          <w:rFonts w:ascii="Times New Roman" w:hAnsi="Times New Roman" w:cs="Times New Roman"/>
          <w:i/>
          <w:iCs/>
          <w:noProof/>
          <w:sz w:val="24"/>
          <w:szCs w:val="24"/>
        </w:rPr>
        <w:t>Decisiones públicas : análisis y estudio de los procesos de decisión en políticas públicas</w:t>
      </w:r>
      <w:r w:rsidR="004F1B4E" w:rsidRPr="000D7D0A">
        <w:rPr>
          <w:rFonts w:ascii="Times New Roman" w:hAnsi="Times New Roman" w:cs="Times New Roman"/>
          <w:noProof/>
          <w:sz w:val="24"/>
          <w:szCs w:val="24"/>
        </w:rPr>
        <w:t xml:space="preserve">, Barcelona : Ariel. </w:t>
      </w:r>
    </w:p>
    <w:p w:rsidR="004F1B4E" w:rsidRPr="000D7D0A" w:rsidRDefault="00985AF1"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Erickson, D.</w:t>
      </w:r>
      <w:r w:rsidR="004F1B4E" w:rsidRPr="000D7D0A">
        <w:rPr>
          <w:rFonts w:ascii="Times New Roman" w:hAnsi="Times New Roman" w:cs="Times New Roman"/>
          <w:noProof/>
          <w:sz w:val="24"/>
          <w:szCs w:val="24"/>
        </w:rPr>
        <w:t xml:space="preserve"> 2008. MetroGreen: Connecting Open Space in North American Cities. </w:t>
      </w:r>
      <w:r w:rsidR="004F1B4E" w:rsidRPr="000D7D0A">
        <w:rPr>
          <w:rFonts w:ascii="Times New Roman" w:hAnsi="Times New Roman" w:cs="Times New Roman"/>
          <w:i/>
          <w:iCs/>
          <w:noProof/>
          <w:sz w:val="24"/>
          <w:szCs w:val="24"/>
        </w:rPr>
        <w:t>Landscape Ecology</w:t>
      </w:r>
      <w:r w:rsidR="004F1B4E" w:rsidRPr="000D7D0A">
        <w:rPr>
          <w:rFonts w:ascii="Times New Roman" w:hAnsi="Times New Roman" w:cs="Times New Roman"/>
          <w:noProof/>
          <w:sz w:val="24"/>
          <w:szCs w:val="24"/>
        </w:rPr>
        <w:t>, 23(1), pp.121–122.</w:t>
      </w:r>
    </w:p>
    <w:p w:rsidR="004F1B4E" w:rsidRPr="000D7D0A" w:rsidRDefault="00985AF1"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Forester, J.</w:t>
      </w:r>
      <w:r w:rsidR="004F1B4E" w:rsidRPr="000D7D0A">
        <w:rPr>
          <w:rFonts w:ascii="Times New Roman" w:hAnsi="Times New Roman" w:cs="Times New Roman"/>
          <w:noProof/>
          <w:sz w:val="24"/>
          <w:szCs w:val="24"/>
        </w:rPr>
        <w:t xml:space="preserve"> 1999. </w:t>
      </w:r>
      <w:r w:rsidR="004F1B4E" w:rsidRPr="000D7D0A">
        <w:rPr>
          <w:rFonts w:ascii="Times New Roman" w:hAnsi="Times New Roman" w:cs="Times New Roman"/>
          <w:i/>
          <w:iCs/>
          <w:noProof/>
          <w:sz w:val="24"/>
          <w:szCs w:val="24"/>
        </w:rPr>
        <w:t>The Deliberative practitioner encouraging participatory planning processes</w:t>
      </w:r>
      <w:r w:rsidR="004F1B4E" w:rsidRPr="000D7D0A">
        <w:rPr>
          <w:rFonts w:ascii="Times New Roman" w:hAnsi="Times New Roman" w:cs="Times New Roman"/>
          <w:noProof/>
          <w:sz w:val="24"/>
          <w:szCs w:val="24"/>
        </w:rPr>
        <w:t>, Cambridge, Mass</w:t>
      </w:r>
      <w:r w:rsidRPr="000D7D0A">
        <w:rPr>
          <w:rFonts w:ascii="Times New Roman" w:hAnsi="Times New Roman" w:cs="Times New Roman"/>
          <w:noProof/>
          <w:sz w:val="24"/>
          <w:szCs w:val="24"/>
        </w:rPr>
        <w:t>achusets</w:t>
      </w:r>
      <w:r w:rsidR="004F1B4E" w:rsidRPr="000D7D0A">
        <w:rPr>
          <w:rFonts w:ascii="Times New Roman" w:hAnsi="Times New Roman" w:cs="Times New Roman"/>
          <w:noProof/>
          <w:sz w:val="24"/>
          <w:szCs w:val="24"/>
        </w:rPr>
        <w:t xml:space="preserve">: MIT Press. </w:t>
      </w:r>
    </w:p>
    <w:p w:rsidR="004F1B4E" w:rsidRPr="000D7D0A" w:rsidRDefault="00985AF1"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Gomà, R. &amp; Subirats, J.</w:t>
      </w:r>
      <w:r w:rsidR="004F1B4E" w:rsidRPr="000D7D0A">
        <w:rPr>
          <w:rFonts w:ascii="Times New Roman" w:hAnsi="Times New Roman" w:cs="Times New Roman"/>
          <w:noProof/>
          <w:sz w:val="24"/>
          <w:szCs w:val="24"/>
        </w:rPr>
        <w:t xml:space="preserve"> 1998. </w:t>
      </w:r>
      <w:r w:rsidR="004F1B4E" w:rsidRPr="000D7D0A">
        <w:rPr>
          <w:rFonts w:ascii="Times New Roman" w:hAnsi="Times New Roman" w:cs="Times New Roman"/>
          <w:i/>
          <w:iCs/>
          <w:noProof/>
          <w:sz w:val="24"/>
          <w:szCs w:val="24"/>
        </w:rPr>
        <w:t>Políticas públicas en España : contenidos, redes de actores y niveles de gobierno</w:t>
      </w:r>
      <w:r w:rsidR="004F1B4E" w:rsidRPr="000D7D0A">
        <w:rPr>
          <w:rFonts w:ascii="Times New Roman" w:hAnsi="Times New Roman" w:cs="Times New Roman"/>
          <w:noProof/>
          <w:sz w:val="24"/>
          <w:szCs w:val="24"/>
        </w:rPr>
        <w:t xml:space="preserve">, Barcelona : Ariel.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Grau Creus, M. &amp; Mateos, A., 2002. </w:t>
      </w:r>
      <w:r w:rsidRPr="000D7D0A">
        <w:rPr>
          <w:rFonts w:ascii="Times New Roman" w:hAnsi="Times New Roman" w:cs="Times New Roman"/>
          <w:i/>
          <w:iCs/>
          <w:noProof/>
          <w:sz w:val="24"/>
          <w:szCs w:val="24"/>
        </w:rPr>
        <w:t>Análisis de políticas públicas en España: enfoques y casos</w:t>
      </w:r>
      <w:r w:rsidRPr="000D7D0A">
        <w:rPr>
          <w:rFonts w:ascii="Times New Roman" w:hAnsi="Times New Roman" w:cs="Times New Roman"/>
          <w:noProof/>
          <w:sz w:val="24"/>
          <w:szCs w:val="24"/>
        </w:rPr>
        <w:t xml:space="preserve">, Valencia : Tirant lo Blanch.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Harguindéguy, J.-B., 2013. </w:t>
      </w:r>
      <w:r w:rsidRPr="000D7D0A">
        <w:rPr>
          <w:rFonts w:ascii="Times New Roman" w:hAnsi="Times New Roman" w:cs="Times New Roman"/>
          <w:i/>
          <w:iCs/>
          <w:noProof/>
          <w:sz w:val="24"/>
          <w:szCs w:val="24"/>
        </w:rPr>
        <w:t>Análisis de políticas públicas</w:t>
      </w:r>
      <w:r w:rsidRPr="000D7D0A">
        <w:rPr>
          <w:rFonts w:ascii="Times New Roman" w:hAnsi="Times New Roman" w:cs="Times New Roman"/>
          <w:noProof/>
          <w:sz w:val="24"/>
          <w:szCs w:val="24"/>
        </w:rPr>
        <w:t xml:space="preserve">, Madrid : Tecnos.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Hellmund, P.C. &amp; Smith, D.S., 2006. </w:t>
      </w:r>
      <w:r w:rsidRPr="000D7D0A">
        <w:rPr>
          <w:rFonts w:ascii="Times New Roman" w:hAnsi="Times New Roman" w:cs="Times New Roman"/>
          <w:i/>
          <w:iCs/>
          <w:noProof/>
          <w:sz w:val="24"/>
          <w:szCs w:val="24"/>
        </w:rPr>
        <w:t>Designing greenways : sustainable landscapes for nature and people</w:t>
      </w:r>
      <w:r w:rsidRPr="000D7D0A">
        <w:rPr>
          <w:rFonts w:ascii="Times New Roman" w:hAnsi="Times New Roman" w:cs="Times New Roman"/>
          <w:noProof/>
          <w:sz w:val="24"/>
          <w:szCs w:val="24"/>
        </w:rPr>
        <w:t xml:space="preserve">, Washington [etc.] : IslandPress.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Hill, M.J., 2009. </w:t>
      </w:r>
      <w:r w:rsidRPr="000D7D0A">
        <w:rPr>
          <w:rFonts w:ascii="Times New Roman" w:hAnsi="Times New Roman" w:cs="Times New Roman"/>
          <w:i/>
          <w:iCs/>
          <w:noProof/>
          <w:sz w:val="24"/>
          <w:szCs w:val="24"/>
        </w:rPr>
        <w:t>The public policy process</w:t>
      </w:r>
      <w:r w:rsidRPr="000D7D0A">
        <w:rPr>
          <w:rFonts w:ascii="Times New Roman" w:hAnsi="Times New Roman" w:cs="Times New Roman"/>
          <w:noProof/>
          <w:sz w:val="24"/>
          <w:szCs w:val="24"/>
        </w:rPr>
        <w:t xml:space="preserve">, New York : Longman.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John, P., 2001. </w:t>
      </w:r>
      <w:r w:rsidRPr="000D7D0A">
        <w:rPr>
          <w:rFonts w:ascii="Times New Roman" w:hAnsi="Times New Roman" w:cs="Times New Roman"/>
          <w:i/>
          <w:iCs/>
          <w:noProof/>
          <w:sz w:val="24"/>
          <w:szCs w:val="24"/>
        </w:rPr>
        <w:t>Local governance in Western Europe</w:t>
      </w:r>
      <w:r w:rsidRPr="000D7D0A">
        <w:rPr>
          <w:rFonts w:ascii="Times New Roman" w:hAnsi="Times New Roman" w:cs="Times New Roman"/>
          <w:noProof/>
          <w:sz w:val="24"/>
          <w:szCs w:val="24"/>
        </w:rPr>
        <w:t>, Thousand Oaks, Calif</w:t>
      </w:r>
      <w:r w:rsidR="00985AF1" w:rsidRPr="000D7D0A">
        <w:rPr>
          <w:rFonts w:ascii="Times New Roman" w:hAnsi="Times New Roman" w:cs="Times New Roman"/>
          <w:noProof/>
          <w:sz w:val="24"/>
          <w:szCs w:val="24"/>
        </w:rPr>
        <w:t>ornia</w:t>
      </w:r>
      <w:r w:rsidRPr="000D7D0A">
        <w:rPr>
          <w:rFonts w:ascii="Times New Roman" w:hAnsi="Times New Roman" w:cs="Times New Roman"/>
          <w:noProof/>
          <w:sz w:val="24"/>
          <w:szCs w:val="24"/>
        </w:rPr>
        <w:t xml:space="preserve"> : SAGE.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Kjær, A.M., 2004. </w:t>
      </w:r>
      <w:r w:rsidRPr="000D7D0A">
        <w:rPr>
          <w:rFonts w:ascii="Times New Roman" w:hAnsi="Times New Roman" w:cs="Times New Roman"/>
          <w:i/>
          <w:iCs/>
          <w:noProof/>
          <w:sz w:val="24"/>
          <w:szCs w:val="24"/>
        </w:rPr>
        <w:t>Governance</w:t>
      </w:r>
      <w:r w:rsidR="00985AF1" w:rsidRPr="000D7D0A">
        <w:rPr>
          <w:rFonts w:ascii="Times New Roman" w:hAnsi="Times New Roman" w:cs="Times New Roman"/>
          <w:noProof/>
          <w:sz w:val="24"/>
          <w:szCs w:val="24"/>
        </w:rPr>
        <w:t>, Cambridge</w:t>
      </w:r>
      <w:r w:rsidRPr="000D7D0A">
        <w:rPr>
          <w:rFonts w:ascii="Times New Roman" w:hAnsi="Times New Roman" w:cs="Times New Roman"/>
          <w:noProof/>
          <w:sz w:val="24"/>
          <w:szCs w:val="24"/>
        </w:rPr>
        <w:t> : Polity Press.</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 Koppenjan, J.F.M. &amp; Klijn, E.-H., 2004. </w:t>
      </w:r>
      <w:r w:rsidRPr="000D7D0A">
        <w:rPr>
          <w:rFonts w:ascii="Times New Roman" w:hAnsi="Times New Roman" w:cs="Times New Roman"/>
          <w:i/>
          <w:iCs/>
          <w:noProof/>
          <w:sz w:val="24"/>
          <w:szCs w:val="24"/>
        </w:rPr>
        <w:t>Managing uncertainties in networks : a network approach to problem solving and decision making</w:t>
      </w:r>
      <w:r w:rsidRPr="000D7D0A">
        <w:rPr>
          <w:rFonts w:ascii="Times New Roman" w:hAnsi="Times New Roman" w:cs="Times New Roman"/>
          <w:noProof/>
          <w:sz w:val="24"/>
          <w:szCs w:val="24"/>
        </w:rPr>
        <w:t>, London and New York : Routledge.</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 Levante, 2014. De Ojos Negros al Puerto de Sagunto. </w:t>
      </w:r>
      <w:r w:rsidR="00985AF1" w:rsidRPr="000D7D0A">
        <w:rPr>
          <w:rFonts w:ascii="Times New Roman" w:hAnsi="Times New Roman" w:cs="Times New Roman"/>
          <w:noProof/>
          <w:sz w:val="24"/>
          <w:szCs w:val="24"/>
        </w:rPr>
        <w:t xml:space="preserve">23-05-14. </w:t>
      </w:r>
      <w:r w:rsidRPr="000D7D0A">
        <w:rPr>
          <w:rFonts w:ascii="Times New Roman" w:hAnsi="Times New Roman" w:cs="Times New Roman"/>
          <w:i/>
          <w:iCs/>
          <w:noProof/>
          <w:sz w:val="24"/>
          <w:szCs w:val="24"/>
        </w:rPr>
        <w:t>Levante-EMV</w:t>
      </w:r>
      <w:r w:rsidRPr="000D7D0A">
        <w:rPr>
          <w:rFonts w:ascii="Times New Roman" w:hAnsi="Times New Roman" w:cs="Times New Roman"/>
          <w:noProof/>
          <w:sz w:val="24"/>
          <w:szCs w:val="24"/>
        </w:rPr>
        <w:t xml:space="preserve">.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Levi-Faur, D. (Ed), 2012. </w:t>
      </w:r>
      <w:r w:rsidRPr="000D7D0A">
        <w:rPr>
          <w:rFonts w:ascii="Times New Roman" w:hAnsi="Times New Roman" w:cs="Times New Roman"/>
          <w:i/>
          <w:iCs/>
          <w:noProof/>
          <w:sz w:val="24"/>
          <w:szCs w:val="24"/>
        </w:rPr>
        <w:t>The Oxford handbook of governance</w:t>
      </w:r>
      <w:r w:rsidRPr="000D7D0A">
        <w:rPr>
          <w:rFonts w:ascii="Times New Roman" w:hAnsi="Times New Roman" w:cs="Times New Roman"/>
          <w:noProof/>
          <w:sz w:val="24"/>
          <w:szCs w:val="24"/>
        </w:rPr>
        <w:t xml:space="preserve">, Oxford : Oxford University Press.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lastRenderedPageBreak/>
        <w:t xml:space="preserve">Mercat, N., 2009. Spécial économie du vélo. </w:t>
      </w:r>
      <w:r w:rsidR="00985AF1" w:rsidRPr="000D7D0A">
        <w:rPr>
          <w:rFonts w:ascii="Times New Roman" w:hAnsi="Times New Roman" w:cs="Times New Roman"/>
          <w:noProof/>
          <w:sz w:val="24"/>
          <w:szCs w:val="24"/>
        </w:rPr>
        <w:t>Paris: Atout France</w:t>
      </w:r>
      <w:r w:rsidRPr="000D7D0A">
        <w:rPr>
          <w:rFonts w:ascii="Times New Roman" w:hAnsi="Times New Roman" w:cs="Times New Roman"/>
          <w:noProof/>
          <w:sz w:val="24"/>
          <w:szCs w:val="24"/>
        </w:rPr>
        <w:t>.</w:t>
      </w:r>
    </w:p>
    <w:p w:rsidR="004F1B4E" w:rsidRPr="000D7D0A" w:rsidRDefault="00985AF1"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Moore, M.H.</w:t>
      </w:r>
      <w:r w:rsidR="004F1B4E" w:rsidRPr="000D7D0A">
        <w:rPr>
          <w:rFonts w:ascii="Times New Roman" w:hAnsi="Times New Roman" w:cs="Times New Roman"/>
          <w:noProof/>
          <w:sz w:val="24"/>
          <w:szCs w:val="24"/>
        </w:rPr>
        <w:t xml:space="preserve"> 1995. </w:t>
      </w:r>
      <w:r w:rsidR="004F1B4E" w:rsidRPr="000D7D0A">
        <w:rPr>
          <w:rFonts w:ascii="Times New Roman" w:hAnsi="Times New Roman" w:cs="Times New Roman"/>
          <w:i/>
          <w:iCs/>
          <w:noProof/>
          <w:sz w:val="24"/>
          <w:szCs w:val="24"/>
        </w:rPr>
        <w:t>Creating public value : strategic management in government</w:t>
      </w:r>
      <w:r w:rsidR="004F1B4E" w:rsidRPr="000D7D0A">
        <w:rPr>
          <w:rFonts w:ascii="Times New Roman" w:hAnsi="Times New Roman" w:cs="Times New Roman"/>
          <w:noProof/>
          <w:sz w:val="24"/>
          <w:szCs w:val="24"/>
        </w:rPr>
        <w:t>, Cambridge, Mass. [etc.] H</w:t>
      </w:r>
      <w:r w:rsidRPr="000D7D0A">
        <w:rPr>
          <w:rFonts w:ascii="Times New Roman" w:hAnsi="Times New Roman" w:cs="Times New Roman"/>
          <w:noProof/>
          <w:sz w:val="24"/>
          <w:szCs w:val="24"/>
        </w:rPr>
        <w:t>arvard University Press</w:t>
      </w:r>
      <w:r w:rsidR="004F1B4E" w:rsidRPr="000D7D0A">
        <w:rPr>
          <w:rFonts w:ascii="Times New Roman" w:hAnsi="Times New Roman" w:cs="Times New Roman"/>
          <w:noProof/>
          <w:sz w:val="24"/>
          <w:szCs w:val="24"/>
        </w:rPr>
        <w:t xml:space="preserve">. </w:t>
      </w:r>
    </w:p>
    <w:p w:rsidR="00A46219" w:rsidRPr="000D7D0A" w:rsidRDefault="004F1B4E" w:rsidP="00A46219">
      <w:pPr>
        <w:rPr>
          <w:rFonts w:ascii="Times New Roman" w:hAnsi="Times New Roman" w:cs="Times New Roman"/>
          <w:sz w:val="24"/>
          <w:szCs w:val="24"/>
        </w:rPr>
      </w:pPr>
      <w:r w:rsidRPr="000D7D0A">
        <w:rPr>
          <w:rFonts w:ascii="Times New Roman" w:hAnsi="Times New Roman" w:cs="Times New Roman"/>
          <w:noProof/>
          <w:sz w:val="24"/>
          <w:szCs w:val="24"/>
        </w:rPr>
        <w:t>Mundet, L. &amp; Coenders, G., 2010. Greenways: a sustainable leisure experience concept for both communities and tourists.</w:t>
      </w:r>
      <w:r w:rsidR="00A46219" w:rsidRPr="000D7D0A">
        <w:rPr>
          <w:rFonts w:ascii="Times New Roman" w:hAnsi="Times New Roman" w:cs="Times New Roman"/>
          <w:noProof/>
          <w:sz w:val="24"/>
          <w:szCs w:val="24"/>
        </w:rPr>
        <w:t xml:space="preserve"> </w:t>
      </w:r>
      <w:proofErr w:type="spellStart"/>
      <w:r w:rsidR="00A46219" w:rsidRPr="000D7D0A">
        <w:rPr>
          <w:rFonts w:ascii="Times New Roman" w:hAnsi="Times New Roman" w:cs="Times New Roman"/>
          <w:sz w:val="24"/>
          <w:szCs w:val="24"/>
        </w:rPr>
        <w:t>Journal</w:t>
      </w:r>
      <w:proofErr w:type="spellEnd"/>
      <w:r w:rsidR="00A46219" w:rsidRPr="000D7D0A">
        <w:rPr>
          <w:rFonts w:ascii="Times New Roman" w:hAnsi="Times New Roman" w:cs="Times New Roman"/>
          <w:sz w:val="24"/>
          <w:szCs w:val="24"/>
        </w:rPr>
        <w:t xml:space="preserve"> of </w:t>
      </w:r>
      <w:proofErr w:type="spellStart"/>
      <w:r w:rsidR="00A46219" w:rsidRPr="000D7D0A">
        <w:rPr>
          <w:rFonts w:ascii="Times New Roman" w:hAnsi="Times New Roman" w:cs="Times New Roman"/>
          <w:sz w:val="24"/>
          <w:szCs w:val="24"/>
        </w:rPr>
        <w:t>Sustainable</w:t>
      </w:r>
      <w:proofErr w:type="spellEnd"/>
      <w:r w:rsidR="00A46219" w:rsidRPr="000D7D0A">
        <w:rPr>
          <w:rFonts w:ascii="Times New Roman" w:hAnsi="Times New Roman" w:cs="Times New Roman"/>
          <w:sz w:val="24"/>
          <w:szCs w:val="24"/>
        </w:rPr>
        <w:t xml:space="preserve"> </w:t>
      </w:r>
      <w:proofErr w:type="spellStart"/>
      <w:r w:rsidR="00A46219" w:rsidRPr="000D7D0A">
        <w:rPr>
          <w:rFonts w:ascii="Times New Roman" w:hAnsi="Times New Roman" w:cs="Times New Roman"/>
          <w:sz w:val="24"/>
          <w:szCs w:val="24"/>
        </w:rPr>
        <w:t>Tourism</w:t>
      </w:r>
      <w:proofErr w:type="spellEnd"/>
      <w:r w:rsidR="00A46219" w:rsidRPr="000D7D0A">
        <w:rPr>
          <w:rFonts w:ascii="Times New Roman" w:hAnsi="Times New Roman" w:cs="Times New Roman"/>
          <w:sz w:val="24"/>
          <w:szCs w:val="24"/>
        </w:rPr>
        <w:t>, 18(5), 657-674,</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 Palau, R. et al., 2012. An Analysis of Greenways from an Economic Perspective. </w:t>
      </w:r>
      <w:r w:rsidRPr="000D7D0A">
        <w:rPr>
          <w:rFonts w:ascii="Times New Roman" w:hAnsi="Times New Roman" w:cs="Times New Roman"/>
          <w:i/>
          <w:iCs/>
          <w:noProof/>
          <w:sz w:val="24"/>
          <w:szCs w:val="24"/>
        </w:rPr>
        <w:t>Tourism Planning &amp; Development</w:t>
      </w:r>
      <w:r w:rsidR="00A46219" w:rsidRPr="000D7D0A">
        <w:rPr>
          <w:rFonts w:ascii="Times New Roman" w:hAnsi="Times New Roman" w:cs="Times New Roman"/>
          <w:noProof/>
          <w:sz w:val="24"/>
          <w:szCs w:val="24"/>
        </w:rPr>
        <w:t xml:space="preserve">, 9(1), </w:t>
      </w:r>
      <w:r w:rsidRPr="000D7D0A">
        <w:rPr>
          <w:rFonts w:ascii="Times New Roman" w:hAnsi="Times New Roman" w:cs="Times New Roman"/>
          <w:noProof/>
          <w:sz w:val="24"/>
          <w:szCs w:val="24"/>
        </w:rPr>
        <w:t>15–24.</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Piket, P., Eijgelaar, E. &amp; Peeters, P.M., 2013. European cycle tourism: a tool for sustainable regional rural development. </w:t>
      </w:r>
      <w:r w:rsidRPr="000D7D0A">
        <w:rPr>
          <w:rFonts w:ascii="Times New Roman" w:hAnsi="Times New Roman" w:cs="Times New Roman"/>
          <w:i/>
          <w:iCs/>
          <w:noProof/>
          <w:sz w:val="24"/>
          <w:szCs w:val="24"/>
        </w:rPr>
        <w:t>Applied Studies in Agri</w:t>
      </w:r>
      <w:r w:rsidR="00A46219" w:rsidRPr="000D7D0A">
        <w:rPr>
          <w:rFonts w:ascii="Times New Roman" w:hAnsi="Times New Roman" w:cs="Times New Roman"/>
          <w:i/>
          <w:iCs/>
          <w:noProof/>
          <w:sz w:val="24"/>
          <w:szCs w:val="24"/>
        </w:rPr>
        <w:t xml:space="preserve">business and Commerce </w:t>
      </w:r>
      <w:r w:rsidR="00A46219" w:rsidRPr="000D7D0A">
        <w:rPr>
          <w:rFonts w:ascii="Times New Roman" w:hAnsi="Times New Roman" w:cs="Times New Roman"/>
          <w:noProof/>
          <w:sz w:val="24"/>
          <w:szCs w:val="24"/>
        </w:rPr>
        <w:t xml:space="preserve">7(2–3), </w:t>
      </w:r>
      <w:r w:rsidRPr="000D7D0A">
        <w:rPr>
          <w:rFonts w:ascii="Times New Roman" w:hAnsi="Times New Roman" w:cs="Times New Roman"/>
          <w:noProof/>
          <w:sz w:val="24"/>
          <w:szCs w:val="24"/>
        </w:rPr>
        <w:t>1–6.</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Searns, R.M., 1995. The evolution of greenways as an adaptive urban landscape form. </w:t>
      </w:r>
      <w:r w:rsidRPr="000D7D0A">
        <w:rPr>
          <w:rFonts w:ascii="Times New Roman" w:hAnsi="Times New Roman" w:cs="Times New Roman"/>
          <w:i/>
          <w:iCs/>
          <w:noProof/>
          <w:sz w:val="24"/>
          <w:szCs w:val="24"/>
        </w:rPr>
        <w:t>Landscape and Urban Planning</w:t>
      </w:r>
      <w:r w:rsidRPr="000D7D0A">
        <w:rPr>
          <w:rFonts w:ascii="Times New Roman" w:hAnsi="Times New Roman" w:cs="Times New Roman"/>
          <w:noProof/>
          <w:sz w:val="24"/>
          <w:szCs w:val="24"/>
        </w:rPr>
        <w:t>.</w:t>
      </w:r>
    </w:p>
    <w:p w:rsidR="004F1B4E" w:rsidRPr="000D7D0A" w:rsidRDefault="0039722B"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Memòria 2009. 2010</w:t>
      </w:r>
      <w:r w:rsidR="004F1B4E" w:rsidRPr="000D7D0A">
        <w:rPr>
          <w:rFonts w:ascii="Times New Roman" w:hAnsi="Times New Roman" w:cs="Times New Roman"/>
          <w:noProof/>
          <w:sz w:val="24"/>
          <w:szCs w:val="24"/>
        </w:rPr>
        <w:t>. Secretaria per la mobilitat.</w:t>
      </w:r>
      <w:r w:rsidRPr="000D7D0A">
        <w:rPr>
          <w:rFonts w:ascii="Times New Roman" w:hAnsi="Times New Roman" w:cs="Times New Roman"/>
          <w:noProof/>
          <w:sz w:val="24"/>
          <w:szCs w:val="24"/>
        </w:rPr>
        <w:t xml:space="preserve"> Generalitat de Catalunya.</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Sørensen, E. &amp; Torfing, J., 2007. </w:t>
      </w:r>
      <w:r w:rsidRPr="000D7D0A">
        <w:rPr>
          <w:rFonts w:ascii="Times New Roman" w:hAnsi="Times New Roman" w:cs="Times New Roman"/>
          <w:i/>
          <w:iCs/>
          <w:noProof/>
          <w:sz w:val="24"/>
          <w:szCs w:val="24"/>
        </w:rPr>
        <w:t>Theories of democratic network governance</w:t>
      </w:r>
      <w:r w:rsidRPr="000D7D0A">
        <w:rPr>
          <w:rFonts w:ascii="Times New Roman" w:hAnsi="Times New Roman" w:cs="Times New Roman"/>
          <w:noProof/>
          <w:sz w:val="24"/>
          <w:szCs w:val="24"/>
        </w:rPr>
        <w:t xml:space="preserve">, Basingstoke: Palgrave Macmillian.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Subirats, J.P., 2008. </w:t>
      </w:r>
      <w:r w:rsidRPr="000D7D0A">
        <w:rPr>
          <w:rFonts w:ascii="Times New Roman" w:hAnsi="Times New Roman" w:cs="Times New Roman"/>
          <w:i/>
          <w:iCs/>
          <w:noProof/>
          <w:sz w:val="24"/>
          <w:szCs w:val="24"/>
        </w:rPr>
        <w:t>Análisis y gestión de políticas públicas</w:t>
      </w:r>
      <w:r w:rsidR="00A46219" w:rsidRPr="000D7D0A">
        <w:rPr>
          <w:rFonts w:ascii="Times New Roman" w:hAnsi="Times New Roman" w:cs="Times New Roman"/>
          <w:noProof/>
          <w:sz w:val="24"/>
          <w:szCs w:val="24"/>
        </w:rPr>
        <w:t>, Barcelona</w:t>
      </w:r>
      <w:r w:rsidRPr="000D7D0A">
        <w:rPr>
          <w:rFonts w:ascii="Times New Roman" w:hAnsi="Times New Roman" w:cs="Times New Roman"/>
          <w:noProof/>
          <w:sz w:val="24"/>
          <w:szCs w:val="24"/>
        </w:rPr>
        <w:t xml:space="preserve">: Ariel. </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 xml:space="preserve">Teles, F., 2016. </w:t>
      </w:r>
      <w:r w:rsidRPr="000D7D0A">
        <w:rPr>
          <w:rFonts w:ascii="Times New Roman" w:hAnsi="Times New Roman" w:cs="Times New Roman"/>
          <w:i/>
          <w:iCs/>
          <w:noProof/>
          <w:sz w:val="24"/>
          <w:szCs w:val="24"/>
        </w:rPr>
        <w:t>Local governance and inter-municipal cooperation</w:t>
      </w:r>
      <w:r w:rsidRPr="000D7D0A">
        <w:rPr>
          <w:rFonts w:ascii="Times New Roman" w:hAnsi="Times New Roman" w:cs="Times New Roman"/>
          <w:noProof/>
          <w:sz w:val="24"/>
          <w:szCs w:val="24"/>
        </w:rPr>
        <w:t xml:space="preserve">, </w:t>
      </w:r>
      <w:r w:rsidR="00A46219" w:rsidRPr="000D7D0A">
        <w:rPr>
          <w:rFonts w:ascii="Times New Roman" w:hAnsi="Times New Roman" w:cs="Times New Roman"/>
          <w:noProof/>
          <w:sz w:val="24"/>
          <w:szCs w:val="24"/>
        </w:rPr>
        <w:t>New York: Palgrave McMillan</w:t>
      </w:r>
    </w:p>
    <w:p w:rsidR="004F1B4E" w:rsidRPr="000D7D0A" w:rsidRDefault="004F1B4E"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UE, 2015. G</w:t>
      </w:r>
      <w:r w:rsidR="0039722B" w:rsidRPr="000D7D0A">
        <w:rPr>
          <w:rFonts w:ascii="Times New Roman" w:hAnsi="Times New Roman" w:cs="Times New Roman"/>
          <w:noProof/>
          <w:sz w:val="24"/>
          <w:szCs w:val="24"/>
        </w:rPr>
        <w:t>uide in EU funding. 2014-2020 f</w:t>
      </w:r>
      <w:r w:rsidRPr="000D7D0A">
        <w:rPr>
          <w:rFonts w:ascii="Times New Roman" w:hAnsi="Times New Roman" w:cs="Times New Roman"/>
          <w:noProof/>
          <w:sz w:val="24"/>
          <w:szCs w:val="24"/>
        </w:rPr>
        <w:t>or the tourism sector.</w:t>
      </w:r>
      <w:r w:rsidR="0039722B" w:rsidRPr="000D7D0A">
        <w:rPr>
          <w:rFonts w:ascii="Times New Roman" w:hAnsi="Times New Roman" w:cs="Times New Roman"/>
          <w:noProof/>
          <w:sz w:val="24"/>
          <w:szCs w:val="24"/>
        </w:rPr>
        <w:t xml:space="preserve"> UE</w:t>
      </w:r>
    </w:p>
    <w:p w:rsidR="004F1B4E" w:rsidRPr="000D7D0A" w:rsidRDefault="0039722B" w:rsidP="004F1B4E">
      <w:pPr>
        <w:widowControl w:val="0"/>
        <w:autoSpaceDE w:val="0"/>
        <w:autoSpaceDN w:val="0"/>
        <w:adjustRightInd w:val="0"/>
        <w:spacing w:line="240" w:lineRule="auto"/>
        <w:ind w:left="480" w:hanging="480"/>
        <w:rPr>
          <w:rFonts w:ascii="Times New Roman" w:hAnsi="Times New Roman" w:cs="Times New Roman"/>
          <w:noProof/>
          <w:sz w:val="24"/>
          <w:szCs w:val="24"/>
        </w:rPr>
      </w:pPr>
      <w:r w:rsidRPr="000D7D0A">
        <w:rPr>
          <w:rFonts w:ascii="Times New Roman" w:hAnsi="Times New Roman" w:cs="Times New Roman"/>
          <w:noProof/>
          <w:sz w:val="24"/>
          <w:szCs w:val="24"/>
        </w:rPr>
        <w:t>Vallès, J.M. &amp; Martí i Puig, S.</w:t>
      </w:r>
      <w:r w:rsidR="004F1B4E" w:rsidRPr="000D7D0A">
        <w:rPr>
          <w:rFonts w:ascii="Times New Roman" w:hAnsi="Times New Roman" w:cs="Times New Roman"/>
          <w:noProof/>
          <w:sz w:val="24"/>
          <w:szCs w:val="24"/>
        </w:rPr>
        <w:t xml:space="preserve"> 2015. </w:t>
      </w:r>
      <w:r w:rsidRPr="000D7D0A">
        <w:rPr>
          <w:rFonts w:ascii="Times New Roman" w:hAnsi="Times New Roman" w:cs="Times New Roman"/>
          <w:i/>
          <w:iCs/>
          <w:noProof/>
          <w:sz w:val="24"/>
          <w:szCs w:val="24"/>
        </w:rPr>
        <w:t>Ciencia política</w:t>
      </w:r>
      <w:r w:rsidR="004F1B4E" w:rsidRPr="000D7D0A">
        <w:rPr>
          <w:rFonts w:ascii="Times New Roman" w:hAnsi="Times New Roman" w:cs="Times New Roman"/>
          <w:i/>
          <w:iCs/>
          <w:noProof/>
          <w:sz w:val="24"/>
          <w:szCs w:val="24"/>
        </w:rPr>
        <w:t>: un manual</w:t>
      </w:r>
      <w:r w:rsidR="004F1B4E" w:rsidRPr="000D7D0A">
        <w:rPr>
          <w:rFonts w:ascii="Times New Roman" w:hAnsi="Times New Roman" w:cs="Times New Roman"/>
          <w:noProof/>
          <w:sz w:val="24"/>
          <w:szCs w:val="24"/>
        </w:rPr>
        <w:t xml:space="preserve">, Barcelona : Ariel. </w:t>
      </w:r>
    </w:p>
    <w:p w:rsidR="003B7FDF" w:rsidRPr="000D7D0A" w:rsidRDefault="00361692" w:rsidP="00C45EBC">
      <w:pPr>
        <w:widowControl w:val="0"/>
        <w:autoSpaceDE w:val="0"/>
        <w:autoSpaceDN w:val="0"/>
        <w:adjustRightInd w:val="0"/>
        <w:spacing w:line="240" w:lineRule="auto"/>
        <w:ind w:left="480" w:hanging="480"/>
        <w:rPr>
          <w:rFonts w:ascii="Times New Roman" w:hAnsi="Times New Roman" w:cs="Times New Roman"/>
          <w:sz w:val="24"/>
          <w:szCs w:val="24"/>
        </w:rPr>
      </w:pPr>
      <w:r w:rsidRPr="000D7D0A">
        <w:rPr>
          <w:rFonts w:ascii="Times New Roman" w:hAnsi="Times New Roman" w:cs="Times New Roman"/>
          <w:sz w:val="24"/>
          <w:szCs w:val="24"/>
        </w:rPr>
        <w:fldChar w:fldCharType="end"/>
      </w:r>
    </w:p>
    <w:sectPr w:rsidR="003B7FDF" w:rsidRPr="000D7D0A" w:rsidSect="00972F66">
      <w:foot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2BA4" w:rsidRDefault="004F2BA4" w:rsidP="00CA02B1">
      <w:pPr>
        <w:spacing w:after="0" w:line="240" w:lineRule="auto"/>
      </w:pPr>
      <w:r>
        <w:separator/>
      </w:r>
    </w:p>
  </w:endnote>
  <w:endnote w:type="continuationSeparator" w:id="0">
    <w:p w:rsidR="004F2BA4" w:rsidRDefault="004F2BA4" w:rsidP="00CA02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1424849"/>
      <w:docPartObj>
        <w:docPartGallery w:val="Page Numbers (Bottom of Page)"/>
        <w:docPartUnique/>
      </w:docPartObj>
    </w:sdtPr>
    <w:sdtContent>
      <w:p w:rsidR="000D7D0A" w:rsidRDefault="000D7D0A">
        <w:pPr>
          <w:pStyle w:val="Piedepgina"/>
          <w:jc w:val="right"/>
        </w:pPr>
        <w:fldSimple w:instr=" PAGE   \* MERGEFORMAT ">
          <w:r>
            <w:rPr>
              <w:noProof/>
            </w:rPr>
            <w:t>2</w:t>
          </w:r>
        </w:fldSimple>
      </w:p>
    </w:sdtContent>
  </w:sdt>
  <w:p w:rsidR="000D7D0A" w:rsidRDefault="000D7D0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2BA4" w:rsidRDefault="004F2BA4" w:rsidP="00CA02B1">
      <w:pPr>
        <w:spacing w:after="0" w:line="240" w:lineRule="auto"/>
      </w:pPr>
      <w:r>
        <w:separator/>
      </w:r>
    </w:p>
  </w:footnote>
  <w:footnote w:type="continuationSeparator" w:id="0">
    <w:p w:rsidR="004F2BA4" w:rsidRDefault="004F2BA4" w:rsidP="00CA02B1">
      <w:pPr>
        <w:spacing w:after="0" w:line="240" w:lineRule="auto"/>
      </w:pPr>
      <w:r>
        <w:continuationSeparator/>
      </w:r>
    </w:p>
  </w:footnote>
  <w:footnote w:id="1">
    <w:p w:rsidR="00CA02B1" w:rsidRPr="00A0392D" w:rsidRDefault="00CA02B1" w:rsidP="00CA02B1">
      <w:pPr>
        <w:pStyle w:val="Textonotapie"/>
        <w:rPr>
          <w:lang w:val="ca-ES"/>
        </w:rPr>
      </w:pPr>
      <w:r w:rsidRPr="00BB7BD7">
        <w:rPr>
          <w:rStyle w:val="Refdenotaalpie"/>
        </w:rPr>
        <w:footnoteRef/>
      </w:r>
      <w:r>
        <w:t xml:space="preserve"> </w:t>
      </w:r>
      <w:proofErr w:type="spellStart"/>
      <w:r>
        <w:rPr>
          <w:lang w:val="ca-ES"/>
        </w:rPr>
        <w:t>www.pirinexus.cat</w:t>
      </w:r>
      <w:proofErr w:type="spellEnd"/>
    </w:p>
  </w:footnote>
  <w:footnote w:id="2">
    <w:p w:rsidR="00CA02B1" w:rsidRPr="005F1845" w:rsidRDefault="00CA02B1" w:rsidP="00CA02B1">
      <w:pPr>
        <w:pStyle w:val="Textonotapie"/>
        <w:rPr>
          <w:lang w:val="ca-ES"/>
        </w:rPr>
      </w:pPr>
      <w:r w:rsidRPr="00BB7BD7">
        <w:rPr>
          <w:rStyle w:val="Refdenotaalpie"/>
        </w:rPr>
        <w:footnoteRef/>
      </w:r>
      <w:r>
        <w:t xml:space="preserve"> </w:t>
      </w:r>
      <w:r w:rsidRPr="005F1845">
        <w:t>http://www.eurovelo8.com//stages/barcelona-beziers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B6DE8"/>
    <w:multiLevelType w:val="hybridMultilevel"/>
    <w:tmpl w:val="53348C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5683725"/>
    <w:multiLevelType w:val="hybridMultilevel"/>
    <w:tmpl w:val="9CE225DC"/>
    <w:lvl w:ilvl="0" w:tplc="8BBAE040">
      <w:start w:val="1"/>
      <w:numFmt w:val="lowerLetter"/>
      <w:lvlText w:val="%1)"/>
      <w:lvlJc w:val="left"/>
      <w:pPr>
        <w:ind w:left="720" w:hanging="360"/>
      </w:pPr>
      <w:rPr>
        <w:rFonts w:ascii="Arial" w:hAnsi="Arial" w:cs="Arial" w:hint="default"/>
        <w:color w:val="00000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76D2256D"/>
    <w:multiLevelType w:val="hybridMultilevel"/>
    <w:tmpl w:val="A5A4F4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hyphenationZone w:val="425"/>
  <w:characterSpacingControl w:val="doNotCompress"/>
  <w:footnotePr>
    <w:footnote w:id="-1"/>
    <w:footnote w:id="0"/>
  </w:footnotePr>
  <w:endnotePr>
    <w:endnote w:id="-1"/>
    <w:endnote w:id="0"/>
  </w:endnotePr>
  <w:compat/>
  <w:rsids>
    <w:rsidRoot w:val="00B41934"/>
    <w:rsid w:val="00015E1B"/>
    <w:rsid w:val="00073B54"/>
    <w:rsid w:val="00091093"/>
    <w:rsid w:val="000B6DD2"/>
    <w:rsid w:val="000D4F0F"/>
    <w:rsid w:val="000D7D0A"/>
    <w:rsid w:val="00153DEB"/>
    <w:rsid w:val="001A449B"/>
    <w:rsid w:val="00205897"/>
    <w:rsid w:val="00240857"/>
    <w:rsid w:val="00265BEF"/>
    <w:rsid w:val="003313A2"/>
    <w:rsid w:val="003501E5"/>
    <w:rsid w:val="00353998"/>
    <w:rsid w:val="00361692"/>
    <w:rsid w:val="0039722B"/>
    <w:rsid w:val="003A3785"/>
    <w:rsid w:val="003B7FDF"/>
    <w:rsid w:val="004F1B4E"/>
    <w:rsid w:val="004F2BA4"/>
    <w:rsid w:val="00513755"/>
    <w:rsid w:val="005C7764"/>
    <w:rsid w:val="005D0AA4"/>
    <w:rsid w:val="005E0AC9"/>
    <w:rsid w:val="006604A9"/>
    <w:rsid w:val="006B4610"/>
    <w:rsid w:val="00703B3A"/>
    <w:rsid w:val="007347D2"/>
    <w:rsid w:val="00776D4F"/>
    <w:rsid w:val="007C16AC"/>
    <w:rsid w:val="007C5277"/>
    <w:rsid w:val="00844BFC"/>
    <w:rsid w:val="00894AB5"/>
    <w:rsid w:val="008E6432"/>
    <w:rsid w:val="00972F66"/>
    <w:rsid w:val="00983F75"/>
    <w:rsid w:val="00985AF1"/>
    <w:rsid w:val="009D6A7A"/>
    <w:rsid w:val="00A0347B"/>
    <w:rsid w:val="00A266E3"/>
    <w:rsid w:val="00A34E98"/>
    <w:rsid w:val="00A46219"/>
    <w:rsid w:val="00A57190"/>
    <w:rsid w:val="00A87670"/>
    <w:rsid w:val="00A939B4"/>
    <w:rsid w:val="00AB6C2C"/>
    <w:rsid w:val="00AF2008"/>
    <w:rsid w:val="00B41934"/>
    <w:rsid w:val="00BE2AF1"/>
    <w:rsid w:val="00C45EBC"/>
    <w:rsid w:val="00CA02B1"/>
    <w:rsid w:val="00CA3C08"/>
    <w:rsid w:val="00DA2DDE"/>
    <w:rsid w:val="00DA7629"/>
    <w:rsid w:val="00DC4684"/>
    <w:rsid w:val="00DD07B4"/>
    <w:rsid w:val="00DD16D5"/>
    <w:rsid w:val="00F46D72"/>
    <w:rsid w:val="00FD4527"/>
    <w:rsid w:val="00FF38C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934"/>
  </w:style>
  <w:style w:type="paragraph" w:styleId="Ttulo1">
    <w:name w:val="heading 1"/>
    <w:basedOn w:val="Normal"/>
    <w:next w:val="Normal"/>
    <w:link w:val="Ttulo1Car"/>
    <w:uiPriority w:val="9"/>
    <w:qFormat/>
    <w:rsid w:val="009D6A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B41934"/>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B41934"/>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paragraph" w:styleId="Ttulo4">
    <w:name w:val="heading 4"/>
    <w:basedOn w:val="Normal"/>
    <w:next w:val="Normal"/>
    <w:link w:val="Ttulo4Car"/>
    <w:uiPriority w:val="9"/>
    <w:unhideWhenUsed/>
    <w:qFormat/>
    <w:rsid w:val="00B419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B41934"/>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B41934"/>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rsid w:val="00B41934"/>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B4193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B41934"/>
    <w:rPr>
      <w:b/>
      <w:bCs/>
    </w:rPr>
  </w:style>
  <w:style w:type="character" w:customStyle="1" w:styleId="apple-converted-space">
    <w:name w:val="apple-converted-space"/>
    <w:basedOn w:val="Fuentedeprrafopredeter"/>
    <w:rsid w:val="00B41934"/>
  </w:style>
  <w:style w:type="paragraph" w:styleId="Prrafodelista">
    <w:name w:val="List Paragraph"/>
    <w:basedOn w:val="Normal"/>
    <w:uiPriority w:val="34"/>
    <w:qFormat/>
    <w:rsid w:val="009D6A7A"/>
    <w:pPr>
      <w:ind w:left="720"/>
      <w:contextualSpacing/>
    </w:pPr>
  </w:style>
  <w:style w:type="character" w:customStyle="1" w:styleId="Ttulo1Car">
    <w:name w:val="Título 1 Car"/>
    <w:basedOn w:val="Fuentedeprrafopredeter"/>
    <w:link w:val="Ttulo1"/>
    <w:uiPriority w:val="9"/>
    <w:rsid w:val="009D6A7A"/>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semiHidden/>
    <w:unhideWhenUsed/>
    <w:qFormat/>
    <w:rsid w:val="009D6A7A"/>
    <w:pPr>
      <w:outlineLvl w:val="9"/>
    </w:pPr>
  </w:style>
  <w:style w:type="paragraph" w:styleId="TDC2">
    <w:name w:val="toc 2"/>
    <w:basedOn w:val="Normal"/>
    <w:next w:val="Normal"/>
    <w:autoRedefine/>
    <w:uiPriority w:val="39"/>
    <w:unhideWhenUsed/>
    <w:rsid w:val="009D6A7A"/>
    <w:pPr>
      <w:spacing w:after="100"/>
      <w:ind w:left="220"/>
    </w:pPr>
  </w:style>
  <w:style w:type="paragraph" w:styleId="TDC3">
    <w:name w:val="toc 3"/>
    <w:basedOn w:val="Normal"/>
    <w:next w:val="Normal"/>
    <w:autoRedefine/>
    <w:uiPriority w:val="39"/>
    <w:unhideWhenUsed/>
    <w:rsid w:val="009D6A7A"/>
    <w:pPr>
      <w:spacing w:after="100"/>
      <w:ind w:left="440"/>
    </w:pPr>
  </w:style>
  <w:style w:type="character" w:styleId="Hipervnculo">
    <w:name w:val="Hyperlink"/>
    <w:basedOn w:val="Fuentedeprrafopredeter"/>
    <w:uiPriority w:val="99"/>
    <w:unhideWhenUsed/>
    <w:rsid w:val="009D6A7A"/>
    <w:rPr>
      <w:color w:val="0000FF" w:themeColor="hyperlink"/>
      <w:u w:val="single"/>
    </w:rPr>
  </w:style>
  <w:style w:type="paragraph" w:styleId="Textodeglobo">
    <w:name w:val="Balloon Text"/>
    <w:basedOn w:val="Normal"/>
    <w:link w:val="TextodegloboCar"/>
    <w:uiPriority w:val="99"/>
    <w:semiHidden/>
    <w:unhideWhenUsed/>
    <w:rsid w:val="009D6A7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D6A7A"/>
    <w:rPr>
      <w:rFonts w:ascii="Tahoma" w:hAnsi="Tahoma" w:cs="Tahoma"/>
      <w:sz w:val="16"/>
      <w:szCs w:val="16"/>
    </w:rPr>
  </w:style>
  <w:style w:type="paragraph" w:styleId="Textonotapie">
    <w:name w:val="footnote text"/>
    <w:basedOn w:val="Normal"/>
    <w:link w:val="TextonotapieCar"/>
    <w:uiPriority w:val="99"/>
    <w:semiHidden/>
    <w:unhideWhenUsed/>
    <w:rsid w:val="00CA02B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A02B1"/>
    <w:rPr>
      <w:sz w:val="20"/>
      <w:szCs w:val="20"/>
    </w:rPr>
  </w:style>
  <w:style w:type="character" w:styleId="Refdenotaalpie">
    <w:name w:val="footnote reference"/>
    <w:basedOn w:val="Fuentedeprrafopredeter"/>
    <w:uiPriority w:val="99"/>
    <w:semiHidden/>
    <w:unhideWhenUsed/>
    <w:rsid w:val="00CA02B1"/>
    <w:rPr>
      <w:vertAlign w:val="superscript"/>
    </w:rPr>
  </w:style>
  <w:style w:type="paragraph" w:styleId="Encabezado">
    <w:name w:val="header"/>
    <w:basedOn w:val="Normal"/>
    <w:link w:val="EncabezadoCar"/>
    <w:uiPriority w:val="99"/>
    <w:semiHidden/>
    <w:unhideWhenUsed/>
    <w:rsid w:val="00844BF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844BFC"/>
  </w:style>
  <w:style w:type="paragraph" w:styleId="Piedepgina">
    <w:name w:val="footer"/>
    <w:basedOn w:val="Normal"/>
    <w:link w:val="PiedepginaCar"/>
    <w:uiPriority w:val="99"/>
    <w:unhideWhenUsed/>
    <w:rsid w:val="00844BF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44BFC"/>
  </w:style>
  <w:style w:type="paragraph" w:styleId="TDC1">
    <w:name w:val="toc 1"/>
    <w:basedOn w:val="Normal"/>
    <w:next w:val="Normal"/>
    <w:autoRedefine/>
    <w:uiPriority w:val="39"/>
    <w:unhideWhenUsed/>
    <w:rsid w:val="003B7FDF"/>
    <w:pPr>
      <w:spacing w:after="100"/>
    </w:pPr>
  </w:style>
</w:styles>
</file>

<file path=word/webSettings.xml><?xml version="1.0" encoding="utf-8"?>
<w:webSettings xmlns:r="http://schemas.openxmlformats.org/officeDocument/2006/relationships" xmlns:w="http://schemas.openxmlformats.org/wordprocessingml/2006/main">
  <w:divs>
    <w:div w:id="211486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cia.serra@udg.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viesverdes.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ED559E-A080-469C-AEAC-DCFE47BC3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18</Pages>
  <Words>14345</Words>
  <Characters>78901</Characters>
  <Application>Microsoft Office Word</Application>
  <DocSecurity>0</DocSecurity>
  <Lines>657</Lines>
  <Paragraphs>186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usuari</cp:lastModifiedBy>
  <cp:revision>17</cp:revision>
  <cp:lastPrinted>2017-07-12T10:20:00Z</cp:lastPrinted>
  <dcterms:created xsi:type="dcterms:W3CDTF">2017-09-05T10:27:00Z</dcterms:created>
  <dcterms:modified xsi:type="dcterms:W3CDTF">2017-09-05T13:36:00Z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8223f45e-c776-3444-adf3-47f52d22eb5b</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